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C104C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6339F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May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6339F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BA0B69" w:rsidRPr="00BA0B6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162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6339F9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6339F9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May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F2C2D" w:rsidRDefault="002A182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A1829">
        <w:rPr>
          <w:rFonts w:ascii="Arial Narrow" w:hAnsi="Arial Narrow" w:cs="Tahoma"/>
          <w:b/>
          <w:bCs/>
          <w:sz w:val="30"/>
          <w:szCs w:val="30"/>
          <w:lang w:eastAsia="sr-Latn-BA"/>
        </w:rPr>
        <w:t>Averag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>e net salary in April: 1,473 BA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М</w:t>
      </w:r>
    </w:p>
    <w:p w:rsidR="008E543D" w:rsidRPr="000F2C2D" w:rsidRDefault="002A1829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2A1829">
        <w:rPr>
          <w:rFonts w:ascii="Arial Narrow" w:hAnsi="Arial Narrow" w:cs="Tahoma"/>
          <w:b/>
          <w:sz w:val="28"/>
          <w:szCs w:val="22"/>
        </w:rPr>
        <w:t>Real wage growth on an annual basis: 1.6%</w:t>
      </w:r>
    </w:p>
    <w:p w:rsidR="00E33D13" w:rsidRPr="000F2C2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F2C2D">
        <w:rPr>
          <w:rFonts w:ascii="Tahoma" w:hAnsi="Tahoma" w:cs="Tahoma"/>
          <w:b/>
          <w:sz w:val="24"/>
          <w:lang w:val="sr-Cyrl-CS"/>
        </w:rPr>
        <w:tab/>
      </w:r>
      <w:r w:rsidRPr="000F2C2D">
        <w:rPr>
          <w:rFonts w:ascii="Tahoma" w:hAnsi="Tahoma" w:cs="Tahoma"/>
          <w:b/>
          <w:sz w:val="24"/>
          <w:lang w:val="sr-Cyrl-CS"/>
        </w:rPr>
        <w:tab/>
      </w:r>
    </w:p>
    <w:p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The average monthly net salary paid in </w:t>
      </w:r>
      <w:proofErr w:type="spellStart"/>
      <w:r w:rsidRPr="002A1829">
        <w:rPr>
          <w:rFonts w:ascii="Arial Narrow" w:hAnsi="Arial Narrow" w:cs="Tahoma"/>
          <w:sz w:val="22"/>
        </w:rPr>
        <w:t>Republika</w:t>
      </w:r>
      <w:proofErr w:type="spellEnd"/>
      <w:r w:rsidRPr="002A1829">
        <w:rPr>
          <w:rFonts w:ascii="Arial Narrow" w:hAnsi="Arial Narrow" w:cs="Tahoma"/>
          <w:sz w:val="22"/>
        </w:rPr>
        <w:t xml:space="preserve"> </w:t>
      </w:r>
      <w:proofErr w:type="spellStart"/>
      <w:r w:rsidRPr="002A1829">
        <w:rPr>
          <w:rFonts w:ascii="Arial Narrow" w:hAnsi="Arial Narrow" w:cs="Tahoma"/>
          <w:sz w:val="22"/>
        </w:rPr>
        <w:t>Srpska</w:t>
      </w:r>
      <w:proofErr w:type="spellEnd"/>
      <w:r w:rsidRPr="002A1829">
        <w:rPr>
          <w:rFonts w:ascii="Arial Narrow" w:hAnsi="Arial Narrow" w:cs="Tahoma"/>
          <w:sz w:val="22"/>
        </w:rPr>
        <w:t xml:space="preserve"> in April 2025 amounted to 1,473 BAM. Compared to March 2025, it was nominally lower by 0.2% and in real terms by 0.5%, while compared to the same month of the previous year, it was nominally higher by 5.2% and in real terms by 1.6%. The average monthly gross salary amounted to 2,260 BAM.</w:t>
      </w: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By activity sector, the highest average net salary in April 2025 was paid in the </w:t>
      </w:r>
      <w:r>
        <w:rPr>
          <w:rFonts w:ascii="Arial Narrow" w:hAnsi="Arial Narrow" w:cs="Tahoma"/>
          <w:i/>
          <w:sz w:val="22"/>
        </w:rPr>
        <w:t>Financial and i</w:t>
      </w:r>
      <w:r w:rsidRPr="002A1829">
        <w:rPr>
          <w:rFonts w:ascii="Arial Narrow" w:hAnsi="Arial Narrow" w:cs="Tahoma"/>
          <w:i/>
          <w:sz w:val="22"/>
        </w:rPr>
        <w:t xml:space="preserve">nsurance </w:t>
      </w:r>
      <w:r>
        <w:rPr>
          <w:rFonts w:ascii="Arial Narrow" w:hAnsi="Arial Narrow" w:cs="Tahoma"/>
          <w:i/>
          <w:sz w:val="22"/>
        </w:rPr>
        <w:t>a</w:t>
      </w:r>
      <w:r w:rsidRPr="002A1829">
        <w:rPr>
          <w:rFonts w:ascii="Arial Narrow" w:hAnsi="Arial Narrow" w:cs="Tahoma"/>
          <w:i/>
          <w:sz w:val="22"/>
        </w:rPr>
        <w:t>ctivities</w:t>
      </w:r>
      <w:r w:rsidRPr="002A1829">
        <w:rPr>
          <w:rFonts w:ascii="Arial Narrow" w:hAnsi="Arial Narrow" w:cs="Tahoma"/>
          <w:sz w:val="22"/>
        </w:rPr>
        <w:t xml:space="preserve">, amounting to 1,910 BAM, while the lowest average net salary was paid in the </w:t>
      </w:r>
      <w:r>
        <w:rPr>
          <w:rFonts w:ascii="Arial Narrow" w:hAnsi="Arial Narrow" w:cs="Tahoma"/>
          <w:i/>
          <w:sz w:val="22"/>
        </w:rPr>
        <w:t>Accommodation and food service a</w:t>
      </w:r>
      <w:r w:rsidRPr="002A1829">
        <w:rPr>
          <w:rFonts w:ascii="Arial Narrow" w:hAnsi="Arial Narrow" w:cs="Tahoma"/>
          <w:i/>
          <w:sz w:val="22"/>
        </w:rPr>
        <w:t>ctivities</w:t>
      </w:r>
      <w:r w:rsidRPr="002A1829">
        <w:rPr>
          <w:rFonts w:ascii="Arial Narrow" w:hAnsi="Arial Narrow" w:cs="Tahoma"/>
          <w:sz w:val="22"/>
        </w:rPr>
        <w:t xml:space="preserve"> (hotels and restaurants), amounting to 1,193 BAM.</w:t>
      </w: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In April 2025, compared to April 2024, all sectors recorded a nominal increase in net salary, with the highest growth observed in </w:t>
      </w:r>
      <w:r>
        <w:rPr>
          <w:rFonts w:ascii="Arial Narrow" w:hAnsi="Arial Narrow" w:cs="Tahoma"/>
          <w:i/>
          <w:sz w:val="22"/>
        </w:rPr>
        <w:t>Professional, scientific and technical a</w:t>
      </w:r>
      <w:r w:rsidRPr="002A1829">
        <w:rPr>
          <w:rFonts w:ascii="Arial Narrow" w:hAnsi="Arial Narrow" w:cs="Tahoma"/>
          <w:i/>
          <w:sz w:val="22"/>
        </w:rPr>
        <w:t>ctivities</w:t>
      </w:r>
      <w:r w:rsidRPr="002A1829">
        <w:rPr>
          <w:rFonts w:ascii="Arial Narrow" w:hAnsi="Arial Narrow" w:cs="Tahoma"/>
          <w:sz w:val="22"/>
        </w:rPr>
        <w:t xml:space="preserve"> (18.0%), </w:t>
      </w:r>
      <w:r>
        <w:rPr>
          <w:rFonts w:ascii="Arial Narrow" w:hAnsi="Arial Narrow" w:cs="Tahoma"/>
          <w:i/>
          <w:sz w:val="22"/>
        </w:rPr>
        <w:t>Information and c</w:t>
      </w:r>
      <w:r w:rsidRPr="002A1829">
        <w:rPr>
          <w:rFonts w:ascii="Arial Narrow" w:hAnsi="Arial Narrow" w:cs="Tahoma"/>
          <w:i/>
          <w:sz w:val="22"/>
        </w:rPr>
        <w:t>ommunication</w:t>
      </w:r>
      <w:r>
        <w:rPr>
          <w:rFonts w:ascii="Arial Narrow" w:hAnsi="Arial Narrow" w:cs="Tahoma"/>
          <w:sz w:val="22"/>
        </w:rPr>
        <w:t xml:space="preserve"> (8.0%)</w:t>
      </w:r>
      <w:r w:rsidRPr="002A1829">
        <w:rPr>
          <w:rFonts w:ascii="Arial Narrow" w:hAnsi="Arial Narrow" w:cs="Tahoma"/>
          <w:sz w:val="22"/>
        </w:rPr>
        <w:t xml:space="preserve"> and </w:t>
      </w:r>
      <w:r w:rsidRPr="002A1829">
        <w:rPr>
          <w:rFonts w:ascii="Arial Narrow" w:hAnsi="Arial Narrow" w:cs="Tahoma"/>
          <w:i/>
          <w:sz w:val="22"/>
        </w:rPr>
        <w:t>Manufacturing</w:t>
      </w:r>
      <w:r w:rsidRPr="002A1829">
        <w:rPr>
          <w:rFonts w:ascii="Arial Narrow" w:hAnsi="Arial Narrow" w:cs="Tahoma"/>
          <w:sz w:val="22"/>
        </w:rPr>
        <w:t xml:space="preserve"> (7.9%).</w:t>
      </w:r>
    </w:p>
    <w:p w:rsidR="00374B48" w:rsidRPr="000F2C2D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0F2C2D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F2C2D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F2C2D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F2C2D">
        <w:rPr>
          <w:rFonts w:ascii="Tahoma" w:hAnsi="Tahoma" w:cs="Tahoma"/>
          <w:i/>
          <w:sz w:val="14"/>
          <w:lang w:val="sr-Cyrl-CS"/>
        </w:rPr>
        <w:t xml:space="preserve"> </w:t>
      </w:r>
      <w:r w:rsidRPr="000F2C2D">
        <w:rPr>
          <w:rFonts w:ascii="Tahoma" w:hAnsi="Tahoma" w:cs="Tahoma"/>
          <w:sz w:val="14"/>
          <w:lang w:val="sr-Cyrl-CS"/>
        </w:rPr>
        <w:t xml:space="preserve">   </w:t>
      </w:r>
      <w:r w:rsidRPr="000F2C2D">
        <w:rPr>
          <w:rFonts w:ascii="Tahoma" w:hAnsi="Tahoma" w:cs="Tahoma"/>
          <w:sz w:val="14"/>
          <w:lang w:val="sr-Latn-CS"/>
        </w:rPr>
        <w:tab/>
      </w:r>
      <w:r w:rsidRPr="000F2C2D">
        <w:rPr>
          <w:rFonts w:ascii="Tahoma" w:hAnsi="Tahoma" w:cs="Tahoma"/>
          <w:sz w:val="14"/>
          <w:lang w:val="sr-Latn-CS"/>
        </w:rPr>
        <w:tab/>
      </w:r>
      <w:r w:rsidRPr="000F2C2D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F2C2D">
        <w:rPr>
          <w:rFonts w:ascii="Tahoma" w:hAnsi="Tahoma" w:cs="Tahoma"/>
          <w:sz w:val="14"/>
          <w:lang w:val="sr-Cyrl-BA"/>
        </w:rPr>
        <w:t xml:space="preserve">  </w:t>
      </w:r>
      <w:r w:rsidR="0062701E" w:rsidRPr="000F2C2D">
        <w:rPr>
          <w:rFonts w:ascii="Tahoma" w:hAnsi="Tahoma" w:cs="Tahoma"/>
          <w:sz w:val="14"/>
          <w:lang w:val="sr-Cyrl-BA"/>
        </w:rPr>
        <w:t xml:space="preserve"> </w:t>
      </w:r>
      <w:r w:rsidR="00F85AAC" w:rsidRPr="000F2C2D">
        <w:rPr>
          <w:rFonts w:ascii="Tahoma" w:hAnsi="Tahoma" w:cs="Tahoma"/>
          <w:sz w:val="14"/>
          <w:lang w:val="sr-Cyrl-BA"/>
        </w:rPr>
        <w:t xml:space="preserve"> </w:t>
      </w:r>
      <w:r w:rsidR="002A1829">
        <w:rPr>
          <w:rFonts w:ascii="Arial Narrow" w:hAnsi="Arial Narrow" w:cs="Tahoma"/>
          <w:sz w:val="16"/>
          <w:szCs w:val="22"/>
        </w:rPr>
        <w:t>BA</w:t>
      </w:r>
      <w:r w:rsidR="00DE7AB2" w:rsidRPr="000F2C2D">
        <w:rPr>
          <w:rFonts w:ascii="Arial Narrow" w:hAnsi="Arial Narrow" w:cs="Tahoma"/>
          <w:sz w:val="16"/>
          <w:szCs w:val="22"/>
        </w:rPr>
        <w:t>M</w:t>
      </w:r>
    </w:p>
    <w:p w:rsidR="00E33D13" w:rsidRPr="000F2C2D" w:rsidRDefault="00425891" w:rsidP="00E33D13">
      <w:pPr>
        <w:jc w:val="center"/>
        <w:rPr>
          <w:rFonts w:ascii="Tahoma" w:hAnsi="Tahoma" w:cs="Tahoma"/>
          <w:lang w:val="sr-Cyrl-BA"/>
        </w:rPr>
      </w:pPr>
      <w:r w:rsidRPr="000F2C2D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F2C2D">
        <w:rPr>
          <w:noProof/>
        </w:rPr>
        <w:t xml:space="preserve"> </w:t>
      </w:r>
      <w:r w:rsidR="00E33D13" w:rsidRPr="000F2C2D">
        <w:rPr>
          <w:rFonts w:ascii="Tahoma" w:hAnsi="Tahoma" w:cs="Tahoma"/>
          <w:szCs w:val="18"/>
          <w:lang w:val="sr-Cyrl-BA"/>
        </w:rPr>
        <w:t xml:space="preserve"> </w:t>
      </w:r>
      <w:r w:rsidR="00DC16DB" w:rsidRPr="000F2C2D">
        <w:rPr>
          <w:noProof/>
        </w:rPr>
        <w:drawing>
          <wp:inline distT="0" distB="0" distL="0" distR="0" wp14:anchorId="481D51D7" wp14:editId="27D98C4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F2C2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B0137B" w:rsidRPr="000F2C2D" w:rsidRDefault="002A1829" w:rsidP="002A1829">
      <w:pPr>
        <w:jc w:val="center"/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sz w:val="16"/>
          <w:szCs w:val="22"/>
        </w:rPr>
        <w:t>Chart 1. Average net salary by m</w:t>
      </w:r>
      <w:r w:rsidRPr="002A1829">
        <w:rPr>
          <w:rFonts w:ascii="Arial Narrow" w:hAnsi="Arial Narrow" w:cs="Tahoma"/>
          <w:sz w:val="16"/>
          <w:szCs w:val="22"/>
        </w:rPr>
        <w:t>onth</w:t>
      </w:r>
    </w:p>
    <w:p w:rsidR="00417370" w:rsidRPr="000F2C2D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A1829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A1829" w:rsidRPr="000F2C2D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F2C2D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F2C2D" w:rsidRDefault="002A1829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lastRenderedPageBreak/>
        <w:t>Monthly inflation in April 2025: 0.3%</w:t>
      </w:r>
    </w:p>
    <w:p w:rsidR="00B50951" w:rsidRPr="000F2C2D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t>Annual inflation (April 2025/April 2024): 3.6%</w:t>
      </w:r>
    </w:p>
    <w:p w:rsidR="00B50951" w:rsidRPr="000F2C2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0F2C2D" w:rsidRDefault="002A1829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2A1829">
        <w:rPr>
          <w:rFonts w:ascii="Arial Narrow" w:hAnsi="Arial Narrow" w:cs="Tahoma"/>
          <w:sz w:val="22"/>
          <w:szCs w:val="22"/>
        </w:rPr>
        <w:t xml:space="preserve">The prices of goods and services for personal consumption in </w:t>
      </w:r>
      <w:proofErr w:type="spellStart"/>
      <w:r w:rsidRPr="002A1829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2A182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2A1829">
        <w:rPr>
          <w:rFonts w:ascii="Arial Narrow" w:hAnsi="Arial Narrow" w:cs="Tahoma"/>
          <w:sz w:val="22"/>
          <w:szCs w:val="22"/>
        </w:rPr>
        <w:t>Srpska</w:t>
      </w:r>
      <w:proofErr w:type="spellEnd"/>
      <w:r w:rsidRPr="002A1829">
        <w:rPr>
          <w:rFonts w:ascii="Arial Narrow" w:hAnsi="Arial Narrow" w:cs="Tahoma"/>
          <w:sz w:val="22"/>
          <w:szCs w:val="22"/>
        </w:rPr>
        <w:t xml:space="preserve">, measured by the Consumer Price Index, were on average 0.3% higher in April 2025 compared to the previous month, and 3.6% higher compared to the same month of the previous year. Of the 12 main </w:t>
      </w:r>
      <w:r>
        <w:rPr>
          <w:rFonts w:ascii="Arial Narrow" w:hAnsi="Arial Narrow" w:cs="Tahoma"/>
          <w:sz w:val="22"/>
          <w:szCs w:val="22"/>
        </w:rPr>
        <w:t>sections</w:t>
      </w:r>
      <w:r w:rsidRPr="002A1829">
        <w:rPr>
          <w:rFonts w:ascii="Arial Narrow" w:hAnsi="Arial Narrow" w:cs="Tahoma"/>
          <w:sz w:val="22"/>
          <w:szCs w:val="22"/>
        </w:rPr>
        <w:t xml:space="preserve"> of goods and services, prices increased year-on-year in nine divisions, decreased in two, and remained unchanged in one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 xml:space="preserve">. </w:t>
      </w:r>
    </w:p>
    <w:p w:rsidR="009E423F" w:rsidRPr="000F2C2D" w:rsidRDefault="00A11D93" w:rsidP="009E423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1D93">
        <w:rPr>
          <w:rFonts w:ascii="Arial Narrow" w:hAnsi="Arial Narrow" w:cs="Tahoma"/>
          <w:sz w:val="22"/>
          <w:szCs w:val="22"/>
        </w:rPr>
        <w:t>The highest annual price increase in April 2025 was recorded in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Health</w:t>
      </w:r>
      <w:r w:rsidRPr="00A11D93">
        <w:rPr>
          <w:rFonts w:ascii="Arial Narrow" w:hAnsi="Arial Narrow" w:cs="Tahoma"/>
          <w:sz w:val="22"/>
          <w:szCs w:val="22"/>
        </w:rPr>
        <w:t xml:space="preserve"> (8.7%) due to higher prices in the</w:t>
      </w:r>
      <w:r>
        <w:rPr>
          <w:rFonts w:ascii="Arial Narrow" w:hAnsi="Arial Narrow" w:cs="Tahoma"/>
          <w:sz w:val="22"/>
          <w:szCs w:val="22"/>
        </w:rPr>
        <w:t xml:space="preserve"> group m</w:t>
      </w:r>
      <w:r w:rsidRPr="00A11D93">
        <w:rPr>
          <w:rFonts w:ascii="Arial Narrow" w:hAnsi="Arial Narrow" w:cs="Tahoma"/>
          <w:sz w:val="22"/>
          <w:szCs w:val="22"/>
        </w:rPr>
        <w:t xml:space="preserve">edical services (37.9%) and </w:t>
      </w:r>
      <w:r>
        <w:rPr>
          <w:rFonts w:ascii="Arial Narrow" w:hAnsi="Arial Narrow" w:cs="Tahoma"/>
          <w:sz w:val="22"/>
          <w:szCs w:val="22"/>
        </w:rPr>
        <w:t>m</w:t>
      </w:r>
      <w:r w:rsidRPr="00A11D93">
        <w:rPr>
          <w:rFonts w:ascii="Arial Narrow" w:hAnsi="Arial Narrow" w:cs="Tahoma"/>
          <w:sz w:val="22"/>
          <w:szCs w:val="22"/>
        </w:rPr>
        <w:t xml:space="preserve">edical products, appliances and equipment (6.2%). This was followed by </w:t>
      </w:r>
      <w:r w:rsidRPr="00A11D93">
        <w:rPr>
          <w:rFonts w:ascii="Arial Narrow" w:hAnsi="Arial Narrow" w:cs="Tahoma"/>
          <w:i/>
          <w:sz w:val="22"/>
          <w:szCs w:val="22"/>
        </w:rPr>
        <w:t>Food and non-alcoholic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beverages</w:t>
      </w:r>
      <w:r w:rsidRPr="00A11D93">
        <w:rPr>
          <w:rFonts w:ascii="Arial Narrow" w:hAnsi="Arial Narrow" w:cs="Tahoma"/>
          <w:sz w:val="22"/>
          <w:szCs w:val="22"/>
        </w:rPr>
        <w:t xml:space="preserve"> (8.1%) due to a 40.0% incre</w:t>
      </w:r>
      <w:r>
        <w:rPr>
          <w:rFonts w:ascii="Arial Narrow" w:hAnsi="Arial Narrow" w:cs="Tahoma"/>
          <w:sz w:val="22"/>
          <w:szCs w:val="22"/>
        </w:rPr>
        <w:t>ase in the group n</w:t>
      </w:r>
      <w:r w:rsidRPr="00A11D93">
        <w:rPr>
          <w:rFonts w:ascii="Arial Narrow" w:hAnsi="Arial Narrow" w:cs="Tahoma"/>
          <w:sz w:val="22"/>
          <w:szCs w:val="22"/>
        </w:rPr>
        <w:t xml:space="preserve">on-alcoholic beverages, and </w:t>
      </w:r>
      <w:r w:rsidRPr="00A11D93">
        <w:rPr>
          <w:rFonts w:ascii="Arial Narrow" w:hAnsi="Arial Narrow" w:cs="Tahoma"/>
          <w:i/>
          <w:sz w:val="22"/>
          <w:szCs w:val="22"/>
        </w:rPr>
        <w:t>Restaurants and hotels</w:t>
      </w:r>
      <w:r w:rsidRPr="00A11D93">
        <w:rPr>
          <w:rFonts w:ascii="Arial Narrow" w:hAnsi="Arial Narrow" w:cs="Tahoma"/>
          <w:sz w:val="22"/>
          <w:szCs w:val="22"/>
        </w:rPr>
        <w:t xml:space="preserve"> (7.3%) due to an 8.5% increase in the </w:t>
      </w:r>
      <w:r>
        <w:rPr>
          <w:rFonts w:ascii="Arial Narrow" w:hAnsi="Arial Narrow" w:cs="Tahoma"/>
          <w:sz w:val="22"/>
          <w:szCs w:val="22"/>
        </w:rPr>
        <w:t>group f</w:t>
      </w:r>
      <w:r w:rsidRPr="00A11D93">
        <w:rPr>
          <w:rFonts w:ascii="Arial Narrow" w:hAnsi="Arial Narrow" w:cs="Tahoma"/>
          <w:sz w:val="22"/>
          <w:szCs w:val="22"/>
        </w:rPr>
        <w:t xml:space="preserve">ood and </w:t>
      </w:r>
      <w:r>
        <w:rPr>
          <w:rFonts w:ascii="Arial Narrow" w:hAnsi="Arial Narrow" w:cs="Tahoma"/>
          <w:sz w:val="22"/>
          <w:szCs w:val="22"/>
        </w:rPr>
        <w:t>beverage services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A11D93" w:rsidRPr="00A11D93" w:rsidRDefault="00A11D93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Next came </w:t>
      </w:r>
      <w:r w:rsidRPr="00A11D93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A11D93">
        <w:rPr>
          <w:rFonts w:ascii="Arial Narrow" w:hAnsi="Arial Narrow" w:cs="Tahoma"/>
          <w:sz w:val="22"/>
          <w:szCs w:val="22"/>
        </w:rPr>
        <w:t xml:space="preserve"> with an increase of 4.2%, due to a 5.1% rise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t</w:t>
      </w:r>
      <w:r w:rsidRPr="00A11D93">
        <w:rPr>
          <w:rFonts w:ascii="Arial Narrow" w:hAnsi="Arial Narrow" w:cs="Tahoma"/>
          <w:sz w:val="22"/>
          <w:szCs w:val="22"/>
        </w:rPr>
        <w:t xml:space="preserve">obacco, followed by the </w:t>
      </w:r>
      <w:r w:rsidRPr="00A11D93">
        <w:rPr>
          <w:rFonts w:ascii="Arial Narrow" w:hAnsi="Arial Narrow" w:cs="Tahoma"/>
          <w:i/>
          <w:sz w:val="22"/>
          <w:szCs w:val="22"/>
        </w:rPr>
        <w:t>Recreation and culture</w:t>
      </w:r>
      <w:r w:rsidRPr="00A11D93">
        <w:rPr>
          <w:rFonts w:ascii="Arial Narrow" w:hAnsi="Arial Narrow" w:cs="Tahoma"/>
          <w:sz w:val="22"/>
          <w:szCs w:val="22"/>
        </w:rPr>
        <w:t xml:space="preserve">, also up 4.2%, driven by an 11.5% increase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v</w:t>
      </w:r>
      <w:r w:rsidRPr="00A11D93">
        <w:rPr>
          <w:rFonts w:ascii="Arial Narrow" w:hAnsi="Arial Narrow" w:cs="Tahoma"/>
          <w:sz w:val="22"/>
          <w:szCs w:val="22"/>
        </w:rPr>
        <w:t>eterinary and related services for pets</w:t>
      </w:r>
      <w:r>
        <w:rPr>
          <w:rFonts w:ascii="Arial Narrow" w:hAnsi="Arial Narrow" w:cs="Tahoma"/>
          <w:sz w:val="22"/>
          <w:szCs w:val="22"/>
        </w:rPr>
        <w:t xml:space="preserve">. </w:t>
      </w:r>
      <w:r w:rsidRPr="00A11D93">
        <w:rPr>
          <w:rFonts w:ascii="Arial Narrow" w:hAnsi="Arial Narrow" w:cs="Tahoma"/>
          <w:i/>
          <w:sz w:val="22"/>
          <w:szCs w:val="22"/>
        </w:rPr>
        <w:t>Other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goods and services</w:t>
      </w:r>
      <w:r w:rsidRPr="00A11D93">
        <w:rPr>
          <w:rFonts w:ascii="Arial Narrow" w:hAnsi="Arial Narrow" w:cs="Tahoma"/>
          <w:sz w:val="22"/>
          <w:szCs w:val="22"/>
        </w:rPr>
        <w:t xml:space="preserve"> increased by 3.3% due to an 11.8% rise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p</w:t>
      </w:r>
      <w:r w:rsidRPr="00A11D93">
        <w:rPr>
          <w:rFonts w:ascii="Arial Narrow" w:hAnsi="Arial Narrow" w:cs="Tahoma"/>
          <w:sz w:val="22"/>
          <w:szCs w:val="22"/>
        </w:rPr>
        <w:t>ersonal care services.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:rsidR="00A11D93" w:rsidRPr="00A11D93" w:rsidRDefault="00A11D93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Prices in </w:t>
      </w:r>
      <w:r w:rsidRPr="00A11D93">
        <w:rPr>
          <w:rFonts w:ascii="Arial Narrow" w:hAnsi="Arial Narrow" w:cs="Tahoma"/>
          <w:i/>
          <w:sz w:val="22"/>
          <w:szCs w:val="22"/>
        </w:rPr>
        <w:t>Housing</w:t>
      </w:r>
      <w:r w:rsidRPr="00A11D93">
        <w:rPr>
          <w:rFonts w:ascii="Arial Narrow" w:hAnsi="Arial Narrow" w:cs="Tahoma"/>
          <w:sz w:val="22"/>
          <w:szCs w:val="22"/>
        </w:rPr>
        <w:t xml:space="preserve"> rose by 1.7%, driven by a 10.6% increase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other </w:t>
      </w:r>
      <w:proofErr w:type="spellStart"/>
      <w:r>
        <w:rPr>
          <w:rFonts w:ascii="Arial Narrow" w:hAnsi="Arial Narrow" w:cs="Tahoma"/>
          <w:sz w:val="22"/>
          <w:szCs w:val="22"/>
        </w:rPr>
        <w:t>sevices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related to the dwelling</w:t>
      </w:r>
      <w:r w:rsidRPr="00A11D93">
        <w:rPr>
          <w:rFonts w:ascii="Arial Narrow" w:hAnsi="Arial Narrow" w:cs="Tahoma"/>
          <w:sz w:val="22"/>
          <w:szCs w:val="22"/>
        </w:rPr>
        <w:t xml:space="preserve">. An increase of 1.0% was recorded in </w:t>
      </w:r>
      <w:r w:rsidRPr="00A11D93">
        <w:rPr>
          <w:rFonts w:ascii="Arial Narrow" w:hAnsi="Arial Narrow" w:cs="Tahoma"/>
          <w:i/>
          <w:sz w:val="22"/>
          <w:szCs w:val="22"/>
        </w:rPr>
        <w:t>Furniture and household equipment</w:t>
      </w:r>
      <w:r w:rsidRPr="00A11D93">
        <w:rPr>
          <w:rFonts w:ascii="Arial Narrow" w:hAnsi="Arial Narrow" w:cs="Tahoma"/>
          <w:sz w:val="22"/>
          <w:szCs w:val="22"/>
        </w:rPr>
        <w:t>, due to an 1</w:t>
      </w:r>
      <w:r>
        <w:rPr>
          <w:rFonts w:ascii="Arial Narrow" w:hAnsi="Arial Narrow" w:cs="Tahoma"/>
          <w:sz w:val="22"/>
          <w:szCs w:val="22"/>
        </w:rPr>
        <w:t xml:space="preserve">1.3% rise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>
        <w:rPr>
          <w:rFonts w:ascii="Arial Narrow" w:hAnsi="Arial Narrow" w:cs="Tahoma"/>
          <w:sz w:val="22"/>
          <w:szCs w:val="22"/>
        </w:rPr>
        <w:t xml:space="preserve"> r</w:t>
      </w:r>
      <w:r w:rsidRPr="00A11D93">
        <w:rPr>
          <w:rFonts w:ascii="Arial Narrow" w:hAnsi="Arial Narrow" w:cs="Tahoma"/>
          <w:sz w:val="22"/>
          <w:szCs w:val="22"/>
        </w:rPr>
        <w:t xml:space="preserve">epair of household appliances, while </w:t>
      </w:r>
      <w:r w:rsidRPr="00A11D93">
        <w:rPr>
          <w:rFonts w:ascii="Arial Narrow" w:hAnsi="Arial Narrow" w:cs="Tahoma"/>
          <w:i/>
          <w:sz w:val="22"/>
          <w:szCs w:val="22"/>
        </w:rPr>
        <w:t>Education</w:t>
      </w:r>
      <w:r w:rsidRPr="00A11D93">
        <w:rPr>
          <w:rFonts w:ascii="Arial Narrow" w:hAnsi="Arial Narrow" w:cs="Tahoma"/>
          <w:sz w:val="22"/>
          <w:szCs w:val="22"/>
        </w:rPr>
        <w:t xml:space="preserve"> saw an increase of 0.8% due to a 4.7% rise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p</w:t>
      </w:r>
      <w:r w:rsidRPr="00A11D93">
        <w:rPr>
          <w:rFonts w:ascii="Arial Narrow" w:hAnsi="Arial Narrow" w:cs="Tahoma"/>
          <w:sz w:val="22"/>
          <w:szCs w:val="22"/>
        </w:rPr>
        <w:t>re-</w:t>
      </w:r>
      <w:r>
        <w:rPr>
          <w:rFonts w:ascii="Arial Narrow" w:hAnsi="Arial Narrow" w:cs="Tahoma"/>
          <w:sz w:val="22"/>
          <w:szCs w:val="22"/>
        </w:rPr>
        <w:t>school</w:t>
      </w:r>
      <w:r w:rsidRPr="00A11D93">
        <w:rPr>
          <w:rFonts w:ascii="Arial Narrow" w:hAnsi="Arial Narrow" w:cs="Tahoma"/>
          <w:sz w:val="22"/>
          <w:szCs w:val="22"/>
        </w:rPr>
        <w:t xml:space="preserve"> education</w:t>
      </w:r>
      <w:r>
        <w:rPr>
          <w:rFonts w:ascii="Arial Narrow" w:hAnsi="Arial Narrow" w:cs="Tahoma"/>
          <w:sz w:val="22"/>
          <w:szCs w:val="22"/>
        </w:rPr>
        <w:t xml:space="preserve">. Prices in </w:t>
      </w:r>
      <w:r w:rsidRPr="00A11D93">
        <w:rPr>
          <w:rFonts w:ascii="Arial Narrow" w:hAnsi="Arial Narrow" w:cs="Tahoma"/>
          <w:i/>
          <w:sz w:val="22"/>
          <w:szCs w:val="22"/>
        </w:rPr>
        <w:t>Communications</w:t>
      </w:r>
      <w:r w:rsidRPr="00A11D93">
        <w:rPr>
          <w:rFonts w:ascii="Arial Narrow" w:hAnsi="Arial Narrow" w:cs="Tahoma"/>
          <w:sz w:val="22"/>
          <w:szCs w:val="22"/>
        </w:rPr>
        <w:t xml:space="preserve"> remained unchanged.</w:t>
      </w:r>
    </w:p>
    <w:p w:rsidR="009E423F" w:rsidRPr="00A11D93" w:rsidRDefault="00A11D93" w:rsidP="00C66D57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Year-on-year price decreases in April 2025 were recorded in </w:t>
      </w:r>
      <w:r w:rsidRPr="00A11D93">
        <w:rPr>
          <w:rFonts w:ascii="Arial Narrow" w:hAnsi="Arial Narrow" w:cs="Tahoma"/>
          <w:i/>
          <w:sz w:val="22"/>
          <w:szCs w:val="22"/>
        </w:rPr>
        <w:t>Transport</w:t>
      </w:r>
      <w:r w:rsidRPr="00A11D93">
        <w:rPr>
          <w:rFonts w:ascii="Arial Narrow" w:hAnsi="Arial Narrow" w:cs="Tahoma"/>
          <w:sz w:val="22"/>
          <w:szCs w:val="22"/>
        </w:rPr>
        <w:t xml:space="preserve"> (5.5%) due to a 12.1% decrease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f</w:t>
      </w:r>
      <w:r w:rsidRPr="00A11D93">
        <w:rPr>
          <w:rFonts w:ascii="Arial Narrow" w:hAnsi="Arial Narrow" w:cs="Tahoma"/>
          <w:sz w:val="22"/>
          <w:szCs w:val="22"/>
        </w:rPr>
        <w:t xml:space="preserve">uels and lubricants, and in </w:t>
      </w:r>
      <w:r w:rsidRPr="00A11D93">
        <w:rPr>
          <w:rFonts w:ascii="Arial Narrow" w:hAnsi="Arial Narrow" w:cs="Tahoma"/>
          <w:i/>
          <w:sz w:val="22"/>
          <w:szCs w:val="22"/>
        </w:rPr>
        <w:t>Clothing and footwear</w:t>
      </w:r>
      <w:r w:rsidRPr="00A11D93">
        <w:rPr>
          <w:rFonts w:ascii="Arial Narrow" w:hAnsi="Arial Narrow" w:cs="Tahoma"/>
          <w:sz w:val="22"/>
          <w:szCs w:val="22"/>
        </w:rPr>
        <w:t xml:space="preserve"> (3.6%) as a result of seasonal discounts on clothing and footwear throughout the yea</w:t>
      </w:r>
      <w:r>
        <w:rPr>
          <w:rFonts w:ascii="Arial Narrow" w:hAnsi="Arial Narrow" w:cs="Tahoma"/>
          <w:sz w:val="22"/>
          <w:szCs w:val="22"/>
        </w:rPr>
        <w:t>r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502006" w:rsidRPr="000F2C2D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0F2C2D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F2C2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2148224</wp:posOffset>
                </wp:positionH>
                <wp:positionV relativeFrom="paragraph">
                  <wp:posOffset>2918469</wp:posOffset>
                </wp:positionV>
                <wp:extent cx="2517889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889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Pr="00DC4382" w:rsidRDefault="00DC438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Monthly inflation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DC438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9.15pt;margin-top:229.8pt;width:198.2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" fillcolor="white [3201]" stroked="f" strokeweight=".5pt">
                <v:textbox>
                  <w:txbxContent>
                    <w:p w:rsidR="00D504B7" w:rsidRPr="00DC4382" w:rsidRDefault="00DC438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Monthly inflation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DC438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inflation</w:t>
                      </w:r>
                    </w:p>
                  </w:txbxContent>
                </v:textbox>
              </v:shape>
            </w:pict>
          </mc:Fallback>
        </mc:AlternateContent>
      </w:r>
      <w:r w:rsidR="00502006" w:rsidRPr="000F2C2D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0F2C2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F2C2D" w:rsidRDefault="00DC4382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2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502006" w:rsidRPr="000F2C2D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0F2C2D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0F2C2D" w:rsidRDefault="00BC2444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9073B0" w:rsidRDefault="009073B0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Pr="000F2C2D" w:rsidRDefault="00DC4382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D3414D" w:rsidRPr="000F2C2D" w:rsidRDefault="00D3414D" w:rsidP="00502006">
      <w:pPr>
        <w:rPr>
          <w:sz w:val="16"/>
          <w:szCs w:val="16"/>
        </w:rPr>
      </w:pPr>
    </w:p>
    <w:p w:rsidR="00597FD3" w:rsidRPr="000F2C2D" w:rsidRDefault="00DC4382" w:rsidP="00502006">
      <w:pPr>
        <w:rPr>
          <w:sz w:val="16"/>
          <w:szCs w:val="16"/>
        </w:rPr>
      </w:pPr>
      <w:r w:rsidRPr="00DC4382">
        <w:rPr>
          <w:rFonts w:ascii="Arial Narrow" w:hAnsi="Arial Narrow" w:cs="Tahoma"/>
          <w:b/>
          <w:bCs/>
          <w:sz w:val="28"/>
          <w:szCs w:val="30"/>
        </w:rPr>
        <w:lastRenderedPageBreak/>
        <w:t>Seasonally adjusted industrial production (April 2025/March 2025) up by 0.2%</w:t>
      </w:r>
    </w:p>
    <w:p w:rsidR="00214FDD" w:rsidRPr="000F2C2D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C4382" w:rsidRDefault="00DC4382" w:rsidP="00DC4382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 xml:space="preserve">Seasonally adjusted industrial production in </w:t>
      </w:r>
      <w:proofErr w:type="spellStart"/>
      <w:r w:rsidRPr="00DC4382">
        <w:rPr>
          <w:rFonts w:ascii="Arial Narrow" w:hAnsi="Arial Narrow" w:cs="Tahoma"/>
          <w:sz w:val="22"/>
        </w:rPr>
        <w:t>Republika</w:t>
      </w:r>
      <w:proofErr w:type="spellEnd"/>
      <w:r w:rsidRPr="00DC4382">
        <w:rPr>
          <w:rFonts w:ascii="Arial Narrow" w:hAnsi="Arial Narrow" w:cs="Tahoma"/>
          <w:sz w:val="22"/>
        </w:rPr>
        <w:t xml:space="preserve"> </w:t>
      </w:r>
      <w:proofErr w:type="spellStart"/>
      <w:r w:rsidRPr="00DC4382">
        <w:rPr>
          <w:rFonts w:ascii="Arial Narrow" w:hAnsi="Arial Narrow" w:cs="Tahoma"/>
          <w:sz w:val="22"/>
        </w:rPr>
        <w:t>Srpska</w:t>
      </w:r>
      <w:proofErr w:type="spellEnd"/>
      <w:r w:rsidRPr="00DC4382">
        <w:rPr>
          <w:rFonts w:ascii="Arial Narrow" w:hAnsi="Arial Narrow" w:cs="Tahoma"/>
          <w:sz w:val="22"/>
        </w:rPr>
        <w:t xml:space="preserve"> in April 2025 increased by 0.2% compared to March 2025. Calendar-adjusted industrial production in April 2025 was 1.1% lower compared to April 2024.</w:t>
      </w:r>
    </w:p>
    <w:p w:rsidR="00DC4382" w:rsidRPr="00DC4382" w:rsidRDefault="00DC4382" w:rsidP="00DC4382">
      <w:pPr>
        <w:jc w:val="both"/>
        <w:rPr>
          <w:rFonts w:ascii="Arial Narrow" w:hAnsi="Arial Narrow" w:cs="Tahoma"/>
          <w:sz w:val="22"/>
        </w:rPr>
      </w:pPr>
    </w:p>
    <w:p w:rsidR="00B97BCB" w:rsidRPr="00DC4382" w:rsidRDefault="00DC4382" w:rsidP="00347E9F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 xml:space="preserve">In the period January–April 2025, calendar-adjusted industrial production in </w:t>
      </w:r>
      <w:proofErr w:type="spellStart"/>
      <w:r w:rsidRPr="00DC4382">
        <w:rPr>
          <w:rFonts w:ascii="Arial Narrow" w:hAnsi="Arial Narrow" w:cs="Tahoma"/>
          <w:sz w:val="22"/>
        </w:rPr>
        <w:t>Republika</w:t>
      </w:r>
      <w:proofErr w:type="spellEnd"/>
      <w:r w:rsidRPr="00DC4382">
        <w:rPr>
          <w:rFonts w:ascii="Arial Narrow" w:hAnsi="Arial Narrow" w:cs="Tahoma"/>
          <w:sz w:val="22"/>
        </w:rPr>
        <w:t xml:space="preserve"> </w:t>
      </w:r>
      <w:proofErr w:type="spellStart"/>
      <w:r w:rsidRPr="00DC4382">
        <w:rPr>
          <w:rFonts w:ascii="Arial Narrow" w:hAnsi="Arial Narrow" w:cs="Tahoma"/>
          <w:sz w:val="22"/>
        </w:rPr>
        <w:t>Srpska</w:t>
      </w:r>
      <w:proofErr w:type="spellEnd"/>
      <w:r w:rsidRPr="00DC4382">
        <w:rPr>
          <w:rFonts w:ascii="Arial Narrow" w:hAnsi="Arial Narrow" w:cs="Tahoma"/>
          <w:sz w:val="22"/>
        </w:rPr>
        <w:t xml:space="preserve"> was 3.4% lower compared to the same period in 2024</w:t>
      </w:r>
      <w:r w:rsidR="00F95518" w:rsidRPr="000F2C2D">
        <w:rPr>
          <w:rFonts w:ascii="Arial Narrow" w:hAnsi="Arial Narrow" w:cs="Tahoma"/>
          <w:sz w:val="22"/>
          <w:lang w:val="sr-Cyrl-BA"/>
        </w:rPr>
        <w:t xml:space="preserve">. </w:t>
      </w:r>
    </w:p>
    <w:p w:rsidR="00316B79" w:rsidRPr="000F2C2D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0F2C2D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F2C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1888916</wp:posOffset>
                </wp:positionH>
                <wp:positionV relativeFrom="paragraph">
                  <wp:posOffset>2578981</wp:posOffset>
                </wp:positionV>
                <wp:extent cx="2736206" cy="197314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06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Pr="00DC4382" w:rsidRDefault="00DC438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  Seasonally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adjucted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indices                     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48.75pt;margin-top:203.05pt;width:215.4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" fillcolor="white [3201]" stroked="f" strokeweight=".5pt">
                <v:textbox>
                  <w:txbxContent>
                    <w:p w:rsidR="00653B24" w:rsidRPr="00DC4382" w:rsidRDefault="00DC438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  Seasonally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adjucted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indices                     Trend indices</w:t>
                      </w:r>
                    </w:p>
                  </w:txbxContent>
                </v:textbox>
              </v:shape>
            </w:pict>
          </mc:Fallback>
        </mc:AlternateContent>
      </w:r>
      <w:r w:rsidR="009073B0" w:rsidRPr="000F2C2D">
        <w:rPr>
          <w:noProof/>
        </w:rPr>
        <w:drawing>
          <wp:inline distT="0" distB="0" distL="0" distR="0" wp14:anchorId="37E4E0A9" wp14:editId="628B84D7">
            <wp:extent cx="6508115" cy="2813050"/>
            <wp:effectExtent l="0" t="0" r="6985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808" w:rsidRPr="000F2C2D" w:rsidRDefault="00FC480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E30AD8" w:rsidRPr="000F2C2D" w:rsidRDefault="00DC4382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3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DC4382"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April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E30AD8" w:rsidRPr="000F2C2D">
        <w:rPr>
          <w:rFonts w:ascii="Arial Narrow" w:hAnsi="Arial Narrow" w:cs="Tahoma"/>
          <w:sz w:val="16"/>
          <w:szCs w:val="16"/>
        </w:rPr>
        <w:t>21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  <w:lang w:val="sr-Cyrl-BA"/>
        </w:rPr>
        <w:t>April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2025 (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0F2C2D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F2C2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F2C2D" w:rsidRDefault="00DC4382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DC4382">
        <w:rPr>
          <w:rFonts w:ascii="Arial Narrow" w:hAnsi="Arial Narrow" w:cs="Tahoma"/>
          <w:b/>
          <w:sz w:val="28"/>
        </w:rPr>
        <w:t>Number of persons employed in industry (April 2025/March 2025) down by 0.1%</w:t>
      </w:r>
    </w:p>
    <w:p w:rsidR="0097485C" w:rsidRPr="000F2C2D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0F2C2D" w:rsidRDefault="005C2393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C2393">
        <w:rPr>
          <w:rFonts w:ascii="Arial Narrow" w:hAnsi="Arial Narrow" w:cs="Tahoma"/>
          <w:sz w:val="22"/>
          <w:lang w:val="en-US"/>
        </w:rPr>
        <w:t>The number of persons employed in industry in April 2025 was 0.1% lower compared to March of the same year. Compared to the 2024 average, the number of employed persons in industry in April 2025 was down by 1.8%, and compared to the same month of the previous year, it was down by 2.5%.</w:t>
      </w:r>
      <w:r w:rsidR="00CF5454" w:rsidRPr="000F2C2D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0F2C2D" w:rsidRDefault="005C2393" w:rsidP="005C2393">
      <w:pPr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 w:rsidRPr="005C2393">
        <w:rPr>
          <w:rFonts w:ascii="Arial Narrow" w:hAnsi="Arial Narrow" w:cs="Tahoma"/>
          <w:b/>
          <w:sz w:val="30"/>
          <w:szCs w:val="30"/>
        </w:rPr>
        <w:t>In the period January–April 202</w:t>
      </w:r>
      <w:r>
        <w:rPr>
          <w:rFonts w:ascii="Arial Narrow" w:hAnsi="Arial Narrow" w:cs="Tahoma"/>
          <w:b/>
          <w:sz w:val="30"/>
          <w:szCs w:val="30"/>
        </w:rPr>
        <w:t>5, most exports went to Croatia</w:t>
      </w:r>
      <w:r w:rsidRPr="005C2393">
        <w:rPr>
          <w:rFonts w:ascii="Arial Narrow" w:hAnsi="Arial Narrow" w:cs="Tahoma"/>
          <w:b/>
          <w:sz w:val="30"/>
          <w:szCs w:val="30"/>
        </w:rPr>
        <w:t xml:space="preserve"> and most imports came from Serbia</w:t>
      </w:r>
    </w:p>
    <w:p w:rsidR="00BD5F3E" w:rsidRPr="000F2C2D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In the period January–April 2025, exp</w:t>
      </w:r>
      <w:r>
        <w:rPr>
          <w:rFonts w:ascii="Arial Narrow" w:hAnsi="Arial Narrow" w:cs="Tahoma"/>
          <w:sz w:val="22"/>
        </w:rPr>
        <w:t>orts amounted to 1.716 billion BA</w:t>
      </w:r>
      <w:r w:rsidRPr="005C2393">
        <w:rPr>
          <w:rFonts w:ascii="Arial Narrow" w:hAnsi="Arial Narrow" w:cs="Tahoma"/>
          <w:sz w:val="22"/>
        </w:rPr>
        <w:t xml:space="preserve">M, which is 3.8% more than in the same period in 2024, while imports amounted to 2.473 billion </w:t>
      </w:r>
      <w:r>
        <w:rPr>
          <w:rFonts w:ascii="Arial Narrow" w:hAnsi="Arial Narrow" w:cs="Tahoma"/>
          <w:sz w:val="22"/>
        </w:rPr>
        <w:t>BA</w:t>
      </w:r>
      <w:r w:rsidRPr="005C2393">
        <w:rPr>
          <w:rFonts w:ascii="Arial Narrow" w:hAnsi="Arial Narrow" w:cs="Tahoma"/>
          <w:sz w:val="22"/>
        </w:rPr>
        <w:t>M, an increase of 5.7% compared to January–April 2024. The export-import coverage ratio was 69.4%.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In April 2025, e</w:t>
      </w:r>
      <w:r>
        <w:rPr>
          <w:rFonts w:ascii="Arial Narrow" w:hAnsi="Arial Narrow" w:cs="Tahoma"/>
          <w:sz w:val="22"/>
        </w:rPr>
        <w:t>xports amounted to 466 million BA</w:t>
      </w:r>
      <w:r w:rsidRPr="005C2393">
        <w:rPr>
          <w:rFonts w:ascii="Arial Narrow" w:hAnsi="Arial Narrow" w:cs="Tahoma"/>
          <w:sz w:val="22"/>
        </w:rPr>
        <w:t>M, which is 1.0% less than in April 2024, while i</w:t>
      </w:r>
      <w:r>
        <w:rPr>
          <w:rFonts w:ascii="Arial Narrow" w:hAnsi="Arial Narrow" w:cs="Tahoma"/>
          <w:sz w:val="22"/>
        </w:rPr>
        <w:t>mports amounted to 636 million BA</w:t>
      </w:r>
      <w:r w:rsidRPr="005C2393">
        <w:rPr>
          <w:rFonts w:ascii="Arial Narrow" w:hAnsi="Arial Narrow" w:cs="Tahoma"/>
          <w:sz w:val="22"/>
        </w:rPr>
        <w:t>M, down by 3.0% compared to April 2024. The export-import coverage ratio for April was 73.3%.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bookmarkStart w:id="0" w:name="_GoBack"/>
      <w:bookmarkEnd w:id="0"/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 xml:space="preserve">Regarding the geographical distribution of foreign trade in the period January–April 2025, </w:t>
      </w:r>
      <w:proofErr w:type="spellStart"/>
      <w:r w:rsidRPr="005C2393">
        <w:rPr>
          <w:rFonts w:ascii="Arial Narrow" w:hAnsi="Arial Narrow" w:cs="Tahoma"/>
          <w:sz w:val="22"/>
        </w:rPr>
        <w:t>Republika</w:t>
      </w:r>
      <w:proofErr w:type="spellEnd"/>
      <w:r w:rsidRPr="005C2393">
        <w:rPr>
          <w:rFonts w:ascii="Arial Narrow" w:hAnsi="Arial Narrow" w:cs="Tahoma"/>
          <w:sz w:val="22"/>
        </w:rPr>
        <w:t xml:space="preserve"> </w:t>
      </w:r>
      <w:proofErr w:type="spellStart"/>
      <w:r w:rsidRPr="005C2393">
        <w:rPr>
          <w:rFonts w:ascii="Arial Narrow" w:hAnsi="Arial Narrow" w:cs="Tahoma"/>
          <w:sz w:val="22"/>
        </w:rPr>
        <w:t>Srpska</w:t>
      </w:r>
      <w:proofErr w:type="spellEnd"/>
      <w:r w:rsidRPr="005C2393">
        <w:rPr>
          <w:rFonts w:ascii="Arial Narrow" w:hAnsi="Arial Narrow" w:cs="Tahoma"/>
          <w:sz w:val="22"/>
        </w:rPr>
        <w:t xml:space="preserve"> exported the most to Croati</w:t>
      </w:r>
      <w:r>
        <w:rPr>
          <w:rFonts w:ascii="Arial Narrow" w:hAnsi="Arial Narrow" w:cs="Tahoma"/>
          <w:sz w:val="22"/>
        </w:rPr>
        <w:t>a, with a value of 315 million BAM (18.4%)</w:t>
      </w:r>
      <w:r w:rsidRPr="005C2393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and to Serbia with 283 million BA</w:t>
      </w:r>
      <w:r w:rsidRPr="005C2393">
        <w:rPr>
          <w:rFonts w:ascii="Arial Narrow" w:hAnsi="Arial Narrow" w:cs="Tahoma"/>
          <w:sz w:val="22"/>
        </w:rPr>
        <w:t>M (16.5%). In the same period, the highest import values were rec</w:t>
      </w:r>
      <w:r>
        <w:rPr>
          <w:rFonts w:ascii="Arial Narrow" w:hAnsi="Arial Narrow" w:cs="Tahoma"/>
          <w:sz w:val="22"/>
        </w:rPr>
        <w:t>orded from Serbia, 450 million BA</w:t>
      </w:r>
      <w:r w:rsidRPr="005C2393">
        <w:rPr>
          <w:rFonts w:ascii="Arial Narrow" w:hAnsi="Arial Narrow" w:cs="Tahoma"/>
          <w:sz w:val="22"/>
        </w:rPr>
        <w:t>M (18.2%</w:t>
      </w:r>
      <w:r>
        <w:rPr>
          <w:rFonts w:ascii="Arial Narrow" w:hAnsi="Arial Narrow" w:cs="Tahoma"/>
          <w:sz w:val="22"/>
        </w:rPr>
        <w:t>) and from Italy, 342 million BA</w:t>
      </w:r>
      <w:r w:rsidRPr="005C2393">
        <w:rPr>
          <w:rFonts w:ascii="Arial Narrow" w:hAnsi="Arial Narrow" w:cs="Tahoma"/>
          <w:sz w:val="22"/>
        </w:rPr>
        <w:t>M (13.8%).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 xml:space="preserve">By product groups, in the period January–April 2025, the largest share of exports was accounted for by </w:t>
      </w:r>
      <w:r>
        <w:rPr>
          <w:rFonts w:ascii="Arial Narrow" w:hAnsi="Arial Narrow" w:cs="Tahoma"/>
          <w:sz w:val="22"/>
        </w:rPr>
        <w:t>electricity, worth 181 million BA</w:t>
      </w:r>
      <w:r w:rsidRPr="005C2393">
        <w:rPr>
          <w:rFonts w:ascii="Arial Narrow" w:hAnsi="Arial Narrow" w:cs="Tahoma"/>
          <w:sz w:val="22"/>
        </w:rPr>
        <w:t>M (10.5% of total exports), while the largest share of imports was made up of petroleum oils and oils obtained from bituminous minerals (other than</w:t>
      </w:r>
      <w:r>
        <w:rPr>
          <w:rFonts w:ascii="Arial Narrow" w:hAnsi="Arial Narrow" w:cs="Tahoma"/>
          <w:sz w:val="22"/>
        </w:rPr>
        <w:t xml:space="preserve"> crude), valued at 158 million BA</w:t>
      </w:r>
      <w:r w:rsidRPr="005C2393">
        <w:rPr>
          <w:rFonts w:ascii="Arial Narrow" w:hAnsi="Arial Narrow" w:cs="Tahoma"/>
          <w:sz w:val="22"/>
        </w:rPr>
        <w:t>M (6.4% of total imports).</w:t>
      </w:r>
    </w:p>
    <w:p w:rsidR="00EC6A4E" w:rsidRPr="005C2393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0F2C2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F2C2D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F2C2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DC4382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proofErr w:type="gramStart"/>
                            <w:r w:rsidRPr="008E12A0"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BA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DC4382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 w:rsidRPr="008E12A0"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BA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2443492</wp:posOffset>
                </wp:positionH>
                <wp:positionV relativeFrom="paragraph">
                  <wp:posOffset>2238375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92.4pt;margin-top:176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Jxr&#10;v5T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F2C2D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0F2C2D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DC4382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145453" w:rsidRPr="000F2C2D">
        <w:rPr>
          <w:rFonts w:ascii="Arial Narrow" w:hAnsi="Arial Narrow" w:cs="Tahoma"/>
          <w:sz w:val="16"/>
          <w:szCs w:val="22"/>
          <w:lang w:val="sr-Cyrl-BA"/>
        </w:rPr>
        <w:t>4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months</w:t>
      </w:r>
      <w:r>
        <w:rPr>
          <w:rFonts w:ascii="Arial Narrow" w:hAnsi="Arial Narrow" w:cs="Tahoma"/>
          <w:iCs/>
          <w:sz w:val="16"/>
          <w:szCs w:val="22"/>
          <w:lang w:val="ru-RU"/>
        </w:rPr>
        <w:t xml:space="preserve"> </w:t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6339F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6339F9" w:rsidRPr="00FE1625" w:rsidTr="006339F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lastRenderedPageBreak/>
              <w:t>Labour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statistics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Biljana Glušac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339F9" w:rsidRPr="00FE1625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Price statistics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Željka Drašković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339F9" w:rsidRPr="00FE1625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Industry and m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ining 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s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Andrea Erak-Latinović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; </w:t>
            </w:r>
          </w:p>
        </w:tc>
      </w:tr>
      <w:tr w:rsidR="006339F9" w:rsidRPr="00FE1625" w:rsidTr="006339F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External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trade s</w:t>
            </w:r>
            <w:r w:rsidRPr="00B1118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</w:p>
          <w:p w:rsidR="006339F9" w:rsidRPr="00B11182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Sanja Stojčević Uvalić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MSc</w:t>
            </w:r>
          </w:p>
          <w:p w:rsidR="006339F9" w:rsidRPr="00FE1625" w:rsidRDefault="006339F9" w:rsidP="006339F9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6339F9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</w:rPr>
              <w:t xml:space="preserve">The Release prepared by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lang w:val="sr-Latn-RS"/>
              </w:rPr>
              <w:t xml:space="preserve"> Ognjen Ignjić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Senior Adviser for International Projects and Cooperation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</w:pP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Milunovi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ć. Director of the Institute, Editor in Chief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Banja Luka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Platona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bb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Published by the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Institute of Statistics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at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: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ephone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+387 51 332 700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6339F9" w:rsidP="006339F9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6339F9">
              <w:rPr>
                <w:rFonts w:ascii="Arial Narrow" w:hAnsi="Arial Narrow" w:cs="Tahoma"/>
                <w:b/>
                <w:bCs/>
                <w:color w:val="000000" w:themeColor="text1"/>
                <w:sz w:val="18"/>
                <w:szCs w:val="18"/>
              </w:rPr>
              <w:t>Data may be used provided the source is acknowledged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F2" w:rsidRDefault="004611F2">
      <w:r>
        <w:separator/>
      </w:r>
    </w:p>
  </w:endnote>
  <w:endnote w:type="continuationSeparator" w:id="0">
    <w:p w:rsidR="004611F2" w:rsidRDefault="004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E12A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3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E12A0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213A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B9OR/J7gMAAIMNAAAOAAAAAAAAAAAAAAAAAC4CAABkcnMvZTJv&#10;RG9jLnhtbFBLAQItABQABgAIAAAAIQBs4gjd4AAAAAkBAAAPAAAAAAAAAAAAAAAAAEgGAABkcnMv&#10;ZG93bnJldi54bWxQSwUGAAAAAAQABADzAAAAVQcAAAAA&#10;">
              <v:group id="Group 16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ctangle 17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048MA&#10;AADbAAAADwAAAGRycy9kb3ducmV2LnhtbERP32vCMBB+H+x/CDfwbaYTH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F048MAAADbAAAADwAAAAAAAAAAAAAAAACYAgAAZHJzL2Rv&#10;d25yZXYueG1sUEsFBgAAAAAEAAQA9QAAAIgDAAAAAA==&#10;" fillcolor="#bfbfbf" strokecolor="#bfbfbf"/>
                <v:rect id="Rectangle 18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+5sMA&#10;AADbAAAADwAAAGRycy9kb3ducmV2LnhtbERPTWvCQBC9C/0PyxR6001zkCa6hlIqWhCK1oLehuyY&#10;pM3Oht2tif/eLQje5vE+Z14MphVncr6xrOB5koAgLq1uuFKw/1qOX0D4gKyxtUwKLuShWDyM5phr&#10;2/OWzrtQiRjCPkcFdQhdLqUvazLoJ7YjjtzJOoMhQldJ7bCP4aaVaZJMpcGGY0ONHb3VVP7u/owC&#10;x/3Pe/K9WWX7T7P5OK7SbH0wSj09Dq8zEIGGcBff3Gsd52fw/0s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x+5s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K9cMA&#10;AADbAAAADwAAAGRycy9kb3ducmV2LnhtbESPQWvCQBSE7wX/w/KE3pqNClLSrCIBNdSLVZEeH9nX&#10;bGj2bciuMf33XaHQ4zAz3zD5erStGKj3jWMFsyQFQVw53XCt4HLevryC8AFZY+uYFPyQh/Vq8pRj&#10;pt2dP2g4hVpECPsMFZgQukxKXxmy6BPXEUfvy/UWQ5R9LXWP9wi3rZyn6VJabDguGOyoMFR9n25W&#10;we548MFc94dN4d/LYqlvn7QgpZ6n4+YNRKAx/If/2qVWMJ/B4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0K9c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213A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F2" w:rsidRDefault="004611F2">
      <w:r>
        <w:separator/>
      </w:r>
    </w:p>
  </w:footnote>
  <w:footnote w:type="continuationSeparator" w:id="0">
    <w:p w:rsidR="004611F2" w:rsidRDefault="0046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6339F9" w:rsidRDefault="006339F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DB5870" w:rsidRDefault="006339F9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D051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C104C2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May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C5C8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162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829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1F2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393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9F9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D20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2A0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1D93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3A3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82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3,#969696,#777"/>
    </o:shapedefaults>
    <o:shapelayout v:ext="edit">
      <o:idmap v:ext="edit" data="1"/>
    </o:shapelayout>
  </w:shapeDefaults>
  <w:decimalSymbol w:val="."/>
  <w:listSeparator w:val=",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1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APRIL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2024</c:v>
                  </c:pt>
                  <c:pt idx="9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1400</c:v>
                </c:pt>
                <c:pt idx="1">
                  <c:v>1403</c:v>
                </c:pt>
                <c:pt idx="2">
                  <c:v>1426</c:v>
                </c:pt>
                <c:pt idx="3">
                  <c:v>1416</c:v>
                </c:pt>
                <c:pt idx="4">
                  <c:v>1411</c:v>
                </c:pt>
                <c:pt idx="5">
                  <c:v>1412</c:v>
                </c:pt>
                <c:pt idx="6">
                  <c:v>1420</c:v>
                </c:pt>
                <c:pt idx="7">
                  <c:v>1420</c:v>
                </c:pt>
                <c:pt idx="8">
                  <c:v>1438</c:v>
                </c:pt>
                <c:pt idx="9">
                  <c:v>1434</c:v>
                </c:pt>
                <c:pt idx="10">
                  <c:v>1475</c:v>
                </c:pt>
                <c:pt idx="11">
                  <c:v>1476</c:v>
                </c:pt>
                <c:pt idx="12">
                  <c:v>1473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B3F-4749-BCEC-EC35BCC72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913872"/>
        <c:axId val="680910608"/>
      </c:lineChart>
      <c:catAx>
        <c:axId val="68091387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680910608"/>
        <c:crosses val="autoZero"/>
        <c:auto val="1"/>
        <c:lblAlgn val="ctr"/>
        <c:lblOffset val="100"/>
        <c:noMultiLvlLbl val="0"/>
      </c:catAx>
      <c:valAx>
        <c:axId val="680910608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680913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2024</c:v>
                  </c:pt>
                  <c:pt idx="9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</c:v>
                </c:pt>
                <c:pt idx="1">
                  <c:v>-0.2</c:v>
                </c:pt>
                <c:pt idx="2">
                  <c:v>-0.5</c:v>
                </c:pt>
                <c:pt idx="3">
                  <c:v>0</c:v>
                </c:pt>
                <c:pt idx="4">
                  <c:v>0.3</c:v>
                </c:pt>
                <c:pt idx="5">
                  <c:v>0.1</c:v>
                </c:pt>
                <c:pt idx="6">
                  <c:v>0.1</c:v>
                </c:pt>
                <c:pt idx="7">
                  <c:v>0.4</c:v>
                </c:pt>
                <c:pt idx="8">
                  <c:v>0.5</c:v>
                </c:pt>
                <c:pt idx="9">
                  <c:v>1.6</c:v>
                </c:pt>
                <c:pt idx="10">
                  <c:v>0.8</c:v>
                </c:pt>
                <c:pt idx="11">
                  <c:v>0.1</c:v>
                </c:pt>
                <c:pt idx="12">
                  <c:v>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2024</c:v>
                  </c:pt>
                  <c:pt idx="9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2.5</c:v>
                </c:pt>
                <c:pt idx="1">
                  <c:v>2.2999999999999998</c:v>
                </c:pt>
                <c:pt idx="2">
                  <c:v>1.7</c:v>
                </c:pt>
                <c:pt idx="3">
                  <c:v>1.8</c:v>
                </c:pt>
                <c:pt idx="4">
                  <c:v>1.1000000000000001</c:v>
                </c:pt>
                <c:pt idx="5">
                  <c:v>0.4</c:v>
                </c:pt>
                <c:pt idx="6">
                  <c:v>0.5</c:v>
                </c:pt>
                <c:pt idx="7">
                  <c:v>1.1000000000000001</c:v>
                </c:pt>
                <c:pt idx="8">
                  <c:v>1.9</c:v>
                </c:pt>
                <c:pt idx="9">
                  <c:v>3.2</c:v>
                </c:pt>
                <c:pt idx="10">
                  <c:v>3.6</c:v>
                </c:pt>
                <c:pt idx="11">
                  <c:v>3.3</c:v>
                </c:pt>
                <c:pt idx="12">
                  <c:v>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906800"/>
        <c:axId val="680911152"/>
      </c:lineChart>
      <c:catAx>
        <c:axId val="68090680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09111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80911152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090680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2021</c:v>
                  </c:pt>
                  <c:pt idx="9">
                    <c:v>2022</c:v>
                  </c:pt>
                  <c:pt idx="21">
                    <c:v>2023</c:v>
                  </c:pt>
                  <c:pt idx="33">
                    <c:v>2024</c:v>
                  </c:pt>
                  <c:pt idx="45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100.82902625664653</c:v>
                </c:pt>
                <c:pt idx="1">
                  <c:v>96.908388077590601</c:v>
                </c:pt>
                <c:pt idx="2">
                  <c:v>101.96320370350146</c:v>
                </c:pt>
                <c:pt idx="3">
                  <c:v>97.271455174606103</c:v>
                </c:pt>
                <c:pt idx="4">
                  <c:v>97.666454103252391</c:v>
                </c:pt>
                <c:pt idx="5">
                  <c:v>95.685498400994859</c:v>
                </c:pt>
                <c:pt idx="6">
                  <c:v>93.914849215541523</c:v>
                </c:pt>
                <c:pt idx="7">
                  <c:v>104.01498125713528</c:v>
                </c:pt>
                <c:pt idx="8">
                  <c:v>105.96543251630453</c:v>
                </c:pt>
                <c:pt idx="9">
                  <c:v>98.815011571852082</c:v>
                </c:pt>
                <c:pt idx="10">
                  <c:v>101.07253844260413</c:v>
                </c:pt>
                <c:pt idx="11">
                  <c:v>106.8542330887168</c:v>
                </c:pt>
                <c:pt idx="12">
                  <c:v>108.10850981801423</c:v>
                </c:pt>
                <c:pt idx="13">
                  <c:v>104.54602865129722</c:v>
                </c:pt>
                <c:pt idx="14">
                  <c:v>101.37142034854132</c:v>
                </c:pt>
                <c:pt idx="15">
                  <c:v>94.764122987165607</c:v>
                </c:pt>
                <c:pt idx="16">
                  <c:v>99.251821422843591</c:v>
                </c:pt>
                <c:pt idx="17">
                  <c:v>92.206760085726813</c:v>
                </c:pt>
                <c:pt idx="18">
                  <c:v>94.097757628084508</c:v>
                </c:pt>
                <c:pt idx="19">
                  <c:v>98.811041148284843</c:v>
                </c:pt>
                <c:pt idx="20">
                  <c:v>99.480792932977778</c:v>
                </c:pt>
                <c:pt idx="21">
                  <c:v>103.63679209377327</c:v>
                </c:pt>
                <c:pt idx="22">
                  <c:v>98.333836336169568</c:v>
                </c:pt>
                <c:pt idx="23">
                  <c:v>104.80731459217542</c:v>
                </c:pt>
                <c:pt idx="24">
                  <c:v>99.979238208257016</c:v>
                </c:pt>
                <c:pt idx="25">
                  <c:v>100.01025972744611</c:v>
                </c:pt>
                <c:pt idx="26">
                  <c:v>93.874390037918772</c:v>
                </c:pt>
                <c:pt idx="27">
                  <c:v>94.544257552519085</c:v>
                </c:pt>
                <c:pt idx="28">
                  <c:v>97.03094669458541</c:v>
                </c:pt>
                <c:pt idx="29">
                  <c:v>95.413566728360507</c:v>
                </c:pt>
                <c:pt idx="30">
                  <c:v>93.716933776495466</c:v>
                </c:pt>
                <c:pt idx="31">
                  <c:v>88.331394408689448</c:v>
                </c:pt>
                <c:pt idx="32">
                  <c:v>93.390309171392005</c:v>
                </c:pt>
                <c:pt idx="33">
                  <c:v>96.5532977082174</c:v>
                </c:pt>
                <c:pt idx="34">
                  <c:v>99.751582074722648</c:v>
                </c:pt>
                <c:pt idx="35">
                  <c:v>93.163658832488494</c:v>
                </c:pt>
                <c:pt idx="36">
                  <c:v>93.218774915736489</c:v>
                </c:pt>
                <c:pt idx="37">
                  <c:v>90.043718168195781</c:v>
                </c:pt>
                <c:pt idx="38">
                  <c:v>86.974953888948974</c:v>
                </c:pt>
                <c:pt idx="39">
                  <c:v>92.583095113752748</c:v>
                </c:pt>
                <c:pt idx="40">
                  <c:v>88.000381085902319</c:v>
                </c:pt>
                <c:pt idx="41">
                  <c:v>91.523728551420447</c:v>
                </c:pt>
                <c:pt idx="42">
                  <c:v>98.176158857118466</c:v>
                </c:pt>
                <c:pt idx="43">
                  <c:v>93.542400237459617</c:v>
                </c:pt>
                <c:pt idx="44">
                  <c:v>89.139221468054316</c:v>
                </c:pt>
                <c:pt idx="45">
                  <c:v>90.409110982562822</c:v>
                </c:pt>
                <c:pt idx="46">
                  <c:v>94.537144410487116</c:v>
                </c:pt>
                <c:pt idx="47">
                  <c:v>92.071118376488116</c:v>
                </c:pt>
                <c:pt idx="48">
                  <c:v>92.221394171355243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50B-4830-9F93-6BBC52F907CA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2021</c:v>
                  </c:pt>
                  <c:pt idx="9">
                    <c:v>2022</c:v>
                  </c:pt>
                  <c:pt idx="21">
                    <c:v>2023</c:v>
                  </c:pt>
                  <c:pt idx="33">
                    <c:v>2024</c:v>
                  </c:pt>
                  <c:pt idx="45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100.42064845097875</c:v>
                </c:pt>
                <c:pt idx="1">
                  <c:v>99.563019830437838</c:v>
                </c:pt>
                <c:pt idx="2">
                  <c:v>99.155314424229246</c:v>
                </c:pt>
                <c:pt idx="3">
                  <c:v>98.33748446824012</c:v>
                </c:pt>
                <c:pt idx="4">
                  <c:v>97.316882749833809</c:v>
                </c:pt>
                <c:pt idx="5">
                  <c:v>96.874588662208183</c:v>
                </c:pt>
                <c:pt idx="6">
                  <c:v>98.063926303612135</c:v>
                </c:pt>
                <c:pt idx="7">
                  <c:v>100.75508300754579</c:v>
                </c:pt>
                <c:pt idx="8">
                  <c:v>102.21796984358619</c:v>
                </c:pt>
                <c:pt idx="9">
                  <c:v>102.08037282905735</c:v>
                </c:pt>
                <c:pt idx="10">
                  <c:v>102.88046846427315</c:v>
                </c:pt>
                <c:pt idx="11">
                  <c:v>104.72653359715143</c:v>
                </c:pt>
                <c:pt idx="12">
                  <c:v>105.34304053402846</c:v>
                </c:pt>
                <c:pt idx="13">
                  <c:v>103.7500355194942</c:v>
                </c:pt>
                <c:pt idx="14">
                  <c:v>100.79133687610815</c:v>
                </c:pt>
                <c:pt idx="15">
                  <c:v>98.126797640120301</c:v>
                </c:pt>
                <c:pt idx="16">
                  <c:v>96.432996303064115</c:v>
                </c:pt>
                <c:pt idx="17">
                  <c:v>95.365829652336899</c:v>
                </c:pt>
                <c:pt idx="18">
                  <c:v>95.825690632708657</c:v>
                </c:pt>
                <c:pt idx="19">
                  <c:v>97.723550136134037</c:v>
                </c:pt>
                <c:pt idx="20">
                  <c:v>99.691282102383809</c:v>
                </c:pt>
                <c:pt idx="21">
                  <c:v>100.85229307817102</c:v>
                </c:pt>
                <c:pt idx="22">
                  <c:v>101.26237483167223</c:v>
                </c:pt>
                <c:pt idx="23">
                  <c:v>101.3298079708606</c:v>
                </c:pt>
                <c:pt idx="24">
                  <c:v>100.37785050954511</c:v>
                </c:pt>
                <c:pt idx="25">
                  <c:v>98.396471926004651</c:v>
                </c:pt>
                <c:pt idx="26">
                  <c:v>96.429011172710503</c:v>
                </c:pt>
                <c:pt idx="27">
                  <c:v>95.600087621398686</c:v>
                </c:pt>
                <c:pt idx="28">
                  <c:v>95.492131672660548</c:v>
                </c:pt>
                <c:pt idx="29">
                  <c:v>94.725994231355642</c:v>
                </c:pt>
                <c:pt idx="30">
                  <c:v>93.211253235000314</c:v>
                </c:pt>
                <c:pt idx="31">
                  <c:v>92.401324660623075</c:v>
                </c:pt>
                <c:pt idx="32">
                  <c:v>93.535260658845843</c:v>
                </c:pt>
                <c:pt idx="33">
                  <c:v>95.488031108662639</c:v>
                </c:pt>
                <c:pt idx="34">
                  <c:v>96.026301732204189</c:v>
                </c:pt>
                <c:pt idx="35">
                  <c:v>94.609846424615156</c:v>
                </c:pt>
                <c:pt idx="36">
                  <c:v>92.56632544437106</c:v>
                </c:pt>
                <c:pt idx="37">
                  <c:v>90.727329477570493</c:v>
                </c:pt>
                <c:pt idx="38">
                  <c:v>89.853600716664687</c:v>
                </c:pt>
                <c:pt idx="39">
                  <c:v>90.101526126883911</c:v>
                </c:pt>
                <c:pt idx="40">
                  <c:v>90.799279722891683</c:v>
                </c:pt>
                <c:pt idx="41">
                  <c:v>92.36230650025324</c:v>
                </c:pt>
                <c:pt idx="42">
                  <c:v>93.717374604839407</c:v>
                </c:pt>
                <c:pt idx="43">
                  <c:v>93.071089248708944</c:v>
                </c:pt>
                <c:pt idx="44">
                  <c:v>91.73445287900428</c:v>
                </c:pt>
                <c:pt idx="45">
                  <c:v>91.652955988325417</c:v>
                </c:pt>
                <c:pt idx="46">
                  <c:v>92.326572172541134</c:v>
                </c:pt>
                <c:pt idx="47">
                  <c:v>92.471840793436328</c:v>
                </c:pt>
                <c:pt idx="48">
                  <c:v>92.164580993674761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50B-4830-9F93-6BBC52F90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912784"/>
        <c:axId val="680913328"/>
      </c:lineChart>
      <c:catAx>
        <c:axId val="6809127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680913328"/>
        <c:crosses val="autoZero"/>
        <c:auto val="1"/>
        <c:lblAlgn val="ctr"/>
        <c:lblOffset val="100"/>
        <c:noMultiLvlLbl val="0"/>
      </c:catAx>
      <c:valAx>
        <c:axId val="68091332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68091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'April_ 2025'!$A$2</c:f>
              <c:strCache>
                <c:ptCount val="1"/>
                <c:pt idx="0">
                  <c:v>Import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'April_ 2025'!$B$1:$N$1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2025'!$B$2:$N$2</c:f>
              <c:numCache>
                <c:formatCode>0</c:formatCode>
                <c:ptCount val="13"/>
                <c:pt idx="0">
                  <c:v>655956</c:v>
                </c:pt>
                <c:pt idx="1">
                  <c:v>574961</c:v>
                </c:pt>
                <c:pt idx="2">
                  <c:v>636600</c:v>
                </c:pt>
                <c:pt idx="3">
                  <c:v>665445</c:v>
                </c:pt>
                <c:pt idx="4">
                  <c:v>592902</c:v>
                </c:pt>
                <c:pt idx="5">
                  <c:v>626394</c:v>
                </c:pt>
                <c:pt idx="6">
                  <c:v>664492</c:v>
                </c:pt>
                <c:pt idx="7">
                  <c:v>611254</c:v>
                </c:pt>
                <c:pt idx="8">
                  <c:v>627336</c:v>
                </c:pt>
                <c:pt idx="9">
                  <c:v>497411</c:v>
                </c:pt>
                <c:pt idx="10">
                  <c:v>632796</c:v>
                </c:pt>
                <c:pt idx="11">
                  <c:v>706741</c:v>
                </c:pt>
                <c:pt idx="12">
                  <c:v>636071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'April_ 2025'!$A$3</c:f>
              <c:strCache>
                <c:ptCount val="1"/>
                <c:pt idx="0">
                  <c:v>Export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'April_ 2025'!$B$1:$N$1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2025'!$B$3:$N$3</c:f>
              <c:numCache>
                <c:formatCode>0</c:formatCode>
                <c:ptCount val="13"/>
                <c:pt idx="0">
                  <c:v>470967</c:v>
                </c:pt>
                <c:pt idx="1">
                  <c:v>385484</c:v>
                </c:pt>
                <c:pt idx="2">
                  <c:v>411949</c:v>
                </c:pt>
                <c:pt idx="3">
                  <c:v>442513</c:v>
                </c:pt>
                <c:pt idx="4">
                  <c:v>352825</c:v>
                </c:pt>
                <c:pt idx="5">
                  <c:v>452777</c:v>
                </c:pt>
                <c:pt idx="6">
                  <c:v>471631</c:v>
                </c:pt>
                <c:pt idx="7">
                  <c:v>458437</c:v>
                </c:pt>
                <c:pt idx="8">
                  <c:v>416629</c:v>
                </c:pt>
                <c:pt idx="9">
                  <c:v>352153</c:v>
                </c:pt>
                <c:pt idx="10">
                  <c:v>434760</c:v>
                </c:pt>
                <c:pt idx="11">
                  <c:v>463187</c:v>
                </c:pt>
                <c:pt idx="12">
                  <c:v>466127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904080"/>
        <c:axId val="680904624"/>
      </c:lineChart>
      <c:catAx>
        <c:axId val="68090408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680904624"/>
        <c:crosses val="autoZero"/>
        <c:auto val="1"/>
        <c:lblAlgn val="ctr"/>
        <c:lblOffset val="100"/>
        <c:noMultiLvlLbl val="0"/>
      </c:catAx>
      <c:valAx>
        <c:axId val="68090462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68090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4274-055A-423E-BEDD-AD1EA574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6784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Milica Bogdanovic</cp:lastModifiedBy>
  <cp:revision>268</cp:revision>
  <cp:lastPrinted>2020-06-17T08:46:00Z</cp:lastPrinted>
  <dcterms:created xsi:type="dcterms:W3CDTF">2024-03-21T06:55:00Z</dcterms:created>
  <dcterms:modified xsi:type="dcterms:W3CDTF">2025-05-23T10:15:00Z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