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390647" w:rsidRDefault="00B94BFB">
      <w:pPr>
        <w:rPr>
          <w:color w:val="000000" w:themeColor="text1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FE1625" w:rsidRPr="00390647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390647" w:rsidRDefault="005D5311" w:rsidP="00687014">
            <w:pPr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  <w:r w:rsidRPr="00390647">
              <w:rPr>
                <w:rFonts w:ascii="Tahoma" w:hAnsi="Tahoma" w:cs="Tahoma"/>
                <w:color w:val="000000" w:themeColor="text1"/>
              </w:rPr>
              <w:br w:type="column"/>
            </w:r>
            <w:r w:rsidRPr="00390647">
              <w:rPr>
                <w:rFonts w:ascii="Tahoma" w:hAnsi="Tahoma" w:cs="Tahoma"/>
                <w:color w:val="000000" w:themeColor="text1"/>
              </w:rPr>
              <w:br w:type="column"/>
            </w:r>
            <w:r w:rsidRPr="00390647">
              <w:rPr>
                <w:rFonts w:ascii="Tahoma" w:hAnsi="Tahoma" w:cs="Tahoma"/>
                <w:color w:val="000000" w:themeColor="text1"/>
              </w:rPr>
              <w:br w:type="page"/>
            </w:r>
            <w:r w:rsidRPr="00390647">
              <w:rPr>
                <w:rFonts w:ascii="Tahoma" w:hAnsi="Tahoma" w:cs="Tahoma"/>
                <w:color w:val="000000" w:themeColor="text1"/>
              </w:rPr>
              <w:br w:type="page"/>
            </w:r>
            <w:r w:rsidR="004F6953" w:rsidRPr="00390647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390647">
              <w:rPr>
                <w:rFonts w:ascii="Tahoma" w:hAnsi="Tahoma" w:cs="Tahoma"/>
                <w:color w:val="000000" w:themeColor="text1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390647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</w:p>
          <w:p w:rsidR="005D5311" w:rsidRPr="00390647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</w:p>
          <w:p w:rsidR="005D5311" w:rsidRPr="00390647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</w:p>
          <w:p w:rsidR="00E72BD4" w:rsidRPr="00390647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  <w:r w:rsidRPr="00390647">
              <w:rPr>
                <w:rFonts w:ascii="Tahoma" w:hAnsi="Tahoma" w:cs="Tahoma"/>
                <w:color w:val="000000" w:themeColor="text1"/>
                <w:sz w:val="16"/>
              </w:rPr>
              <w:t xml:space="preserve">  </w:t>
            </w:r>
          </w:p>
          <w:p w:rsidR="005D5311" w:rsidRPr="00390647" w:rsidRDefault="004551B9" w:rsidP="001E14B4">
            <w:pPr>
              <w:jc w:val="right"/>
              <w:outlineLvl w:val="0"/>
              <w:rPr>
                <w:rFonts w:ascii="Arial Narrow" w:hAnsi="Arial Narrow" w:cs="Tahoma"/>
                <w:b/>
                <w:color w:val="000000" w:themeColor="text1"/>
                <w:sz w:val="28"/>
                <w:szCs w:val="16"/>
              </w:rPr>
            </w:pPr>
            <w:r w:rsidRPr="00390647">
              <w:rPr>
                <w:rFonts w:ascii="Tahoma" w:hAnsi="Tahoma" w:cs="Tahoma"/>
                <w:color w:val="000000" w:themeColor="text1"/>
                <w:sz w:val="16"/>
              </w:rPr>
              <w:t xml:space="preserve"> </w:t>
            </w:r>
            <w:r w:rsidR="009062FA" w:rsidRPr="00390647">
              <w:rPr>
                <w:rFonts w:ascii="Tahoma" w:hAnsi="Tahoma" w:cs="Tahoma"/>
                <w:color w:val="000000" w:themeColor="text1"/>
                <w:sz w:val="16"/>
              </w:rPr>
              <w:t xml:space="preserve">        </w:t>
            </w:r>
            <w:r w:rsidR="009820C8" w:rsidRPr="00390647">
              <w:rPr>
                <w:rFonts w:ascii="Tahoma" w:hAnsi="Tahoma" w:cs="Tahoma"/>
                <w:color w:val="000000" w:themeColor="text1"/>
                <w:sz w:val="16"/>
              </w:rPr>
              <w:t xml:space="preserve"> </w:t>
            </w:r>
            <w:r w:rsidRPr="00390647">
              <w:rPr>
                <w:rFonts w:ascii="Tahoma" w:hAnsi="Tahoma" w:cs="Tahoma"/>
                <w:color w:val="000000" w:themeColor="text1"/>
                <w:sz w:val="16"/>
              </w:rPr>
              <w:t xml:space="preserve"> </w:t>
            </w:r>
            <w:r w:rsidR="00431915" w:rsidRPr="00390647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99599E" w:rsidRPr="00390647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1E14B4" w:rsidRPr="00390647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May </w:t>
            </w:r>
            <w:r w:rsidR="00431915" w:rsidRPr="00390647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20</w:t>
            </w:r>
            <w:r w:rsidR="00B2367E" w:rsidRPr="00390647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2</w:t>
            </w:r>
            <w:r w:rsidR="00311140" w:rsidRPr="00390647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4</w:t>
            </w:r>
            <w:r w:rsidR="001E14B4" w:rsidRPr="00390647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, No</w:t>
            </w:r>
            <w:r w:rsidR="00431915" w:rsidRPr="00390647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EB2FA8" w:rsidRPr="00390647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158/</w:t>
            </w:r>
            <w:r w:rsidR="001013F2" w:rsidRPr="00390647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2</w:t>
            </w:r>
            <w:r w:rsidR="0026290E" w:rsidRPr="00390647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4</w:t>
            </w:r>
            <w:r w:rsidR="00F6075A" w:rsidRPr="00390647">
              <w:rPr>
                <w:rFonts w:ascii="Tahoma" w:hAnsi="Tahoma" w:cs="Tahoma"/>
                <w:color w:val="44546A" w:themeColor="text2"/>
                <w:sz w:val="18"/>
              </w:rPr>
              <w:t xml:space="preserve"> </w:t>
            </w:r>
          </w:p>
        </w:tc>
      </w:tr>
      <w:tr w:rsidR="00FE1625" w:rsidRPr="00390647" w:rsidTr="005074F6">
        <w:trPr>
          <w:cantSplit/>
        </w:trPr>
        <w:tc>
          <w:tcPr>
            <w:tcW w:w="5251" w:type="dxa"/>
            <w:vAlign w:val="center"/>
          </w:tcPr>
          <w:p w:rsidR="005D5311" w:rsidRPr="00390647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2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390647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2"/>
              </w:rPr>
            </w:pPr>
          </w:p>
        </w:tc>
      </w:tr>
    </w:tbl>
    <w:p w:rsidR="000971CB" w:rsidRPr="00390647" w:rsidRDefault="000971CB" w:rsidP="00094E6E">
      <w:pPr>
        <w:jc w:val="both"/>
        <w:rPr>
          <w:rFonts w:ascii="Tahoma" w:hAnsi="Tahoma" w:cs="Tahoma"/>
          <w:i/>
          <w:color w:val="000000" w:themeColor="text1"/>
          <w:sz w:val="16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FE1625" w:rsidRPr="00390647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390647" w:rsidRDefault="001E14B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</w:rPr>
            </w:pPr>
            <w:r w:rsidRPr="00390647"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</w:rPr>
              <w:t>PRESS RELEASE</w:t>
            </w:r>
            <w:r w:rsidR="00353834" w:rsidRPr="00390647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</w:t>
            </w:r>
          </w:p>
        </w:tc>
      </w:tr>
      <w:tr w:rsidR="00FE1625" w:rsidRPr="00390647" w:rsidTr="00197218">
        <w:trPr>
          <w:trHeight w:val="454"/>
          <w:jc w:val="center"/>
        </w:trPr>
        <w:tc>
          <w:tcPr>
            <w:tcW w:w="10624" w:type="dxa"/>
            <w:shd w:val="clear" w:color="auto" w:fill="336699"/>
          </w:tcPr>
          <w:p w:rsidR="00193339" w:rsidRPr="00390647" w:rsidRDefault="001E14B4" w:rsidP="006B34E9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</w:rPr>
            </w:pPr>
            <w:r w:rsidRPr="00390647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>May</w:t>
            </w:r>
            <w:r w:rsidR="00353834" w:rsidRPr="00390647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20</w:t>
            </w:r>
            <w:r w:rsidR="00B2367E" w:rsidRPr="00390647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>2</w:t>
            </w:r>
            <w:r w:rsidR="006B34E9" w:rsidRPr="00390647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>4</w:t>
            </w:r>
          </w:p>
        </w:tc>
      </w:tr>
    </w:tbl>
    <w:p w:rsidR="000F689B" w:rsidRPr="00390647" w:rsidRDefault="000F689B" w:rsidP="000F689B">
      <w:pPr>
        <w:jc w:val="both"/>
        <w:rPr>
          <w:rFonts w:ascii="Arial Narrow" w:hAnsi="Arial Narrow"/>
          <w:color w:val="000000" w:themeColor="text1"/>
          <w:spacing w:val="-2"/>
          <w:sz w:val="22"/>
          <w:szCs w:val="24"/>
        </w:rPr>
      </w:pPr>
    </w:p>
    <w:p w:rsidR="00E33D13" w:rsidRPr="00390647" w:rsidRDefault="00E90CD8" w:rsidP="002B516D">
      <w:pPr>
        <w:jc w:val="both"/>
        <w:rPr>
          <w:rFonts w:ascii="Arial Narrow" w:hAnsi="Arial Narrow" w:cs="Tahoma"/>
          <w:b/>
          <w:sz w:val="30"/>
          <w:szCs w:val="30"/>
        </w:rPr>
      </w:pPr>
      <w:r w:rsidRPr="00390647">
        <w:rPr>
          <w:rFonts w:ascii="Arial Narrow" w:hAnsi="Arial Narrow" w:cs="Tahoma"/>
          <w:b/>
          <w:bCs/>
          <w:sz w:val="30"/>
          <w:szCs w:val="30"/>
          <w:lang w:eastAsia="sr-Latn-BA"/>
        </w:rPr>
        <w:t>Average net wage in April</w:t>
      </w:r>
      <w:r w:rsidR="004D737B" w:rsidRPr="00390647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</w:t>
      </w:r>
      <w:r w:rsidR="00D11D67" w:rsidRPr="00390647">
        <w:rPr>
          <w:rFonts w:ascii="Arial Narrow" w:hAnsi="Arial Narrow" w:cs="Tahoma"/>
          <w:b/>
          <w:bCs/>
          <w:sz w:val="30"/>
          <w:szCs w:val="30"/>
          <w:lang w:eastAsia="sr-Latn-BA"/>
        </w:rPr>
        <w:t>1</w:t>
      </w:r>
      <w:r w:rsidRPr="00390647">
        <w:rPr>
          <w:rFonts w:ascii="Arial Narrow" w:hAnsi="Arial Narrow" w:cs="Tahoma"/>
          <w:b/>
          <w:bCs/>
          <w:sz w:val="30"/>
          <w:szCs w:val="30"/>
          <w:lang w:eastAsia="sr-Latn-BA"/>
        </w:rPr>
        <w:t>,</w:t>
      </w:r>
      <w:r w:rsidR="00575D9B" w:rsidRPr="00390647">
        <w:rPr>
          <w:rFonts w:ascii="Arial Narrow" w:hAnsi="Arial Narrow" w:cs="Tahoma"/>
          <w:b/>
          <w:bCs/>
          <w:sz w:val="30"/>
          <w:szCs w:val="30"/>
          <w:lang w:eastAsia="sr-Latn-BA"/>
        </w:rPr>
        <w:t>400</w:t>
      </w:r>
      <w:r w:rsidR="00E33D13" w:rsidRPr="00390647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КМ</w:t>
      </w:r>
    </w:p>
    <w:p w:rsidR="008E543D" w:rsidRPr="00390647" w:rsidRDefault="00E90CD8" w:rsidP="00470221">
      <w:pPr>
        <w:tabs>
          <w:tab w:val="left" w:pos="1651"/>
          <w:tab w:val="left" w:pos="2192"/>
        </w:tabs>
        <w:jc w:val="both"/>
        <w:rPr>
          <w:rFonts w:ascii="Arial Narrow" w:hAnsi="Arial Narrow" w:cs="Tahoma"/>
          <w:b/>
          <w:sz w:val="28"/>
          <w:szCs w:val="22"/>
        </w:rPr>
      </w:pPr>
      <w:r w:rsidRPr="00390647">
        <w:rPr>
          <w:rFonts w:ascii="Arial Narrow" w:hAnsi="Arial Narrow" w:cs="Tahoma"/>
          <w:b/>
          <w:sz w:val="28"/>
          <w:szCs w:val="22"/>
        </w:rPr>
        <w:t>Annual real wage growth</w:t>
      </w:r>
      <w:r w:rsidR="004841F2" w:rsidRPr="00390647">
        <w:rPr>
          <w:rFonts w:ascii="Arial Narrow" w:hAnsi="Arial Narrow" w:cs="Tahoma"/>
          <w:b/>
          <w:sz w:val="28"/>
          <w:szCs w:val="22"/>
        </w:rPr>
        <w:t xml:space="preserve"> </w:t>
      </w:r>
      <w:r w:rsidR="00575D9B" w:rsidRPr="00390647">
        <w:rPr>
          <w:rFonts w:ascii="Arial Narrow" w:hAnsi="Arial Narrow" w:cs="Tahoma"/>
          <w:b/>
          <w:sz w:val="28"/>
          <w:szCs w:val="22"/>
        </w:rPr>
        <w:t>8</w:t>
      </w:r>
      <w:r w:rsidRPr="00390647">
        <w:rPr>
          <w:rFonts w:ascii="Arial Narrow" w:hAnsi="Arial Narrow" w:cs="Tahoma"/>
          <w:b/>
          <w:sz w:val="28"/>
          <w:szCs w:val="22"/>
        </w:rPr>
        <w:t>.</w:t>
      </w:r>
      <w:r w:rsidR="00575D9B" w:rsidRPr="00390647">
        <w:rPr>
          <w:rFonts w:ascii="Arial Narrow" w:hAnsi="Arial Narrow" w:cs="Tahoma"/>
          <w:b/>
          <w:sz w:val="28"/>
          <w:szCs w:val="22"/>
        </w:rPr>
        <w:t>0</w:t>
      </w:r>
      <w:r w:rsidR="004841F2" w:rsidRPr="00390647">
        <w:rPr>
          <w:rFonts w:ascii="Arial Narrow" w:hAnsi="Arial Narrow" w:cs="Tahoma"/>
          <w:b/>
          <w:sz w:val="28"/>
          <w:szCs w:val="22"/>
        </w:rPr>
        <w:t>%</w:t>
      </w:r>
    </w:p>
    <w:p w:rsidR="00E33D13" w:rsidRPr="00390647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sz w:val="24"/>
        </w:rPr>
      </w:pPr>
      <w:r w:rsidRPr="00390647">
        <w:rPr>
          <w:rFonts w:ascii="Tahoma" w:hAnsi="Tahoma" w:cs="Tahoma"/>
          <w:b/>
          <w:sz w:val="24"/>
        </w:rPr>
        <w:tab/>
      </w:r>
      <w:r w:rsidRPr="00390647">
        <w:rPr>
          <w:rFonts w:ascii="Tahoma" w:hAnsi="Tahoma" w:cs="Tahoma"/>
          <w:b/>
          <w:sz w:val="24"/>
        </w:rPr>
        <w:tab/>
      </w:r>
    </w:p>
    <w:p w:rsidR="00E90CD8" w:rsidRPr="00390647" w:rsidRDefault="00E90CD8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390647">
        <w:rPr>
          <w:rFonts w:ascii="Arial Narrow" w:hAnsi="Arial Narrow" w:cs="Tahoma"/>
          <w:sz w:val="22"/>
        </w:rPr>
        <w:t>Average monthly net wage in Republika Srpska paid in April 2024 amou</w:t>
      </w:r>
      <w:bookmarkStart w:id="0" w:name="_GoBack"/>
      <w:bookmarkEnd w:id="0"/>
      <w:r w:rsidRPr="00390647">
        <w:rPr>
          <w:rFonts w:ascii="Arial Narrow" w:hAnsi="Arial Narrow" w:cs="Tahoma"/>
          <w:sz w:val="22"/>
        </w:rPr>
        <w:t xml:space="preserve">nted to 1,400 KM and it was both nominally and really 0.4% higher compared to March 2024, while compared to the same month of the previous year it was nominally 10.7% higher and really 8.0% higher. Average monthly gross wage amounted to 2,140 KM. </w:t>
      </w:r>
    </w:p>
    <w:p w:rsidR="00E90CD8" w:rsidRPr="00390647" w:rsidRDefault="00E90CD8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E90CD8" w:rsidRPr="00390647" w:rsidRDefault="00E90CD8" w:rsidP="00E90CD8">
      <w:pPr>
        <w:tabs>
          <w:tab w:val="left" w:pos="4343"/>
        </w:tabs>
        <w:jc w:val="both"/>
        <w:rPr>
          <w:rFonts w:ascii="Arial Narrow" w:hAnsi="Arial Narrow" w:cs="Tahoma"/>
          <w:sz w:val="22"/>
        </w:rPr>
      </w:pPr>
      <w:r w:rsidRPr="00390647">
        <w:rPr>
          <w:rFonts w:ascii="Arial Narrow" w:hAnsi="Arial Narrow" w:cs="Tahoma"/>
          <w:sz w:val="22"/>
        </w:rPr>
        <w:t xml:space="preserve">In </w:t>
      </w:r>
      <w:r w:rsidRPr="00390647">
        <w:rPr>
          <w:rFonts w:ascii="Arial Narrow" w:hAnsi="Arial Narrow" w:cs="Tahoma"/>
          <w:sz w:val="22"/>
        </w:rPr>
        <w:t xml:space="preserve">April </w:t>
      </w:r>
      <w:r w:rsidRPr="00390647">
        <w:rPr>
          <w:rFonts w:ascii="Arial Narrow" w:hAnsi="Arial Narrow" w:cs="Tahoma"/>
          <w:sz w:val="22"/>
        </w:rPr>
        <w:t xml:space="preserve">2024, the highest average net wage, by section of economic activities, was paid in the section </w:t>
      </w:r>
      <w:r w:rsidRPr="00390647">
        <w:rPr>
          <w:rFonts w:ascii="Arial Narrow" w:hAnsi="Arial Narrow" w:cs="Tahoma"/>
          <w:i/>
          <w:sz w:val="22"/>
        </w:rPr>
        <w:t xml:space="preserve">Financial and insurance activities </w:t>
      </w:r>
      <w:r w:rsidRPr="00390647">
        <w:rPr>
          <w:rFonts w:ascii="Arial Narrow" w:hAnsi="Arial Narrow" w:cs="Tahoma"/>
          <w:sz w:val="22"/>
        </w:rPr>
        <w:t>and it amounted to 1,</w:t>
      </w:r>
      <w:r w:rsidRPr="00390647">
        <w:rPr>
          <w:rFonts w:ascii="Arial Narrow" w:hAnsi="Arial Narrow" w:cs="Tahoma"/>
          <w:sz w:val="22"/>
        </w:rPr>
        <w:t>806</w:t>
      </w:r>
      <w:r w:rsidRPr="00390647">
        <w:rPr>
          <w:rFonts w:ascii="Arial Narrow" w:hAnsi="Arial Narrow" w:cs="Tahoma"/>
          <w:sz w:val="22"/>
        </w:rPr>
        <w:t xml:space="preserve"> KM. On the other hand, the lowest average net wage in </w:t>
      </w:r>
      <w:r w:rsidRPr="00390647">
        <w:rPr>
          <w:rFonts w:ascii="Arial Narrow" w:hAnsi="Arial Narrow" w:cs="Tahoma"/>
          <w:sz w:val="22"/>
        </w:rPr>
        <w:t>April</w:t>
      </w:r>
      <w:r w:rsidRPr="00390647">
        <w:rPr>
          <w:rFonts w:ascii="Arial Narrow" w:hAnsi="Arial Narrow" w:cs="Tahoma"/>
          <w:sz w:val="22"/>
        </w:rPr>
        <w:t xml:space="preserve"> 2024 was the one paid in the section </w:t>
      </w:r>
      <w:r w:rsidRPr="00390647">
        <w:rPr>
          <w:rFonts w:ascii="Arial Narrow" w:hAnsi="Arial Narrow" w:cs="Tahoma"/>
          <w:i/>
          <w:sz w:val="22"/>
        </w:rPr>
        <w:t>Construction</w:t>
      </w:r>
      <w:r w:rsidRPr="00390647">
        <w:rPr>
          <w:rFonts w:ascii="Arial Narrow" w:hAnsi="Arial Narrow" w:cs="Tahoma"/>
          <w:sz w:val="22"/>
        </w:rPr>
        <w:t>, 1,107</w:t>
      </w:r>
      <w:r w:rsidRPr="00390647">
        <w:rPr>
          <w:rFonts w:ascii="Arial Narrow" w:hAnsi="Arial Narrow" w:cs="Tahoma"/>
          <w:sz w:val="22"/>
        </w:rPr>
        <w:t xml:space="preserve"> KM</w:t>
      </w:r>
    </w:p>
    <w:p w:rsidR="00E90CD8" w:rsidRPr="00390647" w:rsidRDefault="00E90CD8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E90CD8" w:rsidRPr="00390647" w:rsidRDefault="00E90CD8" w:rsidP="00E90CD8">
      <w:pPr>
        <w:jc w:val="both"/>
        <w:rPr>
          <w:rFonts w:ascii="Arial Narrow" w:hAnsi="Arial Narrow" w:cs="Tahoma"/>
          <w:sz w:val="22"/>
        </w:rPr>
      </w:pPr>
      <w:r w:rsidRPr="00390647">
        <w:rPr>
          <w:rFonts w:ascii="Arial Narrow" w:hAnsi="Arial Narrow" w:cs="Tahoma"/>
          <w:sz w:val="22"/>
        </w:rPr>
        <w:t xml:space="preserve">In </w:t>
      </w:r>
      <w:r w:rsidRPr="00390647">
        <w:rPr>
          <w:rFonts w:ascii="Arial Narrow" w:hAnsi="Arial Narrow" w:cs="Tahoma"/>
          <w:sz w:val="22"/>
        </w:rPr>
        <w:t>April</w:t>
      </w:r>
      <w:r w:rsidRPr="00390647">
        <w:rPr>
          <w:rFonts w:ascii="Arial Narrow" w:hAnsi="Arial Narrow" w:cs="Tahoma"/>
          <w:sz w:val="22"/>
        </w:rPr>
        <w:t xml:space="preserve"> 2024, compared to </w:t>
      </w:r>
      <w:r w:rsidRPr="00390647">
        <w:rPr>
          <w:rFonts w:ascii="Arial Narrow" w:hAnsi="Arial Narrow" w:cs="Tahoma"/>
          <w:sz w:val="22"/>
        </w:rPr>
        <w:t>April</w:t>
      </w:r>
      <w:r w:rsidRPr="00390647">
        <w:rPr>
          <w:rFonts w:ascii="Arial Narrow" w:hAnsi="Arial Narrow" w:cs="Tahoma"/>
          <w:sz w:val="22"/>
        </w:rPr>
        <w:t xml:space="preserve"> 2023, a nominal increase in net wages was recorded in all sections of economic activity, with the highest increase being recorded in the section </w:t>
      </w:r>
      <w:r w:rsidRPr="00390647">
        <w:rPr>
          <w:rFonts w:ascii="Arial Narrow" w:hAnsi="Arial Narrow" w:cs="Tahoma"/>
          <w:i/>
          <w:sz w:val="22"/>
        </w:rPr>
        <w:t>Administrative and support service activities</w:t>
      </w:r>
      <w:r w:rsidRPr="00390647">
        <w:rPr>
          <w:rFonts w:ascii="Arial Narrow" w:hAnsi="Arial Narrow" w:cs="Tahoma"/>
          <w:i/>
          <w:sz w:val="22"/>
        </w:rPr>
        <w:t xml:space="preserve"> </w:t>
      </w:r>
      <w:r w:rsidRPr="00390647">
        <w:rPr>
          <w:rFonts w:ascii="Arial Narrow" w:hAnsi="Arial Narrow" w:cs="Tahoma"/>
          <w:sz w:val="22"/>
        </w:rPr>
        <w:t>26</w:t>
      </w:r>
      <w:r w:rsidRPr="00390647">
        <w:rPr>
          <w:rFonts w:ascii="Arial Narrow" w:hAnsi="Arial Narrow" w:cs="Tahoma"/>
          <w:sz w:val="22"/>
        </w:rPr>
        <w:t xml:space="preserve">.9%, followed by </w:t>
      </w:r>
      <w:r w:rsidRPr="00390647">
        <w:rPr>
          <w:rFonts w:ascii="Arial Narrow" w:hAnsi="Arial Narrow" w:cs="Tahoma"/>
          <w:i/>
          <w:sz w:val="22"/>
        </w:rPr>
        <w:t xml:space="preserve">Water supply; sewerage, waste management and remediation activities </w:t>
      </w:r>
      <w:r w:rsidRPr="00390647">
        <w:rPr>
          <w:rFonts w:ascii="Arial Narrow" w:hAnsi="Arial Narrow" w:cs="Tahoma"/>
          <w:sz w:val="22"/>
        </w:rPr>
        <w:t xml:space="preserve">18.9% and </w:t>
      </w:r>
      <w:r w:rsidRPr="00390647">
        <w:rPr>
          <w:rFonts w:ascii="Arial Narrow" w:hAnsi="Arial Narrow" w:cs="Tahoma"/>
          <w:i/>
          <w:sz w:val="22"/>
        </w:rPr>
        <w:t>Construction</w:t>
      </w:r>
      <w:r w:rsidRPr="00390647">
        <w:rPr>
          <w:rFonts w:ascii="Arial Narrow" w:hAnsi="Arial Narrow" w:cs="Tahoma"/>
          <w:sz w:val="22"/>
        </w:rPr>
        <w:t xml:space="preserve"> 18.6%. </w:t>
      </w:r>
    </w:p>
    <w:p w:rsidR="00374B48" w:rsidRPr="00390647" w:rsidRDefault="00374B48" w:rsidP="00426C15">
      <w:pPr>
        <w:jc w:val="both"/>
        <w:rPr>
          <w:rFonts w:ascii="Arial Narrow" w:hAnsi="Arial Narrow" w:cs="Tahoma"/>
          <w:color w:val="000000" w:themeColor="text1"/>
          <w:sz w:val="22"/>
        </w:rPr>
      </w:pPr>
    </w:p>
    <w:p w:rsidR="00F207B3" w:rsidRPr="00390647" w:rsidRDefault="00F207B3" w:rsidP="003F0699">
      <w:pPr>
        <w:tabs>
          <w:tab w:val="left" w:pos="9060"/>
        </w:tabs>
        <w:jc w:val="both"/>
        <w:rPr>
          <w:rFonts w:ascii="Arial Narrow" w:hAnsi="Arial Narrow" w:cs="Tahoma"/>
          <w:color w:val="000000" w:themeColor="text1"/>
          <w:sz w:val="22"/>
          <w:szCs w:val="22"/>
        </w:rPr>
      </w:pPr>
    </w:p>
    <w:p w:rsidR="00694584" w:rsidRPr="00390647" w:rsidRDefault="00694584" w:rsidP="001D461A">
      <w:pPr>
        <w:jc w:val="both"/>
        <w:rPr>
          <w:rFonts w:ascii="Arial Narrow" w:hAnsi="Arial Narrow" w:cs="Tahoma"/>
          <w:color w:val="000000" w:themeColor="text1"/>
          <w:sz w:val="22"/>
          <w:szCs w:val="22"/>
        </w:rPr>
      </w:pPr>
    </w:p>
    <w:p w:rsidR="00E33D13" w:rsidRPr="00390647" w:rsidRDefault="00E33D13" w:rsidP="00E33D13">
      <w:pPr>
        <w:jc w:val="both"/>
        <w:rPr>
          <w:rFonts w:ascii="Arial Narrow" w:hAnsi="Arial Narrow" w:cs="Tahoma"/>
          <w:color w:val="000000" w:themeColor="text1"/>
          <w:sz w:val="22"/>
          <w:szCs w:val="22"/>
        </w:rPr>
      </w:pPr>
      <w:r w:rsidRPr="00390647">
        <w:rPr>
          <w:rFonts w:ascii="Tahoma" w:hAnsi="Tahoma" w:cs="Tahoma"/>
          <w:i/>
          <w:color w:val="000000" w:themeColor="text1"/>
          <w:sz w:val="14"/>
        </w:rPr>
        <w:t xml:space="preserve"> </w:t>
      </w:r>
      <w:r w:rsidRPr="00390647">
        <w:rPr>
          <w:rFonts w:ascii="Tahoma" w:hAnsi="Tahoma" w:cs="Tahoma"/>
          <w:color w:val="000000" w:themeColor="text1"/>
          <w:sz w:val="14"/>
        </w:rPr>
        <w:t xml:space="preserve">   </w:t>
      </w:r>
      <w:r w:rsidRPr="00390647">
        <w:rPr>
          <w:rFonts w:ascii="Tahoma" w:hAnsi="Tahoma" w:cs="Tahoma"/>
          <w:color w:val="000000" w:themeColor="text1"/>
          <w:sz w:val="14"/>
        </w:rPr>
        <w:tab/>
      </w:r>
      <w:r w:rsidRPr="00390647">
        <w:rPr>
          <w:rFonts w:ascii="Tahoma" w:hAnsi="Tahoma" w:cs="Tahoma"/>
          <w:color w:val="000000" w:themeColor="text1"/>
          <w:sz w:val="14"/>
        </w:rPr>
        <w:tab/>
        <w:t xml:space="preserve">            </w:t>
      </w:r>
      <w:r w:rsidR="00F85AAC" w:rsidRPr="00390647">
        <w:rPr>
          <w:rFonts w:ascii="Tahoma" w:hAnsi="Tahoma" w:cs="Tahoma"/>
          <w:color w:val="000000" w:themeColor="text1"/>
          <w:sz w:val="14"/>
        </w:rPr>
        <w:t xml:space="preserve">  </w:t>
      </w:r>
      <w:r w:rsidR="0062701E" w:rsidRPr="00390647">
        <w:rPr>
          <w:rFonts w:ascii="Tahoma" w:hAnsi="Tahoma" w:cs="Tahoma"/>
          <w:color w:val="000000" w:themeColor="text1"/>
          <w:sz w:val="14"/>
        </w:rPr>
        <w:t xml:space="preserve"> </w:t>
      </w:r>
      <w:r w:rsidR="00F85AAC" w:rsidRPr="00390647">
        <w:rPr>
          <w:rFonts w:ascii="Tahoma" w:hAnsi="Tahoma" w:cs="Tahoma"/>
          <w:color w:val="000000" w:themeColor="text1"/>
          <w:sz w:val="14"/>
        </w:rPr>
        <w:t xml:space="preserve"> </w:t>
      </w:r>
      <w:r w:rsidR="00DE7AB2" w:rsidRPr="00390647">
        <w:rPr>
          <w:rFonts w:ascii="Arial Narrow" w:hAnsi="Arial Narrow" w:cs="Tahoma"/>
          <w:color w:val="000000" w:themeColor="text1"/>
          <w:sz w:val="16"/>
          <w:szCs w:val="22"/>
        </w:rPr>
        <w:t>KM</w:t>
      </w:r>
    </w:p>
    <w:p w:rsidR="00E33D13" w:rsidRPr="00390647" w:rsidRDefault="00425891" w:rsidP="00E33D13">
      <w:pPr>
        <w:jc w:val="center"/>
        <w:rPr>
          <w:rFonts w:ascii="Tahoma" w:hAnsi="Tahoma" w:cs="Tahoma"/>
          <w:color w:val="000000" w:themeColor="text1"/>
        </w:rPr>
      </w:pPr>
      <w:r w:rsidRPr="00390647">
        <w:rPr>
          <w:rFonts w:ascii="Arial Narrow" w:hAnsi="Arial Narrow"/>
          <w:noProof/>
          <w:color w:val="000000" w:themeColor="text1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margin">
              <wp:posOffset>1085215</wp:posOffset>
            </wp:positionH>
            <wp:positionV relativeFrom="paragraph">
              <wp:posOffset>2093260</wp:posOffset>
            </wp:positionV>
            <wp:extent cx="4448226" cy="460375"/>
            <wp:effectExtent l="0" t="0" r="9525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226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390647">
        <w:rPr>
          <w:noProof/>
          <w:color w:val="000000" w:themeColor="text1"/>
        </w:rPr>
        <w:t xml:space="preserve"> </w:t>
      </w:r>
      <w:r w:rsidR="00E33D13" w:rsidRPr="00390647">
        <w:rPr>
          <w:rFonts w:ascii="Tahoma" w:hAnsi="Tahoma" w:cs="Tahoma"/>
          <w:color w:val="000000" w:themeColor="text1"/>
          <w:szCs w:val="18"/>
        </w:rPr>
        <w:t xml:space="preserve"> </w:t>
      </w:r>
      <w:r w:rsidR="00895DA9" w:rsidRPr="00390647">
        <w:rPr>
          <w:noProof/>
          <w:color w:val="000000" w:themeColor="text1"/>
        </w:rPr>
        <w:drawing>
          <wp:inline distT="0" distB="0" distL="0" distR="0" wp14:anchorId="5FEB7567" wp14:editId="6703EB99">
            <wp:extent cx="4572000" cy="27432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390647" w:rsidRDefault="00E33D13" w:rsidP="00E33D13">
      <w:pPr>
        <w:jc w:val="center"/>
        <w:rPr>
          <w:rFonts w:ascii="Tahoma" w:hAnsi="Tahoma" w:cs="Tahoma"/>
          <w:color w:val="000000" w:themeColor="text1"/>
          <w:sz w:val="18"/>
          <w:szCs w:val="18"/>
        </w:rPr>
      </w:pPr>
    </w:p>
    <w:p w:rsidR="00E33D13" w:rsidRPr="00390647" w:rsidRDefault="000124E7" w:rsidP="00E33D13">
      <w:pPr>
        <w:jc w:val="center"/>
        <w:outlineLvl w:val="0"/>
        <w:rPr>
          <w:rFonts w:ascii="Arial Narrow" w:hAnsi="Arial Narrow" w:cs="Tahoma"/>
          <w:color w:val="000000" w:themeColor="text1"/>
          <w:sz w:val="16"/>
          <w:szCs w:val="22"/>
        </w:rPr>
      </w:pPr>
      <w:r w:rsidRPr="00390647">
        <w:rPr>
          <w:rFonts w:ascii="Arial Narrow" w:hAnsi="Arial Narrow" w:cs="Tahoma"/>
          <w:color w:val="000000" w:themeColor="text1"/>
          <w:sz w:val="16"/>
          <w:szCs w:val="22"/>
        </w:rPr>
        <w:t>Graph</w:t>
      </w:r>
      <w:r w:rsidR="00E33D13" w:rsidRPr="00390647">
        <w:rPr>
          <w:rFonts w:ascii="Arial Narrow" w:hAnsi="Arial Narrow" w:cs="Tahoma"/>
          <w:color w:val="000000" w:themeColor="text1"/>
          <w:sz w:val="16"/>
          <w:szCs w:val="22"/>
        </w:rPr>
        <w:t xml:space="preserve"> </w:t>
      </w:r>
      <w:r w:rsidR="0066022A" w:rsidRPr="00390647">
        <w:rPr>
          <w:rFonts w:ascii="Arial Narrow" w:hAnsi="Arial Narrow" w:cs="Tahoma"/>
          <w:color w:val="000000" w:themeColor="text1"/>
          <w:sz w:val="16"/>
          <w:szCs w:val="22"/>
        </w:rPr>
        <w:t>1</w:t>
      </w:r>
      <w:r w:rsidR="00E33D13" w:rsidRPr="00390647">
        <w:rPr>
          <w:rFonts w:ascii="Arial Narrow" w:hAnsi="Arial Narrow" w:cs="Tahoma"/>
          <w:color w:val="000000" w:themeColor="text1"/>
          <w:sz w:val="16"/>
          <w:szCs w:val="22"/>
        </w:rPr>
        <w:t xml:space="preserve">. </w:t>
      </w:r>
      <w:r w:rsidRPr="00390647">
        <w:rPr>
          <w:rFonts w:ascii="Arial Narrow" w:hAnsi="Arial Narrow" w:cs="Tahoma"/>
          <w:color w:val="000000" w:themeColor="text1"/>
          <w:sz w:val="16"/>
          <w:szCs w:val="22"/>
        </w:rPr>
        <w:t>Average net wages by month</w:t>
      </w:r>
    </w:p>
    <w:p w:rsidR="00B0137B" w:rsidRPr="00390647" w:rsidRDefault="00B0137B" w:rsidP="00B50951">
      <w:pPr>
        <w:rPr>
          <w:rFonts w:ascii="Arial Narrow" w:hAnsi="Arial Narrow" w:cs="Tahoma"/>
          <w:b/>
          <w:color w:val="000000" w:themeColor="text1"/>
          <w:sz w:val="28"/>
          <w:szCs w:val="24"/>
        </w:rPr>
      </w:pPr>
    </w:p>
    <w:p w:rsidR="00417370" w:rsidRPr="00390647" w:rsidRDefault="00417370" w:rsidP="00B50951">
      <w:pPr>
        <w:rPr>
          <w:rFonts w:ascii="Arial Narrow" w:hAnsi="Arial Narrow" w:cs="Tahoma"/>
          <w:b/>
          <w:color w:val="000000" w:themeColor="text1"/>
          <w:sz w:val="28"/>
          <w:szCs w:val="24"/>
        </w:rPr>
      </w:pPr>
    </w:p>
    <w:p w:rsidR="004F1F2A" w:rsidRPr="00390647" w:rsidRDefault="004F1F2A" w:rsidP="00B50951">
      <w:pPr>
        <w:rPr>
          <w:rFonts w:ascii="Arial Narrow" w:hAnsi="Arial Narrow" w:cs="Tahoma"/>
          <w:b/>
          <w:color w:val="000000" w:themeColor="text1"/>
          <w:sz w:val="28"/>
          <w:szCs w:val="24"/>
        </w:rPr>
      </w:pPr>
    </w:p>
    <w:p w:rsidR="004F1F2A" w:rsidRPr="00390647" w:rsidRDefault="004F1F2A" w:rsidP="00B50951">
      <w:pPr>
        <w:rPr>
          <w:rFonts w:ascii="Arial Narrow" w:hAnsi="Arial Narrow" w:cs="Tahoma"/>
          <w:b/>
          <w:color w:val="000000" w:themeColor="text1"/>
          <w:sz w:val="28"/>
          <w:szCs w:val="24"/>
        </w:rPr>
      </w:pPr>
    </w:p>
    <w:p w:rsidR="004F1F2A" w:rsidRPr="00390647" w:rsidRDefault="004F1F2A" w:rsidP="00B50951">
      <w:pPr>
        <w:rPr>
          <w:rFonts w:ascii="Arial Narrow" w:hAnsi="Arial Narrow" w:cs="Tahoma"/>
          <w:b/>
          <w:color w:val="000000" w:themeColor="text1"/>
          <w:sz w:val="28"/>
          <w:szCs w:val="24"/>
        </w:rPr>
      </w:pPr>
    </w:p>
    <w:p w:rsidR="004F1F2A" w:rsidRPr="00390647" w:rsidRDefault="004F1F2A" w:rsidP="00B50951">
      <w:pPr>
        <w:rPr>
          <w:rFonts w:ascii="Arial Narrow" w:hAnsi="Arial Narrow" w:cs="Tahoma"/>
          <w:b/>
          <w:color w:val="000000" w:themeColor="text1"/>
          <w:sz w:val="28"/>
          <w:szCs w:val="24"/>
        </w:rPr>
      </w:pPr>
    </w:p>
    <w:p w:rsidR="004F1F2A" w:rsidRPr="00390647" w:rsidRDefault="004F1F2A" w:rsidP="00B50951">
      <w:pPr>
        <w:rPr>
          <w:rFonts w:ascii="Arial Narrow" w:hAnsi="Arial Narrow" w:cs="Tahoma"/>
          <w:b/>
          <w:color w:val="000000" w:themeColor="text1"/>
          <w:sz w:val="28"/>
          <w:szCs w:val="24"/>
        </w:rPr>
      </w:pPr>
    </w:p>
    <w:p w:rsidR="004F1F2A" w:rsidRPr="00390647" w:rsidRDefault="004F1F2A" w:rsidP="00B50951">
      <w:pPr>
        <w:rPr>
          <w:rFonts w:ascii="Arial Narrow" w:hAnsi="Arial Narrow" w:cs="Tahoma"/>
          <w:b/>
          <w:color w:val="000000" w:themeColor="text1"/>
          <w:sz w:val="28"/>
          <w:szCs w:val="24"/>
        </w:rPr>
      </w:pPr>
    </w:p>
    <w:p w:rsidR="004F1F2A" w:rsidRPr="00390647" w:rsidRDefault="004F1F2A" w:rsidP="00B50951">
      <w:pPr>
        <w:rPr>
          <w:rFonts w:ascii="Arial Narrow" w:hAnsi="Arial Narrow" w:cs="Tahoma"/>
          <w:b/>
          <w:color w:val="000000" w:themeColor="text1"/>
          <w:sz w:val="28"/>
          <w:szCs w:val="24"/>
        </w:rPr>
      </w:pPr>
    </w:p>
    <w:p w:rsidR="00B50951" w:rsidRPr="00390647" w:rsidRDefault="00C72828" w:rsidP="00B50951">
      <w:pPr>
        <w:rPr>
          <w:rFonts w:ascii="Arial Narrow" w:hAnsi="Arial Narrow" w:cs="Tahoma"/>
          <w:sz w:val="28"/>
          <w:szCs w:val="24"/>
        </w:rPr>
      </w:pPr>
      <w:r w:rsidRPr="00390647">
        <w:rPr>
          <w:rFonts w:ascii="Arial Narrow" w:hAnsi="Arial Narrow" w:cs="Tahoma"/>
          <w:b/>
          <w:sz w:val="28"/>
          <w:szCs w:val="24"/>
        </w:rPr>
        <w:lastRenderedPageBreak/>
        <w:t>Monthly inflation</w:t>
      </w:r>
      <w:r w:rsidR="00B50951" w:rsidRPr="00390647">
        <w:rPr>
          <w:rFonts w:ascii="Arial Narrow" w:hAnsi="Arial Narrow" w:cs="Tahoma"/>
          <w:b/>
          <w:sz w:val="28"/>
          <w:szCs w:val="24"/>
        </w:rPr>
        <w:t xml:space="preserve"> </w:t>
      </w:r>
      <w:r w:rsidRPr="00390647">
        <w:rPr>
          <w:rFonts w:ascii="Arial Narrow" w:hAnsi="Arial Narrow" w:cs="Tahoma"/>
          <w:b/>
          <w:sz w:val="28"/>
          <w:szCs w:val="24"/>
        </w:rPr>
        <w:t>0.</w:t>
      </w:r>
      <w:r w:rsidR="0070406B" w:rsidRPr="00390647">
        <w:rPr>
          <w:rFonts w:ascii="Arial Narrow" w:hAnsi="Arial Narrow" w:cs="Tahoma"/>
          <w:b/>
          <w:sz w:val="28"/>
          <w:szCs w:val="24"/>
        </w:rPr>
        <w:t>0</w:t>
      </w:r>
      <w:r w:rsidR="00B50951" w:rsidRPr="00390647">
        <w:rPr>
          <w:rFonts w:ascii="Arial Narrow" w:hAnsi="Arial Narrow" w:cs="Tahoma"/>
          <w:b/>
          <w:sz w:val="28"/>
          <w:szCs w:val="24"/>
        </w:rPr>
        <w:t>%</w:t>
      </w:r>
      <w:r w:rsidRPr="00390647">
        <w:rPr>
          <w:rFonts w:ascii="Arial Narrow" w:hAnsi="Arial Narrow" w:cs="Tahoma"/>
          <w:b/>
          <w:sz w:val="28"/>
          <w:szCs w:val="24"/>
        </w:rPr>
        <w:t xml:space="preserve"> in April 2024</w:t>
      </w:r>
    </w:p>
    <w:p w:rsidR="00B50951" w:rsidRPr="00390647" w:rsidRDefault="00C72828" w:rsidP="00B50951">
      <w:pPr>
        <w:rPr>
          <w:rFonts w:ascii="Arial Narrow" w:hAnsi="Arial Narrow" w:cs="Tahoma"/>
          <w:b/>
          <w:sz w:val="28"/>
          <w:szCs w:val="24"/>
        </w:rPr>
      </w:pPr>
      <w:r w:rsidRPr="00390647">
        <w:rPr>
          <w:rFonts w:ascii="Arial Narrow" w:hAnsi="Arial Narrow" w:cs="Tahoma"/>
          <w:b/>
          <w:sz w:val="28"/>
          <w:szCs w:val="24"/>
        </w:rPr>
        <w:t>Annual inflation</w:t>
      </w:r>
      <w:r w:rsidR="00B50951" w:rsidRPr="00390647">
        <w:rPr>
          <w:rFonts w:ascii="Arial Narrow" w:hAnsi="Arial Narrow" w:cs="Tahoma"/>
          <w:b/>
          <w:sz w:val="28"/>
          <w:szCs w:val="24"/>
        </w:rPr>
        <w:t xml:space="preserve"> (</w:t>
      </w:r>
      <w:r w:rsidRPr="00390647">
        <w:rPr>
          <w:rFonts w:ascii="Arial Narrow" w:hAnsi="Arial Narrow" w:cs="Tahoma"/>
          <w:b/>
          <w:sz w:val="28"/>
          <w:szCs w:val="24"/>
        </w:rPr>
        <w:t>April</w:t>
      </w:r>
      <w:r w:rsidR="003A5D60" w:rsidRPr="00390647">
        <w:rPr>
          <w:rFonts w:ascii="Arial Narrow" w:hAnsi="Arial Narrow" w:cs="Tahoma"/>
          <w:b/>
          <w:sz w:val="28"/>
          <w:szCs w:val="24"/>
        </w:rPr>
        <w:t xml:space="preserve"> 2024</w:t>
      </w:r>
      <w:r w:rsidR="00B50951" w:rsidRPr="00390647">
        <w:rPr>
          <w:rFonts w:ascii="Arial Narrow" w:hAnsi="Arial Narrow" w:cs="Tahoma"/>
          <w:b/>
          <w:sz w:val="28"/>
          <w:szCs w:val="24"/>
        </w:rPr>
        <w:t>/</w:t>
      </w:r>
      <w:r w:rsidRPr="00390647">
        <w:rPr>
          <w:rFonts w:ascii="Arial Narrow" w:hAnsi="Arial Narrow" w:cs="Tahoma"/>
          <w:b/>
          <w:sz w:val="28"/>
          <w:szCs w:val="24"/>
        </w:rPr>
        <w:t>April</w:t>
      </w:r>
      <w:r w:rsidR="003A5D60" w:rsidRPr="00390647">
        <w:rPr>
          <w:rFonts w:ascii="Arial Narrow" w:hAnsi="Arial Narrow" w:cs="Tahoma"/>
          <w:b/>
          <w:sz w:val="28"/>
          <w:szCs w:val="24"/>
        </w:rPr>
        <w:t xml:space="preserve"> 2023</w:t>
      </w:r>
      <w:r w:rsidR="00C679AA" w:rsidRPr="00390647">
        <w:rPr>
          <w:rFonts w:ascii="Arial Narrow" w:hAnsi="Arial Narrow" w:cs="Tahoma"/>
          <w:b/>
          <w:sz w:val="28"/>
          <w:szCs w:val="24"/>
        </w:rPr>
        <w:t xml:space="preserve">) </w:t>
      </w:r>
      <w:r w:rsidR="00A57787" w:rsidRPr="00390647">
        <w:rPr>
          <w:rFonts w:ascii="Arial Narrow" w:hAnsi="Arial Narrow" w:cs="Tahoma"/>
          <w:b/>
          <w:sz w:val="28"/>
          <w:szCs w:val="24"/>
        </w:rPr>
        <w:t>2</w:t>
      </w:r>
      <w:r w:rsidRPr="00390647">
        <w:rPr>
          <w:rFonts w:ascii="Arial Narrow" w:hAnsi="Arial Narrow" w:cs="Tahoma"/>
          <w:b/>
          <w:sz w:val="28"/>
          <w:szCs w:val="24"/>
        </w:rPr>
        <w:t>.</w:t>
      </w:r>
      <w:r w:rsidR="0070406B" w:rsidRPr="00390647">
        <w:rPr>
          <w:rFonts w:ascii="Arial Narrow" w:hAnsi="Arial Narrow" w:cs="Tahoma"/>
          <w:b/>
          <w:sz w:val="28"/>
          <w:szCs w:val="24"/>
        </w:rPr>
        <w:t>5</w:t>
      </w:r>
      <w:r w:rsidR="00B50951" w:rsidRPr="00390647">
        <w:rPr>
          <w:rFonts w:ascii="Arial Narrow" w:hAnsi="Arial Narrow" w:cs="Tahoma"/>
          <w:b/>
          <w:sz w:val="28"/>
          <w:szCs w:val="24"/>
        </w:rPr>
        <w:t>%</w:t>
      </w:r>
    </w:p>
    <w:p w:rsidR="00B50951" w:rsidRPr="00390647" w:rsidRDefault="00B50951" w:rsidP="00B50951">
      <w:pPr>
        <w:rPr>
          <w:rFonts w:ascii="Arial Narrow" w:hAnsi="Arial Narrow" w:cs="Tahoma"/>
          <w:b/>
          <w:sz w:val="28"/>
          <w:szCs w:val="24"/>
        </w:rPr>
      </w:pPr>
    </w:p>
    <w:p w:rsidR="00C72828" w:rsidRPr="00390647" w:rsidRDefault="00C72828" w:rsidP="00C72828">
      <w:pPr>
        <w:jc w:val="both"/>
        <w:rPr>
          <w:rFonts w:ascii="Arial Narrow" w:hAnsi="Arial Narrow" w:cs="Tahoma"/>
          <w:sz w:val="22"/>
          <w:szCs w:val="22"/>
        </w:rPr>
      </w:pPr>
      <w:r w:rsidRPr="00390647">
        <w:rPr>
          <w:rFonts w:ascii="Arial Narrow" w:hAnsi="Arial Narrow" w:cs="Tahoma"/>
          <w:sz w:val="22"/>
          <w:szCs w:val="22"/>
        </w:rPr>
        <w:t xml:space="preserve">Prices of products and services used for personal consumption in Republika Srpska, measured with the consumer price index, in </w:t>
      </w:r>
      <w:r w:rsidR="00A44DBC" w:rsidRPr="00390647">
        <w:rPr>
          <w:rFonts w:ascii="Arial Narrow" w:hAnsi="Arial Narrow" w:cs="Tahoma"/>
          <w:sz w:val="22"/>
          <w:szCs w:val="22"/>
        </w:rPr>
        <w:t>April</w:t>
      </w:r>
      <w:r w:rsidRPr="00390647">
        <w:rPr>
          <w:rFonts w:ascii="Arial Narrow" w:hAnsi="Arial Narrow" w:cs="Tahoma"/>
          <w:sz w:val="22"/>
          <w:szCs w:val="22"/>
        </w:rPr>
        <w:t xml:space="preserve"> 2024, compared to the previous month, </w:t>
      </w:r>
      <w:r w:rsidR="00A44DBC" w:rsidRPr="00390647">
        <w:rPr>
          <w:rFonts w:ascii="Arial Narrow" w:hAnsi="Arial Narrow" w:cs="Tahoma"/>
          <w:sz w:val="22"/>
          <w:szCs w:val="22"/>
        </w:rPr>
        <w:t>remained on average at the same level</w:t>
      </w:r>
      <w:r w:rsidRPr="00390647">
        <w:rPr>
          <w:rFonts w:ascii="Arial Narrow" w:hAnsi="Arial Narrow" w:cs="Tahoma"/>
          <w:sz w:val="22"/>
          <w:szCs w:val="22"/>
        </w:rPr>
        <w:t>, while compared to the same month of the previous year the</w:t>
      </w:r>
      <w:r w:rsidR="00A44DBC" w:rsidRPr="00390647">
        <w:rPr>
          <w:rFonts w:ascii="Arial Narrow" w:hAnsi="Arial Narrow" w:cs="Tahoma"/>
          <w:sz w:val="22"/>
          <w:szCs w:val="22"/>
        </w:rPr>
        <w:t>y were on average 2.5</w:t>
      </w:r>
      <w:r w:rsidRPr="00390647">
        <w:rPr>
          <w:rFonts w:ascii="Arial Narrow" w:hAnsi="Arial Narrow" w:cs="Tahoma"/>
          <w:sz w:val="22"/>
          <w:szCs w:val="22"/>
        </w:rPr>
        <w:t>% higher.</w:t>
      </w:r>
    </w:p>
    <w:p w:rsidR="00C72828" w:rsidRPr="00390647" w:rsidRDefault="00C72828" w:rsidP="00C72828">
      <w:pPr>
        <w:jc w:val="both"/>
        <w:rPr>
          <w:rFonts w:ascii="Arial Narrow" w:hAnsi="Arial Narrow" w:cs="Tahoma"/>
          <w:sz w:val="22"/>
          <w:szCs w:val="22"/>
        </w:rPr>
      </w:pPr>
    </w:p>
    <w:p w:rsidR="00C72828" w:rsidRPr="00390647" w:rsidRDefault="00C72828" w:rsidP="00C72828">
      <w:pPr>
        <w:jc w:val="both"/>
        <w:rPr>
          <w:rFonts w:ascii="Arial Narrow" w:hAnsi="Arial Narrow" w:cs="Tahoma"/>
          <w:sz w:val="22"/>
          <w:szCs w:val="22"/>
        </w:rPr>
      </w:pPr>
      <w:r w:rsidRPr="00390647">
        <w:rPr>
          <w:rFonts w:ascii="Arial Narrow" w:hAnsi="Arial Narrow" w:cs="Tahoma"/>
          <w:sz w:val="22"/>
          <w:szCs w:val="22"/>
        </w:rPr>
        <w:t>Of the 12 main divisions of products and services, an increase in prices was recorded in eleven divisions, while a decrease was recorded in one division.</w:t>
      </w:r>
    </w:p>
    <w:p w:rsidR="0070406B" w:rsidRPr="00390647" w:rsidRDefault="0070406B" w:rsidP="003A5D60">
      <w:pPr>
        <w:jc w:val="both"/>
        <w:rPr>
          <w:rFonts w:ascii="Arial Narrow" w:hAnsi="Arial Narrow" w:cs="Tahoma"/>
          <w:sz w:val="22"/>
          <w:szCs w:val="22"/>
        </w:rPr>
      </w:pPr>
    </w:p>
    <w:p w:rsidR="00A44DBC" w:rsidRPr="00390647" w:rsidRDefault="00A44DBC" w:rsidP="00A44DBC">
      <w:pPr>
        <w:jc w:val="both"/>
        <w:rPr>
          <w:rFonts w:ascii="Arial Narrow" w:hAnsi="Arial Narrow" w:cs="Tahoma"/>
          <w:sz w:val="22"/>
          <w:szCs w:val="22"/>
        </w:rPr>
      </w:pPr>
      <w:r w:rsidRPr="00390647">
        <w:rPr>
          <w:rFonts w:ascii="Arial Narrow" w:hAnsi="Arial Narrow" w:cs="Tahoma"/>
          <w:sz w:val="22"/>
          <w:szCs w:val="22"/>
        </w:rPr>
        <w:t xml:space="preserve">The highest annual increase in prices in </w:t>
      </w:r>
      <w:r w:rsidRPr="00390647">
        <w:rPr>
          <w:rFonts w:ascii="Arial Narrow" w:hAnsi="Arial Narrow" w:cs="Tahoma"/>
          <w:sz w:val="22"/>
          <w:szCs w:val="22"/>
        </w:rPr>
        <w:t>April</w:t>
      </w:r>
      <w:r w:rsidRPr="00390647">
        <w:rPr>
          <w:rFonts w:ascii="Arial Narrow" w:hAnsi="Arial Narrow" w:cs="Tahoma"/>
          <w:sz w:val="22"/>
          <w:szCs w:val="22"/>
        </w:rPr>
        <w:t xml:space="preserve"> 2024 was recorded in the division </w:t>
      </w:r>
      <w:r w:rsidRPr="00390647">
        <w:rPr>
          <w:rFonts w:ascii="Arial Narrow" w:hAnsi="Arial Narrow" w:cs="Tahoma"/>
          <w:i/>
          <w:sz w:val="22"/>
          <w:szCs w:val="22"/>
        </w:rPr>
        <w:t xml:space="preserve">Restaurants and hotels, </w:t>
      </w:r>
      <w:r w:rsidRPr="00390647">
        <w:rPr>
          <w:rFonts w:ascii="Arial Narrow" w:hAnsi="Arial Narrow" w:cs="Tahoma"/>
          <w:sz w:val="22"/>
          <w:szCs w:val="22"/>
        </w:rPr>
        <w:t>by 6.9</w:t>
      </w:r>
      <w:r w:rsidRPr="00390647">
        <w:rPr>
          <w:rFonts w:ascii="Arial Narrow" w:hAnsi="Arial Narrow" w:cs="Tahoma"/>
          <w:sz w:val="22"/>
          <w:szCs w:val="22"/>
        </w:rPr>
        <w:t xml:space="preserve">%, due to higher prices in the group accommodation services by 13.3%. An increase in prices was also recorded in the division </w:t>
      </w:r>
      <w:r w:rsidRPr="00390647">
        <w:rPr>
          <w:rFonts w:ascii="Arial Narrow" w:hAnsi="Arial Narrow" w:cs="Tahoma"/>
          <w:i/>
          <w:sz w:val="22"/>
          <w:szCs w:val="22"/>
        </w:rPr>
        <w:t xml:space="preserve">Other goods and services, </w:t>
      </w:r>
      <w:r w:rsidRPr="00390647">
        <w:rPr>
          <w:rFonts w:ascii="Arial Narrow" w:hAnsi="Arial Narrow" w:cs="Tahoma"/>
          <w:sz w:val="22"/>
          <w:szCs w:val="22"/>
        </w:rPr>
        <w:t xml:space="preserve">by </w:t>
      </w:r>
      <w:r w:rsidRPr="00390647">
        <w:rPr>
          <w:rFonts w:ascii="Arial Narrow" w:hAnsi="Arial Narrow" w:cs="Tahoma"/>
          <w:sz w:val="22"/>
          <w:szCs w:val="22"/>
        </w:rPr>
        <w:t>5.4</w:t>
      </w:r>
      <w:r w:rsidRPr="00390647">
        <w:rPr>
          <w:rFonts w:ascii="Arial Narrow" w:hAnsi="Arial Narrow" w:cs="Tahoma"/>
          <w:sz w:val="22"/>
          <w:szCs w:val="22"/>
        </w:rPr>
        <w:t xml:space="preserve">%, due to higher prices in the group personal care </w:t>
      </w:r>
      <w:r w:rsidRPr="00390647">
        <w:rPr>
          <w:rFonts w:ascii="Arial Narrow" w:hAnsi="Arial Narrow" w:cs="Tahoma"/>
          <w:sz w:val="22"/>
          <w:szCs w:val="22"/>
        </w:rPr>
        <w:t>products by 8.8</w:t>
      </w:r>
      <w:r w:rsidRPr="00390647">
        <w:rPr>
          <w:rFonts w:ascii="Arial Narrow" w:hAnsi="Arial Narrow" w:cs="Tahoma"/>
          <w:sz w:val="22"/>
          <w:szCs w:val="22"/>
        </w:rPr>
        <w:t xml:space="preserve">%. An increase in prices by </w:t>
      </w:r>
      <w:r w:rsidRPr="00390647">
        <w:rPr>
          <w:rFonts w:ascii="Arial Narrow" w:hAnsi="Arial Narrow" w:cs="Tahoma"/>
          <w:sz w:val="22"/>
          <w:szCs w:val="22"/>
        </w:rPr>
        <w:t>4.5</w:t>
      </w:r>
      <w:r w:rsidRPr="00390647">
        <w:rPr>
          <w:rFonts w:ascii="Arial Narrow" w:hAnsi="Arial Narrow" w:cs="Tahoma"/>
          <w:sz w:val="22"/>
          <w:szCs w:val="22"/>
        </w:rPr>
        <w:t xml:space="preserve">% recorded in the division </w:t>
      </w:r>
      <w:r w:rsidRPr="00390647">
        <w:rPr>
          <w:rFonts w:ascii="Arial Narrow" w:hAnsi="Arial Narrow" w:cs="Tahoma"/>
          <w:i/>
          <w:sz w:val="22"/>
          <w:szCs w:val="22"/>
        </w:rPr>
        <w:t>Recreation and culture</w:t>
      </w:r>
      <w:r w:rsidRPr="00390647">
        <w:rPr>
          <w:rFonts w:ascii="Arial Narrow" w:hAnsi="Arial Narrow" w:cs="Tahoma"/>
          <w:sz w:val="22"/>
          <w:szCs w:val="22"/>
        </w:rPr>
        <w:t xml:space="preserve"> occurred due to higher prices in the group books and textbooks by </w:t>
      </w:r>
      <w:r w:rsidRPr="00390647">
        <w:rPr>
          <w:rFonts w:ascii="Arial Narrow" w:hAnsi="Arial Narrow" w:cs="Tahoma"/>
          <w:sz w:val="22"/>
          <w:szCs w:val="22"/>
        </w:rPr>
        <w:t>10.5</w:t>
      </w:r>
      <w:r w:rsidRPr="00390647">
        <w:rPr>
          <w:rFonts w:ascii="Arial Narrow" w:hAnsi="Arial Narrow" w:cs="Tahoma"/>
          <w:sz w:val="22"/>
          <w:szCs w:val="22"/>
        </w:rPr>
        <w:t>%, wh</w:t>
      </w:r>
      <w:r w:rsidRPr="00390647">
        <w:rPr>
          <w:rFonts w:ascii="Arial Narrow" w:hAnsi="Arial Narrow" w:cs="Tahoma"/>
          <w:sz w:val="22"/>
          <w:szCs w:val="22"/>
        </w:rPr>
        <w:t>ile an increase in prices by 4.5</w:t>
      </w:r>
      <w:r w:rsidRPr="00390647">
        <w:rPr>
          <w:rFonts w:ascii="Arial Narrow" w:hAnsi="Arial Narrow" w:cs="Tahoma"/>
          <w:sz w:val="22"/>
          <w:szCs w:val="22"/>
        </w:rPr>
        <w:t xml:space="preserve">% recorded in the division </w:t>
      </w:r>
      <w:r w:rsidRPr="00390647">
        <w:rPr>
          <w:rFonts w:ascii="Arial Narrow" w:hAnsi="Arial Narrow" w:cs="Tahoma"/>
          <w:i/>
          <w:sz w:val="22"/>
          <w:szCs w:val="22"/>
        </w:rPr>
        <w:t>Alcoholic beverages and tobacco</w:t>
      </w:r>
      <w:r w:rsidRPr="00390647">
        <w:rPr>
          <w:rFonts w:ascii="Arial Narrow" w:hAnsi="Arial Narrow" w:cs="Tahoma"/>
          <w:sz w:val="22"/>
          <w:szCs w:val="22"/>
        </w:rPr>
        <w:t xml:space="preserve"> occurred due to higher prices in the group beer by </w:t>
      </w:r>
      <w:r w:rsidRPr="00390647">
        <w:rPr>
          <w:rFonts w:ascii="Arial Narrow" w:hAnsi="Arial Narrow" w:cs="Tahoma"/>
          <w:sz w:val="22"/>
          <w:szCs w:val="22"/>
        </w:rPr>
        <w:t>9.1</w:t>
      </w:r>
      <w:r w:rsidRPr="00390647">
        <w:rPr>
          <w:rFonts w:ascii="Arial Narrow" w:hAnsi="Arial Narrow" w:cs="Tahoma"/>
          <w:sz w:val="22"/>
          <w:szCs w:val="22"/>
        </w:rPr>
        <w:t>%.</w:t>
      </w:r>
      <w:r w:rsidRPr="00390647">
        <w:t xml:space="preserve"> </w:t>
      </w:r>
      <w:r w:rsidRPr="00390647">
        <w:rPr>
          <w:rFonts w:ascii="Arial Narrow" w:hAnsi="Arial Narrow" w:cs="Tahoma"/>
          <w:sz w:val="22"/>
          <w:szCs w:val="22"/>
        </w:rPr>
        <w:t xml:space="preserve">In the division </w:t>
      </w:r>
      <w:r w:rsidRPr="00390647">
        <w:rPr>
          <w:rFonts w:ascii="Arial Narrow" w:hAnsi="Arial Narrow" w:cs="Tahoma"/>
          <w:i/>
          <w:sz w:val="22"/>
          <w:szCs w:val="22"/>
        </w:rPr>
        <w:t>Transport</w:t>
      </w:r>
      <w:r w:rsidRPr="00390647">
        <w:rPr>
          <w:rFonts w:ascii="Arial Narrow" w:hAnsi="Arial Narrow" w:cs="Tahoma"/>
          <w:sz w:val="22"/>
          <w:szCs w:val="22"/>
        </w:rPr>
        <w:t xml:space="preserve"> an increase in prices by 3.0% was recorded, due to higher prices in the group other motor vehicle related services by 24.6%.</w:t>
      </w:r>
    </w:p>
    <w:p w:rsidR="00A44DBC" w:rsidRPr="00390647" w:rsidRDefault="00A44DBC" w:rsidP="003A5D60">
      <w:pPr>
        <w:jc w:val="both"/>
        <w:rPr>
          <w:rFonts w:ascii="Arial Narrow" w:hAnsi="Arial Narrow" w:cs="Tahoma"/>
          <w:sz w:val="22"/>
          <w:szCs w:val="22"/>
        </w:rPr>
      </w:pPr>
    </w:p>
    <w:p w:rsidR="00A44DBC" w:rsidRPr="00390647" w:rsidRDefault="00A44DBC" w:rsidP="00A44DBC">
      <w:pPr>
        <w:jc w:val="both"/>
        <w:rPr>
          <w:rFonts w:ascii="Arial Narrow" w:hAnsi="Arial Narrow" w:cs="Tahoma"/>
          <w:sz w:val="22"/>
          <w:szCs w:val="22"/>
        </w:rPr>
      </w:pPr>
      <w:r w:rsidRPr="00390647">
        <w:rPr>
          <w:rFonts w:ascii="Arial Narrow" w:hAnsi="Arial Narrow" w:cs="Tahoma"/>
          <w:sz w:val="22"/>
          <w:szCs w:val="22"/>
        </w:rPr>
        <w:t xml:space="preserve">An increase in prices was recorded in the following divisions as well: </w:t>
      </w:r>
      <w:r w:rsidRPr="00390647">
        <w:rPr>
          <w:rFonts w:ascii="Arial Narrow" w:hAnsi="Arial Narrow" w:cs="Tahoma"/>
          <w:i/>
          <w:sz w:val="22"/>
          <w:szCs w:val="22"/>
        </w:rPr>
        <w:t>Health</w:t>
      </w:r>
      <w:r w:rsidRPr="00390647">
        <w:rPr>
          <w:rFonts w:ascii="Arial Narrow" w:hAnsi="Arial Narrow" w:cs="Tahoma"/>
          <w:sz w:val="22"/>
          <w:szCs w:val="22"/>
        </w:rPr>
        <w:t>, by 2.9</w:t>
      </w:r>
      <w:r w:rsidRPr="00390647">
        <w:rPr>
          <w:rFonts w:ascii="Arial Narrow" w:hAnsi="Arial Narrow" w:cs="Tahoma"/>
          <w:sz w:val="22"/>
          <w:szCs w:val="22"/>
        </w:rPr>
        <w:t xml:space="preserve">%, due to higher prices in the group medical equipment and supplies by </w:t>
      </w:r>
      <w:r w:rsidRPr="00390647">
        <w:rPr>
          <w:rFonts w:ascii="Arial Narrow" w:hAnsi="Arial Narrow" w:cs="Tahoma"/>
          <w:sz w:val="22"/>
          <w:szCs w:val="22"/>
        </w:rPr>
        <w:t>6.0</w:t>
      </w:r>
      <w:r w:rsidRPr="00390647">
        <w:rPr>
          <w:rFonts w:ascii="Arial Narrow" w:hAnsi="Arial Narrow" w:cs="Tahoma"/>
          <w:sz w:val="22"/>
          <w:szCs w:val="22"/>
        </w:rPr>
        <w:t>%</w:t>
      </w:r>
      <w:r w:rsidRPr="00390647">
        <w:rPr>
          <w:rFonts w:ascii="Arial Narrow" w:hAnsi="Arial Narrow" w:cs="Tahoma"/>
          <w:sz w:val="22"/>
          <w:szCs w:val="22"/>
        </w:rPr>
        <w:t xml:space="preserve">; </w:t>
      </w:r>
      <w:r w:rsidRPr="00390647">
        <w:rPr>
          <w:rFonts w:ascii="Arial Narrow" w:hAnsi="Arial Narrow" w:cs="Tahoma"/>
          <w:i/>
          <w:sz w:val="22"/>
          <w:szCs w:val="22"/>
        </w:rPr>
        <w:t xml:space="preserve">Furnishings and household equipment, </w:t>
      </w:r>
      <w:r w:rsidRPr="00390647">
        <w:rPr>
          <w:rFonts w:ascii="Arial Narrow" w:hAnsi="Arial Narrow" w:cs="Tahoma"/>
          <w:sz w:val="22"/>
          <w:szCs w:val="22"/>
        </w:rPr>
        <w:t xml:space="preserve">by </w:t>
      </w:r>
      <w:r w:rsidRPr="00390647">
        <w:rPr>
          <w:rFonts w:ascii="Arial Narrow" w:hAnsi="Arial Narrow" w:cs="Tahoma"/>
          <w:sz w:val="22"/>
          <w:szCs w:val="22"/>
        </w:rPr>
        <w:t>2.3</w:t>
      </w:r>
      <w:r w:rsidRPr="00390647">
        <w:rPr>
          <w:rFonts w:ascii="Arial Narrow" w:hAnsi="Arial Narrow" w:cs="Tahoma"/>
          <w:sz w:val="22"/>
          <w:szCs w:val="22"/>
        </w:rPr>
        <w:t xml:space="preserve">%, due to higher prices in the group repair of household appliances by 37.0%; </w:t>
      </w:r>
      <w:r w:rsidRPr="00390647">
        <w:rPr>
          <w:rFonts w:ascii="Arial Narrow" w:hAnsi="Arial Narrow" w:cs="Tahoma"/>
          <w:i/>
          <w:sz w:val="22"/>
          <w:szCs w:val="22"/>
        </w:rPr>
        <w:t xml:space="preserve">Housing, </w:t>
      </w:r>
      <w:r w:rsidRPr="00390647">
        <w:rPr>
          <w:rFonts w:ascii="Arial Narrow" w:hAnsi="Arial Narrow" w:cs="Tahoma"/>
          <w:sz w:val="22"/>
          <w:szCs w:val="22"/>
        </w:rPr>
        <w:t xml:space="preserve">by </w:t>
      </w:r>
      <w:r w:rsidRPr="00390647">
        <w:rPr>
          <w:rFonts w:ascii="Arial Narrow" w:hAnsi="Arial Narrow" w:cs="Tahoma"/>
          <w:sz w:val="22"/>
          <w:szCs w:val="22"/>
        </w:rPr>
        <w:t>2.1</w:t>
      </w:r>
      <w:r w:rsidRPr="00390647">
        <w:rPr>
          <w:rFonts w:ascii="Arial Narrow" w:hAnsi="Arial Narrow" w:cs="Tahoma"/>
          <w:sz w:val="22"/>
          <w:szCs w:val="22"/>
        </w:rPr>
        <w:t xml:space="preserve">%, due to higher prices in the group services for the maintenance and repair of the dwelling by </w:t>
      </w:r>
      <w:r w:rsidRPr="00390647">
        <w:rPr>
          <w:rFonts w:ascii="Arial Narrow" w:hAnsi="Arial Narrow" w:cs="Tahoma"/>
          <w:sz w:val="22"/>
          <w:szCs w:val="22"/>
        </w:rPr>
        <w:t>15.2</w:t>
      </w:r>
      <w:r w:rsidRPr="00390647">
        <w:rPr>
          <w:rFonts w:ascii="Arial Narrow" w:hAnsi="Arial Narrow" w:cs="Tahoma"/>
          <w:sz w:val="22"/>
          <w:szCs w:val="22"/>
        </w:rPr>
        <w:t>%</w:t>
      </w:r>
      <w:r w:rsidRPr="00390647">
        <w:rPr>
          <w:rFonts w:ascii="Arial Narrow" w:hAnsi="Arial Narrow" w:cs="Tahoma"/>
          <w:sz w:val="22"/>
          <w:szCs w:val="22"/>
        </w:rPr>
        <w:t xml:space="preserve">. </w:t>
      </w:r>
    </w:p>
    <w:p w:rsidR="0070406B" w:rsidRPr="00390647" w:rsidRDefault="0070406B" w:rsidP="0070406B">
      <w:pPr>
        <w:jc w:val="both"/>
        <w:rPr>
          <w:rFonts w:ascii="Arial Narrow" w:hAnsi="Arial Narrow" w:cs="Tahoma"/>
          <w:sz w:val="22"/>
          <w:szCs w:val="22"/>
        </w:rPr>
      </w:pPr>
    </w:p>
    <w:p w:rsidR="0070406B" w:rsidRPr="00390647" w:rsidRDefault="00A44DBC" w:rsidP="0070406B">
      <w:pPr>
        <w:jc w:val="both"/>
        <w:rPr>
          <w:rFonts w:ascii="Arial Narrow" w:hAnsi="Arial Narrow" w:cs="Arial"/>
          <w:sz w:val="22"/>
          <w:szCs w:val="22"/>
        </w:rPr>
      </w:pPr>
      <w:r w:rsidRPr="00390647">
        <w:rPr>
          <w:rFonts w:ascii="Arial Narrow" w:hAnsi="Arial Narrow" w:cs="Tahoma"/>
          <w:sz w:val="22"/>
          <w:szCs w:val="22"/>
        </w:rPr>
        <w:t>A</w:t>
      </w:r>
      <w:r w:rsidRPr="00390647">
        <w:rPr>
          <w:rFonts w:ascii="Arial Narrow" w:hAnsi="Arial Narrow" w:cs="Tahoma"/>
          <w:sz w:val="22"/>
          <w:szCs w:val="22"/>
        </w:rPr>
        <w:t xml:space="preserve">n increase in prices by </w:t>
      </w:r>
      <w:r w:rsidRPr="00390647">
        <w:rPr>
          <w:rFonts w:ascii="Arial Narrow" w:hAnsi="Arial Narrow" w:cs="Tahoma"/>
          <w:sz w:val="22"/>
          <w:szCs w:val="22"/>
        </w:rPr>
        <w:t>2.0</w:t>
      </w:r>
      <w:r w:rsidRPr="00390647">
        <w:rPr>
          <w:rFonts w:ascii="Arial Narrow" w:hAnsi="Arial Narrow" w:cs="Tahoma"/>
          <w:sz w:val="22"/>
          <w:szCs w:val="22"/>
        </w:rPr>
        <w:t xml:space="preserve">% recorded in the division </w:t>
      </w:r>
      <w:r w:rsidRPr="00390647">
        <w:rPr>
          <w:rFonts w:ascii="Arial Narrow" w:hAnsi="Arial Narrow" w:cs="Tahoma"/>
          <w:i/>
          <w:sz w:val="22"/>
          <w:szCs w:val="22"/>
        </w:rPr>
        <w:t xml:space="preserve">Food and non-alcoholic beverages </w:t>
      </w:r>
      <w:r w:rsidRPr="00390647">
        <w:rPr>
          <w:rFonts w:ascii="Arial Narrow" w:hAnsi="Arial Narrow" w:cs="Tahoma"/>
          <w:sz w:val="22"/>
          <w:szCs w:val="22"/>
        </w:rPr>
        <w:t>occurred due to higher prices in the group</w:t>
      </w:r>
      <w:r w:rsidRPr="00390647">
        <w:rPr>
          <w:rFonts w:ascii="Arial Narrow" w:hAnsi="Arial Narrow" w:cs="Tahoma"/>
          <w:sz w:val="22"/>
          <w:szCs w:val="22"/>
        </w:rPr>
        <w:t xml:space="preserve"> mineral water and juices by 9.0</w:t>
      </w:r>
      <w:r w:rsidRPr="00390647">
        <w:rPr>
          <w:rFonts w:ascii="Arial Narrow" w:hAnsi="Arial Narrow" w:cs="Tahoma"/>
          <w:sz w:val="22"/>
          <w:szCs w:val="22"/>
        </w:rPr>
        <w:t>% and in the group</w:t>
      </w:r>
      <w:r w:rsidRPr="00390647">
        <w:rPr>
          <w:rFonts w:ascii="Arial Narrow" w:hAnsi="Arial Narrow" w:cs="Tahoma"/>
          <w:sz w:val="22"/>
          <w:szCs w:val="22"/>
        </w:rPr>
        <w:t xml:space="preserve"> other food products by 7.4%, while an increase in prices by 1.5% recorded in the division </w:t>
      </w:r>
      <w:r w:rsidRPr="00390647">
        <w:rPr>
          <w:rFonts w:ascii="Arial Narrow" w:hAnsi="Arial Narrow" w:cs="Tahoma"/>
          <w:i/>
          <w:sz w:val="22"/>
          <w:szCs w:val="22"/>
        </w:rPr>
        <w:t xml:space="preserve">Communication </w:t>
      </w:r>
      <w:r w:rsidRPr="00390647">
        <w:rPr>
          <w:rFonts w:ascii="Arial Narrow" w:hAnsi="Arial Narrow" w:cs="Tahoma"/>
          <w:sz w:val="22"/>
          <w:szCs w:val="22"/>
        </w:rPr>
        <w:t xml:space="preserve">occurred due to higher prices in the telephone and internet services by </w:t>
      </w:r>
      <w:r w:rsidRPr="00390647">
        <w:rPr>
          <w:rFonts w:ascii="Arial Narrow" w:hAnsi="Arial Narrow" w:cs="Tahoma"/>
          <w:sz w:val="22"/>
          <w:szCs w:val="22"/>
        </w:rPr>
        <w:t>1.7</w:t>
      </w:r>
      <w:r w:rsidRPr="00390647">
        <w:rPr>
          <w:rFonts w:ascii="Arial Narrow" w:hAnsi="Arial Narrow" w:cs="Tahoma"/>
          <w:sz w:val="22"/>
          <w:szCs w:val="22"/>
        </w:rPr>
        <w:t>%</w:t>
      </w:r>
      <w:r w:rsidRPr="00390647">
        <w:rPr>
          <w:rFonts w:ascii="Arial Narrow" w:hAnsi="Arial Narrow" w:cs="Tahoma"/>
          <w:sz w:val="22"/>
          <w:szCs w:val="22"/>
        </w:rPr>
        <w:t xml:space="preserve">. An increase in prices by 0.8% recorded in the division </w:t>
      </w:r>
      <w:r w:rsidRPr="00390647">
        <w:rPr>
          <w:rFonts w:ascii="Arial Narrow" w:hAnsi="Arial Narrow" w:cs="Tahoma"/>
          <w:i/>
          <w:sz w:val="22"/>
          <w:szCs w:val="22"/>
        </w:rPr>
        <w:t>Education</w:t>
      </w:r>
      <w:r w:rsidRPr="00390647">
        <w:rPr>
          <w:rFonts w:ascii="Arial Narrow" w:hAnsi="Arial Narrow" w:cs="Tahoma"/>
          <w:sz w:val="22"/>
          <w:szCs w:val="22"/>
        </w:rPr>
        <w:t xml:space="preserve"> occurred due to higher prices in the group non-advanced education by 7.9%.</w:t>
      </w:r>
    </w:p>
    <w:p w:rsidR="0070406B" w:rsidRPr="00390647" w:rsidRDefault="0070406B" w:rsidP="0070406B">
      <w:pPr>
        <w:jc w:val="both"/>
        <w:rPr>
          <w:rFonts w:ascii="Arial Narrow" w:hAnsi="Arial Narrow" w:cs="Tahoma"/>
          <w:sz w:val="22"/>
          <w:szCs w:val="22"/>
        </w:rPr>
      </w:pPr>
    </w:p>
    <w:p w:rsidR="00407ECC" w:rsidRPr="00390647" w:rsidRDefault="00407ECC" w:rsidP="00407ECC">
      <w:pPr>
        <w:spacing w:after="120"/>
        <w:jc w:val="both"/>
        <w:rPr>
          <w:rFonts w:ascii="Arial Narrow" w:hAnsi="Arial Narrow" w:cs="Tahoma"/>
          <w:sz w:val="22"/>
          <w:szCs w:val="22"/>
        </w:rPr>
      </w:pPr>
      <w:r w:rsidRPr="00390647">
        <w:rPr>
          <w:rFonts w:ascii="Arial Narrow" w:hAnsi="Arial Narrow" w:cs="Tahoma"/>
          <w:sz w:val="22"/>
          <w:szCs w:val="22"/>
        </w:rPr>
        <w:t xml:space="preserve">A decrease in prices at the annual level in </w:t>
      </w:r>
      <w:r w:rsidRPr="00390647">
        <w:rPr>
          <w:rFonts w:ascii="Arial Narrow" w:hAnsi="Arial Narrow" w:cs="Tahoma"/>
          <w:sz w:val="22"/>
          <w:szCs w:val="22"/>
        </w:rPr>
        <w:t>April</w:t>
      </w:r>
      <w:r w:rsidRPr="00390647">
        <w:rPr>
          <w:rFonts w:ascii="Arial Narrow" w:hAnsi="Arial Narrow" w:cs="Tahoma"/>
          <w:sz w:val="22"/>
          <w:szCs w:val="22"/>
        </w:rPr>
        <w:t xml:space="preserve"> 2024 was recorded in the division </w:t>
      </w:r>
      <w:r w:rsidRPr="00390647">
        <w:rPr>
          <w:rFonts w:ascii="Arial Narrow" w:hAnsi="Arial Narrow" w:cs="Tahoma"/>
          <w:i/>
          <w:sz w:val="22"/>
          <w:szCs w:val="22"/>
        </w:rPr>
        <w:t>Clothing and footwear</w:t>
      </w:r>
      <w:r w:rsidRPr="00390647">
        <w:rPr>
          <w:rFonts w:ascii="Arial Narrow" w:hAnsi="Arial Narrow" w:cs="Tahoma"/>
          <w:sz w:val="22"/>
          <w:szCs w:val="22"/>
        </w:rPr>
        <w:t>, by 7.5</w:t>
      </w:r>
      <w:r w:rsidRPr="00390647">
        <w:rPr>
          <w:rFonts w:ascii="Arial Narrow" w:hAnsi="Arial Narrow" w:cs="Tahoma"/>
          <w:sz w:val="22"/>
          <w:szCs w:val="22"/>
        </w:rPr>
        <w:t xml:space="preserve">%, due to seasonal discounts on ready-made clothing and footwear during the year. </w:t>
      </w:r>
    </w:p>
    <w:p w:rsidR="00502006" w:rsidRPr="00390647" w:rsidRDefault="00502006" w:rsidP="003A5D60">
      <w:pPr>
        <w:jc w:val="both"/>
        <w:rPr>
          <w:rFonts w:ascii="Arial Narrow" w:hAnsi="Arial Narrow" w:cs="Tahoma"/>
          <w:color w:val="FF0000"/>
          <w:sz w:val="22"/>
          <w:szCs w:val="22"/>
        </w:rPr>
      </w:pPr>
    </w:p>
    <w:p w:rsidR="00502006" w:rsidRPr="00390647" w:rsidRDefault="00502006" w:rsidP="00502006">
      <w:pPr>
        <w:rPr>
          <w:rFonts w:ascii="Arial Narrow" w:hAnsi="Arial Narrow" w:cs="Tahoma"/>
          <w:color w:val="FF0000"/>
          <w:sz w:val="16"/>
          <w:szCs w:val="16"/>
        </w:rPr>
      </w:pPr>
    </w:p>
    <w:p w:rsidR="009A53BA" w:rsidRPr="00390647" w:rsidRDefault="009A53BA" w:rsidP="00502006">
      <w:pPr>
        <w:rPr>
          <w:rFonts w:ascii="Arial Narrow" w:hAnsi="Arial Narrow" w:cs="Tahoma"/>
          <w:color w:val="FF0000"/>
          <w:sz w:val="16"/>
          <w:szCs w:val="16"/>
        </w:rPr>
      </w:pPr>
    </w:p>
    <w:p w:rsidR="00502006" w:rsidRPr="00390647" w:rsidRDefault="00B5409E" w:rsidP="00502006">
      <w:pPr>
        <w:jc w:val="center"/>
        <w:rPr>
          <w:rFonts w:ascii="Arial Narrow" w:hAnsi="Arial Narrow" w:cs="Tahoma"/>
          <w:color w:val="FF0000"/>
          <w:sz w:val="16"/>
          <w:szCs w:val="16"/>
        </w:rPr>
      </w:pPr>
      <w:r w:rsidRPr="0039064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69C451" wp14:editId="259D4BDE">
                <wp:simplePos x="0" y="0"/>
                <wp:positionH relativeFrom="margin">
                  <wp:posOffset>2259991</wp:posOffset>
                </wp:positionH>
                <wp:positionV relativeFrom="paragraph">
                  <wp:posOffset>2284375</wp:posOffset>
                </wp:positionV>
                <wp:extent cx="906145" cy="294199"/>
                <wp:effectExtent l="0" t="0" r="8255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145" cy="2941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5409E" w:rsidRDefault="00B5409E" w:rsidP="00B5409E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Monthly 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9C451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177.95pt;margin-top:179.85pt;width:71.35pt;height:23.1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" fillcolor="window" stroked="f" strokeweight=".5pt">
                <v:textbox>
                  <w:txbxContent>
                    <w:p w:rsidR="00B5409E" w:rsidRDefault="00B5409E" w:rsidP="00B5409E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Monthly inflation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9064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7F7F2E" wp14:editId="783ED050">
                <wp:simplePos x="0" y="0"/>
                <wp:positionH relativeFrom="margin">
                  <wp:posOffset>3539769</wp:posOffset>
                </wp:positionH>
                <wp:positionV relativeFrom="paragraph">
                  <wp:posOffset>2291715</wp:posOffset>
                </wp:positionV>
                <wp:extent cx="906145" cy="294199"/>
                <wp:effectExtent l="0" t="0" r="8255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145" cy="2941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5409E" w:rsidRDefault="00B5409E" w:rsidP="00B5409E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Annual 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F7F2E" id="Text Box 19" o:spid="_x0000_s1027" type="#_x0000_t202" style="position:absolute;left:0;text-align:left;margin-left:278.7pt;margin-top:180.45pt;width:71.35pt;height:23.1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" fillcolor="window" stroked="f" strokeweight=".5pt">
                <v:textbox>
                  <w:txbxContent>
                    <w:p w:rsidR="00B5409E" w:rsidRDefault="00B5409E" w:rsidP="00B5409E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Annual inflation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2006" w:rsidRPr="00390647">
        <w:rPr>
          <w:rFonts w:ascii="Arial Narrow" w:hAnsi="Arial Narrow" w:cs="Arial"/>
          <w:bCs/>
          <w:noProof/>
          <w:color w:val="FF0000"/>
          <w:sz w:val="16"/>
          <w:szCs w:val="16"/>
        </w:rPr>
        <w:drawing>
          <wp:inline distT="0" distB="0" distL="0" distR="0" wp14:anchorId="42A2849E" wp14:editId="6FC66C8D">
            <wp:extent cx="6417310" cy="2638425"/>
            <wp:effectExtent l="0" t="0" r="2540" b="0"/>
            <wp:docPr id="26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02006" w:rsidRPr="00390647" w:rsidRDefault="00502006" w:rsidP="00502006">
      <w:pPr>
        <w:jc w:val="center"/>
        <w:rPr>
          <w:rFonts w:ascii="Arial Narrow" w:hAnsi="Arial Narrow" w:cs="Tahoma"/>
          <w:sz w:val="16"/>
          <w:szCs w:val="16"/>
        </w:rPr>
      </w:pPr>
    </w:p>
    <w:p w:rsidR="00502006" w:rsidRPr="00390647" w:rsidRDefault="00B5409E" w:rsidP="00502006">
      <w:pPr>
        <w:jc w:val="center"/>
        <w:rPr>
          <w:rFonts w:ascii="Arial Narrow" w:hAnsi="Arial Narrow" w:cs="Tahoma"/>
          <w:sz w:val="16"/>
          <w:szCs w:val="16"/>
        </w:rPr>
      </w:pPr>
      <w:r w:rsidRPr="00390647">
        <w:rPr>
          <w:rFonts w:ascii="Arial Narrow" w:hAnsi="Arial Narrow" w:cs="Tahoma"/>
          <w:sz w:val="16"/>
          <w:szCs w:val="16"/>
        </w:rPr>
        <w:t>Graph 2</w:t>
      </w:r>
      <w:r w:rsidR="00502006" w:rsidRPr="00390647">
        <w:rPr>
          <w:rFonts w:ascii="Arial Narrow" w:hAnsi="Arial Narrow" w:cs="Tahoma"/>
          <w:sz w:val="16"/>
          <w:szCs w:val="16"/>
        </w:rPr>
        <w:t>. Monthly and annual inflation</w:t>
      </w:r>
    </w:p>
    <w:p w:rsidR="00502006" w:rsidRPr="00390647" w:rsidRDefault="00502006" w:rsidP="00502006">
      <w:pPr>
        <w:jc w:val="center"/>
        <w:rPr>
          <w:rFonts w:ascii="Arial Narrow" w:hAnsi="Arial Narrow" w:cs="Tahoma"/>
          <w:bCs/>
          <w:spacing w:val="-3"/>
          <w:sz w:val="16"/>
          <w:szCs w:val="16"/>
        </w:rPr>
      </w:pPr>
    </w:p>
    <w:p w:rsidR="00BC2444" w:rsidRPr="00390647" w:rsidRDefault="00BC2444" w:rsidP="00502006">
      <w:pPr>
        <w:rPr>
          <w:color w:val="000000" w:themeColor="text1"/>
          <w:sz w:val="16"/>
          <w:szCs w:val="16"/>
        </w:rPr>
      </w:pPr>
    </w:p>
    <w:p w:rsidR="00BC2444" w:rsidRPr="00390647" w:rsidRDefault="00BC2444" w:rsidP="00502006">
      <w:pPr>
        <w:rPr>
          <w:color w:val="000000" w:themeColor="text1"/>
          <w:sz w:val="16"/>
          <w:szCs w:val="16"/>
        </w:rPr>
      </w:pPr>
    </w:p>
    <w:p w:rsidR="00597FD3" w:rsidRPr="00390647" w:rsidRDefault="00597FD3" w:rsidP="00502006">
      <w:pPr>
        <w:rPr>
          <w:color w:val="000000" w:themeColor="text1"/>
          <w:sz w:val="16"/>
          <w:szCs w:val="16"/>
        </w:rPr>
      </w:pPr>
    </w:p>
    <w:p w:rsidR="00597FD3" w:rsidRPr="00390647" w:rsidRDefault="00597FD3" w:rsidP="00502006">
      <w:pPr>
        <w:rPr>
          <w:color w:val="000000" w:themeColor="text1"/>
          <w:sz w:val="16"/>
          <w:szCs w:val="16"/>
        </w:rPr>
      </w:pPr>
    </w:p>
    <w:p w:rsidR="00597FD3" w:rsidRPr="00390647" w:rsidRDefault="00597FD3" w:rsidP="00502006">
      <w:pPr>
        <w:rPr>
          <w:color w:val="000000" w:themeColor="text1"/>
          <w:sz w:val="16"/>
          <w:szCs w:val="16"/>
        </w:rPr>
      </w:pPr>
    </w:p>
    <w:p w:rsidR="00D3414D" w:rsidRPr="00390647" w:rsidRDefault="00D3414D" w:rsidP="00502006">
      <w:pPr>
        <w:rPr>
          <w:color w:val="000000" w:themeColor="text1"/>
          <w:sz w:val="16"/>
          <w:szCs w:val="16"/>
        </w:rPr>
      </w:pPr>
    </w:p>
    <w:p w:rsidR="00D3414D" w:rsidRPr="00390647" w:rsidRDefault="00D3414D" w:rsidP="00502006">
      <w:pPr>
        <w:rPr>
          <w:color w:val="000000" w:themeColor="text1"/>
          <w:sz w:val="16"/>
          <w:szCs w:val="16"/>
        </w:rPr>
      </w:pPr>
    </w:p>
    <w:p w:rsidR="00597FD3" w:rsidRPr="00390647" w:rsidRDefault="00597FD3" w:rsidP="00502006">
      <w:pPr>
        <w:rPr>
          <w:color w:val="000000" w:themeColor="text1"/>
          <w:sz w:val="16"/>
          <w:szCs w:val="16"/>
        </w:rPr>
      </w:pPr>
    </w:p>
    <w:p w:rsidR="00F95518" w:rsidRPr="00390647" w:rsidRDefault="0036606F" w:rsidP="008967F4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</w:rPr>
      </w:pPr>
      <w:r w:rsidRPr="00390647">
        <w:rPr>
          <w:rFonts w:ascii="Arial Narrow" w:hAnsi="Arial Narrow" w:cs="Tahoma"/>
          <w:b/>
          <w:bCs/>
          <w:sz w:val="28"/>
          <w:szCs w:val="30"/>
        </w:rPr>
        <w:lastRenderedPageBreak/>
        <w:t>Working-day adjusted industrial production (Jan-Apr 2024/Jan-Apr 2023) decreased by</w:t>
      </w:r>
      <w:r w:rsidR="00F95518" w:rsidRPr="00390647">
        <w:rPr>
          <w:rFonts w:ascii="Arial Narrow" w:hAnsi="Arial Narrow" w:cs="Tahoma"/>
          <w:b/>
          <w:bCs/>
          <w:sz w:val="28"/>
          <w:szCs w:val="30"/>
        </w:rPr>
        <w:t xml:space="preserve"> </w:t>
      </w:r>
      <w:r w:rsidR="0054010F" w:rsidRPr="00390647">
        <w:rPr>
          <w:rFonts w:ascii="Arial Narrow" w:hAnsi="Arial Narrow" w:cs="Tahoma"/>
          <w:b/>
          <w:bCs/>
          <w:sz w:val="28"/>
          <w:szCs w:val="30"/>
        </w:rPr>
        <w:t>6</w:t>
      </w:r>
      <w:r w:rsidRPr="00390647">
        <w:rPr>
          <w:rFonts w:ascii="Arial Narrow" w:hAnsi="Arial Narrow" w:cs="Tahoma"/>
          <w:b/>
          <w:bCs/>
          <w:sz w:val="28"/>
          <w:szCs w:val="30"/>
        </w:rPr>
        <w:t>.</w:t>
      </w:r>
      <w:r w:rsidR="00597FD3" w:rsidRPr="00390647">
        <w:rPr>
          <w:rFonts w:ascii="Arial Narrow" w:hAnsi="Arial Narrow" w:cs="Tahoma"/>
          <w:b/>
          <w:bCs/>
          <w:sz w:val="28"/>
          <w:szCs w:val="30"/>
        </w:rPr>
        <w:t>2</w:t>
      </w:r>
      <w:r w:rsidR="00F95518" w:rsidRPr="00390647">
        <w:rPr>
          <w:rFonts w:ascii="Arial Narrow" w:hAnsi="Arial Narrow" w:cs="Tahoma"/>
          <w:b/>
          <w:bCs/>
          <w:sz w:val="28"/>
          <w:szCs w:val="30"/>
        </w:rPr>
        <w:t>%</w:t>
      </w:r>
    </w:p>
    <w:p w:rsidR="00214FDD" w:rsidRPr="00390647" w:rsidRDefault="00214FDD" w:rsidP="00214FDD">
      <w:pPr>
        <w:jc w:val="both"/>
        <w:rPr>
          <w:rFonts w:ascii="Arial Narrow" w:hAnsi="Arial Narrow" w:cs="Tahoma"/>
          <w:sz w:val="22"/>
        </w:rPr>
      </w:pPr>
    </w:p>
    <w:p w:rsidR="0036606F" w:rsidRPr="00390647" w:rsidRDefault="0036606F" w:rsidP="0036606F">
      <w:pPr>
        <w:jc w:val="both"/>
        <w:rPr>
          <w:rFonts w:ascii="Arial Narrow" w:hAnsi="Arial Narrow" w:cs="Tahoma"/>
          <w:sz w:val="22"/>
        </w:rPr>
      </w:pPr>
      <w:r w:rsidRPr="00390647">
        <w:rPr>
          <w:rFonts w:ascii="Arial Narrow" w:hAnsi="Arial Narrow" w:cs="Tahoma"/>
          <w:sz w:val="22"/>
        </w:rPr>
        <w:t>Working-day adjusted industrial production in Republika Srpska in the period January-</w:t>
      </w:r>
      <w:r w:rsidRPr="00390647">
        <w:rPr>
          <w:rFonts w:ascii="Arial Narrow" w:hAnsi="Arial Narrow" w:cs="Tahoma"/>
          <w:sz w:val="22"/>
        </w:rPr>
        <w:t>April</w:t>
      </w:r>
      <w:r w:rsidRPr="00390647">
        <w:rPr>
          <w:rFonts w:ascii="Arial Narrow" w:hAnsi="Arial Narrow" w:cs="Tahoma"/>
          <w:sz w:val="22"/>
        </w:rPr>
        <w:t xml:space="preserve"> 2024, compared to the same </w:t>
      </w:r>
      <w:r w:rsidRPr="00390647">
        <w:rPr>
          <w:rFonts w:ascii="Arial Narrow" w:hAnsi="Arial Narrow" w:cs="Tahoma"/>
          <w:sz w:val="22"/>
        </w:rPr>
        <w:t>period of 2023, decreased by 6.2</w:t>
      </w:r>
      <w:r w:rsidRPr="00390647">
        <w:rPr>
          <w:rFonts w:ascii="Arial Narrow" w:hAnsi="Arial Narrow" w:cs="Tahoma"/>
          <w:sz w:val="22"/>
        </w:rPr>
        <w:t xml:space="preserve">%. During the same period, in the section </w:t>
      </w:r>
      <w:r w:rsidRPr="00390647">
        <w:rPr>
          <w:rFonts w:ascii="Arial Narrow" w:hAnsi="Arial Narrow" w:cs="Tahoma"/>
          <w:i/>
          <w:sz w:val="22"/>
        </w:rPr>
        <w:t>Electricity, gas, steam and air-conditioning supply</w:t>
      </w:r>
      <w:r w:rsidRPr="00390647">
        <w:rPr>
          <w:rFonts w:ascii="Arial Narrow" w:hAnsi="Arial Narrow" w:cs="Tahoma"/>
          <w:sz w:val="22"/>
        </w:rPr>
        <w:t xml:space="preserve"> a decrease by </w:t>
      </w:r>
      <w:r w:rsidRPr="00390647">
        <w:rPr>
          <w:rFonts w:ascii="Arial Narrow" w:hAnsi="Arial Narrow" w:cs="Tahoma"/>
          <w:sz w:val="22"/>
        </w:rPr>
        <w:t>8.6</w:t>
      </w:r>
      <w:r w:rsidRPr="00390647">
        <w:rPr>
          <w:rFonts w:ascii="Arial Narrow" w:hAnsi="Arial Narrow" w:cs="Tahoma"/>
          <w:sz w:val="22"/>
        </w:rPr>
        <w:t xml:space="preserve">% was recorded, in the section </w:t>
      </w:r>
      <w:r w:rsidRPr="00390647">
        <w:rPr>
          <w:rFonts w:ascii="Arial Narrow" w:hAnsi="Arial Narrow" w:cs="Tahoma"/>
          <w:i/>
          <w:sz w:val="22"/>
        </w:rPr>
        <w:t xml:space="preserve">Manufacturing </w:t>
      </w:r>
      <w:r w:rsidRPr="00390647">
        <w:rPr>
          <w:rFonts w:ascii="Arial Narrow" w:hAnsi="Arial Narrow" w:cs="Tahoma"/>
          <w:sz w:val="22"/>
        </w:rPr>
        <w:t>a decrease by 4.6</w:t>
      </w:r>
      <w:r w:rsidRPr="00390647">
        <w:rPr>
          <w:rFonts w:ascii="Arial Narrow" w:hAnsi="Arial Narrow" w:cs="Tahoma"/>
          <w:sz w:val="22"/>
        </w:rPr>
        <w:t xml:space="preserve">% and in the section </w:t>
      </w:r>
      <w:r w:rsidRPr="00390647">
        <w:rPr>
          <w:rFonts w:ascii="Arial Narrow" w:hAnsi="Arial Narrow" w:cs="Tahoma"/>
          <w:i/>
          <w:sz w:val="22"/>
        </w:rPr>
        <w:t xml:space="preserve">Mining and quarrying </w:t>
      </w:r>
      <w:r w:rsidRPr="00390647">
        <w:rPr>
          <w:rFonts w:ascii="Arial Narrow" w:hAnsi="Arial Narrow" w:cs="Tahoma"/>
          <w:sz w:val="22"/>
        </w:rPr>
        <w:t>a decrease by 14.9</w:t>
      </w:r>
      <w:r w:rsidRPr="00390647">
        <w:rPr>
          <w:rFonts w:ascii="Arial Narrow" w:hAnsi="Arial Narrow" w:cs="Tahoma"/>
          <w:sz w:val="22"/>
        </w:rPr>
        <w:t>%.</w:t>
      </w:r>
    </w:p>
    <w:p w:rsidR="0036606F" w:rsidRPr="00390647" w:rsidRDefault="0036606F" w:rsidP="0036606F">
      <w:pPr>
        <w:jc w:val="both"/>
        <w:rPr>
          <w:rFonts w:ascii="Arial Narrow" w:hAnsi="Arial Narrow" w:cs="Tahoma"/>
          <w:sz w:val="22"/>
        </w:rPr>
      </w:pPr>
    </w:p>
    <w:p w:rsidR="0036606F" w:rsidRPr="00390647" w:rsidRDefault="0036606F" w:rsidP="0036606F">
      <w:pPr>
        <w:jc w:val="both"/>
        <w:rPr>
          <w:rFonts w:ascii="Arial Narrow" w:hAnsi="Arial Narrow" w:cs="Tahoma"/>
          <w:sz w:val="22"/>
        </w:rPr>
      </w:pPr>
      <w:r w:rsidRPr="00390647">
        <w:rPr>
          <w:rFonts w:ascii="Arial Narrow" w:hAnsi="Arial Narrow" w:cs="Tahoma"/>
          <w:sz w:val="22"/>
        </w:rPr>
        <w:t xml:space="preserve">Seasonally adjusted industrial production in Republika Srpska in </w:t>
      </w:r>
      <w:r w:rsidRPr="00390647">
        <w:rPr>
          <w:rFonts w:ascii="Arial Narrow" w:hAnsi="Arial Narrow" w:cs="Tahoma"/>
          <w:sz w:val="22"/>
        </w:rPr>
        <w:t>April</w:t>
      </w:r>
      <w:r w:rsidRPr="00390647">
        <w:rPr>
          <w:rFonts w:ascii="Arial Narrow" w:hAnsi="Arial Narrow" w:cs="Tahoma"/>
          <w:sz w:val="22"/>
        </w:rPr>
        <w:t xml:space="preserve"> 2024, compared to </w:t>
      </w:r>
      <w:r w:rsidRPr="00390647">
        <w:rPr>
          <w:rFonts w:ascii="Arial Narrow" w:hAnsi="Arial Narrow" w:cs="Tahoma"/>
          <w:sz w:val="22"/>
        </w:rPr>
        <w:t>March</w:t>
      </w:r>
      <w:r w:rsidRPr="00390647">
        <w:rPr>
          <w:rFonts w:ascii="Arial Narrow" w:hAnsi="Arial Narrow" w:cs="Tahoma"/>
          <w:sz w:val="22"/>
        </w:rPr>
        <w:t xml:space="preserve"> 2024, </w:t>
      </w:r>
      <w:r w:rsidRPr="00390647">
        <w:rPr>
          <w:rFonts w:ascii="Arial Narrow" w:hAnsi="Arial Narrow" w:cs="Tahoma"/>
          <w:sz w:val="22"/>
        </w:rPr>
        <w:t>increased by 0.</w:t>
      </w:r>
      <w:r w:rsidRPr="00390647">
        <w:rPr>
          <w:rFonts w:ascii="Arial Narrow" w:hAnsi="Arial Narrow" w:cs="Tahoma"/>
          <w:sz w:val="22"/>
        </w:rPr>
        <w:t>6%.</w:t>
      </w:r>
    </w:p>
    <w:p w:rsidR="0036606F" w:rsidRPr="00390647" w:rsidRDefault="0036606F" w:rsidP="0036606F">
      <w:pPr>
        <w:jc w:val="both"/>
        <w:rPr>
          <w:rFonts w:ascii="Arial Narrow" w:hAnsi="Arial Narrow" w:cs="Tahoma"/>
          <w:sz w:val="22"/>
        </w:rPr>
      </w:pPr>
    </w:p>
    <w:p w:rsidR="0036606F" w:rsidRPr="00390647" w:rsidRDefault="0036606F" w:rsidP="0036606F">
      <w:pPr>
        <w:jc w:val="both"/>
        <w:rPr>
          <w:rFonts w:ascii="Arial Narrow" w:hAnsi="Arial Narrow" w:cs="Tahoma"/>
          <w:sz w:val="22"/>
        </w:rPr>
      </w:pPr>
      <w:r w:rsidRPr="00390647">
        <w:rPr>
          <w:rFonts w:ascii="Arial Narrow" w:hAnsi="Arial Narrow" w:cs="Tahoma"/>
          <w:sz w:val="22"/>
        </w:rPr>
        <w:t xml:space="preserve">Working-day adjusted industrial production in Republika Srpska in </w:t>
      </w:r>
      <w:r w:rsidRPr="00390647">
        <w:rPr>
          <w:rFonts w:ascii="Arial Narrow" w:hAnsi="Arial Narrow" w:cs="Tahoma"/>
          <w:sz w:val="22"/>
        </w:rPr>
        <w:t>April</w:t>
      </w:r>
      <w:r w:rsidRPr="00390647">
        <w:rPr>
          <w:rFonts w:ascii="Arial Narrow" w:hAnsi="Arial Narrow" w:cs="Tahoma"/>
          <w:sz w:val="22"/>
        </w:rPr>
        <w:t xml:space="preserve"> 2024, compared to </w:t>
      </w:r>
      <w:r w:rsidRPr="00390647">
        <w:rPr>
          <w:rFonts w:ascii="Arial Narrow" w:hAnsi="Arial Narrow" w:cs="Tahoma"/>
          <w:sz w:val="22"/>
        </w:rPr>
        <w:t>April</w:t>
      </w:r>
      <w:r w:rsidRPr="00390647">
        <w:rPr>
          <w:rFonts w:ascii="Arial Narrow" w:hAnsi="Arial Narrow" w:cs="Tahoma"/>
          <w:sz w:val="22"/>
        </w:rPr>
        <w:t xml:space="preserve"> 2023, decreased by </w:t>
      </w:r>
      <w:r w:rsidRPr="00390647">
        <w:rPr>
          <w:rFonts w:ascii="Arial Narrow" w:hAnsi="Arial Narrow" w:cs="Tahoma"/>
          <w:sz w:val="22"/>
        </w:rPr>
        <w:t>6.3</w:t>
      </w:r>
      <w:r w:rsidRPr="00390647">
        <w:rPr>
          <w:rFonts w:ascii="Arial Narrow" w:hAnsi="Arial Narrow" w:cs="Tahoma"/>
          <w:sz w:val="22"/>
        </w:rPr>
        <w:t>%</w:t>
      </w:r>
      <w:r w:rsidRPr="00390647">
        <w:rPr>
          <w:rFonts w:ascii="Arial Narrow" w:hAnsi="Arial Narrow" w:cs="Tahoma"/>
          <w:sz w:val="22"/>
        </w:rPr>
        <w:t>.</w:t>
      </w:r>
    </w:p>
    <w:p w:rsidR="0036606F" w:rsidRPr="00390647" w:rsidRDefault="0036606F" w:rsidP="0036606F">
      <w:pPr>
        <w:jc w:val="both"/>
        <w:rPr>
          <w:rFonts w:ascii="Arial Narrow" w:hAnsi="Arial Narrow" w:cs="Tahoma"/>
          <w:sz w:val="22"/>
        </w:rPr>
      </w:pPr>
    </w:p>
    <w:p w:rsidR="008967F4" w:rsidRPr="00390647" w:rsidRDefault="008967F4" w:rsidP="008967F4">
      <w:pPr>
        <w:jc w:val="both"/>
        <w:rPr>
          <w:rFonts w:ascii="Arial Narrow" w:hAnsi="Arial Narrow" w:cs="Tahoma"/>
          <w:color w:val="000000" w:themeColor="text1"/>
          <w:sz w:val="22"/>
        </w:rPr>
      </w:pPr>
    </w:p>
    <w:p w:rsidR="008967F4" w:rsidRPr="00390647" w:rsidRDefault="00B5409E" w:rsidP="008967F4">
      <w:pPr>
        <w:jc w:val="both"/>
        <w:rPr>
          <w:rFonts w:ascii="Arial Narrow" w:hAnsi="Arial Narrow" w:cs="Tahoma"/>
          <w:color w:val="000000" w:themeColor="text1"/>
          <w:sz w:val="22"/>
        </w:rPr>
      </w:pPr>
      <w:r w:rsidRPr="0039064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74D453" wp14:editId="56022D3F">
                <wp:simplePos x="0" y="0"/>
                <wp:positionH relativeFrom="margin">
                  <wp:posOffset>3825850</wp:posOffset>
                </wp:positionH>
                <wp:positionV relativeFrom="paragraph">
                  <wp:posOffset>2838501</wp:posOffset>
                </wp:positionV>
                <wp:extent cx="914400" cy="276225"/>
                <wp:effectExtent l="0" t="0" r="0" b="952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5409E" w:rsidRDefault="00B5409E" w:rsidP="00B5409E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Trend indices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4D453" id="Text Box 28" o:spid="_x0000_s1028" type="#_x0000_t202" style="position:absolute;left:0;text-align:left;margin-left:301.25pt;margin-top:223.5pt;width:1in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" fillcolor="window" stroked="f" strokeweight=".5pt">
                <v:textbox>
                  <w:txbxContent>
                    <w:p w:rsidR="00B5409E" w:rsidRDefault="00B5409E" w:rsidP="00B5409E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Trend indices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9064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754E2D" wp14:editId="4644C773">
                <wp:simplePos x="0" y="0"/>
                <wp:positionH relativeFrom="margin">
                  <wp:posOffset>2312289</wp:posOffset>
                </wp:positionH>
                <wp:positionV relativeFrom="paragraph">
                  <wp:posOffset>2852420</wp:posOffset>
                </wp:positionV>
                <wp:extent cx="1272845" cy="276225"/>
                <wp:effectExtent l="0" t="0" r="3810" b="952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84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5409E" w:rsidRDefault="00B5409E" w:rsidP="00B5409E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Seasonally adjusted indices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54E2D" id="Text Box 27" o:spid="_x0000_s1029" type="#_x0000_t202" style="position:absolute;left:0;text-align:left;margin-left:182.05pt;margin-top:224.6pt;width:100.2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" fillcolor="window" stroked="f" strokeweight=".5pt">
                <v:textbox>
                  <w:txbxContent>
                    <w:p w:rsidR="00B5409E" w:rsidRDefault="00B5409E" w:rsidP="00B5409E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Seasonally adjusted indices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3B24" w:rsidRPr="0039064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2284389</wp:posOffset>
                </wp:positionH>
                <wp:positionV relativeFrom="paragraph">
                  <wp:posOffset>2698115</wp:posOffset>
                </wp:positionV>
                <wp:extent cx="2251880" cy="197314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880" cy="1973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53B24" w:rsidRDefault="00653B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179.85pt;margin-top:212.45pt;width:177.3pt;height:15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" fillcolor="white [3201]" stroked="f" strokeweight=".5pt">
                <v:textbox>
                  <w:txbxContent>
                    <w:p w:rsidR="00653B24" w:rsidRDefault="00653B24"/>
                  </w:txbxContent>
                </v:textbox>
              </v:shape>
            </w:pict>
          </mc:Fallback>
        </mc:AlternateContent>
      </w:r>
      <w:r w:rsidR="00732BE1" w:rsidRPr="00390647">
        <w:rPr>
          <w:noProof/>
        </w:rPr>
        <w:drawing>
          <wp:inline distT="0" distB="0" distL="0" distR="0" wp14:anchorId="103203C0" wp14:editId="69C6A295">
            <wp:extent cx="6480810" cy="3166045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411FF" w:rsidRPr="00390647" w:rsidRDefault="00C411FF" w:rsidP="00C411FF">
      <w:pPr>
        <w:ind w:left="-170"/>
        <w:jc w:val="center"/>
        <w:rPr>
          <w:rFonts w:ascii="Tahoma" w:hAnsi="Tahoma" w:cs="Tahoma"/>
          <w:color w:val="000000" w:themeColor="text1"/>
          <w:sz w:val="14"/>
          <w:szCs w:val="14"/>
        </w:rPr>
      </w:pPr>
    </w:p>
    <w:p w:rsidR="00E15D41" w:rsidRPr="00390647" w:rsidRDefault="00B5409E" w:rsidP="00E15D41">
      <w:pPr>
        <w:jc w:val="center"/>
        <w:rPr>
          <w:rFonts w:ascii="Arial Narrow" w:hAnsi="Arial Narrow" w:cs="Tahoma"/>
          <w:sz w:val="16"/>
          <w:szCs w:val="16"/>
        </w:rPr>
      </w:pPr>
      <w:r w:rsidRPr="00390647">
        <w:rPr>
          <w:rFonts w:ascii="Arial Narrow" w:hAnsi="Arial Narrow" w:cs="Tahoma"/>
          <w:sz w:val="16"/>
          <w:szCs w:val="16"/>
        </w:rPr>
        <w:t>Graph</w:t>
      </w:r>
      <w:r w:rsidR="00E15D41" w:rsidRPr="00390647">
        <w:rPr>
          <w:rFonts w:ascii="Arial Narrow" w:hAnsi="Arial Narrow" w:cs="Tahoma"/>
          <w:sz w:val="16"/>
          <w:szCs w:val="16"/>
        </w:rPr>
        <w:t xml:space="preserve"> 3. </w:t>
      </w:r>
      <w:r w:rsidRPr="00390647">
        <w:rPr>
          <w:rFonts w:ascii="Arial Narrow" w:hAnsi="Arial Narrow" w:cs="Tahoma"/>
          <w:sz w:val="16"/>
          <w:szCs w:val="16"/>
        </w:rPr>
        <w:t xml:space="preserve">Indices of industrial production, April </w:t>
      </w:r>
      <w:r w:rsidR="00C411FF" w:rsidRPr="00390647">
        <w:rPr>
          <w:rFonts w:ascii="Arial Narrow" w:hAnsi="Arial Narrow" w:cs="Tahoma"/>
          <w:sz w:val="16"/>
          <w:szCs w:val="16"/>
        </w:rPr>
        <w:t>20</w:t>
      </w:r>
      <w:r w:rsidR="00A14771" w:rsidRPr="00390647">
        <w:rPr>
          <w:rFonts w:ascii="Arial Narrow" w:hAnsi="Arial Narrow" w:cs="Tahoma"/>
          <w:sz w:val="16"/>
          <w:szCs w:val="16"/>
        </w:rPr>
        <w:t>20</w:t>
      </w:r>
      <w:r w:rsidR="00C411FF" w:rsidRPr="00390647">
        <w:rPr>
          <w:rFonts w:ascii="Arial Narrow" w:hAnsi="Arial Narrow" w:cs="Tahoma"/>
          <w:sz w:val="16"/>
          <w:szCs w:val="16"/>
        </w:rPr>
        <w:t xml:space="preserve"> – </w:t>
      </w:r>
      <w:r w:rsidRPr="00390647">
        <w:rPr>
          <w:rFonts w:ascii="Arial Narrow" w:hAnsi="Arial Narrow" w:cs="Tahoma"/>
          <w:sz w:val="16"/>
          <w:szCs w:val="16"/>
        </w:rPr>
        <w:t>April</w:t>
      </w:r>
      <w:r w:rsidR="00C411FF" w:rsidRPr="00390647">
        <w:rPr>
          <w:rFonts w:ascii="Arial Narrow" w:hAnsi="Arial Narrow" w:cs="Tahoma"/>
          <w:sz w:val="16"/>
          <w:szCs w:val="16"/>
        </w:rPr>
        <w:t xml:space="preserve"> 202</w:t>
      </w:r>
      <w:r w:rsidR="00A14771" w:rsidRPr="00390647">
        <w:rPr>
          <w:rFonts w:ascii="Arial Narrow" w:hAnsi="Arial Narrow" w:cs="Tahoma"/>
          <w:sz w:val="16"/>
          <w:szCs w:val="16"/>
        </w:rPr>
        <w:t>4</w:t>
      </w:r>
      <w:r w:rsidR="00C411FF" w:rsidRPr="00390647">
        <w:rPr>
          <w:rFonts w:ascii="Arial Narrow" w:hAnsi="Arial Narrow" w:cs="Tahoma"/>
          <w:sz w:val="16"/>
          <w:szCs w:val="16"/>
        </w:rPr>
        <w:t xml:space="preserve"> (</w:t>
      </w:r>
      <w:r w:rsidR="00C411FF" w:rsidRPr="00390647">
        <w:rPr>
          <w:rFonts w:ascii="Arial Narrow" w:hAnsi="Arial Narrow" w:cs="Tahoma"/>
          <w:sz w:val="16"/>
          <w:szCs w:val="16"/>
        </w:rPr>
        <w:sym w:font="Symbol" w:char="F0C6"/>
      </w:r>
      <w:r w:rsidR="00C411FF" w:rsidRPr="00390647">
        <w:rPr>
          <w:rFonts w:ascii="Arial Narrow" w:hAnsi="Arial Narrow" w:cs="Tahoma"/>
          <w:sz w:val="16"/>
          <w:szCs w:val="16"/>
        </w:rPr>
        <w:t>20</w:t>
      </w:r>
      <w:r w:rsidR="00A14771" w:rsidRPr="00390647">
        <w:rPr>
          <w:rFonts w:ascii="Arial Narrow" w:hAnsi="Arial Narrow" w:cs="Tahoma"/>
          <w:sz w:val="16"/>
          <w:szCs w:val="16"/>
        </w:rPr>
        <w:t>21</w:t>
      </w:r>
      <w:r w:rsidR="00C411FF" w:rsidRPr="00390647">
        <w:rPr>
          <w:rFonts w:ascii="Arial Narrow" w:hAnsi="Arial Narrow" w:cs="Tahoma"/>
          <w:sz w:val="16"/>
          <w:szCs w:val="16"/>
        </w:rPr>
        <w:t>=100)</w:t>
      </w:r>
    </w:p>
    <w:p w:rsidR="00C520F2" w:rsidRPr="00390647" w:rsidRDefault="00C520F2" w:rsidP="009C3C6C">
      <w:pPr>
        <w:jc w:val="center"/>
        <w:rPr>
          <w:rFonts w:ascii="Tahoma" w:hAnsi="Tahoma" w:cs="Tahoma"/>
          <w:bCs/>
          <w:color w:val="FF0000"/>
          <w:spacing w:val="-3"/>
          <w:sz w:val="16"/>
          <w:szCs w:val="16"/>
        </w:rPr>
      </w:pPr>
    </w:p>
    <w:p w:rsidR="00A22D9B" w:rsidRPr="00390647" w:rsidRDefault="00A22D9B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color w:val="000000" w:themeColor="text1"/>
          <w:sz w:val="28"/>
        </w:rPr>
      </w:pPr>
    </w:p>
    <w:p w:rsidR="00A22D9B" w:rsidRPr="00390647" w:rsidRDefault="0036606F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</w:rPr>
      </w:pPr>
      <w:r w:rsidRPr="00390647">
        <w:rPr>
          <w:rFonts w:ascii="Arial Narrow" w:hAnsi="Arial Narrow" w:cs="Tahoma"/>
          <w:b/>
          <w:sz w:val="28"/>
        </w:rPr>
        <w:t>Number of employees in industry</w:t>
      </w:r>
      <w:r w:rsidR="00A22D9B" w:rsidRPr="00390647">
        <w:rPr>
          <w:rFonts w:ascii="Arial Narrow" w:hAnsi="Arial Narrow" w:cs="Tahoma"/>
          <w:b/>
          <w:sz w:val="28"/>
        </w:rPr>
        <w:t xml:space="preserve"> (</w:t>
      </w:r>
      <w:r w:rsidRPr="00390647">
        <w:rPr>
          <w:rFonts w:ascii="Arial Narrow" w:hAnsi="Arial Narrow" w:cs="Tahoma"/>
          <w:b/>
          <w:sz w:val="28"/>
        </w:rPr>
        <w:t>Apr</w:t>
      </w:r>
      <w:r w:rsidR="00A22D9B" w:rsidRPr="00390647">
        <w:rPr>
          <w:rFonts w:ascii="Arial Narrow" w:hAnsi="Arial Narrow" w:cs="Tahoma"/>
          <w:b/>
          <w:sz w:val="28"/>
          <w:szCs w:val="30"/>
        </w:rPr>
        <w:t xml:space="preserve"> 202</w:t>
      </w:r>
      <w:r w:rsidR="00834C43" w:rsidRPr="00390647">
        <w:rPr>
          <w:rFonts w:ascii="Arial Narrow" w:hAnsi="Arial Narrow" w:cs="Tahoma"/>
          <w:b/>
          <w:sz w:val="28"/>
          <w:szCs w:val="30"/>
        </w:rPr>
        <w:t>4</w:t>
      </w:r>
      <w:r w:rsidR="006E282D" w:rsidRPr="00390647">
        <w:rPr>
          <w:rFonts w:ascii="Arial Narrow" w:hAnsi="Arial Narrow" w:cs="Tahoma"/>
          <w:b/>
          <w:sz w:val="28"/>
          <w:szCs w:val="30"/>
        </w:rPr>
        <w:t>/</w:t>
      </w:r>
      <w:r w:rsidRPr="00390647">
        <w:rPr>
          <w:rFonts w:ascii="Arial Narrow" w:hAnsi="Arial Narrow" w:cs="Tahoma"/>
          <w:b/>
          <w:sz w:val="28"/>
        </w:rPr>
        <w:t>Apr</w:t>
      </w:r>
      <w:r w:rsidR="00935795" w:rsidRPr="00390647">
        <w:rPr>
          <w:rFonts w:ascii="Arial Narrow" w:hAnsi="Arial Narrow" w:cs="Tahoma"/>
          <w:b/>
          <w:sz w:val="28"/>
        </w:rPr>
        <w:t xml:space="preserve"> </w:t>
      </w:r>
      <w:r w:rsidR="00A22D9B" w:rsidRPr="00390647">
        <w:rPr>
          <w:rFonts w:ascii="Arial Narrow" w:hAnsi="Arial Narrow" w:cs="Tahoma"/>
          <w:b/>
          <w:bCs/>
          <w:sz w:val="28"/>
          <w:szCs w:val="30"/>
        </w:rPr>
        <w:t>202</w:t>
      </w:r>
      <w:r w:rsidR="00A86A82" w:rsidRPr="00390647">
        <w:rPr>
          <w:rFonts w:ascii="Arial Narrow" w:hAnsi="Arial Narrow" w:cs="Tahoma"/>
          <w:b/>
          <w:bCs/>
          <w:sz w:val="28"/>
          <w:szCs w:val="30"/>
        </w:rPr>
        <w:t>3</w:t>
      </w:r>
      <w:r w:rsidR="00A22D9B" w:rsidRPr="00390647">
        <w:rPr>
          <w:rFonts w:ascii="Arial Narrow" w:hAnsi="Arial Narrow" w:cs="Tahoma"/>
          <w:b/>
          <w:sz w:val="28"/>
        </w:rPr>
        <w:t xml:space="preserve">) </w:t>
      </w:r>
      <w:r w:rsidRPr="00390647">
        <w:rPr>
          <w:rFonts w:ascii="Arial Narrow" w:hAnsi="Arial Narrow" w:cs="Tahoma"/>
          <w:b/>
          <w:sz w:val="28"/>
        </w:rPr>
        <w:t>decreased by</w:t>
      </w:r>
      <w:r w:rsidR="00A22D9B" w:rsidRPr="00390647">
        <w:rPr>
          <w:rFonts w:ascii="Arial Narrow" w:hAnsi="Arial Narrow" w:cs="Tahoma"/>
          <w:b/>
          <w:sz w:val="28"/>
        </w:rPr>
        <w:t xml:space="preserve"> </w:t>
      </w:r>
      <w:r w:rsidRPr="00390647">
        <w:rPr>
          <w:rFonts w:ascii="Arial Narrow" w:hAnsi="Arial Narrow" w:cs="Tahoma"/>
          <w:b/>
          <w:sz w:val="28"/>
        </w:rPr>
        <w:t>4.</w:t>
      </w:r>
      <w:r w:rsidR="00665205" w:rsidRPr="00390647">
        <w:rPr>
          <w:rFonts w:ascii="Arial Narrow" w:hAnsi="Arial Narrow" w:cs="Tahoma"/>
          <w:b/>
          <w:sz w:val="28"/>
        </w:rPr>
        <w:t>7</w:t>
      </w:r>
      <w:r w:rsidR="00A22D9B" w:rsidRPr="00390647">
        <w:rPr>
          <w:rFonts w:ascii="Arial Narrow" w:hAnsi="Arial Narrow" w:cs="Tahoma"/>
          <w:b/>
          <w:sz w:val="28"/>
        </w:rPr>
        <w:t>%</w:t>
      </w:r>
    </w:p>
    <w:p w:rsidR="0097485C" w:rsidRPr="00390647" w:rsidRDefault="0097485C" w:rsidP="0097485C">
      <w:pPr>
        <w:jc w:val="both"/>
        <w:rPr>
          <w:rFonts w:ascii="Arial Narrow" w:hAnsi="Arial Narrow" w:cs="Tahoma"/>
          <w:sz w:val="22"/>
        </w:rPr>
      </w:pPr>
    </w:p>
    <w:p w:rsidR="0036606F" w:rsidRPr="00390647" w:rsidRDefault="0036606F" w:rsidP="0036606F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en-US"/>
        </w:rPr>
      </w:pPr>
      <w:r w:rsidRPr="00390647">
        <w:rPr>
          <w:rFonts w:ascii="Arial Narrow" w:hAnsi="Arial Narrow" w:cs="Tahoma"/>
          <w:sz w:val="22"/>
          <w:lang w:val="en-US"/>
        </w:rPr>
        <w:t xml:space="preserve">Number of employees in industry in </w:t>
      </w:r>
      <w:r w:rsidRPr="00390647">
        <w:rPr>
          <w:rFonts w:ascii="Arial Narrow" w:hAnsi="Arial Narrow" w:cs="Tahoma"/>
          <w:sz w:val="22"/>
          <w:lang w:val="en-US"/>
        </w:rPr>
        <w:t>April</w:t>
      </w:r>
      <w:r w:rsidRPr="00390647">
        <w:rPr>
          <w:rFonts w:ascii="Arial Narrow" w:hAnsi="Arial Narrow" w:cs="Tahoma"/>
          <w:sz w:val="22"/>
          <w:lang w:val="en-US"/>
        </w:rPr>
        <w:t xml:space="preserve"> 2024, compared to the same mon</w:t>
      </w:r>
      <w:r w:rsidRPr="00390647">
        <w:rPr>
          <w:rFonts w:ascii="Arial Narrow" w:hAnsi="Arial Narrow" w:cs="Tahoma"/>
          <w:sz w:val="22"/>
          <w:lang w:val="en-US"/>
        </w:rPr>
        <w:t>th of the previous year, was 4.7</w:t>
      </w:r>
      <w:r w:rsidRPr="00390647">
        <w:rPr>
          <w:rFonts w:ascii="Arial Narrow" w:hAnsi="Arial Narrow" w:cs="Tahoma"/>
          <w:sz w:val="22"/>
          <w:lang w:val="en-US"/>
        </w:rPr>
        <w:t xml:space="preserve">% lower. </w:t>
      </w:r>
    </w:p>
    <w:p w:rsidR="0036606F" w:rsidRPr="00390647" w:rsidRDefault="0036606F" w:rsidP="0036606F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en-US"/>
        </w:rPr>
      </w:pPr>
    </w:p>
    <w:p w:rsidR="0036606F" w:rsidRPr="00390647" w:rsidRDefault="0036606F" w:rsidP="0036606F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en-US"/>
        </w:rPr>
      </w:pPr>
      <w:r w:rsidRPr="00390647">
        <w:rPr>
          <w:rFonts w:ascii="Arial Narrow" w:hAnsi="Arial Narrow" w:cs="Tahoma"/>
          <w:sz w:val="22"/>
          <w:lang w:val="en-US"/>
        </w:rPr>
        <w:t xml:space="preserve">Number of employees in </w:t>
      </w:r>
      <w:r w:rsidRPr="00390647">
        <w:rPr>
          <w:rFonts w:ascii="Arial Narrow" w:hAnsi="Arial Narrow" w:cs="Tahoma"/>
          <w:sz w:val="22"/>
          <w:lang w:val="en-US"/>
        </w:rPr>
        <w:t>April</w:t>
      </w:r>
      <w:r w:rsidRPr="00390647">
        <w:rPr>
          <w:rFonts w:ascii="Arial Narrow" w:hAnsi="Arial Narrow" w:cs="Tahoma"/>
          <w:sz w:val="22"/>
          <w:lang w:val="en-US"/>
        </w:rPr>
        <w:t xml:space="preserve"> 2024, compa</w:t>
      </w:r>
      <w:r w:rsidRPr="00390647">
        <w:rPr>
          <w:rFonts w:ascii="Arial Narrow" w:hAnsi="Arial Narrow" w:cs="Tahoma"/>
          <w:sz w:val="22"/>
          <w:lang w:val="en-US"/>
        </w:rPr>
        <w:t>red to the 2023 average, was 3.9</w:t>
      </w:r>
      <w:r w:rsidRPr="00390647">
        <w:rPr>
          <w:rFonts w:ascii="Arial Narrow" w:hAnsi="Arial Narrow" w:cs="Tahoma"/>
          <w:sz w:val="22"/>
          <w:lang w:val="en-US"/>
        </w:rPr>
        <w:t xml:space="preserve">% lower, while compared to </w:t>
      </w:r>
      <w:r w:rsidRPr="00390647">
        <w:rPr>
          <w:rFonts w:ascii="Arial Narrow" w:hAnsi="Arial Narrow" w:cs="Tahoma"/>
          <w:sz w:val="22"/>
          <w:lang w:val="en-US"/>
        </w:rPr>
        <w:t>March 2024 it was 0.5</w:t>
      </w:r>
      <w:r w:rsidRPr="00390647">
        <w:rPr>
          <w:rFonts w:ascii="Arial Narrow" w:hAnsi="Arial Narrow" w:cs="Tahoma"/>
          <w:sz w:val="22"/>
          <w:lang w:val="en-US"/>
        </w:rPr>
        <w:t>% lower</w:t>
      </w:r>
      <w:r w:rsidRPr="00390647">
        <w:rPr>
          <w:rFonts w:ascii="Arial Narrow" w:hAnsi="Arial Narrow" w:cs="Tahoma"/>
          <w:sz w:val="22"/>
          <w:lang w:val="en-US"/>
        </w:rPr>
        <w:t>.</w:t>
      </w:r>
    </w:p>
    <w:p w:rsidR="00994984" w:rsidRPr="00390647" w:rsidRDefault="00994984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en-US"/>
        </w:rPr>
      </w:pPr>
    </w:p>
    <w:p w:rsidR="0097485C" w:rsidRPr="00390647" w:rsidRDefault="0097485C" w:rsidP="006D1F0C">
      <w:pPr>
        <w:jc w:val="both"/>
        <w:rPr>
          <w:rFonts w:ascii="Arial Narrow" w:hAnsi="Arial Narrow" w:cs="Tahoma"/>
          <w:sz w:val="16"/>
          <w:szCs w:val="16"/>
        </w:rPr>
      </w:pPr>
    </w:p>
    <w:p w:rsidR="00BD5F3E" w:rsidRPr="00390647" w:rsidRDefault="00071230" w:rsidP="00BD5F3E">
      <w:pPr>
        <w:rPr>
          <w:rFonts w:ascii="Arial Narrow" w:hAnsi="Arial Narrow" w:cs="Tahoma"/>
          <w:b/>
          <w:sz w:val="30"/>
          <w:szCs w:val="30"/>
        </w:rPr>
      </w:pPr>
      <w:r w:rsidRPr="00390647">
        <w:rPr>
          <w:rFonts w:ascii="Arial Narrow" w:hAnsi="Arial Narrow" w:cs="Tahoma"/>
          <w:b/>
          <w:sz w:val="30"/>
          <w:szCs w:val="30"/>
        </w:rPr>
        <w:t>In the period January-April 2024 the highest value of export was that of export to Croatia, while the highest value of import was that of import from Serbia</w:t>
      </w:r>
    </w:p>
    <w:p w:rsidR="00071230" w:rsidRPr="00390647" w:rsidRDefault="00071230" w:rsidP="00BD5F3E">
      <w:pPr>
        <w:rPr>
          <w:rFonts w:ascii="Arial Narrow" w:hAnsi="Arial Narrow" w:cs="Tahoma"/>
          <w:sz w:val="22"/>
        </w:rPr>
      </w:pPr>
    </w:p>
    <w:p w:rsidR="00071230" w:rsidRPr="00390647" w:rsidRDefault="00071230" w:rsidP="00071230">
      <w:pPr>
        <w:jc w:val="both"/>
        <w:rPr>
          <w:rFonts w:ascii="Arial Narrow" w:hAnsi="Arial Narrow" w:cs="Tahoma"/>
          <w:sz w:val="22"/>
        </w:rPr>
      </w:pPr>
      <w:r w:rsidRPr="00390647">
        <w:rPr>
          <w:rFonts w:ascii="Arial Narrow" w:hAnsi="Arial Narrow" w:cs="Tahoma"/>
          <w:sz w:val="22"/>
        </w:rPr>
        <w:t xml:space="preserve">In the period January – </w:t>
      </w:r>
      <w:r w:rsidRPr="00390647">
        <w:rPr>
          <w:rFonts w:ascii="Arial Narrow" w:hAnsi="Arial Narrow" w:cs="Tahoma"/>
          <w:sz w:val="22"/>
        </w:rPr>
        <w:t>April</w:t>
      </w:r>
      <w:r w:rsidRPr="00390647">
        <w:rPr>
          <w:rFonts w:ascii="Arial Narrow" w:hAnsi="Arial Narrow" w:cs="Tahoma"/>
          <w:sz w:val="22"/>
        </w:rPr>
        <w:t xml:space="preserve"> 2024, the value of export was one billion and </w:t>
      </w:r>
      <w:r w:rsidRPr="00390647">
        <w:rPr>
          <w:rFonts w:ascii="Arial Narrow" w:hAnsi="Arial Narrow" w:cs="Tahoma"/>
          <w:sz w:val="22"/>
        </w:rPr>
        <w:t>650</w:t>
      </w:r>
      <w:r w:rsidRPr="00390647">
        <w:rPr>
          <w:rFonts w:ascii="Arial Narrow" w:hAnsi="Arial Narrow" w:cs="Tahoma"/>
          <w:sz w:val="22"/>
        </w:rPr>
        <w:t xml:space="preserve"> million KM, which represented a decrease by </w:t>
      </w:r>
      <w:r w:rsidRPr="00390647">
        <w:rPr>
          <w:rFonts w:ascii="Arial Narrow" w:hAnsi="Arial Narrow" w:cs="Tahoma"/>
          <w:sz w:val="22"/>
        </w:rPr>
        <w:t>8.0</w:t>
      </w:r>
      <w:r w:rsidRPr="00390647">
        <w:rPr>
          <w:rFonts w:ascii="Arial Narrow" w:hAnsi="Arial Narrow" w:cs="Tahoma"/>
          <w:sz w:val="22"/>
        </w:rPr>
        <w:t xml:space="preserve">% compared to the period January - </w:t>
      </w:r>
      <w:r w:rsidRPr="00390647">
        <w:rPr>
          <w:rFonts w:ascii="Arial Narrow" w:hAnsi="Arial Narrow" w:cs="Tahoma"/>
          <w:sz w:val="22"/>
        </w:rPr>
        <w:t>April</w:t>
      </w:r>
      <w:r w:rsidRPr="00390647">
        <w:rPr>
          <w:rFonts w:ascii="Arial Narrow" w:hAnsi="Arial Narrow" w:cs="Tahoma"/>
          <w:sz w:val="22"/>
        </w:rPr>
        <w:t xml:space="preserve"> 2023, while the value of import was </w:t>
      </w:r>
      <w:r w:rsidRPr="00390647">
        <w:rPr>
          <w:rFonts w:ascii="Arial Narrow" w:hAnsi="Arial Narrow" w:cs="Tahoma"/>
          <w:sz w:val="22"/>
        </w:rPr>
        <w:t>two</w:t>
      </w:r>
      <w:r w:rsidRPr="00390647">
        <w:rPr>
          <w:rFonts w:ascii="Arial Narrow" w:hAnsi="Arial Narrow" w:cs="Tahoma"/>
          <w:sz w:val="22"/>
        </w:rPr>
        <w:t xml:space="preserve"> billion and </w:t>
      </w:r>
      <w:r w:rsidRPr="00390647">
        <w:rPr>
          <w:rFonts w:ascii="Arial Narrow" w:hAnsi="Arial Narrow" w:cs="Tahoma"/>
          <w:sz w:val="22"/>
        </w:rPr>
        <w:t>342</w:t>
      </w:r>
      <w:r w:rsidRPr="00390647">
        <w:rPr>
          <w:rFonts w:ascii="Arial Narrow" w:hAnsi="Arial Narrow" w:cs="Tahoma"/>
          <w:sz w:val="22"/>
        </w:rPr>
        <w:t xml:space="preserve"> million KM, which represented an increase by </w:t>
      </w:r>
      <w:r w:rsidRPr="00390647">
        <w:rPr>
          <w:rFonts w:ascii="Arial Narrow" w:hAnsi="Arial Narrow" w:cs="Tahoma"/>
          <w:sz w:val="22"/>
        </w:rPr>
        <w:t>7.3</w:t>
      </w:r>
      <w:r w:rsidRPr="00390647">
        <w:rPr>
          <w:rFonts w:ascii="Arial Narrow" w:hAnsi="Arial Narrow" w:cs="Tahoma"/>
          <w:sz w:val="22"/>
        </w:rPr>
        <w:t>% compared to the period January -</w:t>
      </w:r>
      <w:r w:rsidRPr="00390647">
        <w:t xml:space="preserve"> </w:t>
      </w:r>
      <w:r w:rsidRPr="00390647">
        <w:rPr>
          <w:rFonts w:ascii="Arial Narrow" w:hAnsi="Arial Narrow" w:cs="Tahoma"/>
          <w:sz w:val="22"/>
        </w:rPr>
        <w:t>April</w:t>
      </w:r>
      <w:r w:rsidRPr="00390647">
        <w:rPr>
          <w:rFonts w:ascii="Arial Narrow" w:hAnsi="Arial Narrow" w:cs="Tahoma"/>
          <w:sz w:val="22"/>
        </w:rPr>
        <w:t xml:space="preserve"> 2023. The percentage of coverag</w:t>
      </w:r>
      <w:r w:rsidRPr="00390647">
        <w:rPr>
          <w:rFonts w:ascii="Arial Narrow" w:hAnsi="Arial Narrow" w:cs="Tahoma"/>
          <w:sz w:val="22"/>
        </w:rPr>
        <w:t>e of import with export was 70.5</w:t>
      </w:r>
      <w:r w:rsidRPr="00390647">
        <w:rPr>
          <w:rFonts w:ascii="Arial Narrow" w:hAnsi="Arial Narrow" w:cs="Tahoma"/>
          <w:sz w:val="22"/>
        </w:rPr>
        <w:t>%.</w:t>
      </w:r>
    </w:p>
    <w:p w:rsidR="00071230" w:rsidRPr="00390647" w:rsidRDefault="00071230" w:rsidP="00BD5F3E">
      <w:pPr>
        <w:jc w:val="both"/>
        <w:rPr>
          <w:rFonts w:ascii="Arial Narrow" w:hAnsi="Arial Narrow" w:cs="Tahoma"/>
          <w:sz w:val="22"/>
        </w:rPr>
      </w:pPr>
    </w:p>
    <w:p w:rsidR="00071230" w:rsidRPr="00390647" w:rsidRDefault="00071230" w:rsidP="00071230">
      <w:pPr>
        <w:jc w:val="both"/>
        <w:rPr>
          <w:rFonts w:ascii="Arial Narrow" w:hAnsi="Arial Narrow" w:cs="Tahoma"/>
          <w:sz w:val="22"/>
        </w:rPr>
      </w:pPr>
      <w:r w:rsidRPr="00390647">
        <w:rPr>
          <w:rFonts w:ascii="Arial Narrow" w:hAnsi="Arial Narrow" w:cs="Tahoma"/>
          <w:sz w:val="22"/>
        </w:rPr>
        <w:t xml:space="preserve">In </w:t>
      </w:r>
      <w:r w:rsidRPr="00390647">
        <w:rPr>
          <w:rFonts w:ascii="Arial Narrow" w:hAnsi="Arial Narrow" w:cs="Tahoma"/>
          <w:sz w:val="22"/>
        </w:rPr>
        <w:t>April</w:t>
      </w:r>
      <w:r w:rsidRPr="00390647">
        <w:rPr>
          <w:rFonts w:ascii="Arial Narrow" w:hAnsi="Arial Narrow" w:cs="Tahoma"/>
          <w:sz w:val="22"/>
        </w:rPr>
        <w:t xml:space="preserve"> 2024, the value of export was </w:t>
      </w:r>
      <w:r w:rsidRPr="00390647">
        <w:rPr>
          <w:rFonts w:ascii="Arial Narrow" w:hAnsi="Arial Narrow" w:cs="Tahoma"/>
          <w:sz w:val="22"/>
        </w:rPr>
        <w:t>470</w:t>
      </w:r>
      <w:r w:rsidRPr="00390647">
        <w:rPr>
          <w:rFonts w:ascii="Arial Narrow" w:hAnsi="Arial Narrow" w:cs="Tahoma"/>
          <w:sz w:val="22"/>
        </w:rPr>
        <w:t xml:space="preserve"> million KM, which represented </w:t>
      </w:r>
      <w:r w:rsidRPr="00390647">
        <w:rPr>
          <w:rFonts w:ascii="Arial Narrow" w:hAnsi="Arial Narrow" w:cs="Tahoma"/>
          <w:sz w:val="22"/>
        </w:rPr>
        <w:t>an increase by 7.0</w:t>
      </w:r>
      <w:r w:rsidRPr="00390647">
        <w:rPr>
          <w:rFonts w:ascii="Arial Narrow" w:hAnsi="Arial Narrow" w:cs="Tahoma"/>
          <w:sz w:val="22"/>
        </w:rPr>
        <w:t xml:space="preserve">% compared to the same month of 2023, while the value of import was </w:t>
      </w:r>
      <w:r w:rsidRPr="00390647">
        <w:rPr>
          <w:rFonts w:ascii="Arial Narrow" w:hAnsi="Arial Narrow" w:cs="Tahoma"/>
          <w:sz w:val="22"/>
        </w:rPr>
        <w:t>656</w:t>
      </w:r>
      <w:r w:rsidRPr="00390647">
        <w:rPr>
          <w:rFonts w:ascii="Arial Narrow" w:hAnsi="Arial Narrow" w:cs="Tahoma"/>
          <w:sz w:val="22"/>
        </w:rPr>
        <w:t xml:space="preserve"> million KM, which represented an increase by </w:t>
      </w:r>
      <w:r w:rsidRPr="00390647">
        <w:rPr>
          <w:rFonts w:ascii="Arial Narrow" w:hAnsi="Arial Narrow" w:cs="Tahoma"/>
          <w:sz w:val="22"/>
        </w:rPr>
        <w:t>16.8</w:t>
      </w:r>
      <w:r w:rsidRPr="00390647">
        <w:rPr>
          <w:rFonts w:ascii="Arial Narrow" w:hAnsi="Arial Narrow" w:cs="Tahoma"/>
          <w:sz w:val="22"/>
        </w:rPr>
        <w:t xml:space="preserve">% compared to </w:t>
      </w:r>
      <w:r w:rsidRPr="00390647">
        <w:rPr>
          <w:rFonts w:ascii="Arial Narrow" w:hAnsi="Arial Narrow" w:cs="Tahoma"/>
          <w:sz w:val="22"/>
        </w:rPr>
        <w:t>April</w:t>
      </w:r>
      <w:r w:rsidRPr="00390647">
        <w:rPr>
          <w:rFonts w:ascii="Arial Narrow" w:hAnsi="Arial Narrow" w:cs="Tahoma"/>
          <w:sz w:val="22"/>
        </w:rPr>
        <w:t xml:space="preserve"> 2023. The percentage of coverage of import with export was </w:t>
      </w:r>
      <w:r w:rsidRPr="00390647">
        <w:rPr>
          <w:rFonts w:ascii="Arial Narrow" w:hAnsi="Arial Narrow" w:cs="Tahoma"/>
          <w:sz w:val="22"/>
        </w:rPr>
        <w:t>71.7</w:t>
      </w:r>
      <w:r w:rsidRPr="00390647">
        <w:rPr>
          <w:rFonts w:ascii="Arial Narrow" w:hAnsi="Arial Narrow" w:cs="Tahoma"/>
          <w:sz w:val="22"/>
        </w:rPr>
        <w:t>%.</w:t>
      </w:r>
    </w:p>
    <w:p w:rsidR="00BD5F3E" w:rsidRPr="00390647" w:rsidRDefault="00BD5F3E" w:rsidP="00BD5F3E">
      <w:pPr>
        <w:jc w:val="both"/>
        <w:rPr>
          <w:rFonts w:ascii="Arial Narrow" w:hAnsi="Arial Narrow" w:cs="Tahoma"/>
          <w:sz w:val="22"/>
        </w:rPr>
      </w:pPr>
    </w:p>
    <w:p w:rsidR="00BD5F3E" w:rsidRPr="00390647" w:rsidRDefault="00BD5F3E" w:rsidP="00BD5F3E">
      <w:pPr>
        <w:jc w:val="both"/>
        <w:rPr>
          <w:rFonts w:ascii="Arial Narrow" w:hAnsi="Arial Narrow" w:cs="Tahoma"/>
          <w:sz w:val="22"/>
        </w:rPr>
      </w:pPr>
    </w:p>
    <w:p w:rsidR="00071230" w:rsidRPr="00390647" w:rsidRDefault="00071230" w:rsidP="00071230">
      <w:pPr>
        <w:jc w:val="both"/>
        <w:rPr>
          <w:rFonts w:ascii="Arial Narrow" w:hAnsi="Arial Narrow" w:cs="Tahoma"/>
          <w:sz w:val="22"/>
        </w:rPr>
      </w:pPr>
      <w:r w:rsidRPr="00390647">
        <w:rPr>
          <w:rFonts w:ascii="Arial Narrow" w:hAnsi="Arial Narrow" w:cs="Tahoma"/>
          <w:sz w:val="22"/>
        </w:rPr>
        <w:t xml:space="preserve">In terms of the geographical distribution of external trade of Republika Srpska, in the period January – </w:t>
      </w:r>
      <w:r w:rsidRPr="00390647">
        <w:rPr>
          <w:rFonts w:ascii="Arial Narrow" w:hAnsi="Arial Narrow" w:cs="Tahoma"/>
          <w:sz w:val="22"/>
        </w:rPr>
        <w:t>April</w:t>
      </w:r>
      <w:r w:rsidRPr="00390647">
        <w:rPr>
          <w:rFonts w:ascii="Arial Narrow" w:hAnsi="Arial Narrow" w:cs="Tahoma"/>
          <w:sz w:val="22"/>
        </w:rPr>
        <w:t xml:space="preserve"> 2024, the highest value of export was that of export to Croatia, with </w:t>
      </w:r>
      <w:r w:rsidRPr="00390647">
        <w:rPr>
          <w:rFonts w:ascii="Arial Narrow" w:hAnsi="Arial Narrow" w:cs="Tahoma"/>
          <w:sz w:val="22"/>
        </w:rPr>
        <w:t>281</w:t>
      </w:r>
      <w:r w:rsidRPr="00390647">
        <w:rPr>
          <w:rFonts w:ascii="Arial Narrow" w:hAnsi="Arial Narrow" w:cs="Tahoma"/>
          <w:sz w:val="22"/>
        </w:rPr>
        <w:t xml:space="preserve"> million KM or </w:t>
      </w:r>
      <w:r w:rsidRPr="00390647">
        <w:rPr>
          <w:rFonts w:ascii="Arial Narrow" w:hAnsi="Arial Narrow" w:cs="Tahoma"/>
          <w:sz w:val="22"/>
        </w:rPr>
        <w:t>17.0</w:t>
      </w:r>
      <w:r w:rsidRPr="00390647">
        <w:rPr>
          <w:rFonts w:ascii="Arial Narrow" w:hAnsi="Arial Narrow" w:cs="Tahoma"/>
          <w:sz w:val="22"/>
        </w:rPr>
        <w:t xml:space="preserve">%, followed by Serbia, with </w:t>
      </w:r>
      <w:r w:rsidRPr="00390647">
        <w:rPr>
          <w:rFonts w:ascii="Arial Narrow" w:hAnsi="Arial Narrow" w:cs="Tahoma"/>
          <w:sz w:val="22"/>
        </w:rPr>
        <w:t>263</w:t>
      </w:r>
      <w:r w:rsidRPr="00390647">
        <w:rPr>
          <w:rFonts w:ascii="Arial Narrow" w:hAnsi="Arial Narrow" w:cs="Tahoma"/>
          <w:sz w:val="22"/>
        </w:rPr>
        <w:t xml:space="preserve"> million KM or </w:t>
      </w:r>
      <w:r w:rsidRPr="00390647">
        <w:rPr>
          <w:rFonts w:ascii="Arial Narrow" w:hAnsi="Arial Narrow" w:cs="Tahoma"/>
          <w:sz w:val="22"/>
        </w:rPr>
        <w:t>15.9</w:t>
      </w:r>
      <w:r w:rsidRPr="00390647">
        <w:rPr>
          <w:rFonts w:ascii="Arial Narrow" w:hAnsi="Arial Narrow" w:cs="Tahoma"/>
          <w:sz w:val="22"/>
        </w:rPr>
        <w:t xml:space="preserve">% of the total realised export. During the same period, the highest value of import was that of import form Serbia, with </w:t>
      </w:r>
      <w:r w:rsidRPr="00390647">
        <w:rPr>
          <w:rFonts w:ascii="Arial Narrow" w:hAnsi="Arial Narrow" w:cs="Tahoma"/>
          <w:sz w:val="22"/>
        </w:rPr>
        <w:t>367 million KM or 15.7</w:t>
      </w:r>
      <w:r w:rsidRPr="00390647">
        <w:rPr>
          <w:rFonts w:ascii="Arial Narrow" w:hAnsi="Arial Narrow" w:cs="Tahoma"/>
          <w:sz w:val="22"/>
        </w:rPr>
        <w:t xml:space="preserve">%, followed by Italy, with </w:t>
      </w:r>
      <w:r w:rsidRPr="00390647">
        <w:rPr>
          <w:rFonts w:ascii="Arial Narrow" w:hAnsi="Arial Narrow" w:cs="Tahoma"/>
          <w:sz w:val="22"/>
        </w:rPr>
        <w:t>338</w:t>
      </w:r>
      <w:r w:rsidRPr="00390647">
        <w:rPr>
          <w:rFonts w:ascii="Arial Narrow" w:hAnsi="Arial Narrow" w:cs="Tahoma"/>
          <w:sz w:val="22"/>
        </w:rPr>
        <w:t xml:space="preserve"> million KM or </w:t>
      </w:r>
      <w:r w:rsidRPr="00390647">
        <w:rPr>
          <w:rFonts w:ascii="Arial Narrow" w:hAnsi="Arial Narrow" w:cs="Tahoma"/>
          <w:sz w:val="22"/>
        </w:rPr>
        <w:t>14.4</w:t>
      </w:r>
      <w:r w:rsidRPr="00390647">
        <w:rPr>
          <w:rFonts w:ascii="Arial Narrow" w:hAnsi="Arial Narrow" w:cs="Tahoma"/>
          <w:sz w:val="22"/>
        </w:rPr>
        <w:t>% of the total realised import.</w:t>
      </w:r>
    </w:p>
    <w:p w:rsidR="00071230" w:rsidRPr="00390647" w:rsidRDefault="00071230" w:rsidP="00071230">
      <w:pPr>
        <w:jc w:val="both"/>
        <w:rPr>
          <w:rFonts w:ascii="Arial Narrow" w:hAnsi="Arial Narrow" w:cs="Tahoma"/>
          <w:sz w:val="22"/>
        </w:rPr>
      </w:pPr>
    </w:p>
    <w:p w:rsidR="00071230" w:rsidRPr="00390647" w:rsidRDefault="00071230" w:rsidP="00071230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  <w:r w:rsidRPr="00390647">
        <w:rPr>
          <w:rFonts w:ascii="Arial Narrow" w:hAnsi="Arial Narrow" w:cs="Tahoma"/>
          <w:sz w:val="22"/>
        </w:rPr>
        <w:t xml:space="preserve">By group of products, in the period January - </w:t>
      </w:r>
      <w:r w:rsidRPr="00390647">
        <w:rPr>
          <w:rFonts w:ascii="Arial Narrow" w:hAnsi="Arial Narrow" w:cs="Tahoma"/>
          <w:sz w:val="22"/>
        </w:rPr>
        <w:t>April</w:t>
      </w:r>
      <w:r w:rsidRPr="00390647">
        <w:rPr>
          <w:rFonts w:ascii="Arial Narrow" w:hAnsi="Arial Narrow" w:cs="Tahoma"/>
          <w:sz w:val="22"/>
        </w:rPr>
        <w:t xml:space="preserve"> 2024, the highest share in export was that of electricity, with the total value of </w:t>
      </w:r>
      <w:r w:rsidRPr="00390647">
        <w:rPr>
          <w:rFonts w:ascii="Arial Narrow" w:hAnsi="Arial Narrow" w:cs="Tahoma"/>
          <w:sz w:val="22"/>
        </w:rPr>
        <w:t>132 million KM, which was 8.0</w:t>
      </w:r>
      <w:r w:rsidRPr="00390647">
        <w:rPr>
          <w:rFonts w:ascii="Arial Narrow" w:hAnsi="Arial Narrow" w:cs="Tahoma"/>
          <w:sz w:val="22"/>
        </w:rPr>
        <w:t xml:space="preserve">% of the total export, while the highest share in import was that of petroleum oils and oils obtained from bituminous minerals (other than crude), with the total value of </w:t>
      </w:r>
      <w:r w:rsidRPr="00390647">
        <w:rPr>
          <w:rFonts w:ascii="Arial Narrow" w:hAnsi="Arial Narrow" w:cs="Tahoma"/>
          <w:sz w:val="22"/>
        </w:rPr>
        <w:t>176</w:t>
      </w:r>
      <w:r w:rsidRPr="00390647">
        <w:rPr>
          <w:rFonts w:ascii="Arial Narrow" w:hAnsi="Arial Narrow" w:cs="Tahoma"/>
          <w:sz w:val="22"/>
        </w:rPr>
        <w:t xml:space="preserve"> million KM, which was 7.5% of the total import.</w:t>
      </w:r>
    </w:p>
    <w:p w:rsidR="00071230" w:rsidRPr="00390647" w:rsidRDefault="00071230" w:rsidP="00BD5F3E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</w:p>
    <w:p w:rsidR="00EC6A4E" w:rsidRPr="00390647" w:rsidRDefault="00EC6A4E" w:rsidP="00EC6A4E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145453" w:rsidRPr="00390647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color w:val="000000" w:themeColor="text1"/>
          <w:sz w:val="16"/>
          <w:szCs w:val="16"/>
        </w:rPr>
      </w:pPr>
    </w:p>
    <w:p w:rsidR="00145453" w:rsidRPr="00390647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color w:val="000000" w:themeColor="text1"/>
          <w:sz w:val="16"/>
          <w:szCs w:val="16"/>
        </w:rPr>
      </w:pPr>
    </w:p>
    <w:p w:rsidR="00145453" w:rsidRPr="00390647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color w:val="000000" w:themeColor="text1"/>
          <w:sz w:val="16"/>
          <w:szCs w:val="16"/>
        </w:rPr>
      </w:pPr>
      <w:r w:rsidRPr="00390647">
        <w:rPr>
          <w:rFonts w:ascii="Tahoma" w:hAnsi="Tahoma" w:cs="Tahoma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5E9FFE" wp14:editId="2D2CAFA9">
                <wp:simplePos x="0" y="0"/>
                <wp:positionH relativeFrom="column">
                  <wp:posOffset>1403027</wp:posOffset>
                </wp:positionH>
                <wp:positionV relativeFrom="paragraph">
                  <wp:posOffset>102138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5453" w:rsidRPr="006D624C" w:rsidRDefault="00B5409E" w:rsidP="00145453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thous</w:t>
                            </w:r>
                            <w:r w:rsidR="00145453"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 xml:space="preserve">. </w:t>
                            </w:r>
                            <w:r w:rsidR="00145453"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5E9FFE" id="Text Box 20" o:spid="_x0000_s1031" type="#_x0000_t202" style="position:absolute;left:0;text-align:left;margin-left:110.45pt;margin-top:8.05pt;width:65.35pt;height:21.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" filled="f" stroked="f" strokeweight=".5pt">
                <v:textbox>
                  <w:txbxContent>
                    <w:p w:rsidR="00145453" w:rsidRPr="006D624C" w:rsidRDefault="00B5409E" w:rsidP="00145453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thous</w:t>
                      </w:r>
                      <w:r w:rsidR="00145453"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 xml:space="preserve">. </w:t>
                      </w:r>
                      <w:r w:rsidR="00145453"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КМ</w:t>
                      </w:r>
                    </w:p>
                  </w:txbxContent>
                </v:textbox>
              </v:shape>
            </w:pict>
          </mc:Fallback>
        </mc:AlternateContent>
      </w:r>
    </w:p>
    <w:p w:rsidR="00145453" w:rsidRPr="00390647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color w:val="000000" w:themeColor="text1"/>
          <w:sz w:val="16"/>
          <w:szCs w:val="16"/>
        </w:rPr>
      </w:pPr>
    </w:p>
    <w:p w:rsidR="00145453" w:rsidRPr="00390647" w:rsidRDefault="00B5409E" w:rsidP="00145453">
      <w:pPr>
        <w:tabs>
          <w:tab w:val="left" w:pos="2535"/>
        </w:tabs>
        <w:jc w:val="center"/>
        <w:rPr>
          <w:rFonts w:ascii="Tahoma" w:hAnsi="Tahoma" w:cs="Tahoma"/>
          <w:iCs/>
          <w:color w:val="000000" w:themeColor="text1"/>
          <w:sz w:val="18"/>
          <w:szCs w:val="18"/>
        </w:rPr>
      </w:pPr>
      <w:r w:rsidRPr="0039064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CEED5C" wp14:editId="2A74CE2C">
                <wp:simplePos x="0" y="0"/>
                <wp:positionH relativeFrom="margin">
                  <wp:posOffset>5157114</wp:posOffset>
                </wp:positionH>
                <wp:positionV relativeFrom="paragraph">
                  <wp:posOffset>1118235</wp:posOffset>
                </wp:positionV>
                <wp:extent cx="533400" cy="21018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10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5409E" w:rsidRDefault="00B5409E" w:rsidP="00B5409E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Export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EED5C" id="Text Box 13" o:spid="_x0000_s1032" type="#_x0000_t202" style="position:absolute;left:0;text-align:left;margin-left:406.05pt;margin-top:88.05pt;width:42pt;height:16.5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" fillcolor="window" stroked="f" strokeweight=".5pt">
                <v:textbox>
                  <w:txbxContent>
                    <w:p w:rsidR="00B5409E" w:rsidRDefault="00B5409E" w:rsidP="00B5409E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Export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9064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CEED5C" wp14:editId="2A74CE2C">
                <wp:simplePos x="0" y="0"/>
                <wp:positionH relativeFrom="margin">
                  <wp:posOffset>5164252</wp:posOffset>
                </wp:positionH>
                <wp:positionV relativeFrom="paragraph">
                  <wp:posOffset>923925</wp:posOffset>
                </wp:positionV>
                <wp:extent cx="533400" cy="21018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10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5409E" w:rsidRDefault="00B5409E" w:rsidP="00B5409E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Import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EED5C" id="Text Box 29" o:spid="_x0000_s1033" type="#_x0000_t202" style="position:absolute;left:0;text-align:left;margin-left:406.65pt;margin-top:72.75pt;width:42pt;height:16.5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" fillcolor="window" stroked="f" strokeweight=".5pt">
                <v:textbox>
                  <w:txbxContent>
                    <w:p w:rsidR="00B5409E" w:rsidRDefault="00B5409E" w:rsidP="00B5409E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Import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5453" w:rsidRPr="00390647">
        <w:rPr>
          <w:rFonts w:ascii="Tahoma" w:hAnsi="Tahoma" w:cs="Tahoma"/>
          <w:iCs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5BBED0" wp14:editId="28B3F1ED">
                <wp:simplePos x="0" y="0"/>
                <wp:positionH relativeFrom="column">
                  <wp:posOffset>4160759</wp:posOffset>
                </wp:positionH>
                <wp:positionV relativeFrom="paragraph">
                  <wp:posOffset>2219960</wp:posOffset>
                </wp:positionV>
                <wp:extent cx="391795" cy="21336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45453" w:rsidRPr="00464A21" w:rsidRDefault="00145453" w:rsidP="00145453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5BBED0" id="Text Box 5" o:spid="_x0000_s1034" type="#_x0000_t202" style="position:absolute;left:0;text-align:left;margin-left:327.6pt;margin-top:174.8pt;width:30.85pt;height:16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" fillcolor="white [3201]" stroked="f" strokeweight=".5pt">
                <v:textbox>
                  <w:txbxContent>
                    <w:p w:rsidR="00145453" w:rsidRPr="00464A21" w:rsidRDefault="00145453" w:rsidP="00145453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>
                        <w:rPr>
                          <w:rFonts w:ascii="Arial Narrow" w:hAnsi="Arial Narrow"/>
                          <w:sz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145453" w:rsidRPr="00390647">
        <w:rPr>
          <w:rFonts w:ascii="Tahoma" w:hAnsi="Tahoma" w:cs="Tahoma"/>
          <w:iCs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54EC10" wp14:editId="46F0E8EB">
                <wp:simplePos x="0" y="0"/>
                <wp:positionH relativeFrom="column">
                  <wp:posOffset>2515040</wp:posOffset>
                </wp:positionH>
                <wp:positionV relativeFrom="paragraph">
                  <wp:posOffset>2250175</wp:posOffset>
                </wp:positionV>
                <wp:extent cx="391795" cy="213360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45453" w:rsidRPr="00D5665F" w:rsidRDefault="00145453" w:rsidP="00145453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54EC10" id="Text Box 14" o:spid="_x0000_s1035" type="#_x0000_t202" style="position:absolute;left:0;text-align:left;margin-left:198.05pt;margin-top:177.2pt;width:30.85pt;height:16.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" fillcolor="white [3201]" stroked="f" strokeweight=".5pt">
                <v:textbox>
                  <w:txbxContent>
                    <w:p w:rsidR="00145453" w:rsidRPr="00D5665F" w:rsidRDefault="00145453" w:rsidP="00145453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="00145453" w:rsidRPr="00390647">
        <w:rPr>
          <w:rFonts w:ascii="Tahoma" w:hAnsi="Tahoma" w:cs="Tahoma"/>
          <w:iCs/>
          <w:noProof/>
          <w:color w:val="000000" w:themeColor="text1"/>
          <w:sz w:val="18"/>
          <w:szCs w:val="18"/>
        </w:rPr>
        <w:t xml:space="preserve"> </w:t>
      </w:r>
      <w:r w:rsidR="00145453" w:rsidRPr="00390647">
        <w:rPr>
          <w:noProof/>
          <w:color w:val="000000" w:themeColor="text1"/>
        </w:rPr>
        <w:drawing>
          <wp:inline distT="0" distB="0" distL="0" distR="0" wp14:anchorId="232467AC" wp14:editId="46AA0554">
            <wp:extent cx="4663440" cy="2265528"/>
            <wp:effectExtent l="0" t="0" r="3810" b="1905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45453" w:rsidRPr="00390647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color w:val="000000" w:themeColor="text1"/>
          <w:sz w:val="16"/>
          <w:szCs w:val="22"/>
        </w:rPr>
      </w:pPr>
    </w:p>
    <w:p w:rsidR="00145453" w:rsidRPr="00390647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color w:val="000000" w:themeColor="text1"/>
          <w:sz w:val="16"/>
          <w:szCs w:val="22"/>
        </w:rPr>
      </w:pPr>
    </w:p>
    <w:p w:rsidR="00145453" w:rsidRPr="00390647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color w:val="000000" w:themeColor="text1"/>
          <w:sz w:val="16"/>
          <w:szCs w:val="22"/>
        </w:rPr>
      </w:pPr>
    </w:p>
    <w:p w:rsidR="00145453" w:rsidRPr="00390647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color w:val="000000" w:themeColor="text1"/>
          <w:sz w:val="16"/>
          <w:szCs w:val="22"/>
        </w:rPr>
      </w:pPr>
    </w:p>
    <w:p w:rsidR="00145453" w:rsidRPr="00390647" w:rsidRDefault="00B5409E" w:rsidP="00145453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  <w:r w:rsidRPr="00390647">
        <w:rPr>
          <w:rFonts w:ascii="Arial Narrow" w:hAnsi="Arial Narrow" w:cs="Tahoma"/>
          <w:sz w:val="16"/>
          <w:szCs w:val="22"/>
        </w:rPr>
        <w:t>Graph</w:t>
      </w:r>
      <w:r w:rsidR="00145453" w:rsidRPr="00390647">
        <w:rPr>
          <w:rFonts w:ascii="Arial Narrow" w:hAnsi="Arial Narrow" w:cs="Tahoma"/>
          <w:sz w:val="16"/>
          <w:szCs w:val="22"/>
        </w:rPr>
        <w:t xml:space="preserve"> 4. </w:t>
      </w:r>
      <w:r w:rsidRPr="00390647">
        <w:rPr>
          <w:rFonts w:ascii="Arial Narrow" w:hAnsi="Arial Narrow" w:cs="Tahoma"/>
          <w:iCs/>
          <w:sz w:val="16"/>
          <w:szCs w:val="22"/>
        </w:rPr>
        <w:t>Export and import by month</w:t>
      </w:r>
    </w:p>
    <w:p w:rsidR="00145453" w:rsidRPr="00390647" w:rsidRDefault="00145453" w:rsidP="00145453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390647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color w:val="000000" w:themeColor="text1"/>
          <w:sz w:val="18"/>
          <w:szCs w:val="18"/>
        </w:rPr>
      </w:pPr>
    </w:p>
    <w:p w:rsidR="005A6276" w:rsidRPr="00390647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color w:val="000000" w:themeColor="text1"/>
          <w:sz w:val="18"/>
          <w:szCs w:val="18"/>
        </w:rPr>
      </w:pPr>
    </w:p>
    <w:p w:rsidR="005A6276" w:rsidRPr="00390647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color w:val="000000" w:themeColor="text1"/>
          <w:sz w:val="18"/>
          <w:szCs w:val="18"/>
        </w:rPr>
      </w:pPr>
    </w:p>
    <w:p w:rsidR="00AE0432" w:rsidRPr="00390647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AE0432" w:rsidRPr="00390647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82B55" w:rsidRPr="00390647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82B55" w:rsidRPr="00390647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82B55" w:rsidRPr="00390647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82B55" w:rsidRPr="00390647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82B55" w:rsidRPr="00390647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82B55" w:rsidRPr="00390647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82B55" w:rsidRPr="00390647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82B55" w:rsidRPr="00390647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D504B7" w:rsidRPr="00390647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D504B7" w:rsidRPr="00390647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D504B7" w:rsidRPr="00390647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D504B7" w:rsidRPr="00390647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D504B7" w:rsidRPr="00390647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D504B7" w:rsidRPr="00390647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6A1425" w:rsidRPr="00390647" w:rsidRDefault="006A1425" w:rsidP="00653B24">
      <w:pPr>
        <w:tabs>
          <w:tab w:val="left" w:pos="2535"/>
        </w:tabs>
        <w:rPr>
          <w:rFonts w:ascii="Tahoma" w:hAnsi="Tahoma" w:cs="Tahoma"/>
          <w:b/>
          <w:color w:val="000000" w:themeColor="text1"/>
          <w:spacing w:val="-16"/>
          <w:sz w:val="18"/>
          <w:szCs w:val="1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FE1625" w:rsidRPr="00390647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390647" w:rsidRDefault="001E14B4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  <w:r w:rsidRPr="00390647">
              <w:rPr>
                <w:rFonts w:ascii="Arial Narrow" w:hAnsi="Arial Narrow" w:cs="Tahoma"/>
                <w:b/>
                <w:color w:val="000000" w:themeColor="text1"/>
                <w:sz w:val="22"/>
              </w:rPr>
              <w:t>DATA PREPARED BY</w:t>
            </w:r>
            <w:r w:rsidR="009E2A9A" w:rsidRPr="00390647">
              <w:rPr>
                <w:rFonts w:ascii="Arial Narrow" w:hAnsi="Arial Narrow" w:cs="Tahoma"/>
                <w:b/>
                <w:color w:val="000000" w:themeColor="text1"/>
                <w:sz w:val="22"/>
              </w:rPr>
              <w:t xml:space="preserve">: </w:t>
            </w:r>
          </w:p>
          <w:p w:rsidR="006806FE" w:rsidRPr="00390647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390647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390647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390647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9E2A9A" w:rsidRPr="00390647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  <w:p w:rsidR="009E2A9A" w:rsidRPr="00390647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  <w:p w:rsidR="009E2A9A" w:rsidRPr="00390647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  <w:p w:rsidR="009E2A9A" w:rsidRPr="00390647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  <w:p w:rsidR="009E2A9A" w:rsidRPr="00390647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</w:tc>
      </w:tr>
      <w:tr w:rsidR="00FE1625" w:rsidRPr="00390647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1E14B4" w:rsidRPr="00390647" w:rsidRDefault="001E14B4" w:rsidP="001E14B4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</w:pPr>
            <w:r w:rsidRPr="00390647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  <w:t>Labour statistics</w:t>
            </w:r>
          </w:p>
          <w:p w:rsidR="001E14B4" w:rsidRPr="00390647" w:rsidRDefault="001E14B4" w:rsidP="001E14B4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390647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 xml:space="preserve">Biljana Glušac </w:t>
            </w:r>
          </w:p>
          <w:p w:rsidR="00E31BF3" w:rsidRPr="00390647" w:rsidRDefault="00390647" w:rsidP="00C531C9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hyperlink r:id="rId14" w:history="1">
              <w:r w:rsidR="00C531C9" w:rsidRPr="00390647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</w:rPr>
                <w:t>biljana.glusac@rzs.rs.ba</w:t>
              </w:r>
            </w:hyperlink>
            <w:r w:rsidR="0066022A" w:rsidRPr="00390647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FE1625" w:rsidRPr="00390647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1E14B4" w:rsidRPr="00390647" w:rsidRDefault="001E14B4" w:rsidP="001E14B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390647">
              <w:rPr>
                <w:rFonts w:ascii="Arial Narrow" w:hAnsi="Arial Narrow" w:cs="Tahoma"/>
                <w:b/>
                <w:sz w:val="18"/>
                <w:szCs w:val="18"/>
              </w:rPr>
              <w:t>Prices statistics</w:t>
            </w:r>
          </w:p>
          <w:p w:rsidR="001E14B4" w:rsidRPr="00390647" w:rsidRDefault="001E14B4" w:rsidP="001E14B4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390647">
              <w:rPr>
                <w:rFonts w:ascii="Arial Narrow" w:hAnsi="Arial Narrow" w:cs="Tahoma"/>
                <w:sz w:val="18"/>
                <w:szCs w:val="18"/>
              </w:rPr>
              <w:t>Željka Drašković</w:t>
            </w:r>
          </w:p>
          <w:p w:rsidR="0066022A" w:rsidRPr="00390647" w:rsidRDefault="00390647" w:rsidP="00EA7213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hyperlink r:id="rId15" w:history="1">
              <w:r w:rsidR="00EA7213" w:rsidRPr="00390647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</w:rPr>
                <w:t>zeljka.draskovic@rzs.rs.ba</w:t>
              </w:r>
            </w:hyperlink>
          </w:p>
        </w:tc>
      </w:tr>
      <w:tr w:rsidR="00FE1625" w:rsidRPr="00390647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1E14B4" w:rsidRPr="00390647" w:rsidRDefault="001E14B4" w:rsidP="001E14B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390647">
              <w:rPr>
                <w:rFonts w:ascii="Arial Narrow" w:hAnsi="Arial Narrow" w:cs="Tahoma"/>
                <w:b/>
                <w:sz w:val="18"/>
                <w:szCs w:val="18"/>
              </w:rPr>
              <w:t>Industry and mining statistics</w:t>
            </w:r>
          </w:p>
          <w:p w:rsidR="001E14B4" w:rsidRPr="00390647" w:rsidRDefault="001E14B4" w:rsidP="001E14B4">
            <w:pPr>
              <w:jc w:val="both"/>
            </w:pPr>
            <w:r w:rsidRPr="00390647">
              <w:rPr>
                <w:rFonts w:ascii="Arial Narrow" w:hAnsi="Arial Narrow" w:cs="Tahoma"/>
                <w:sz w:val="18"/>
                <w:szCs w:val="18"/>
              </w:rPr>
              <w:t>Andrea Erak Latinović</w:t>
            </w:r>
            <w:r w:rsidRPr="00390647">
              <w:t xml:space="preserve"> </w:t>
            </w:r>
          </w:p>
          <w:p w:rsidR="000F5C7E" w:rsidRPr="00390647" w:rsidRDefault="00390647" w:rsidP="001E14B4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</w:pPr>
            <w:hyperlink r:id="rId16" w:history="1">
              <w:r w:rsidR="00A776E7" w:rsidRPr="00390647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</w:rPr>
                <w:t>andrea.erak@rzs.rs.ba</w:t>
              </w:r>
            </w:hyperlink>
            <w:r w:rsidR="00FA0863" w:rsidRPr="00390647">
              <w:rPr>
                <w:rFonts w:ascii="Arial Narrow" w:hAnsi="Arial Narrow"/>
                <w:color w:val="000000" w:themeColor="text1"/>
                <w:sz w:val="18"/>
                <w:szCs w:val="18"/>
              </w:rPr>
              <w:t>;</w:t>
            </w:r>
            <w:r w:rsidR="000F58AB" w:rsidRPr="00390647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94E88" w:rsidRPr="00390647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1E14B4" w:rsidRPr="00390647" w:rsidRDefault="001E14B4" w:rsidP="001E14B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390647">
              <w:rPr>
                <w:rFonts w:ascii="Arial Narrow" w:hAnsi="Arial Narrow" w:cs="Tahoma"/>
                <w:b/>
                <w:sz w:val="18"/>
                <w:szCs w:val="18"/>
              </w:rPr>
              <w:t>External trade statistics</w:t>
            </w:r>
          </w:p>
          <w:p w:rsidR="0066022A" w:rsidRPr="00390647" w:rsidRDefault="001E14B4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390647">
              <w:rPr>
                <w:rFonts w:ascii="Arial Narrow" w:hAnsi="Arial Narrow" w:cs="Tahoma"/>
                <w:sz w:val="18"/>
                <w:szCs w:val="18"/>
              </w:rPr>
              <w:t>Sanja Stojčević Uvalić, MSc</w:t>
            </w:r>
          </w:p>
          <w:p w:rsidR="0066022A" w:rsidRPr="00390647" w:rsidRDefault="00390647" w:rsidP="009E2A9A">
            <w:pPr>
              <w:jc w:val="both"/>
              <w:rPr>
                <w:rStyle w:val="Hyperlink"/>
                <w:color w:val="000000" w:themeColor="text1"/>
              </w:rPr>
            </w:pPr>
            <w:hyperlink r:id="rId17" w:history="1">
              <w:r w:rsidR="007B6B0E" w:rsidRPr="00390647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</w:rPr>
                <w:t>sanja.stojcevic@rzs.rs.ba</w:t>
              </w:r>
            </w:hyperlink>
          </w:p>
          <w:p w:rsidR="0066022A" w:rsidRPr="00390647" w:rsidRDefault="0066022A" w:rsidP="009E2A9A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66022A" w:rsidRPr="00390647" w:rsidRDefault="0066022A" w:rsidP="009E2A9A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66022A" w:rsidRPr="00390647" w:rsidRDefault="0066022A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</w:p>
          <w:p w:rsidR="0066022A" w:rsidRPr="00390647" w:rsidRDefault="0066022A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</w:p>
        </w:tc>
      </w:tr>
    </w:tbl>
    <w:p w:rsidR="009E2A9A" w:rsidRPr="00390647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sz w:val="16"/>
          <w:szCs w:val="16"/>
        </w:rPr>
      </w:pPr>
    </w:p>
    <w:p w:rsidR="004612FE" w:rsidRPr="00390647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390647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390647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390647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390647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390647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390647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390647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390647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390647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390647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390647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390647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390647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390647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390647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390647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390647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390647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390647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390647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390647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390647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4612FE" w:rsidRPr="00390647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4612FE" w:rsidRPr="00390647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77E0E" w:rsidRPr="00390647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BA735A" w:rsidRPr="00390647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BA735A" w:rsidRPr="00390647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BA735A" w:rsidRPr="00390647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BA735A" w:rsidRPr="00390647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BA735A" w:rsidRPr="00390647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3619D4" w:rsidRPr="00390647" w:rsidRDefault="003619D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4612FE" w:rsidRPr="00390647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E2A9A" w:rsidRPr="00390647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  <w:r w:rsidRPr="00390647">
        <w:rPr>
          <w:rFonts w:ascii="Tahoma" w:hAnsi="Tahoma" w:cs="Tahoma"/>
          <w:noProof/>
          <w:color w:val="000000" w:themeColor="text1"/>
          <w:sz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DDA99" id="Line 4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FE1625" w:rsidRPr="00390647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390647" w:rsidRDefault="002B3E94" w:rsidP="00382EF3">
            <w:pPr>
              <w:jc w:val="both"/>
              <w:rPr>
                <w:rFonts w:ascii="Tahoma" w:hAnsi="Tahoma" w:cs="Tahoma"/>
                <w:color w:val="000000" w:themeColor="text1"/>
                <w:sz w:val="16"/>
              </w:rPr>
            </w:pPr>
          </w:p>
        </w:tc>
      </w:tr>
      <w:tr w:rsidR="00FE1625" w:rsidRPr="00390647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390647" w:rsidRDefault="001E14B4" w:rsidP="009C3BE2">
            <w:pPr>
              <w:jc w:val="center"/>
              <w:rPr>
                <w:rFonts w:ascii="Arial Narrow" w:hAnsi="Arial Narrow" w:cs="Tahoma"/>
                <w:color w:val="000000" w:themeColor="text1"/>
                <w:sz w:val="16"/>
                <w:szCs w:val="16"/>
              </w:rPr>
            </w:pPr>
            <w:r w:rsidRPr="00390647">
              <w:rPr>
                <w:rFonts w:ascii="Arial Narrow" w:hAnsi="Arial Narrow" w:cs="Tahoma"/>
                <w:color w:val="000000" w:themeColor="text1"/>
                <w:sz w:val="18"/>
              </w:rPr>
              <w:t>The Release prepared by the Protocol Department</w:t>
            </w:r>
          </w:p>
        </w:tc>
      </w:tr>
      <w:tr w:rsidR="00FE1625" w:rsidRPr="00390647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14B4" w:rsidRPr="00390647" w:rsidRDefault="001E14B4" w:rsidP="001E14B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390647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Darko Milunović, Director of the Institute, Editor in Chief</w:t>
            </w:r>
          </w:p>
          <w:p w:rsidR="001E14B4" w:rsidRPr="00390647" w:rsidRDefault="001E14B4" w:rsidP="001E14B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390647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 xml:space="preserve">Ognjen Ignjić, Chief of the Department </w:t>
            </w:r>
          </w:p>
          <w:p w:rsidR="001E14B4" w:rsidRPr="00390647" w:rsidRDefault="001E14B4" w:rsidP="001E14B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390647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Republika Srpska, Banja Luka, Vladike Platona bb</w:t>
            </w:r>
          </w:p>
          <w:p w:rsidR="001E14B4" w:rsidRPr="00390647" w:rsidRDefault="001E14B4" w:rsidP="001E14B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390647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Published by the Republika Srpska Institute of Statistics</w:t>
            </w:r>
          </w:p>
          <w:p w:rsidR="001E14B4" w:rsidRPr="00390647" w:rsidRDefault="001E14B4" w:rsidP="001E14B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390647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The Release is published online, at: www.rzs.rs.ba</w:t>
            </w:r>
          </w:p>
          <w:p w:rsidR="002B3E94" w:rsidRPr="00390647" w:rsidRDefault="001E14B4" w:rsidP="001E14B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390647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Telephone: +387 51 332 700; E-mail</w:t>
            </w:r>
            <w:r w:rsidR="002B3E94" w:rsidRPr="00390647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 xml:space="preserve">: </w:t>
            </w:r>
            <w:hyperlink r:id="rId18" w:history="1">
              <w:r w:rsidR="002B3E94" w:rsidRPr="00390647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</w:rPr>
                <w:t>stat@rzs.rs.ba</w:t>
              </w:r>
            </w:hyperlink>
          </w:p>
          <w:p w:rsidR="002B3E94" w:rsidRPr="00390647" w:rsidRDefault="002B3E94" w:rsidP="00382EF3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</w:rPr>
            </w:pPr>
          </w:p>
          <w:p w:rsidR="002B3E94" w:rsidRPr="00390647" w:rsidRDefault="001E14B4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color w:val="000000" w:themeColor="text1"/>
                <w:sz w:val="16"/>
                <w:szCs w:val="18"/>
              </w:rPr>
            </w:pPr>
            <w:r w:rsidRPr="00390647">
              <w:rPr>
                <w:rFonts w:ascii="Arial Narrow" w:hAnsi="Arial Narrow" w:cs="Tahoma"/>
                <w:b/>
                <w:bCs/>
                <w:color w:val="000000" w:themeColor="text1"/>
                <w:sz w:val="18"/>
              </w:rPr>
              <w:t>Data may be used provided the source is acknowledged</w:t>
            </w:r>
          </w:p>
        </w:tc>
      </w:tr>
    </w:tbl>
    <w:p w:rsidR="009E2A9A" w:rsidRPr="00390647" w:rsidRDefault="004F6953" w:rsidP="009E2A9A">
      <w:pPr>
        <w:rPr>
          <w:rFonts w:ascii="Tahoma" w:hAnsi="Tahoma" w:cs="Tahoma"/>
          <w:color w:val="000000" w:themeColor="text1"/>
        </w:rPr>
      </w:pPr>
      <w:r w:rsidRPr="00390647">
        <w:rPr>
          <w:rFonts w:ascii="Tahoma" w:hAnsi="Tahoma" w:cs="Tahom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6F118" id="Line 4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390647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390647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4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6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7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8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9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40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390647">
                        <w:rPr>
                          <w:rFonts w:ascii="Tahoma" w:hAnsi="Tahoma" w:cs="Tahoma"/>
                          <w:noProof/>
                          <w:color w:val="FFFFFF"/>
                        </w:rPr>
                        <w:t>4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15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2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4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390647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41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u7NoY+wDAACDDQAADgAAAAAAAAAAAAAAAAAuAgAAZHJzL2Uyb0Rv&#10;Yy54bWxQSwECLQAUAAYACAAAACEAbOII3eAAAAAJAQAADwAAAAAAAAAAAAAAAABGBgAAZHJzL2Rv&#10;d25yZXYueG1sUEsFBgAAAAAEAAQA8wAAAFMHAAAAAA==&#10;">
              <v:group id="Group 16" o:spid="_x0000_s1042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rect id="Rectangle 17" o:spid="_x0000_s1043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" fillcolor="#bfbfbf" strokecolor="#bfbfbf"/>
                <v:rect id="Rectangle 18" o:spid="_x0000_s1044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5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390647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442"/>
      <w:gridCol w:w="6908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1E14B4" w:rsidRDefault="001E14B4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</w:rPr>
          </w:pPr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Republika Srpska Institute of Statistics</w:t>
          </w:r>
        </w:p>
        <w:p w:rsidR="00F257E5" w:rsidRPr="001E14B4" w:rsidRDefault="001E14B4" w:rsidP="00E34FA2">
          <w:pPr>
            <w:pStyle w:val="Header"/>
            <w:rPr>
              <w:rFonts w:ascii="Arial Narrow" w:hAnsi="Arial Narrow"/>
              <w:color w:val="FFFFFF"/>
            </w:rPr>
          </w:pPr>
          <w:r>
            <w:rPr>
              <w:rFonts w:ascii="Arial Narrow" w:hAnsi="Arial Narrow" w:cs="Tahoma"/>
              <w:b/>
              <w:color w:val="FFFFFF"/>
              <w:sz w:val="22"/>
            </w:rPr>
            <w:t>PRESS RELEASE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1E14B4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99599E">
            <w:rPr>
              <w:rFonts w:ascii="Arial Narrow" w:hAnsi="Arial Narrow" w:cs="Tahoma"/>
              <w:color w:val="1F497D"/>
              <w:sz w:val="16"/>
              <w:lang w:val="sr-Cyrl-BA"/>
            </w:rPr>
            <w:t>2</w:t>
          </w:r>
          <w:r w:rsidR="001E14B4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</w:t>
          </w:r>
          <w:r w:rsidR="001E14B4">
            <w:rPr>
              <w:rFonts w:ascii="Arial Narrow" w:hAnsi="Arial Narrow" w:cs="Tahoma"/>
              <w:color w:val="1F497D"/>
              <w:sz w:val="16"/>
              <w:szCs w:val="16"/>
            </w:rPr>
            <w:t xml:space="preserve">May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="00E7373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4</w:t>
          </w:r>
          <w:r w:rsidR="001E14B4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 xml:space="preserve">, </w:t>
          </w:r>
          <w:r w:rsidR="001E14B4">
            <w:rPr>
              <w:rFonts w:ascii="Arial Narrow" w:hAnsi="Arial Narrow" w:cs="Tahoma"/>
              <w:color w:val="1F497D"/>
              <w:sz w:val="16"/>
              <w:szCs w:val="16"/>
            </w:rPr>
            <w:t>No</w:t>
          </w:r>
          <w:r w:rsidR="00FE38A1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 xml:space="preserve"> </w:t>
          </w:r>
          <w:r w:rsidR="00311140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1</w:t>
          </w:r>
          <w:r w:rsidR="00EB2FA8">
            <w:rPr>
              <w:rFonts w:ascii="Arial Narrow" w:hAnsi="Arial Narrow" w:cs="Tahoma"/>
              <w:b/>
              <w:color w:val="1F497D"/>
              <w:sz w:val="22"/>
              <w:szCs w:val="22"/>
            </w:rPr>
            <w:t>58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E7373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4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C8C5AB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13441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6D6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BC6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0F42"/>
    <w:rsid w:val="000110A0"/>
    <w:rsid w:val="00011977"/>
    <w:rsid w:val="00011C67"/>
    <w:rsid w:val="000122E3"/>
    <w:rsid w:val="000124E7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230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5E2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07A3"/>
    <w:rsid w:val="000310AC"/>
    <w:rsid w:val="000314AF"/>
    <w:rsid w:val="0003173C"/>
    <w:rsid w:val="00031D5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519"/>
    <w:rsid w:val="0003576D"/>
    <w:rsid w:val="00035F0F"/>
    <w:rsid w:val="00036B69"/>
    <w:rsid w:val="000376FD"/>
    <w:rsid w:val="00037786"/>
    <w:rsid w:val="000377E5"/>
    <w:rsid w:val="000378BC"/>
    <w:rsid w:val="00040004"/>
    <w:rsid w:val="00040214"/>
    <w:rsid w:val="0004086C"/>
    <w:rsid w:val="00040A66"/>
    <w:rsid w:val="00040BF1"/>
    <w:rsid w:val="000414B9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20E"/>
    <w:rsid w:val="0004556F"/>
    <w:rsid w:val="00045665"/>
    <w:rsid w:val="00045BC2"/>
    <w:rsid w:val="00046EE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9D6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95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67DDE"/>
    <w:rsid w:val="00070140"/>
    <w:rsid w:val="00070149"/>
    <w:rsid w:val="00070C0A"/>
    <w:rsid w:val="00071230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73E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09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3F8"/>
    <w:rsid w:val="00087631"/>
    <w:rsid w:val="00087CC4"/>
    <w:rsid w:val="00090142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3D11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6C2"/>
    <w:rsid w:val="000A1737"/>
    <w:rsid w:val="000A174B"/>
    <w:rsid w:val="000A17C4"/>
    <w:rsid w:val="000A1B6E"/>
    <w:rsid w:val="000A21C9"/>
    <w:rsid w:val="000A297F"/>
    <w:rsid w:val="000A2A83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0F97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473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0FF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24F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BFF"/>
    <w:rsid w:val="000F1EDA"/>
    <w:rsid w:val="000F2712"/>
    <w:rsid w:val="000F27B9"/>
    <w:rsid w:val="000F294C"/>
    <w:rsid w:val="000F2FBE"/>
    <w:rsid w:val="000F30D2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437"/>
    <w:rsid w:val="00100507"/>
    <w:rsid w:val="0010093D"/>
    <w:rsid w:val="00100D7F"/>
    <w:rsid w:val="001010D2"/>
    <w:rsid w:val="001013F2"/>
    <w:rsid w:val="0010157F"/>
    <w:rsid w:val="00101E27"/>
    <w:rsid w:val="00101E3A"/>
    <w:rsid w:val="00102240"/>
    <w:rsid w:val="0010254C"/>
    <w:rsid w:val="0010279D"/>
    <w:rsid w:val="0010285B"/>
    <w:rsid w:val="00102975"/>
    <w:rsid w:val="00102C52"/>
    <w:rsid w:val="00102D02"/>
    <w:rsid w:val="00102D2D"/>
    <w:rsid w:val="00102D95"/>
    <w:rsid w:val="00102EAE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5C6B"/>
    <w:rsid w:val="0010606C"/>
    <w:rsid w:val="0010670A"/>
    <w:rsid w:val="0010685B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101"/>
    <w:rsid w:val="0011124D"/>
    <w:rsid w:val="0011133B"/>
    <w:rsid w:val="001118CC"/>
    <w:rsid w:val="00111964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1F22"/>
    <w:rsid w:val="00122399"/>
    <w:rsid w:val="001225F9"/>
    <w:rsid w:val="0012313C"/>
    <w:rsid w:val="0012327F"/>
    <w:rsid w:val="0012365C"/>
    <w:rsid w:val="00123781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B22"/>
    <w:rsid w:val="00125E32"/>
    <w:rsid w:val="00125E3D"/>
    <w:rsid w:val="0012629C"/>
    <w:rsid w:val="00126559"/>
    <w:rsid w:val="00126A82"/>
    <w:rsid w:val="00126D11"/>
    <w:rsid w:val="00126D59"/>
    <w:rsid w:val="00127934"/>
    <w:rsid w:val="001279DD"/>
    <w:rsid w:val="00127A99"/>
    <w:rsid w:val="00127C99"/>
    <w:rsid w:val="00127E75"/>
    <w:rsid w:val="001301F8"/>
    <w:rsid w:val="001304C1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635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4A6F"/>
    <w:rsid w:val="00145453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344"/>
    <w:rsid w:val="00152697"/>
    <w:rsid w:val="001526A5"/>
    <w:rsid w:val="00152F07"/>
    <w:rsid w:val="00153234"/>
    <w:rsid w:val="00153934"/>
    <w:rsid w:val="00153D0B"/>
    <w:rsid w:val="00153DA6"/>
    <w:rsid w:val="0015431F"/>
    <w:rsid w:val="0015439B"/>
    <w:rsid w:val="00154466"/>
    <w:rsid w:val="00154BE7"/>
    <w:rsid w:val="00154D02"/>
    <w:rsid w:val="00154F0F"/>
    <w:rsid w:val="00154FB1"/>
    <w:rsid w:val="001554C5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AA5"/>
    <w:rsid w:val="00163E2A"/>
    <w:rsid w:val="00164A0E"/>
    <w:rsid w:val="00164B57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0A20"/>
    <w:rsid w:val="00170FFE"/>
    <w:rsid w:val="001712BD"/>
    <w:rsid w:val="00171B86"/>
    <w:rsid w:val="00171CD1"/>
    <w:rsid w:val="00171E24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6EDE"/>
    <w:rsid w:val="0017710C"/>
    <w:rsid w:val="00177354"/>
    <w:rsid w:val="001779AD"/>
    <w:rsid w:val="00177D8D"/>
    <w:rsid w:val="00177E0E"/>
    <w:rsid w:val="00177E4B"/>
    <w:rsid w:val="00180436"/>
    <w:rsid w:val="00180592"/>
    <w:rsid w:val="00180905"/>
    <w:rsid w:val="00180B6F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B55"/>
    <w:rsid w:val="00182CDB"/>
    <w:rsid w:val="00183027"/>
    <w:rsid w:val="0018317D"/>
    <w:rsid w:val="00183F3E"/>
    <w:rsid w:val="00183FBA"/>
    <w:rsid w:val="001845F2"/>
    <w:rsid w:val="00184ABF"/>
    <w:rsid w:val="00184BAE"/>
    <w:rsid w:val="00184C03"/>
    <w:rsid w:val="00184CE0"/>
    <w:rsid w:val="00185169"/>
    <w:rsid w:val="0018539C"/>
    <w:rsid w:val="001857B4"/>
    <w:rsid w:val="001858AE"/>
    <w:rsid w:val="00185F7E"/>
    <w:rsid w:val="0018645B"/>
    <w:rsid w:val="00186821"/>
    <w:rsid w:val="001868B0"/>
    <w:rsid w:val="00186D1F"/>
    <w:rsid w:val="001871A5"/>
    <w:rsid w:val="001872B7"/>
    <w:rsid w:val="00187515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1ECC"/>
    <w:rsid w:val="00192BA5"/>
    <w:rsid w:val="00192CFB"/>
    <w:rsid w:val="00192E53"/>
    <w:rsid w:val="00192E8C"/>
    <w:rsid w:val="00193339"/>
    <w:rsid w:val="00193AFD"/>
    <w:rsid w:val="001944E2"/>
    <w:rsid w:val="00194546"/>
    <w:rsid w:val="0019468A"/>
    <w:rsid w:val="00194DDA"/>
    <w:rsid w:val="001951AE"/>
    <w:rsid w:val="001952E2"/>
    <w:rsid w:val="00195976"/>
    <w:rsid w:val="00195AC9"/>
    <w:rsid w:val="00195F3F"/>
    <w:rsid w:val="00196133"/>
    <w:rsid w:val="001963D7"/>
    <w:rsid w:val="001966D3"/>
    <w:rsid w:val="001968A0"/>
    <w:rsid w:val="00196D35"/>
    <w:rsid w:val="00196F18"/>
    <w:rsid w:val="001971AB"/>
    <w:rsid w:val="00197218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72"/>
    <w:rsid w:val="001A3F95"/>
    <w:rsid w:val="001A426D"/>
    <w:rsid w:val="001A4444"/>
    <w:rsid w:val="001A44D2"/>
    <w:rsid w:val="001A4B3B"/>
    <w:rsid w:val="001A4C58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557"/>
    <w:rsid w:val="001B07B0"/>
    <w:rsid w:val="001B0C1F"/>
    <w:rsid w:val="001B0F72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459"/>
    <w:rsid w:val="001C0D7B"/>
    <w:rsid w:val="001C11FE"/>
    <w:rsid w:val="001C1BF3"/>
    <w:rsid w:val="001C1EEB"/>
    <w:rsid w:val="001C1F71"/>
    <w:rsid w:val="001C2960"/>
    <w:rsid w:val="001C2D46"/>
    <w:rsid w:val="001C31C5"/>
    <w:rsid w:val="001C3410"/>
    <w:rsid w:val="001C3AFE"/>
    <w:rsid w:val="001C3E41"/>
    <w:rsid w:val="001C4075"/>
    <w:rsid w:val="001C453E"/>
    <w:rsid w:val="001C4BA2"/>
    <w:rsid w:val="001C4E5B"/>
    <w:rsid w:val="001C53B1"/>
    <w:rsid w:val="001C5406"/>
    <w:rsid w:val="001C5543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490"/>
    <w:rsid w:val="001D3B70"/>
    <w:rsid w:val="001D4005"/>
    <w:rsid w:val="001D4452"/>
    <w:rsid w:val="001D461A"/>
    <w:rsid w:val="001D464D"/>
    <w:rsid w:val="001D49CD"/>
    <w:rsid w:val="001D4B40"/>
    <w:rsid w:val="001D4F92"/>
    <w:rsid w:val="001D4FA6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A5"/>
    <w:rsid w:val="001D7B2C"/>
    <w:rsid w:val="001D7DB8"/>
    <w:rsid w:val="001E0310"/>
    <w:rsid w:val="001E03F0"/>
    <w:rsid w:val="001E0C41"/>
    <w:rsid w:val="001E0DFB"/>
    <w:rsid w:val="001E0EC4"/>
    <w:rsid w:val="001E14B4"/>
    <w:rsid w:val="001E15D3"/>
    <w:rsid w:val="001E1C21"/>
    <w:rsid w:val="001E1C32"/>
    <w:rsid w:val="001E1CDC"/>
    <w:rsid w:val="001E223C"/>
    <w:rsid w:val="001E23B3"/>
    <w:rsid w:val="001E2986"/>
    <w:rsid w:val="001E2988"/>
    <w:rsid w:val="001E3099"/>
    <w:rsid w:val="001E334F"/>
    <w:rsid w:val="001E336F"/>
    <w:rsid w:val="001E37B5"/>
    <w:rsid w:val="001E3C48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976"/>
    <w:rsid w:val="001E6CEF"/>
    <w:rsid w:val="001E74CF"/>
    <w:rsid w:val="001E7691"/>
    <w:rsid w:val="001E7A30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30F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2E1E"/>
    <w:rsid w:val="0020352C"/>
    <w:rsid w:val="0020354E"/>
    <w:rsid w:val="00203582"/>
    <w:rsid w:val="002038A1"/>
    <w:rsid w:val="00203A26"/>
    <w:rsid w:val="00203AB1"/>
    <w:rsid w:val="00203BBB"/>
    <w:rsid w:val="00203D39"/>
    <w:rsid w:val="00204DA6"/>
    <w:rsid w:val="00205062"/>
    <w:rsid w:val="00205231"/>
    <w:rsid w:val="00205492"/>
    <w:rsid w:val="002058F2"/>
    <w:rsid w:val="00205FAF"/>
    <w:rsid w:val="00206767"/>
    <w:rsid w:val="00206778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091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4D35"/>
    <w:rsid w:val="00214FDD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D83"/>
    <w:rsid w:val="00221E33"/>
    <w:rsid w:val="00221F45"/>
    <w:rsid w:val="0022220C"/>
    <w:rsid w:val="0022231C"/>
    <w:rsid w:val="00222A82"/>
    <w:rsid w:val="00222F00"/>
    <w:rsid w:val="002232DE"/>
    <w:rsid w:val="002235F8"/>
    <w:rsid w:val="002236C6"/>
    <w:rsid w:val="00223F1C"/>
    <w:rsid w:val="0022417A"/>
    <w:rsid w:val="00224184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D22"/>
    <w:rsid w:val="00225FB3"/>
    <w:rsid w:val="00226533"/>
    <w:rsid w:val="002266E1"/>
    <w:rsid w:val="0022693C"/>
    <w:rsid w:val="00226A96"/>
    <w:rsid w:val="00227109"/>
    <w:rsid w:val="0022733F"/>
    <w:rsid w:val="00227A59"/>
    <w:rsid w:val="0023009E"/>
    <w:rsid w:val="00230603"/>
    <w:rsid w:val="002308A9"/>
    <w:rsid w:val="00230BA8"/>
    <w:rsid w:val="00230D4C"/>
    <w:rsid w:val="00231339"/>
    <w:rsid w:val="002314BE"/>
    <w:rsid w:val="00231670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67E"/>
    <w:rsid w:val="002367CD"/>
    <w:rsid w:val="00236968"/>
    <w:rsid w:val="00237233"/>
    <w:rsid w:val="002377A4"/>
    <w:rsid w:val="002377EF"/>
    <w:rsid w:val="00237806"/>
    <w:rsid w:val="00237A80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8D0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ACA"/>
    <w:rsid w:val="00246F48"/>
    <w:rsid w:val="00247472"/>
    <w:rsid w:val="00247F87"/>
    <w:rsid w:val="002505B7"/>
    <w:rsid w:val="00250883"/>
    <w:rsid w:val="00250D4D"/>
    <w:rsid w:val="00251087"/>
    <w:rsid w:val="0025175B"/>
    <w:rsid w:val="002518FB"/>
    <w:rsid w:val="00251B5A"/>
    <w:rsid w:val="00251CC6"/>
    <w:rsid w:val="00252354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71D"/>
    <w:rsid w:val="00256BAE"/>
    <w:rsid w:val="00256C51"/>
    <w:rsid w:val="00256DAB"/>
    <w:rsid w:val="00256E5E"/>
    <w:rsid w:val="0025705B"/>
    <w:rsid w:val="00257313"/>
    <w:rsid w:val="00257884"/>
    <w:rsid w:val="00257FFA"/>
    <w:rsid w:val="0026011A"/>
    <w:rsid w:val="002601B7"/>
    <w:rsid w:val="00260742"/>
    <w:rsid w:val="00260A21"/>
    <w:rsid w:val="00260AEE"/>
    <w:rsid w:val="00260CD9"/>
    <w:rsid w:val="00260EE5"/>
    <w:rsid w:val="002611F1"/>
    <w:rsid w:val="0026155E"/>
    <w:rsid w:val="0026162B"/>
    <w:rsid w:val="00261646"/>
    <w:rsid w:val="00261905"/>
    <w:rsid w:val="0026233C"/>
    <w:rsid w:val="00262621"/>
    <w:rsid w:val="0026290E"/>
    <w:rsid w:val="00262E46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E74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9FD"/>
    <w:rsid w:val="00267F1F"/>
    <w:rsid w:val="00270462"/>
    <w:rsid w:val="00270850"/>
    <w:rsid w:val="00270C3D"/>
    <w:rsid w:val="00270F16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1C9"/>
    <w:rsid w:val="00275455"/>
    <w:rsid w:val="00275981"/>
    <w:rsid w:val="002759A6"/>
    <w:rsid w:val="00275C64"/>
    <w:rsid w:val="00276430"/>
    <w:rsid w:val="00276742"/>
    <w:rsid w:val="00276A47"/>
    <w:rsid w:val="00276B92"/>
    <w:rsid w:val="00276CE8"/>
    <w:rsid w:val="00276E82"/>
    <w:rsid w:val="002772F7"/>
    <w:rsid w:val="0027733F"/>
    <w:rsid w:val="002777AB"/>
    <w:rsid w:val="00277A36"/>
    <w:rsid w:val="002800DC"/>
    <w:rsid w:val="002806F5"/>
    <w:rsid w:val="0028085B"/>
    <w:rsid w:val="00280A37"/>
    <w:rsid w:val="00280C76"/>
    <w:rsid w:val="00280E6A"/>
    <w:rsid w:val="002812B3"/>
    <w:rsid w:val="002812C3"/>
    <w:rsid w:val="0028187B"/>
    <w:rsid w:val="002818F0"/>
    <w:rsid w:val="00281A3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1AC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A53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6E7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915"/>
    <w:rsid w:val="002A3B13"/>
    <w:rsid w:val="002A4550"/>
    <w:rsid w:val="002A48B6"/>
    <w:rsid w:val="002A4A01"/>
    <w:rsid w:val="002A4A12"/>
    <w:rsid w:val="002A4EDF"/>
    <w:rsid w:val="002A4EE3"/>
    <w:rsid w:val="002A513E"/>
    <w:rsid w:val="002A5A87"/>
    <w:rsid w:val="002A5AF3"/>
    <w:rsid w:val="002A5D3A"/>
    <w:rsid w:val="002A5DEF"/>
    <w:rsid w:val="002A5EF6"/>
    <w:rsid w:val="002A6004"/>
    <w:rsid w:val="002A613F"/>
    <w:rsid w:val="002A697C"/>
    <w:rsid w:val="002A6D97"/>
    <w:rsid w:val="002A6E5D"/>
    <w:rsid w:val="002A75CA"/>
    <w:rsid w:val="002B046A"/>
    <w:rsid w:val="002B070E"/>
    <w:rsid w:val="002B087B"/>
    <w:rsid w:val="002B0900"/>
    <w:rsid w:val="002B0A62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3F9D"/>
    <w:rsid w:val="002B400A"/>
    <w:rsid w:val="002B40A0"/>
    <w:rsid w:val="002B40EE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300A"/>
    <w:rsid w:val="002C3666"/>
    <w:rsid w:val="002C3929"/>
    <w:rsid w:val="002C39F4"/>
    <w:rsid w:val="002C3AB6"/>
    <w:rsid w:val="002C3E82"/>
    <w:rsid w:val="002C4231"/>
    <w:rsid w:val="002C4816"/>
    <w:rsid w:val="002C4A64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288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AD6"/>
    <w:rsid w:val="002D2CDD"/>
    <w:rsid w:val="002D2FF2"/>
    <w:rsid w:val="002D300C"/>
    <w:rsid w:val="002D34B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3BF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49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65"/>
    <w:rsid w:val="002E66C9"/>
    <w:rsid w:val="002E689C"/>
    <w:rsid w:val="002E6C7D"/>
    <w:rsid w:val="002E6E28"/>
    <w:rsid w:val="002E72E4"/>
    <w:rsid w:val="002E72E7"/>
    <w:rsid w:val="002E75DE"/>
    <w:rsid w:val="002E7866"/>
    <w:rsid w:val="002E79F1"/>
    <w:rsid w:val="002E7B7C"/>
    <w:rsid w:val="002E7CBB"/>
    <w:rsid w:val="002F003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0E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08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37D3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140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63A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C4D"/>
    <w:rsid w:val="00320DFF"/>
    <w:rsid w:val="0032125D"/>
    <w:rsid w:val="003214C3"/>
    <w:rsid w:val="0032196C"/>
    <w:rsid w:val="00321BF0"/>
    <w:rsid w:val="00321C82"/>
    <w:rsid w:val="00321C99"/>
    <w:rsid w:val="00321F2A"/>
    <w:rsid w:val="00322376"/>
    <w:rsid w:val="003226DE"/>
    <w:rsid w:val="003228D7"/>
    <w:rsid w:val="003229F0"/>
    <w:rsid w:val="00322A2E"/>
    <w:rsid w:val="0032304A"/>
    <w:rsid w:val="00323B58"/>
    <w:rsid w:val="00323D8D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26D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3A5"/>
    <w:rsid w:val="00333432"/>
    <w:rsid w:val="00333467"/>
    <w:rsid w:val="00333C8C"/>
    <w:rsid w:val="003342A7"/>
    <w:rsid w:val="0033459B"/>
    <w:rsid w:val="003345B5"/>
    <w:rsid w:val="0033492B"/>
    <w:rsid w:val="00335854"/>
    <w:rsid w:val="0033595C"/>
    <w:rsid w:val="00335D4A"/>
    <w:rsid w:val="003369A1"/>
    <w:rsid w:val="00336BD5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878"/>
    <w:rsid w:val="00346D1E"/>
    <w:rsid w:val="00346E55"/>
    <w:rsid w:val="00346E91"/>
    <w:rsid w:val="00347088"/>
    <w:rsid w:val="003475FD"/>
    <w:rsid w:val="0034775A"/>
    <w:rsid w:val="003477B5"/>
    <w:rsid w:val="00347C93"/>
    <w:rsid w:val="00347E9F"/>
    <w:rsid w:val="00347EBE"/>
    <w:rsid w:val="0035028D"/>
    <w:rsid w:val="0035060C"/>
    <w:rsid w:val="00350801"/>
    <w:rsid w:val="00350AEB"/>
    <w:rsid w:val="00350E65"/>
    <w:rsid w:val="00350F5A"/>
    <w:rsid w:val="003511E2"/>
    <w:rsid w:val="0035153D"/>
    <w:rsid w:val="00351546"/>
    <w:rsid w:val="00351BFE"/>
    <w:rsid w:val="00351CAB"/>
    <w:rsid w:val="0035206C"/>
    <w:rsid w:val="00352533"/>
    <w:rsid w:val="00352541"/>
    <w:rsid w:val="00352595"/>
    <w:rsid w:val="003525D7"/>
    <w:rsid w:val="00352A1A"/>
    <w:rsid w:val="00352AB0"/>
    <w:rsid w:val="00353834"/>
    <w:rsid w:val="00353D45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116"/>
    <w:rsid w:val="00357294"/>
    <w:rsid w:val="00357478"/>
    <w:rsid w:val="00357B94"/>
    <w:rsid w:val="00357F48"/>
    <w:rsid w:val="003604D8"/>
    <w:rsid w:val="00360634"/>
    <w:rsid w:val="00360660"/>
    <w:rsid w:val="00360826"/>
    <w:rsid w:val="00360876"/>
    <w:rsid w:val="00360A56"/>
    <w:rsid w:val="00360F1E"/>
    <w:rsid w:val="003611BC"/>
    <w:rsid w:val="0036123C"/>
    <w:rsid w:val="003612AC"/>
    <w:rsid w:val="003615C9"/>
    <w:rsid w:val="00361878"/>
    <w:rsid w:val="003618C2"/>
    <w:rsid w:val="003619D4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25A"/>
    <w:rsid w:val="003653E0"/>
    <w:rsid w:val="003654AE"/>
    <w:rsid w:val="003654DC"/>
    <w:rsid w:val="00365713"/>
    <w:rsid w:val="00365C70"/>
    <w:rsid w:val="00365CB4"/>
    <w:rsid w:val="00365D99"/>
    <w:rsid w:val="00365E77"/>
    <w:rsid w:val="00366068"/>
    <w:rsid w:val="0036606F"/>
    <w:rsid w:val="003660FC"/>
    <w:rsid w:val="003667B2"/>
    <w:rsid w:val="0036695E"/>
    <w:rsid w:val="003669B1"/>
    <w:rsid w:val="00366CB4"/>
    <w:rsid w:val="00366E4A"/>
    <w:rsid w:val="0036702E"/>
    <w:rsid w:val="003670D6"/>
    <w:rsid w:val="0036725D"/>
    <w:rsid w:val="003679B3"/>
    <w:rsid w:val="00370396"/>
    <w:rsid w:val="00370400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A19"/>
    <w:rsid w:val="00372F3D"/>
    <w:rsid w:val="00372FE3"/>
    <w:rsid w:val="003731F6"/>
    <w:rsid w:val="00373232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48"/>
    <w:rsid w:val="00374BDC"/>
    <w:rsid w:val="00374E8D"/>
    <w:rsid w:val="003751C6"/>
    <w:rsid w:val="00375352"/>
    <w:rsid w:val="00375441"/>
    <w:rsid w:val="00375772"/>
    <w:rsid w:val="003761CE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54C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647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724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B58"/>
    <w:rsid w:val="003A2EF4"/>
    <w:rsid w:val="003A3040"/>
    <w:rsid w:val="003A30D1"/>
    <w:rsid w:val="003A3612"/>
    <w:rsid w:val="003A37AA"/>
    <w:rsid w:val="003A396F"/>
    <w:rsid w:val="003A432B"/>
    <w:rsid w:val="003A463B"/>
    <w:rsid w:val="003A4771"/>
    <w:rsid w:val="003A49B6"/>
    <w:rsid w:val="003A4D79"/>
    <w:rsid w:val="003A4D8B"/>
    <w:rsid w:val="003A560F"/>
    <w:rsid w:val="003A5C12"/>
    <w:rsid w:val="003A5D60"/>
    <w:rsid w:val="003A5F0B"/>
    <w:rsid w:val="003A5F55"/>
    <w:rsid w:val="003A5F78"/>
    <w:rsid w:val="003A6350"/>
    <w:rsid w:val="003A6825"/>
    <w:rsid w:val="003A68CE"/>
    <w:rsid w:val="003A75E4"/>
    <w:rsid w:val="003A790D"/>
    <w:rsid w:val="003A7917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1E0F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232"/>
    <w:rsid w:val="003B4853"/>
    <w:rsid w:val="003B4898"/>
    <w:rsid w:val="003B48C8"/>
    <w:rsid w:val="003B4B25"/>
    <w:rsid w:val="003B4C78"/>
    <w:rsid w:val="003B4E90"/>
    <w:rsid w:val="003B52BE"/>
    <w:rsid w:val="003B5BDC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1F15"/>
    <w:rsid w:val="003C2209"/>
    <w:rsid w:val="003C2D8A"/>
    <w:rsid w:val="003C310C"/>
    <w:rsid w:val="003C3173"/>
    <w:rsid w:val="003C3358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0F56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5EA5"/>
    <w:rsid w:val="003D6043"/>
    <w:rsid w:val="003D6262"/>
    <w:rsid w:val="003D6655"/>
    <w:rsid w:val="003D6C71"/>
    <w:rsid w:val="003D718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962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3BF"/>
    <w:rsid w:val="003E7689"/>
    <w:rsid w:val="003E793A"/>
    <w:rsid w:val="003E7DC3"/>
    <w:rsid w:val="003F02D9"/>
    <w:rsid w:val="003F0699"/>
    <w:rsid w:val="003F0BB4"/>
    <w:rsid w:val="003F0C07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141"/>
    <w:rsid w:val="003F3434"/>
    <w:rsid w:val="003F3D3C"/>
    <w:rsid w:val="003F4296"/>
    <w:rsid w:val="003F4EC4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1EC"/>
    <w:rsid w:val="00402734"/>
    <w:rsid w:val="00402843"/>
    <w:rsid w:val="00402854"/>
    <w:rsid w:val="004028E4"/>
    <w:rsid w:val="00402908"/>
    <w:rsid w:val="00403492"/>
    <w:rsid w:val="00403539"/>
    <w:rsid w:val="00403AB3"/>
    <w:rsid w:val="00403DE5"/>
    <w:rsid w:val="00403F66"/>
    <w:rsid w:val="00404096"/>
    <w:rsid w:val="0040451D"/>
    <w:rsid w:val="004046C2"/>
    <w:rsid w:val="00404CCD"/>
    <w:rsid w:val="00404CD2"/>
    <w:rsid w:val="00404E2B"/>
    <w:rsid w:val="0040518D"/>
    <w:rsid w:val="004053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07ECC"/>
    <w:rsid w:val="0041001A"/>
    <w:rsid w:val="00410206"/>
    <w:rsid w:val="004104B5"/>
    <w:rsid w:val="0041064F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5E15"/>
    <w:rsid w:val="00416335"/>
    <w:rsid w:val="004163E1"/>
    <w:rsid w:val="0041693F"/>
    <w:rsid w:val="00416DF3"/>
    <w:rsid w:val="004171C7"/>
    <w:rsid w:val="004172FA"/>
    <w:rsid w:val="00417370"/>
    <w:rsid w:val="004174F1"/>
    <w:rsid w:val="00417584"/>
    <w:rsid w:val="00417A4C"/>
    <w:rsid w:val="00417BBE"/>
    <w:rsid w:val="00417F14"/>
    <w:rsid w:val="0042000B"/>
    <w:rsid w:val="0042001D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0A"/>
    <w:rsid w:val="00421C75"/>
    <w:rsid w:val="00421DA3"/>
    <w:rsid w:val="00421DE5"/>
    <w:rsid w:val="00421E3C"/>
    <w:rsid w:val="00421FFF"/>
    <w:rsid w:val="004225A9"/>
    <w:rsid w:val="004225CA"/>
    <w:rsid w:val="00422860"/>
    <w:rsid w:val="00422ACA"/>
    <w:rsid w:val="00422EC5"/>
    <w:rsid w:val="00423550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C15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AF7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0B0"/>
    <w:rsid w:val="0043662E"/>
    <w:rsid w:val="0043686F"/>
    <w:rsid w:val="00436AC7"/>
    <w:rsid w:val="00437ABF"/>
    <w:rsid w:val="00437BA6"/>
    <w:rsid w:val="00437C07"/>
    <w:rsid w:val="004406BE"/>
    <w:rsid w:val="0044077B"/>
    <w:rsid w:val="0044082C"/>
    <w:rsid w:val="004408D6"/>
    <w:rsid w:val="00440A12"/>
    <w:rsid w:val="00440AC2"/>
    <w:rsid w:val="00440E2C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55A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47E38"/>
    <w:rsid w:val="00447EE8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2652"/>
    <w:rsid w:val="00453016"/>
    <w:rsid w:val="00453066"/>
    <w:rsid w:val="004532C0"/>
    <w:rsid w:val="0045350E"/>
    <w:rsid w:val="00453C0D"/>
    <w:rsid w:val="00454068"/>
    <w:rsid w:val="004542A9"/>
    <w:rsid w:val="00454399"/>
    <w:rsid w:val="0045449A"/>
    <w:rsid w:val="00454645"/>
    <w:rsid w:val="004549B0"/>
    <w:rsid w:val="00454B6A"/>
    <w:rsid w:val="00454D24"/>
    <w:rsid w:val="004551B9"/>
    <w:rsid w:val="004552AD"/>
    <w:rsid w:val="004552DC"/>
    <w:rsid w:val="0045570F"/>
    <w:rsid w:val="00455B31"/>
    <w:rsid w:val="00455DB5"/>
    <w:rsid w:val="004565D4"/>
    <w:rsid w:val="00456B3F"/>
    <w:rsid w:val="00456CCA"/>
    <w:rsid w:val="0045710B"/>
    <w:rsid w:val="00457173"/>
    <w:rsid w:val="004573E0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376"/>
    <w:rsid w:val="00464631"/>
    <w:rsid w:val="00464858"/>
    <w:rsid w:val="00464A3B"/>
    <w:rsid w:val="00464AA6"/>
    <w:rsid w:val="00464C1D"/>
    <w:rsid w:val="00464D42"/>
    <w:rsid w:val="00465417"/>
    <w:rsid w:val="0046574E"/>
    <w:rsid w:val="0046582A"/>
    <w:rsid w:val="00465911"/>
    <w:rsid w:val="00465BC3"/>
    <w:rsid w:val="004661EE"/>
    <w:rsid w:val="00466273"/>
    <w:rsid w:val="00466558"/>
    <w:rsid w:val="00466988"/>
    <w:rsid w:val="00466A69"/>
    <w:rsid w:val="0046702A"/>
    <w:rsid w:val="004671E6"/>
    <w:rsid w:val="0046729B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7B2"/>
    <w:rsid w:val="00470BF4"/>
    <w:rsid w:val="00470E2C"/>
    <w:rsid w:val="00470E85"/>
    <w:rsid w:val="00471BA4"/>
    <w:rsid w:val="00471BDC"/>
    <w:rsid w:val="00471D80"/>
    <w:rsid w:val="00471D9A"/>
    <w:rsid w:val="00472533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3B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1F2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1D85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527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6E9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53E"/>
    <w:rsid w:val="004A4813"/>
    <w:rsid w:val="004A4872"/>
    <w:rsid w:val="004A4A8A"/>
    <w:rsid w:val="004A4F62"/>
    <w:rsid w:val="004A52B9"/>
    <w:rsid w:val="004A533C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F0D"/>
    <w:rsid w:val="004A6FB0"/>
    <w:rsid w:val="004A7E87"/>
    <w:rsid w:val="004A7EAC"/>
    <w:rsid w:val="004B01D5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77F"/>
    <w:rsid w:val="004C3AAF"/>
    <w:rsid w:val="004C40CC"/>
    <w:rsid w:val="004C494E"/>
    <w:rsid w:val="004C4F71"/>
    <w:rsid w:val="004C52F7"/>
    <w:rsid w:val="004C54CD"/>
    <w:rsid w:val="004C5733"/>
    <w:rsid w:val="004C5823"/>
    <w:rsid w:val="004C59B2"/>
    <w:rsid w:val="004C5A02"/>
    <w:rsid w:val="004C5E32"/>
    <w:rsid w:val="004C65D0"/>
    <w:rsid w:val="004C6A7C"/>
    <w:rsid w:val="004C6F10"/>
    <w:rsid w:val="004C7313"/>
    <w:rsid w:val="004C7641"/>
    <w:rsid w:val="004C777D"/>
    <w:rsid w:val="004C77CC"/>
    <w:rsid w:val="004C78CC"/>
    <w:rsid w:val="004C78EF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B6"/>
    <w:rsid w:val="004D2AFC"/>
    <w:rsid w:val="004D2EF5"/>
    <w:rsid w:val="004D4005"/>
    <w:rsid w:val="004D41DD"/>
    <w:rsid w:val="004D43C4"/>
    <w:rsid w:val="004D4CE4"/>
    <w:rsid w:val="004D4DD2"/>
    <w:rsid w:val="004D5060"/>
    <w:rsid w:val="004D514F"/>
    <w:rsid w:val="004D55E8"/>
    <w:rsid w:val="004D581F"/>
    <w:rsid w:val="004D58F0"/>
    <w:rsid w:val="004D5A28"/>
    <w:rsid w:val="004D5DF5"/>
    <w:rsid w:val="004D661D"/>
    <w:rsid w:val="004D6ABC"/>
    <w:rsid w:val="004D6CF1"/>
    <w:rsid w:val="004D6D03"/>
    <w:rsid w:val="004D703F"/>
    <w:rsid w:val="004D711C"/>
    <w:rsid w:val="004D737B"/>
    <w:rsid w:val="004D740C"/>
    <w:rsid w:val="004D74B7"/>
    <w:rsid w:val="004D7803"/>
    <w:rsid w:val="004D7874"/>
    <w:rsid w:val="004D7B27"/>
    <w:rsid w:val="004D7CA9"/>
    <w:rsid w:val="004D7F82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9B1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17E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1F2A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771"/>
    <w:rsid w:val="004F4CF0"/>
    <w:rsid w:val="004F4F8F"/>
    <w:rsid w:val="004F5666"/>
    <w:rsid w:val="004F57C6"/>
    <w:rsid w:val="004F59CB"/>
    <w:rsid w:val="004F5A52"/>
    <w:rsid w:val="004F5C68"/>
    <w:rsid w:val="004F5D3D"/>
    <w:rsid w:val="004F6953"/>
    <w:rsid w:val="004F6A88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006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2EB2"/>
    <w:rsid w:val="0051317E"/>
    <w:rsid w:val="00513374"/>
    <w:rsid w:val="0051359A"/>
    <w:rsid w:val="0051362A"/>
    <w:rsid w:val="005138D6"/>
    <w:rsid w:val="00513B04"/>
    <w:rsid w:val="00513B70"/>
    <w:rsid w:val="0051445D"/>
    <w:rsid w:val="005148FB"/>
    <w:rsid w:val="00514AEF"/>
    <w:rsid w:val="00514D99"/>
    <w:rsid w:val="00515A72"/>
    <w:rsid w:val="00515B71"/>
    <w:rsid w:val="00515B88"/>
    <w:rsid w:val="00516328"/>
    <w:rsid w:val="00516766"/>
    <w:rsid w:val="00516C9A"/>
    <w:rsid w:val="00516FEA"/>
    <w:rsid w:val="0051704A"/>
    <w:rsid w:val="0051705E"/>
    <w:rsid w:val="005172FA"/>
    <w:rsid w:val="005175CC"/>
    <w:rsid w:val="00517795"/>
    <w:rsid w:val="00517847"/>
    <w:rsid w:val="005179D8"/>
    <w:rsid w:val="00517FC6"/>
    <w:rsid w:val="00520250"/>
    <w:rsid w:val="00520489"/>
    <w:rsid w:val="005206D7"/>
    <w:rsid w:val="00520DE0"/>
    <w:rsid w:val="00520F16"/>
    <w:rsid w:val="00521B73"/>
    <w:rsid w:val="00521E1B"/>
    <w:rsid w:val="00521EA6"/>
    <w:rsid w:val="0052236A"/>
    <w:rsid w:val="00522441"/>
    <w:rsid w:val="005226CB"/>
    <w:rsid w:val="0052298E"/>
    <w:rsid w:val="00522DFD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908"/>
    <w:rsid w:val="00532EB5"/>
    <w:rsid w:val="005332C5"/>
    <w:rsid w:val="005333E4"/>
    <w:rsid w:val="00533618"/>
    <w:rsid w:val="00533A1C"/>
    <w:rsid w:val="00533CBF"/>
    <w:rsid w:val="00534A22"/>
    <w:rsid w:val="00534AA7"/>
    <w:rsid w:val="00534DB6"/>
    <w:rsid w:val="00534E92"/>
    <w:rsid w:val="0053507F"/>
    <w:rsid w:val="005351B2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9E2"/>
    <w:rsid w:val="00536A83"/>
    <w:rsid w:val="00536E97"/>
    <w:rsid w:val="00537428"/>
    <w:rsid w:val="00537711"/>
    <w:rsid w:val="005378B0"/>
    <w:rsid w:val="005379D1"/>
    <w:rsid w:val="005400A6"/>
    <w:rsid w:val="0054010F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47CA6"/>
    <w:rsid w:val="005500BF"/>
    <w:rsid w:val="005501F3"/>
    <w:rsid w:val="00550971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7E2"/>
    <w:rsid w:val="005528D0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370"/>
    <w:rsid w:val="0056390F"/>
    <w:rsid w:val="00563BE0"/>
    <w:rsid w:val="00563D38"/>
    <w:rsid w:val="00563EEC"/>
    <w:rsid w:val="00564204"/>
    <w:rsid w:val="00564608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1D6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5D9B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1B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691"/>
    <w:rsid w:val="00584E4F"/>
    <w:rsid w:val="0058557D"/>
    <w:rsid w:val="005855FA"/>
    <w:rsid w:val="005857A8"/>
    <w:rsid w:val="00585C01"/>
    <w:rsid w:val="00585ED2"/>
    <w:rsid w:val="00586998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87BBB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2806"/>
    <w:rsid w:val="00593117"/>
    <w:rsid w:val="00593327"/>
    <w:rsid w:val="00593AFB"/>
    <w:rsid w:val="00593D71"/>
    <w:rsid w:val="00594240"/>
    <w:rsid w:val="0059440A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97FD3"/>
    <w:rsid w:val="005A000C"/>
    <w:rsid w:val="005A0121"/>
    <w:rsid w:val="005A01AE"/>
    <w:rsid w:val="005A0534"/>
    <w:rsid w:val="005A0CC6"/>
    <w:rsid w:val="005A0D87"/>
    <w:rsid w:val="005A100D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07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00A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A1C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0BE"/>
    <w:rsid w:val="005C333B"/>
    <w:rsid w:val="005C3831"/>
    <w:rsid w:val="005C395C"/>
    <w:rsid w:val="005C4754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6ED"/>
    <w:rsid w:val="005D0814"/>
    <w:rsid w:val="005D0ABB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653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93"/>
    <w:rsid w:val="005E095F"/>
    <w:rsid w:val="005E09A2"/>
    <w:rsid w:val="005E0F42"/>
    <w:rsid w:val="005E1061"/>
    <w:rsid w:val="005E1625"/>
    <w:rsid w:val="005E1630"/>
    <w:rsid w:val="005E182E"/>
    <w:rsid w:val="005E1B46"/>
    <w:rsid w:val="005E1E37"/>
    <w:rsid w:val="005E2033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5D6D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56B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2BAA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7FA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097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B1F"/>
    <w:rsid w:val="00626CC8"/>
    <w:rsid w:val="0062701E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FAD"/>
    <w:rsid w:val="00632350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5E40"/>
    <w:rsid w:val="0063655A"/>
    <w:rsid w:val="0063688F"/>
    <w:rsid w:val="00636F58"/>
    <w:rsid w:val="006372DC"/>
    <w:rsid w:val="00637516"/>
    <w:rsid w:val="00637DA2"/>
    <w:rsid w:val="00640584"/>
    <w:rsid w:val="0064087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5E9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44"/>
    <w:rsid w:val="00651DDC"/>
    <w:rsid w:val="00651EAD"/>
    <w:rsid w:val="00652036"/>
    <w:rsid w:val="006520C9"/>
    <w:rsid w:val="00652176"/>
    <w:rsid w:val="0065239C"/>
    <w:rsid w:val="00652668"/>
    <w:rsid w:val="00652720"/>
    <w:rsid w:val="00652FE3"/>
    <w:rsid w:val="00653430"/>
    <w:rsid w:val="006535D4"/>
    <w:rsid w:val="00653B24"/>
    <w:rsid w:val="00653C85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752"/>
    <w:rsid w:val="00660A00"/>
    <w:rsid w:val="00660A85"/>
    <w:rsid w:val="00660BA1"/>
    <w:rsid w:val="00660DC6"/>
    <w:rsid w:val="00661442"/>
    <w:rsid w:val="00661787"/>
    <w:rsid w:val="00661850"/>
    <w:rsid w:val="00661EE6"/>
    <w:rsid w:val="00662052"/>
    <w:rsid w:val="00662279"/>
    <w:rsid w:val="006622E1"/>
    <w:rsid w:val="00662317"/>
    <w:rsid w:val="00662372"/>
    <w:rsid w:val="00662BCD"/>
    <w:rsid w:val="00662D61"/>
    <w:rsid w:val="0066355A"/>
    <w:rsid w:val="00663F86"/>
    <w:rsid w:val="00664727"/>
    <w:rsid w:val="00664BB8"/>
    <w:rsid w:val="00664CCF"/>
    <w:rsid w:val="0066513E"/>
    <w:rsid w:val="006651BC"/>
    <w:rsid w:val="00665205"/>
    <w:rsid w:val="0066520D"/>
    <w:rsid w:val="00665525"/>
    <w:rsid w:val="006657A3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BD5"/>
    <w:rsid w:val="00670D6C"/>
    <w:rsid w:val="00670E6E"/>
    <w:rsid w:val="0067124E"/>
    <w:rsid w:val="0067137D"/>
    <w:rsid w:val="00671447"/>
    <w:rsid w:val="0067181C"/>
    <w:rsid w:val="00671BCE"/>
    <w:rsid w:val="006721A8"/>
    <w:rsid w:val="0067267B"/>
    <w:rsid w:val="00672866"/>
    <w:rsid w:val="00672E0F"/>
    <w:rsid w:val="0067319A"/>
    <w:rsid w:val="006732F7"/>
    <w:rsid w:val="0067365B"/>
    <w:rsid w:val="00673764"/>
    <w:rsid w:val="00673D83"/>
    <w:rsid w:val="00673ECA"/>
    <w:rsid w:val="00674C4F"/>
    <w:rsid w:val="00675807"/>
    <w:rsid w:val="00675B6B"/>
    <w:rsid w:val="00675FFC"/>
    <w:rsid w:val="006760F5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B4A"/>
    <w:rsid w:val="00681DDD"/>
    <w:rsid w:val="0068213D"/>
    <w:rsid w:val="00682C77"/>
    <w:rsid w:val="00682CD4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56D"/>
    <w:rsid w:val="006866D6"/>
    <w:rsid w:val="00686818"/>
    <w:rsid w:val="006869EB"/>
    <w:rsid w:val="00687014"/>
    <w:rsid w:val="00687166"/>
    <w:rsid w:val="00687499"/>
    <w:rsid w:val="00687A3F"/>
    <w:rsid w:val="00687CD2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221F"/>
    <w:rsid w:val="0069331D"/>
    <w:rsid w:val="00693412"/>
    <w:rsid w:val="006935B5"/>
    <w:rsid w:val="0069369C"/>
    <w:rsid w:val="00693AFD"/>
    <w:rsid w:val="00693D24"/>
    <w:rsid w:val="00693F16"/>
    <w:rsid w:val="00694362"/>
    <w:rsid w:val="00694584"/>
    <w:rsid w:val="0069537C"/>
    <w:rsid w:val="006954BC"/>
    <w:rsid w:val="00695711"/>
    <w:rsid w:val="00695981"/>
    <w:rsid w:val="00695CAC"/>
    <w:rsid w:val="00695E45"/>
    <w:rsid w:val="00696889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679"/>
    <w:rsid w:val="006B292D"/>
    <w:rsid w:val="006B29FF"/>
    <w:rsid w:val="006B2E82"/>
    <w:rsid w:val="006B3196"/>
    <w:rsid w:val="006B3497"/>
    <w:rsid w:val="006B34E9"/>
    <w:rsid w:val="006B37A7"/>
    <w:rsid w:val="006B3B8E"/>
    <w:rsid w:val="006B3ED2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526"/>
    <w:rsid w:val="006C18EB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773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6C7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C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42B"/>
    <w:rsid w:val="006E26FA"/>
    <w:rsid w:val="006E282D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76F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AF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1E"/>
    <w:rsid w:val="007038AB"/>
    <w:rsid w:val="00703A4C"/>
    <w:rsid w:val="00703D5C"/>
    <w:rsid w:val="0070406B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A5E"/>
    <w:rsid w:val="00711B00"/>
    <w:rsid w:val="00711D85"/>
    <w:rsid w:val="007120CF"/>
    <w:rsid w:val="0071221A"/>
    <w:rsid w:val="007131A6"/>
    <w:rsid w:val="0071323E"/>
    <w:rsid w:val="00713A5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796"/>
    <w:rsid w:val="00717C65"/>
    <w:rsid w:val="00717D3D"/>
    <w:rsid w:val="00717E06"/>
    <w:rsid w:val="00717EE8"/>
    <w:rsid w:val="00720023"/>
    <w:rsid w:val="00720051"/>
    <w:rsid w:val="00720291"/>
    <w:rsid w:val="00720E32"/>
    <w:rsid w:val="007211F5"/>
    <w:rsid w:val="0072124D"/>
    <w:rsid w:val="00721529"/>
    <w:rsid w:val="00721976"/>
    <w:rsid w:val="007219DE"/>
    <w:rsid w:val="00721E8F"/>
    <w:rsid w:val="0072220F"/>
    <w:rsid w:val="007223E1"/>
    <w:rsid w:val="00722993"/>
    <w:rsid w:val="00722A5E"/>
    <w:rsid w:val="0072302C"/>
    <w:rsid w:val="007233E9"/>
    <w:rsid w:val="0072389E"/>
    <w:rsid w:val="00724201"/>
    <w:rsid w:val="0072430B"/>
    <w:rsid w:val="00724330"/>
    <w:rsid w:val="0072482B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7EE"/>
    <w:rsid w:val="00727AFF"/>
    <w:rsid w:val="00727E06"/>
    <w:rsid w:val="00727E70"/>
    <w:rsid w:val="0073087D"/>
    <w:rsid w:val="00730CA7"/>
    <w:rsid w:val="0073201E"/>
    <w:rsid w:val="00732A02"/>
    <w:rsid w:val="00732BE1"/>
    <w:rsid w:val="00732DF9"/>
    <w:rsid w:val="00732E2F"/>
    <w:rsid w:val="00732F02"/>
    <w:rsid w:val="007336C5"/>
    <w:rsid w:val="00733919"/>
    <w:rsid w:val="007348F9"/>
    <w:rsid w:val="00734A0E"/>
    <w:rsid w:val="00734AFC"/>
    <w:rsid w:val="00734D17"/>
    <w:rsid w:val="007355A4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377AC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2F5A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29D"/>
    <w:rsid w:val="00747498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17A"/>
    <w:rsid w:val="00753DAD"/>
    <w:rsid w:val="00753F40"/>
    <w:rsid w:val="00754B2B"/>
    <w:rsid w:val="00754B8B"/>
    <w:rsid w:val="00754F0D"/>
    <w:rsid w:val="0075500A"/>
    <w:rsid w:val="00755197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0"/>
    <w:rsid w:val="00757BAA"/>
    <w:rsid w:val="00757F11"/>
    <w:rsid w:val="00760187"/>
    <w:rsid w:val="007602AF"/>
    <w:rsid w:val="00760342"/>
    <w:rsid w:val="0076086A"/>
    <w:rsid w:val="00760A3C"/>
    <w:rsid w:val="00760E7F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4D1C"/>
    <w:rsid w:val="00765234"/>
    <w:rsid w:val="0076554B"/>
    <w:rsid w:val="00765A36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1A8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03"/>
    <w:rsid w:val="00773ED3"/>
    <w:rsid w:val="00774084"/>
    <w:rsid w:val="007743B2"/>
    <w:rsid w:val="007745AD"/>
    <w:rsid w:val="0077463D"/>
    <w:rsid w:val="007748AE"/>
    <w:rsid w:val="00774A20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75E"/>
    <w:rsid w:val="00786934"/>
    <w:rsid w:val="00786AD9"/>
    <w:rsid w:val="00786C07"/>
    <w:rsid w:val="00786C1B"/>
    <w:rsid w:val="00787325"/>
    <w:rsid w:val="007875E6"/>
    <w:rsid w:val="0078765F"/>
    <w:rsid w:val="007876DE"/>
    <w:rsid w:val="00787734"/>
    <w:rsid w:val="00787817"/>
    <w:rsid w:val="00787CEE"/>
    <w:rsid w:val="00787E63"/>
    <w:rsid w:val="00787F92"/>
    <w:rsid w:val="007906AB"/>
    <w:rsid w:val="007907A1"/>
    <w:rsid w:val="00790840"/>
    <w:rsid w:val="00790A27"/>
    <w:rsid w:val="00790CB8"/>
    <w:rsid w:val="00790DC3"/>
    <w:rsid w:val="00791257"/>
    <w:rsid w:val="00791352"/>
    <w:rsid w:val="0079162F"/>
    <w:rsid w:val="00791D8A"/>
    <w:rsid w:val="007923AE"/>
    <w:rsid w:val="0079257D"/>
    <w:rsid w:val="007927C7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5C18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4DF"/>
    <w:rsid w:val="007A35A1"/>
    <w:rsid w:val="007A401C"/>
    <w:rsid w:val="007A44D9"/>
    <w:rsid w:val="007A47BD"/>
    <w:rsid w:val="007A4836"/>
    <w:rsid w:val="007A4C82"/>
    <w:rsid w:val="007A50E0"/>
    <w:rsid w:val="007A52AC"/>
    <w:rsid w:val="007A5A5A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E0B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0E95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4075"/>
    <w:rsid w:val="007B5537"/>
    <w:rsid w:val="007B56FD"/>
    <w:rsid w:val="007B607A"/>
    <w:rsid w:val="007B64FD"/>
    <w:rsid w:val="007B69A0"/>
    <w:rsid w:val="007B6AC0"/>
    <w:rsid w:val="007B6B0E"/>
    <w:rsid w:val="007B6FC2"/>
    <w:rsid w:val="007C0081"/>
    <w:rsid w:val="007C0316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2AA"/>
    <w:rsid w:val="007C4458"/>
    <w:rsid w:val="007C4D74"/>
    <w:rsid w:val="007C4FC5"/>
    <w:rsid w:val="007C57BC"/>
    <w:rsid w:val="007C5D60"/>
    <w:rsid w:val="007C61BD"/>
    <w:rsid w:val="007C6377"/>
    <w:rsid w:val="007C6929"/>
    <w:rsid w:val="007C6987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461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1CD9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6D51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2D46"/>
    <w:rsid w:val="007F3175"/>
    <w:rsid w:val="007F3559"/>
    <w:rsid w:val="007F3A74"/>
    <w:rsid w:val="007F3CB5"/>
    <w:rsid w:val="007F3CC7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6E7E"/>
    <w:rsid w:val="0080700D"/>
    <w:rsid w:val="00807039"/>
    <w:rsid w:val="00807473"/>
    <w:rsid w:val="00807531"/>
    <w:rsid w:val="00807865"/>
    <w:rsid w:val="00807C8C"/>
    <w:rsid w:val="008100CD"/>
    <w:rsid w:val="00810668"/>
    <w:rsid w:val="00810773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0F5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21"/>
    <w:rsid w:val="008168C7"/>
    <w:rsid w:val="00816AE6"/>
    <w:rsid w:val="00816E12"/>
    <w:rsid w:val="00817181"/>
    <w:rsid w:val="00817535"/>
    <w:rsid w:val="008179B6"/>
    <w:rsid w:val="00817C4A"/>
    <w:rsid w:val="00820340"/>
    <w:rsid w:val="00820BC0"/>
    <w:rsid w:val="00820E79"/>
    <w:rsid w:val="00821259"/>
    <w:rsid w:val="00821345"/>
    <w:rsid w:val="0082153B"/>
    <w:rsid w:val="00821720"/>
    <w:rsid w:val="008217E6"/>
    <w:rsid w:val="00821C83"/>
    <w:rsid w:val="008220D3"/>
    <w:rsid w:val="0082251F"/>
    <w:rsid w:val="008226E1"/>
    <w:rsid w:val="0082329C"/>
    <w:rsid w:val="0082333D"/>
    <w:rsid w:val="008236F6"/>
    <w:rsid w:val="00823982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14A0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8CD"/>
    <w:rsid w:val="00834C43"/>
    <w:rsid w:val="00834DEC"/>
    <w:rsid w:val="008351E6"/>
    <w:rsid w:val="0083546B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CFD"/>
    <w:rsid w:val="00840E14"/>
    <w:rsid w:val="00841707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300"/>
    <w:rsid w:val="00843401"/>
    <w:rsid w:val="008435B3"/>
    <w:rsid w:val="008438E7"/>
    <w:rsid w:val="00844688"/>
    <w:rsid w:val="008449B5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4F51"/>
    <w:rsid w:val="00855071"/>
    <w:rsid w:val="00855088"/>
    <w:rsid w:val="00855ACA"/>
    <w:rsid w:val="00856797"/>
    <w:rsid w:val="0085738E"/>
    <w:rsid w:val="008573FB"/>
    <w:rsid w:val="00857519"/>
    <w:rsid w:val="00857548"/>
    <w:rsid w:val="008579AC"/>
    <w:rsid w:val="00857A8C"/>
    <w:rsid w:val="00857BDE"/>
    <w:rsid w:val="00857C05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5C5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54C"/>
    <w:rsid w:val="00877623"/>
    <w:rsid w:val="008779F0"/>
    <w:rsid w:val="00877AA5"/>
    <w:rsid w:val="00877C32"/>
    <w:rsid w:val="008809BE"/>
    <w:rsid w:val="00880A24"/>
    <w:rsid w:val="00881303"/>
    <w:rsid w:val="008815DE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092"/>
    <w:rsid w:val="00885744"/>
    <w:rsid w:val="008857B8"/>
    <w:rsid w:val="00885CE5"/>
    <w:rsid w:val="00886016"/>
    <w:rsid w:val="0088637C"/>
    <w:rsid w:val="008864E1"/>
    <w:rsid w:val="00886717"/>
    <w:rsid w:val="0088675D"/>
    <w:rsid w:val="00886D4C"/>
    <w:rsid w:val="0088723E"/>
    <w:rsid w:val="0088743D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C34"/>
    <w:rsid w:val="00894F98"/>
    <w:rsid w:val="0089510C"/>
    <w:rsid w:val="0089546F"/>
    <w:rsid w:val="00895A11"/>
    <w:rsid w:val="00895DA9"/>
    <w:rsid w:val="008960BA"/>
    <w:rsid w:val="0089629D"/>
    <w:rsid w:val="008962F1"/>
    <w:rsid w:val="00896479"/>
    <w:rsid w:val="008967F4"/>
    <w:rsid w:val="0089681F"/>
    <w:rsid w:val="00896B1E"/>
    <w:rsid w:val="00896E81"/>
    <w:rsid w:val="00896E8D"/>
    <w:rsid w:val="0089788F"/>
    <w:rsid w:val="008978C3"/>
    <w:rsid w:val="00897A9F"/>
    <w:rsid w:val="00897C18"/>
    <w:rsid w:val="008A03B2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A7E02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472"/>
    <w:rsid w:val="008B6803"/>
    <w:rsid w:val="008B6C0D"/>
    <w:rsid w:val="008B6C1D"/>
    <w:rsid w:val="008B6CBF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33D"/>
    <w:rsid w:val="008C13A9"/>
    <w:rsid w:val="008C218C"/>
    <w:rsid w:val="008C21A9"/>
    <w:rsid w:val="008C266D"/>
    <w:rsid w:val="008C2A39"/>
    <w:rsid w:val="008C2DCC"/>
    <w:rsid w:val="008C3261"/>
    <w:rsid w:val="008C33CF"/>
    <w:rsid w:val="008C346D"/>
    <w:rsid w:val="008C3B2D"/>
    <w:rsid w:val="008C3B84"/>
    <w:rsid w:val="008C3DE8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6465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3D"/>
    <w:rsid w:val="008E54CD"/>
    <w:rsid w:val="008E556E"/>
    <w:rsid w:val="008E5CEA"/>
    <w:rsid w:val="008E5D48"/>
    <w:rsid w:val="008E602B"/>
    <w:rsid w:val="008E6702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0EA8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5873"/>
    <w:rsid w:val="008F5A79"/>
    <w:rsid w:val="008F6275"/>
    <w:rsid w:val="008F6757"/>
    <w:rsid w:val="008F6BAA"/>
    <w:rsid w:val="008F6C91"/>
    <w:rsid w:val="008F7413"/>
    <w:rsid w:val="008F77F6"/>
    <w:rsid w:val="009000EB"/>
    <w:rsid w:val="00900119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449"/>
    <w:rsid w:val="0090463C"/>
    <w:rsid w:val="009049DB"/>
    <w:rsid w:val="00904AC2"/>
    <w:rsid w:val="00904D3A"/>
    <w:rsid w:val="00905195"/>
    <w:rsid w:val="00905325"/>
    <w:rsid w:val="00905D98"/>
    <w:rsid w:val="0090625B"/>
    <w:rsid w:val="009062FA"/>
    <w:rsid w:val="009068F5"/>
    <w:rsid w:val="009069D9"/>
    <w:rsid w:val="00906A5F"/>
    <w:rsid w:val="00906FD6"/>
    <w:rsid w:val="00907246"/>
    <w:rsid w:val="0090760D"/>
    <w:rsid w:val="009079C1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6FA"/>
    <w:rsid w:val="009159E2"/>
    <w:rsid w:val="00915AE6"/>
    <w:rsid w:val="00915B35"/>
    <w:rsid w:val="00915DEB"/>
    <w:rsid w:val="00915FAB"/>
    <w:rsid w:val="00916000"/>
    <w:rsid w:val="00916147"/>
    <w:rsid w:val="009162E4"/>
    <w:rsid w:val="0091630D"/>
    <w:rsid w:val="0091724B"/>
    <w:rsid w:val="009172BB"/>
    <w:rsid w:val="009179E6"/>
    <w:rsid w:val="0092049D"/>
    <w:rsid w:val="00920777"/>
    <w:rsid w:val="00920C38"/>
    <w:rsid w:val="00921324"/>
    <w:rsid w:val="009215D1"/>
    <w:rsid w:val="00921843"/>
    <w:rsid w:val="009221CB"/>
    <w:rsid w:val="00922492"/>
    <w:rsid w:val="00923165"/>
    <w:rsid w:val="0092350D"/>
    <w:rsid w:val="00923927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B97"/>
    <w:rsid w:val="00925E83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8EF"/>
    <w:rsid w:val="00934903"/>
    <w:rsid w:val="00934BBD"/>
    <w:rsid w:val="00935795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4B7"/>
    <w:rsid w:val="009406AE"/>
    <w:rsid w:val="009409E6"/>
    <w:rsid w:val="00940DCD"/>
    <w:rsid w:val="0094162A"/>
    <w:rsid w:val="00941706"/>
    <w:rsid w:val="009419C0"/>
    <w:rsid w:val="00941B28"/>
    <w:rsid w:val="00941C77"/>
    <w:rsid w:val="0094216B"/>
    <w:rsid w:val="00942443"/>
    <w:rsid w:val="009427E6"/>
    <w:rsid w:val="009428B5"/>
    <w:rsid w:val="009428CB"/>
    <w:rsid w:val="009430A7"/>
    <w:rsid w:val="00943369"/>
    <w:rsid w:val="009434C2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81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094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9CC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22E"/>
    <w:rsid w:val="00960D5C"/>
    <w:rsid w:val="00961076"/>
    <w:rsid w:val="00961A67"/>
    <w:rsid w:val="00961F64"/>
    <w:rsid w:val="0096204E"/>
    <w:rsid w:val="00962A95"/>
    <w:rsid w:val="00963082"/>
    <w:rsid w:val="009631B1"/>
    <w:rsid w:val="0096363D"/>
    <w:rsid w:val="00963CF5"/>
    <w:rsid w:val="00963F82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A9E"/>
    <w:rsid w:val="00967B26"/>
    <w:rsid w:val="00970330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12C"/>
    <w:rsid w:val="009722E9"/>
    <w:rsid w:val="00972771"/>
    <w:rsid w:val="009728E0"/>
    <w:rsid w:val="0097311A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77E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39"/>
    <w:rsid w:val="00990261"/>
    <w:rsid w:val="009907CB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EF6"/>
    <w:rsid w:val="00994559"/>
    <w:rsid w:val="009945B7"/>
    <w:rsid w:val="00994984"/>
    <w:rsid w:val="00994A87"/>
    <w:rsid w:val="009953A0"/>
    <w:rsid w:val="009955A6"/>
    <w:rsid w:val="0099572D"/>
    <w:rsid w:val="0099599E"/>
    <w:rsid w:val="00996729"/>
    <w:rsid w:val="00996BDB"/>
    <w:rsid w:val="00996C3B"/>
    <w:rsid w:val="00996DB3"/>
    <w:rsid w:val="00996F2B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427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3BA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601"/>
    <w:rsid w:val="009B6882"/>
    <w:rsid w:val="009B6BFF"/>
    <w:rsid w:val="009B6F69"/>
    <w:rsid w:val="009B70EB"/>
    <w:rsid w:val="009B7188"/>
    <w:rsid w:val="009B71E2"/>
    <w:rsid w:val="009B7269"/>
    <w:rsid w:val="009B738E"/>
    <w:rsid w:val="009B758A"/>
    <w:rsid w:val="009B7598"/>
    <w:rsid w:val="009B7A23"/>
    <w:rsid w:val="009B7BA7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B89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3BE2"/>
    <w:rsid w:val="009C3C6C"/>
    <w:rsid w:val="009C4401"/>
    <w:rsid w:val="009C4519"/>
    <w:rsid w:val="009C462C"/>
    <w:rsid w:val="009C46B8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D6F"/>
    <w:rsid w:val="009D0EF9"/>
    <w:rsid w:val="009D0FB9"/>
    <w:rsid w:val="009D1195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EA8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0DB7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AA9"/>
    <w:rsid w:val="009F0F49"/>
    <w:rsid w:val="009F0F9A"/>
    <w:rsid w:val="009F135F"/>
    <w:rsid w:val="009F13BB"/>
    <w:rsid w:val="009F14C5"/>
    <w:rsid w:val="009F150D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9F2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15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9F7F87"/>
    <w:rsid w:val="00A0046F"/>
    <w:rsid w:val="00A004DB"/>
    <w:rsid w:val="00A00550"/>
    <w:rsid w:val="00A01479"/>
    <w:rsid w:val="00A016AA"/>
    <w:rsid w:val="00A017EB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4DEC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0EFA"/>
    <w:rsid w:val="00A1128C"/>
    <w:rsid w:val="00A112BF"/>
    <w:rsid w:val="00A11338"/>
    <w:rsid w:val="00A1145F"/>
    <w:rsid w:val="00A115B5"/>
    <w:rsid w:val="00A116C8"/>
    <w:rsid w:val="00A11939"/>
    <w:rsid w:val="00A11A5F"/>
    <w:rsid w:val="00A11CE5"/>
    <w:rsid w:val="00A120EE"/>
    <w:rsid w:val="00A1211C"/>
    <w:rsid w:val="00A127E3"/>
    <w:rsid w:val="00A128B3"/>
    <w:rsid w:val="00A129F5"/>
    <w:rsid w:val="00A1332F"/>
    <w:rsid w:val="00A1355B"/>
    <w:rsid w:val="00A13AB5"/>
    <w:rsid w:val="00A13C50"/>
    <w:rsid w:val="00A13E13"/>
    <w:rsid w:val="00A14198"/>
    <w:rsid w:val="00A141CF"/>
    <w:rsid w:val="00A141F5"/>
    <w:rsid w:val="00A143C8"/>
    <w:rsid w:val="00A1455F"/>
    <w:rsid w:val="00A14771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2D9B"/>
    <w:rsid w:val="00A23040"/>
    <w:rsid w:val="00A23800"/>
    <w:rsid w:val="00A23D3D"/>
    <w:rsid w:val="00A23F12"/>
    <w:rsid w:val="00A241B3"/>
    <w:rsid w:val="00A242B0"/>
    <w:rsid w:val="00A2432F"/>
    <w:rsid w:val="00A24339"/>
    <w:rsid w:val="00A24453"/>
    <w:rsid w:val="00A25076"/>
    <w:rsid w:val="00A25379"/>
    <w:rsid w:val="00A2556C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2928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5D73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57A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DBC"/>
    <w:rsid w:val="00A44E14"/>
    <w:rsid w:val="00A44F67"/>
    <w:rsid w:val="00A451A5"/>
    <w:rsid w:val="00A4578E"/>
    <w:rsid w:val="00A457CD"/>
    <w:rsid w:val="00A458FD"/>
    <w:rsid w:val="00A45BDD"/>
    <w:rsid w:val="00A45CED"/>
    <w:rsid w:val="00A45CF1"/>
    <w:rsid w:val="00A45F36"/>
    <w:rsid w:val="00A4600A"/>
    <w:rsid w:val="00A463AB"/>
    <w:rsid w:val="00A4644E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7C7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2D1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787"/>
    <w:rsid w:val="00A57853"/>
    <w:rsid w:val="00A57C7E"/>
    <w:rsid w:val="00A60306"/>
    <w:rsid w:val="00A60737"/>
    <w:rsid w:val="00A6090F"/>
    <w:rsid w:val="00A6131A"/>
    <w:rsid w:val="00A61429"/>
    <w:rsid w:val="00A616C8"/>
    <w:rsid w:val="00A616ED"/>
    <w:rsid w:val="00A61AF5"/>
    <w:rsid w:val="00A61F70"/>
    <w:rsid w:val="00A6223F"/>
    <w:rsid w:val="00A6234A"/>
    <w:rsid w:val="00A623FC"/>
    <w:rsid w:val="00A62438"/>
    <w:rsid w:val="00A62905"/>
    <w:rsid w:val="00A62C85"/>
    <w:rsid w:val="00A62CB9"/>
    <w:rsid w:val="00A62D62"/>
    <w:rsid w:val="00A62FE1"/>
    <w:rsid w:val="00A63067"/>
    <w:rsid w:val="00A63261"/>
    <w:rsid w:val="00A634E5"/>
    <w:rsid w:val="00A637F2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5BB7"/>
    <w:rsid w:val="00A6612C"/>
    <w:rsid w:val="00A663CB"/>
    <w:rsid w:val="00A666A8"/>
    <w:rsid w:val="00A66759"/>
    <w:rsid w:val="00A668C4"/>
    <w:rsid w:val="00A66AB2"/>
    <w:rsid w:val="00A66AC6"/>
    <w:rsid w:val="00A6716F"/>
    <w:rsid w:val="00A6760F"/>
    <w:rsid w:val="00A67668"/>
    <w:rsid w:val="00A67EE5"/>
    <w:rsid w:val="00A7037D"/>
    <w:rsid w:val="00A708E8"/>
    <w:rsid w:val="00A70FD1"/>
    <w:rsid w:val="00A71C2B"/>
    <w:rsid w:val="00A71D6E"/>
    <w:rsid w:val="00A7251F"/>
    <w:rsid w:val="00A7261D"/>
    <w:rsid w:val="00A72757"/>
    <w:rsid w:val="00A727AE"/>
    <w:rsid w:val="00A72953"/>
    <w:rsid w:val="00A72B00"/>
    <w:rsid w:val="00A72C11"/>
    <w:rsid w:val="00A72CF6"/>
    <w:rsid w:val="00A7333A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31B"/>
    <w:rsid w:val="00A774F9"/>
    <w:rsid w:val="00A776E7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0F09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23C"/>
    <w:rsid w:val="00A8649C"/>
    <w:rsid w:val="00A86A82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18A9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192"/>
    <w:rsid w:val="00AB0ADC"/>
    <w:rsid w:val="00AB0B15"/>
    <w:rsid w:val="00AB0B61"/>
    <w:rsid w:val="00AB0E15"/>
    <w:rsid w:val="00AB0EE3"/>
    <w:rsid w:val="00AB1044"/>
    <w:rsid w:val="00AB1386"/>
    <w:rsid w:val="00AB150D"/>
    <w:rsid w:val="00AB1D8D"/>
    <w:rsid w:val="00AB1EE5"/>
    <w:rsid w:val="00AB26FC"/>
    <w:rsid w:val="00AB2BD4"/>
    <w:rsid w:val="00AB2DC4"/>
    <w:rsid w:val="00AB3128"/>
    <w:rsid w:val="00AB351D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6491"/>
    <w:rsid w:val="00AB7277"/>
    <w:rsid w:val="00AB74BF"/>
    <w:rsid w:val="00AB768A"/>
    <w:rsid w:val="00AB7DEE"/>
    <w:rsid w:val="00AB7E5E"/>
    <w:rsid w:val="00AB7ED1"/>
    <w:rsid w:val="00AC0070"/>
    <w:rsid w:val="00AC0542"/>
    <w:rsid w:val="00AC084B"/>
    <w:rsid w:val="00AC0C9F"/>
    <w:rsid w:val="00AC0DDF"/>
    <w:rsid w:val="00AC0F69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69C5"/>
    <w:rsid w:val="00AC7336"/>
    <w:rsid w:val="00AC7674"/>
    <w:rsid w:val="00AC7684"/>
    <w:rsid w:val="00AC7730"/>
    <w:rsid w:val="00AC7D10"/>
    <w:rsid w:val="00AC7E24"/>
    <w:rsid w:val="00AD01AC"/>
    <w:rsid w:val="00AD0BA4"/>
    <w:rsid w:val="00AD0C08"/>
    <w:rsid w:val="00AD0C15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914"/>
    <w:rsid w:val="00AD6B39"/>
    <w:rsid w:val="00AD6CE4"/>
    <w:rsid w:val="00AD6E8E"/>
    <w:rsid w:val="00AD7706"/>
    <w:rsid w:val="00AD786D"/>
    <w:rsid w:val="00AE01B4"/>
    <w:rsid w:val="00AE02FB"/>
    <w:rsid w:val="00AE0432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B68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9B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B5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0D6C"/>
    <w:rsid w:val="00B0119B"/>
    <w:rsid w:val="00B0137B"/>
    <w:rsid w:val="00B01494"/>
    <w:rsid w:val="00B014BB"/>
    <w:rsid w:val="00B01B49"/>
    <w:rsid w:val="00B01D55"/>
    <w:rsid w:val="00B02167"/>
    <w:rsid w:val="00B02808"/>
    <w:rsid w:val="00B02887"/>
    <w:rsid w:val="00B02F3E"/>
    <w:rsid w:val="00B0322A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278"/>
    <w:rsid w:val="00B103BA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49B"/>
    <w:rsid w:val="00B1451F"/>
    <w:rsid w:val="00B14845"/>
    <w:rsid w:val="00B14AF3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9DD"/>
    <w:rsid w:val="00B20FEB"/>
    <w:rsid w:val="00B214B5"/>
    <w:rsid w:val="00B2169D"/>
    <w:rsid w:val="00B21A93"/>
    <w:rsid w:val="00B21BDC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6E7F"/>
    <w:rsid w:val="00B2761C"/>
    <w:rsid w:val="00B276AF"/>
    <w:rsid w:val="00B27AE5"/>
    <w:rsid w:val="00B3031E"/>
    <w:rsid w:val="00B3080B"/>
    <w:rsid w:val="00B30941"/>
    <w:rsid w:val="00B30CEC"/>
    <w:rsid w:val="00B30F36"/>
    <w:rsid w:val="00B30FB7"/>
    <w:rsid w:val="00B310DD"/>
    <w:rsid w:val="00B311E4"/>
    <w:rsid w:val="00B313B5"/>
    <w:rsid w:val="00B316DC"/>
    <w:rsid w:val="00B317AE"/>
    <w:rsid w:val="00B31880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54"/>
    <w:rsid w:val="00B370B8"/>
    <w:rsid w:val="00B371F9"/>
    <w:rsid w:val="00B378CD"/>
    <w:rsid w:val="00B37AE4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D4"/>
    <w:rsid w:val="00B4270F"/>
    <w:rsid w:val="00B42784"/>
    <w:rsid w:val="00B42B45"/>
    <w:rsid w:val="00B4322C"/>
    <w:rsid w:val="00B43658"/>
    <w:rsid w:val="00B438DA"/>
    <w:rsid w:val="00B43B23"/>
    <w:rsid w:val="00B43C80"/>
    <w:rsid w:val="00B43E9E"/>
    <w:rsid w:val="00B4414D"/>
    <w:rsid w:val="00B4426D"/>
    <w:rsid w:val="00B44A06"/>
    <w:rsid w:val="00B44D27"/>
    <w:rsid w:val="00B44EF3"/>
    <w:rsid w:val="00B4512C"/>
    <w:rsid w:val="00B45D54"/>
    <w:rsid w:val="00B46A8F"/>
    <w:rsid w:val="00B46FB9"/>
    <w:rsid w:val="00B4708B"/>
    <w:rsid w:val="00B4736B"/>
    <w:rsid w:val="00B47AD9"/>
    <w:rsid w:val="00B47C0C"/>
    <w:rsid w:val="00B47DB9"/>
    <w:rsid w:val="00B47F77"/>
    <w:rsid w:val="00B503A9"/>
    <w:rsid w:val="00B504CF"/>
    <w:rsid w:val="00B50951"/>
    <w:rsid w:val="00B50B7D"/>
    <w:rsid w:val="00B50E51"/>
    <w:rsid w:val="00B5147C"/>
    <w:rsid w:val="00B5168E"/>
    <w:rsid w:val="00B51E09"/>
    <w:rsid w:val="00B520CA"/>
    <w:rsid w:val="00B52521"/>
    <w:rsid w:val="00B5281C"/>
    <w:rsid w:val="00B530FF"/>
    <w:rsid w:val="00B5357F"/>
    <w:rsid w:val="00B5389D"/>
    <w:rsid w:val="00B538D0"/>
    <w:rsid w:val="00B53A93"/>
    <w:rsid w:val="00B53C72"/>
    <w:rsid w:val="00B53F86"/>
    <w:rsid w:val="00B5409E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2F3"/>
    <w:rsid w:val="00B574EC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4CF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39DE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64D"/>
    <w:rsid w:val="00B77AB1"/>
    <w:rsid w:val="00B8018B"/>
    <w:rsid w:val="00B80925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4E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C70"/>
    <w:rsid w:val="00B90E02"/>
    <w:rsid w:val="00B90E3B"/>
    <w:rsid w:val="00B91055"/>
    <w:rsid w:val="00B913AB"/>
    <w:rsid w:val="00B91468"/>
    <w:rsid w:val="00B916B1"/>
    <w:rsid w:val="00B91AF6"/>
    <w:rsid w:val="00B91BAD"/>
    <w:rsid w:val="00B91E91"/>
    <w:rsid w:val="00B91EAC"/>
    <w:rsid w:val="00B92913"/>
    <w:rsid w:val="00B92917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914"/>
    <w:rsid w:val="00B97AFA"/>
    <w:rsid w:val="00B97BCB"/>
    <w:rsid w:val="00BA016A"/>
    <w:rsid w:val="00BA15A5"/>
    <w:rsid w:val="00BA1BD6"/>
    <w:rsid w:val="00BA1C4C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5ACF"/>
    <w:rsid w:val="00BA663C"/>
    <w:rsid w:val="00BA6725"/>
    <w:rsid w:val="00BA6B33"/>
    <w:rsid w:val="00BA6BCE"/>
    <w:rsid w:val="00BA6F8A"/>
    <w:rsid w:val="00BA70D8"/>
    <w:rsid w:val="00BA735A"/>
    <w:rsid w:val="00BA777B"/>
    <w:rsid w:val="00BA7878"/>
    <w:rsid w:val="00BA7B81"/>
    <w:rsid w:val="00BA7C62"/>
    <w:rsid w:val="00BB043E"/>
    <w:rsid w:val="00BB0BB7"/>
    <w:rsid w:val="00BB0EF4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444"/>
    <w:rsid w:val="00BC276A"/>
    <w:rsid w:val="00BC27A8"/>
    <w:rsid w:val="00BC28EF"/>
    <w:rsid w:val="00BC2AB2"/>
    <w:rsid w:val="00BC33CF"/>
    <w:rsid w:val="00BC381E"/>
    <w:rsid w:val="00BC3882"/>
    <w:rsid w:val="00BC38BC"/>
    <w:rsid w:val="00BC3C42"/>
    <w:rsid w:val="00BC3EB4"/>
    <w:rsid w:val="00BC45C1"/>
    <w:rsid w:val="00BC45FE"/>
    <w:rsid w:val="00BC4648"/>
    <w:rsid w:val="00BC466F"/>
    <w:rsid w:val="00BC4A8F"/>
    <w:rsid w:val="00BC4FDC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A67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C2B"/>
    <w:rsid w:val="00BD5D63"/>
    <w:rsid w:val="00BD5F03"/>
    <w:rsid w:val="00BD5F3E"/>
    <w:rsid w:val="00BD634F"/>
    <w:rsid w:val="00BD6672"/>
    <w:rsid w:val="00BD67ED"/>
    <w:rsid w:val="00BD6BC2"/>
    <w:rsid w:val="00BD6E7C"/>
    <w:rsid w:val="00BD72D7"/>
    <w:rsid w:val="00BD78BB"/>
    <w:rsid w:val="00BE051D"/>
    <w:rsid w:val="00BE072B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12C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62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1C6"/>
    <w:rsid w:val="00BF2289"/>
    <w:rsid w:val="00BF2682"/>
    <w:rsid w:val="00BF2817"/>
    <w:rsid w:val="00BF282C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137"/>
    <w:rsid w:val="00BF4568"/>
    <w:rsid w:val="00BF45CB"/>
    <w:rsid w:val="00BF4D4C"/>
    <w:rsid w:val="00BF4D52"/>
    <w:rsid w:val="00BF5232"/>
    <w:rsid w:val="00BF550D"/>
    <w:rsid w:val="00BF5601"/>
    <w:rsid w:val="00BF57ED"/>
    <w:rsid w:val="00BF586F"/>
    <w:rsid w:val="00BF5C1F"/>
    <w:rsid w:val="00BF60ED"/>
    <w:rsid w:val="00BF61C7"/>
    <w:rsid w:val="00BF6292"/>
    <w:rsid w:val="00BF6389"/>
    <w:rsid w:val="00BF674C"/>
    <w:rsid w:val="00BF6773"/>
    <w:rsid w:val="00BF6B33"/>
    <w:rsid w:val="00BF6CAB"/>
    <w:rsid w:val="00BF70E0"/>
    <w:rsid w:val="00BF7563"/>
    <w:rsid w:val="00BF7774"/>
    <w:rsid w:val="00BF7818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2F6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50F5"/>
    <w:rsid w:val="00C05314"/>
    <w:rsid w:val="00C056FE"/>
    <w:rsid w:val="00C05B8F"/>
    <w:rsid w:val="00C0614D"/>
    <w:rsid w:val="00C0654A"/>
    <w:rsid w:val="00C06583"/>
    <w:rsid w:val="00C067C5"/>
    <w:rsid w:val="00C067EB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0EB2"/>
    <w:rsid w:val="00C114EB"/>
    <w:rsid w:val="00C115AC"/>
    <w:rsid w:val="00C115EC"/>
    <w:rsid w:val="00C11C79"/>
    <w:rsid w:val="00C11D79"/>
    <w:rsid w:val="00C1211C"/>
    <w:rsid w:val="00C12777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3DA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28F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AD"/>
    <w:rsid w:val="00C300B6"/>
    <w:rsid w:val="00C300F2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C5"/>
    <w:rsid w:val="00C37284"/>
    <w:rsid w:val="00C37CF4"/>
    <w:rsid w:val="00C37D98"/>
    <w:rsid w:val="00C40722"/>
    <w:rsid w:val="00C40E97"/>
    <w:rsid w:val="00C4108F"/>
    <w:rsid w:val="00C411FF"/>
    <w:rsid w:val="00C415AF"/>
    <w:rsid w:val="00C4180F"/>
    <w:rsid w:val="00C4188A"/>
    <w:rsid w:val="00C422A8"/>
    <w:rsid w:val="00C42758"/>
    <w:rsid w:val="00C42824"/>
    <w:rsid w:val="00C42D44"/>
    <w:rsid w:val="00C42D73"/>
    <w:rsid w:val="00C42EB8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65F"/>
    <w:rsid w:val="00C44FA0"/>
    <w:rsid w:val="00C45229"/>
    <w:rsid w:val="00C45299"/>
    <w:rsid w:val="00C45599"/>
    <w:rsid w:val="00C455CE"/>
    <w:rsid w:val="00C45DD5"/>
    <w:rsid w:val="00C4611B"/>
    <w:rsid w:val="00C46346"/>
    <w:rsid w:val="00C46513"/>
    <w:rsid w:val="00C46983"/>
    <w:rsid w:val="00C46A3C"/>
    <w:rsid w:val="00C46F07"/>
    <w:rsid w:val="00C473CF"/>
    <w:rsid w:val="00C473D5"/>
    <w:rsid w:val="00C47696"/>
    <w:rsid w:val="00C47DA4"/>
    <w:rsid w:val="00C47DDB"/>
    <w:rsid w:val="00C50E96"/>
    <w:rsid w:val="00C50F6C"/>
    <w:rsid w:val="00C5124A"/>
    <w:rsid w:val="00C51322"/>
    <w:rsid w:val="00C51566"/>
    <w:rsid w:val="00C51806"/>
    <w:rsid w:val="00C520F2"/>
    <w:rsid w:val="00C52587"/>
    <w:rsid w:val="00C52620"/>
    <w:rsid w:val="00C52A6F"/>
    <w:rsid w:val="00C52D7A"/>
    <w:rsid w:val="00C52E14"/>
    <w:rsid w:val="00C52FC4"/>
    <w:rsid w:val="00C531C9"/>
    <w:rsid w:val="00C538E9"/>
    <w:rsid w:val="00C53AE8"/>
    <w:rsid w:val="00C53FDB"/>
    <w:rsid w:val="00C5414C"/>
    <w:rsid w:val="00C544E5"/>
    <w:rsid w:val="00C54551"/>
    <w:rsid w:val="00C54725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14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8AE"/>
    <w:rsid w:val="00C679AA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28"/>
    <w:rsid w:val="00C728A2"/>
    <w:rsid w:val="00C72A0B"/>
    <w:rsid w:val="00C72CE9"/>
    <w:rsid w:val="00C72D30"/>
    <w:rsid w:val="00C734F7"/>
    <w:rsid w:val="00C74115"/>
    <w:rsid w:val="00C742E8"/>
    <w:rsid w:val="00C743C1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795"/>
    <w:rsid w:val="00C90AA1"/>
    <w:rsid w:val="00C90CFC"/>
    <w:rsid w:val="00C911E3"/>
    <w:rsid w:val="00C91469"/>
    <w:rsid w:val="00C914A9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4E88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D36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66C"/>
    <w:rsid w:val="00CB39C1"/>
    <w:rsid w:val="00CB3E64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314"/>
    <w:rsid w:val="00CC3589"/>
    <w:rsid w:val="00CC3728"/>
    <w:rsid w:val="00CC3E73"/>
    <w:rsid w:val="00CC4467"/>
    <w:rsid w:val="00CC46F8"/>
    <w:rsid w:val="00CC4812"/>
    <w:rsid w:val="00CC491A"/>
    <w:rsid w:val="00CC4AF6"/>
    <w:rsid w:val="00CC4B09"/>
    <w:rsid w:val="00CC537C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40D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3836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353"/>
    <w:rsid w:val="00CD6460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6C5F"/>
    <w:rsid w:val="00CE6D13"/>
    <w:rsid w:val="00CE7059"/>
    <w:rsid w:val="00CE78F0"/>
    <w:rsid w:val="00CF07EF"/>
    <w:rsid w:val="00CF0948"/>
    <w:rsid w:val="00CF0C19"/>
    <w:rsid w:val="00CF0D2E"/>
    <w:rsid w:val="00CF171D"/>
    <w:rsid w:val="00CF1D6A"/>
    <w:rsid w:val="00CF1E15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0F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454"/>
    <w:rsid w:val="00CF5D5A"/>
    <w:rsid w:val="00CF661C"/>
    <w:rsid w:val="00CF6E48"/>
    <w:rsid w:val="00CF7112"/>
    <w:rsid w:val="00CF72AF"/>
    <w:rsid w:val="00CF76CE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36A"/>
    <w:rsid w:val="00D0441E"/>
    <w:rsid w:val="00D04679"/>
    <w:rsid w:val="00D047DB"/>
    <w:rsid w:val="00D05144"/>
    <w:rsid w:val="00D05260"/>
    <w:rsid w:val="00D0544F"/>
    <w:rsid w:val="00D0546B"/>
    <w:rsid w:val="00D05625"/>
    <w:rsid w:val="00D05935"/>
    <w:rsid w:val="00D0597D"/>
    <w:rsid w:val="00D05A34"/>
    <w:rsid w:val="00D05B8A"/>
    <w:rsid w:val="00D05EDB"/>
    <w:rsid w:val="00D05FF5"/>
    <w:rsid w:val="00D062F2"/>
    <w:rsid w:val="00D06716"/>
    <w:rsid w:val="00D06780"/>
    <w:rsid w:val="00D06B94"/>
    <w:rsid w:val="00D070A9"/>
    <w:rsid w:val="00D07747"/>
    <w:rsid w:val="00D07FAF"/>
    <w:rsid w:val="00D10722"/>
    <w:rsid w:val="00D1077E"/>
    <w:rsid w:val="00D11064"/>
    <w:rsid w:val="00D110CA"/>
    <w:rsid w:val="00D11151"/>
    <w:rsid w:val="00D119D2"/>
    <w:rsid w:val="00D11D2E"/>
    <w:rsid w:val="00D11D67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9E4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0D6"/>
    <w:rsid w:val="00D301B1"/>
    <w:rsid w:val="00D30242"/>
    <w:rsid w:val="00D30921"/>
    <w:rsid w:val="00D30C6C"/>
    <w:rsid w:val="00D31694"/>
    <w:rsid w:val="00D318E3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14D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DF6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195"/>
    <w:rsid w:val="00D47633"/>
    <w:rsid w:val="00D47CE7"/>
    <w:rsid w:val="00D500D5"/>
    <w:rsid w:val="00D50157"/>
    <w:rsid w:val="00D504B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56F"/>
    <w:rsid w:val="00D52858"/>
    <w:rsid w:val="00D528FB"/>
    <w:rsid w:val="00D52C15"/>
    <w:rsid w:val="00D52D5E"/>
    <w:rsid w:val="00D53076"/>
    <w:rsid w:val="00D536BD"/>
    <w:rsid w:val="00D53703"/>
    <w:rsid w:val="00D53BA5"/>
    <w:rsid w:val="00D53D89"/>
    <w:rsid w:val="00D53FEA"/>
    <w:rsid w:val="00D5401B"/>
    <w:rsid w:val="00D541A2"/>
    <w:rsid w:val="00D541CD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65F"/>
    <w:rsid w:val="00D56964"/>
    <w:rsid w:val="00D56DAC"/>
    <w:rsid w:val="00D56E54"/>
    <w:rsid w:val="00D57302"/>
    <w:rsid w:val="00D577BF"/>
    <w:rsid w:val="00D57AC9"/>
    <w:rsid w:val="00D57B74"/>
    <w:rsid w:val="00D57D2F"/>
    <w:rsid w:val="00D57DCA"/>
    <w:rsid w:val="00D57FAB"/>
    <w:rsid w:val="00D60C86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7A6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27"/>
    <w:rsid w:val="00D74290"/>
    <w:rsid w:val="00D748EC"/>
    <w:rsid w:val="00D74C6F"/>
    <w:rsid w:val="00D74D05"/>
    <w:rsid w:val="00D74D95"/>
    <w:rsid w:val="00D75074"/>
    <w:rsid w:val="00D75106"/>
    <w:rsid w:val="00D75495"/>
    <w:rsid w:val="00D75497"/>
    <w:rsid w:val="00D75570"/>
    <w:rsid w:val="00D75E8D"/>
    <w:rsid w:val="00D75FB0"/>
    <w:rsid w:val="00D766CA"/>
    <w:rsid w:val="00D76A3A"/>
    <w:rsid w:val="00D77276"/>
    <w:rsid w:val="00D77439"/>
    <w:rsid w:val="00D775AF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147"/>
    <w:rsid w:val="00D82297"/>
    <w:rsid w:val="00D8278D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6BA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99C"/>
    <w:rsid w:val="00D91B79"/>
    <w:rsid w:val="00D92002"/>
    <w:rsid w:val="00D92015"/>
    <w:rsid w:val="00D9205F"/>
    <w:rsid w:val="00D92179"/>
    <w:rsid w:val="00D926F0"/>
    <w:rsid w:val="00D928E0"/>
    <w:rsid w:val="00D9294C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73AE"/>
    <w:rsid w:val="00D97735"/>
    <w:rsid w:val="00D97984"/>
    <w:rsid w:val="00D97A0A"/>
    <w:rsid w:val="00D97A9D"/>
    <w:rsid w:val="00D97C49"/>
    <w:rsid w:val="00D97D0C"/>
    <w:rsid w:val="00D97D6A"/>
    <w:rsid w:val="00DA031E"/>
    <w:rsid w:val="00DA0785"/>
    <w:rsid w:val="00DA0E2E"/>
    <w:rsid w:val="00DA1529"/>
    <w:rsid w:val="00DA156E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30"/>
    <w:rsid w:val="00DA5854"/>
    <w:rsid w:val="00DA5E2F"/>
    <w:rsid w:val="00DA6522"/>
    <w:rsid w:val="00DA65D0"/>
    <w:rsid w:val="00DA68BE"/>
    <w:rsid w:val="00DA6E3B"/>
    <w:rsid w:val="00DA7017"/>
    <w:rsid w:val="00DA7049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4C7"/>
    <w:rsid w:val="00DC04E7"/>
    <w:rsid w:val="00DC0687"/>
    <w:rsid w:val="00DC092A"/>
    <w:rsid w:val="00DC0A21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4395"/>
    <w:rsid w:val="00DC4742"/>
    <w:rsid w:val="00DC49D8"/>
    <w:rsid w:val="00DC4B65"/>
    <w:rsid w:val="00DC4C38"/>
    <w:rsid w:val="00DC4D81"/>
    <w:rsid w:val="00DC6030"/>
    <w:rsid w:val="00DC6A3B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78D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041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28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34D"/>
    <w:rsid w:val="00DE4A76"/>
    <w:rsid w:val="00DE4BCB"/>
    <w:rsid w:val="00DE4E82"/>
    <w:rsid w:val="00DE50CF"/>
    <w:rsid w:val="00DE5E23"/>
    <w:rsid w:val="00DE6E46"/>
    <w:rsid w:val="00DE7102"/>
    <w:rsid w:val="00DE7137"/>
    <w:rsid w:val="00DE7631"/>
    <w:rsid w:val="00DE7674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25CA"/>
    <w:rsid w:val="00DF380E"/>
    <w:rsid w:val="00DF39F6"/>
    <w:rsid w:val="00DF3C0D"/>
    <w:rsid w:val="00DF3E33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0E5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6A71"/>
    <w:rsid w:val="00E07497"/>
    <w:rsid w:val="00E0751A"/>
    <w:rsid w:val="00E07871"/>
    <w:rsid w:val="00E078F9"/>
    <w:rsid w:val="00E07991"/>
    <w:rsid w:val="00E07A4D"/>
    <w:rsid w:val="00E10073"/>
    <w:rsid w:val="00E102DE"/>
    <w:rsid w:val="00E106B6"/>
    <w:rsid w:val="00E10AD2"/>
    <w:rsid w:val="00E10B41"/>
    <w:rsid w:val="00E10BC0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563F"/>
    <w:rsid w:val="00E15AF8"/>
    <w:rsid w:val="00E15BE0"/>
    <w:rsid w:val="00E15D41"/>
    <w:rsid w:val="00E15DCC"/>
    <w:rsid w:val="00E161B3"/>
    <w:rsid w:val="00E165D1"/>
    <w:rsid w:val="00E1669B"/>
    <w:rsid w:val="00E1693C"/>
    <w:rsid w:val="00E16F47"/>
    <w:rsid w:val="00E1712D"/>
    <w:rsid w:val="00E1747E"/>
    <w:rsid w:val="00E17A56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4C8"/>
    <w:rsid w:val="00E276A3"/>
    <w:rsid w:val="00E27853"/>
    <w:rsid w:val="00E27B0E"/>
    <w:rsid w:val="00E27EC7"/>
    <w:rsid w:val="00E27F95"/>
    <w:rsid w:val="00E301D1"/>
    <w:rsid w:val="00E3032B"/>
    <w:rsid w:val="00E304B6"/>
    <w:rsid w:val="00E30869"/>
    <w:rsid w:val="00E3131C"/>
    <w:rsid w:val="00E31BF3"/>
    <w:rsid w:val="00E32297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76"/>
    <w:rsid w:val="00E404C0"/>
    <w:rsid w:val="00E41000"/>
    <w:rsid w:val="00E4140F"/>
    <w:rsid w:val="00E41925"/>
    <w:rsid w:val="00E421A6"/>
    <w:rsid w:val="00E42614"/>
    <w:rsid w:val="00E426BB"/>
    <w:rsid w:val="00E429C2"/>
    <w:rsid w:val="00E42EE1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41A"/>
    <w:rsid w:val="00E647A5"/>
    <w:rsid w:val="00E6487A"/>
    <w:rsid w:val="00E64BAA"/>
    <w:rsid w:val="00E650CF"/>
    <w:rsid w:val="00E65767"/>
    <w:rsid w:val="00E65A4F"/>
    <w:rsid w:val="00E65BCC"/>
    <w:rsid w:val="00E65C83"/>
    <w:rsid w:val="00E65E20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3E"/>
    <w:rsid w:val="00E73785"/>
    <w:rsid w:val="00E737E2"/>
    <w:rsid w:val="00E73BE0"/>
    <w:rsid w:val="00E73D56"/>
    <w:rsid w:val="00E742AB"/>
    <w:rsid w:val="00E743DB"/>
    <w:rsid w:val="00E74F69"/>
    <w:rsid w:val="00E74FF2"/>
    <w:rsid w:val="00E7538D"/>
    <w:rsid w:val="00E753F0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0FB2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6F5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3F3"/>
    <w:rsid w:val="00E906D2"/>
    <w:rsid w:val="00E908CB"/>
    <w:rsid w:val="00E908EF"/>
    <w:rsid w:val="00E90A84"/>
    <w:rsid w:val="00E90CD8"/>
    <w:rsid w:val="00E913FB"/>
    <w:rsid w:val="00E916C7"/>
    <w:rsid w:val="00E9199C"/>
    <w:rsid w:val="00E91AF9"/>
    <w:rsid w:val="00E92377"/>
    <w:rsid w:val="00E929B6"/>
    <w:rsid w:val="00E92C59"/>
    <w:rsid w:val="00E92CD5"/>
    <w:rsid w:val="00E93207"/>
    <w:rsid w:val="00E9344D"/>
    <w:rsid w:val="00E937D5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507"/>
    <w:rsid w:val="00EA18CA"/>
    <w:rsid w:val="00EA1931"/>
    <w:rsid w:val="00EA1AEB"/>
    <w:rsid w:val="00EA1B51"/>
    <w:rsid w:val="00EA1CDE"/>
    <w:rsid w:val="00EA1E41"/>
    <w:rsid w:val="00EA2480"/>
    <w:rsid w:val="00EA2609"/>
    <w:rsid w:val="00EA2871"/>
    <w:rsid w:val="00EA2A36"/>
    <w:rsid w:val="00EA2A6A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E62"/>
    <w:rsid w:val="00EA4E72"/>
    <w:rsid w:val="00EA4EC9"/>
    <w:rsid w:val="00EA5636"/>
    <w:rsid w:val="00EA571B"/>
    <w:rsid w:val="00EA5C4D"/>
    <w:rsid w:val="00EA634C"/>
    <w:rsid w:val="00EA672D"/>
    <w:rsid w:val="00EA6C20"/>
    <w:rsid w:val="00EA6EC4"/>
    <w:rsid w:val="00EA70D6"/>
    <w:rsid w:val="00EA7178"/>
    <w:rsid w:val="00EA7213"/>
    <w:rsid w:val="00EA743A"/>
    <w:rsid w:val="00EA75AB"/>
    <w:rsid w:val="00EA77CA"/>
    <w:rsid w:val="00EA7893"/>
    <w:rsid w:val="00EA7AA4"/>
    <w:rsid w:val="00EA7B43"/>
    <w:rsid w:val="00EA7BDF"/>
    <w:rsid w:val="00EA7F25"/>
    <w:rsid w:val="00EB0088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2FA8"/>
    <w:rsid w:val="00EB42D9"/>
    <w:rsid w:val="00EB46A4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A4E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5E5"/>
    <w:rsid w:val="00ED57C1"/>
    <w:rsid w:val="00ED5808"/>
    <w:rsid w:val="00ED5940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76A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97C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26F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A67"/>
    <w:rsid w:val="00F03B53"/>
    <w:rsid w:val="00F03C8F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69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B9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60F"/>
    <w:rsid w:val="00F15AA0"/>
    <w:rsid w:val="00F16018"/>
    <w:rsid w:val="00F16028"/>
    <w:rsid w:val="00F165A6"/>
    <w:rsid w:val="00F169E7"/>
    <w:rsid w:val="00F16B64"/>
    <w:rsid w:val="00F16DAC"/>
    <w:rsid w:val="00F17308"/>
    <w:rsid w:val="00F17452"/>
    <w:rsid w:val="00F176CE"/>
    <w:rsid w:val="00F17D96"/>
    <w:rsid w:val="00F17E2A"/>
    <w:rsid w:val="00F2060F"/>
    <w:rsid w:val="00F206FA"/>
    <w:rsid w:val="00F20734"/>
    <w:rsid w:val="00F207B3"/>
    <w:rsid w:val="00F218F8"/>
    <w:rsid w:val="00F21B4B"/>
    <w:rsid w:val="00F21BE0"/>
    <w:rsid w:val="00F21C31"/>
    <w:rsid w:val="00F21ECE"/>
    <w:rsid w:val="00F220DB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A8F"/>
    <w:rsid w:val="00F30EA3"/>
    <w:rsid w:val="00F30F09"/>
    <w:rsid w:val="00F315DB"/>
    <w:rsid w:val="00F31694"/>
    <w:rsid w:val="00F316F8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928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7BE"/>
    <w:rsid w:val="00F40870"/>
    <w:rsid w:val="00F408B7"/>
    <w:rsid w:val="00F415CC"/>
    <w:rsid w:val="00F41633"/>
    <w:rsid w:val="00F41827"/>
    <w:rsid w:val="00F41D04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5AE5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5EE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5EA"/>
    <w:rsid w:val="00F556AD"/>
    <w:rsid w:val="00F557CB"/>
    <w:rsid w:val="00F558C2"/>
    <w:rsid w:val="00F55A1F"/>
    <w:rsid w:val="00F55C70"/>
    <w:rsid w:val="00F56043"/>
    <w:rsid w:val="00F560E1"/>
    <w:rsid w:val="00F56304"/>
    <w:rsid w:val="00F56534"/>
    <w:rsid w:val="00F5666C"/>
    <w:rsid w:val="00F566A5"/>
    <w:rsid w:val="00F567D2"/>
    <w:rsid w:val="00F56B1D"/>
    <w:rsid w:val="00F56CEC"/>
    <w:rsid w:val="00F5718E"/>
    <w:rsid w:val="00F57BA6"/>
    <w:rsid w:val="00F57D77"/>
    <w:rsid w:val="00F57F23"/>
    <w:rsid w:val="00F6075A"/>
    <w:rsid w:val="00F60CD9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29"/>
    <w:rsid w:val="00F71774"/>
    <w:rsid w:val="00F71785"/>
    <w:rsid w:val="00F71D2F"/>
    <w:rsid w:val="00F7209A"/>
    <w:rsid w:val="00F721D9"/>
    <w:rsid w:val="00F723DB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500"/>
    <w:rsid w:val="00F766A7"/>
    <w:rsid w:val="00F76B81"/>
    <w:rsid w:val="00F77987"/>
    <w:rsid w:val="00F77D3F"/>
    <w:rsid w:val="00F81389"/>
    <w:rsid w:val="00F813DC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6A9"/>
    <w:rsid w:val="00F878E9"/>
    <w:rsid w:val="00F87C17"/>
    <w:rsid w:val="00F87C79"/>
    <w:rsid w:val="00F87D37"/>
    <w:rsid w:val="00F906B5"/>
    <w:rsid w:val="00F906FD"/>
    <w:rsid w:val="00F912E6"/>
    <w:rsid w:val="00F9136D"/>
    <w:rsid w:val="00F91501"/>
    <w:rsid w:val="00F91751"/>
    <w:rsid w:val="00F91827"/>
    <w:rsid w:val="00F92944"/>
    <w:rsid w:val="00F92A45"/>
    <w:rsid w:val="00F92D4B"/>
    <w:rsid w:val="00F92FB6"/>
    <w:rsid w:val="00F938E8"/>
    <w:rsid w:val="00F93956"/>
    <w:rsid w:val="00F93AAD"/>
    <w:rsid w:val="00F93C44"/>
    <w:rsid w:val="00F93C5B"/>
    <w:rsid w:val="00F94323"/>
    <w:rsid w:val="00F94448"/>
    <w:rsid w:val="00F944C0"/>
    <w:rsid w:val="00F9466B"/>
    <w:rsid w:val="00F95157"/>
    <w:rsid w:val="00F954EE"/>
    <w:rsid w:val="00F95518"/>
    <w:rsid w:val="00F95F31"/>
    <w:rsid w:val="00F962BF"/>
    <w:rsid w:val="00F96646"/>
    <w:rsid w:val="00F96942"/>
    <w:rsid w:val="00F96C06"/>
    <w:rsid w:val="00F96E2D"/>
    <w:rsid w:val="00F96F84"/>
    <w:rsid w:val="00F97060"/>
    <w:rsid w:val="00F9736A"/>
    <w:rsid w:val="00F97627"/>
    <w:rsid w:val="00F9775E"/>
    <w:rsid w:val="00F978F9"/>
    <w:rsid w:val="00F97AC2"/>
    <w:rsid w:val="00F97BD4"/>
    <w:rsid w:val="00F97C86"/>
    <w:rsid w:val="00F97F72"/>
    <w:rsid w:val="00FA0710"/>
    <w:rsid w:val="00FA0863"/>
    <w:rsid w:val="00FA0F22"/>
    <w:rsid w:val="00FA11BF"/>
    <w:rsid w:val="00FA11D6"/>
    <w:rsid w:val="00FA135E"/>
    <w:rsid w:val="00FA14C1"/>
    <w:rsid w:val="00FA1507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9A0"/>
    <w:rsid w:val="00FB0C95"/>
    <w:rsid w:val="00FB1427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014"/>
    <w:rsid w:val="00FC540D"/>
    <w:rsid w:val="00FC5498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12E6"/>
    <w:rsid w:val="00FD1B38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D89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F6"/>
    <w:rsid w:val="00FD7706"/>
    <w:rsid w:val="00FD7BC2"/>
    <w:rsid w:val="00FE02AC"/>
    <w:rsid w:val="00FE041C"/>
    <w:rsid w:val="00FE09A3"/>
    <w:rsid w:val="00FE0E08"/>
    <w:rsid w:val="00FE1089"/>
    <w:rsid w:val="00FE1260"/>
    <w:rsid w:val="00FE1625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8A1"/>
    <w:rsid w:val="00FE3B25"/>
    <w:rsid w:val="00FE4872"/>
    <w:rsid w:val="00FE4A6D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3CC"/>
    <w:rsid w:val="00FF54B6"/>
    <w:rsid w:val="00FF5512"/>
    <w:rsid w:val="00FF5670"/>
    <w:rsid w:val="00FF6743"/>
    <w:rsid w:val="00FF68B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3441">
      <o:colormru v:ext="edit" colors="#963,#969696,#777"/>
    </o:shapedefaults>
    <o:shapelayout v:ext="edit">
      <o:idmap v:ext="edit" data="1"/>
    </o:shapelayout>
  </w:shapeDefaults>
  <w:decimalSymbol w:val="."/>
  <w:listSeparator w:val=","/>
  <w14:docId w14:val="6C512A7A"/>
  <w15:docId w15:val="{C848D7E8-9479-4260-8065-0DD844D6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sanela.boroj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drea.erak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zeljka.draskov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krajina\statisticka%20saopstenja\Industrija\01_Indeksi%20industrijske%20proizvodnje\Podaci%20za%20grafikon%20za%20APRIL%202024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spPr>
            <a:ln w="25400">
              <a:solidFill>
                <a:schemeClr val="tx2"/>
              </a:solidFill>
            </a:ln>
          </c:spPr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</c:lvl>
                <c:lvl>
                  <c:pt idx="0">
                    <c:v>2023</c:v>
                  </c:pt>
                  <c:pt idx="9">
                    <c:v>2024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1265</c:v>
                </c:pt>
                <c:pt idx="1">
                  <c:v>1280</c:v>
                </c:pt>
                <c:pt idx="2">
                  <c:v>1284</c:v>
                </c:pt>
                <c:pt idx="3">
                  <c:v>1278</c:v>
                </c:pt>
                <c:pt idx="4">
                  <c:v>1286</c:v>
                </c:pt>
                <c:pt idx="5">
                  <c:v>1277</c:v>
                </c:pt>
                <c:pt idx="6">
                  <c:v>1290</c:v>
                </c:pt>
                <c:pt idx="7">
                  <c:v>1296</c:v>
                </c:pt>
                <c:pt idx="8">
                  <c:v>1304</c:v>
                </c:pt>
                <c:pt idx="9">
                  <c:v>1312</c:v>
                </c:pt>
                <c:pt idx="10">
                  <c:v>1392</c:v>
                </c:pt>
                <c:pt idx="11" formatCode="General">
                  <c:v>1394</c:v>
                </c:pt>
                <c:pt idx="12">
                  <c:v>1400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817-4382-85B3-FDFD2AC98E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3584256"/>
        <c:axId val="175649536"/>
      </c:lineChart>
      <c:catAx>
        <c:axId val="143584256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175649536"/>
        <c:crosses val="autoZero"/>
        <c:auto val="1"/>
        <c:lblAlgn val="ctr"/>
        <c:lblOffset val="100"/>
        <c:noMultiLvlLbl val="0"/>
      </c:catAx>
      <c:valAx>
        <c:axId val="175649536"/>
        <c:scaling>
          <c:orientation val="minMax"/>
          <c:max val="1600"/>
          <c:min val="600"/>
        </c:scaling>
        <c:delete val="0"/>
        <c:axPos val="l"/>
        <c:majorGridlines>
          <c:spPr>
            <a:ln w="3175"/>
          </c:spPr>
        </c:majorGridlines>
        <c:numFmt formatCode="#\ ##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</a:ln>
        </c:spPr>
        <c:crossAx val="14358425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8622397858292914E-2"/>
          <c:y val="5.4015685866277113E-2"/>
          <c:w val="0.93899546694798963"/>
          <c:h val="0.62681143565706199"/>
        </c:manualLayout>
      </c:layout>
      <c:lineChart>
        <c:grouping val="standard"/>
        <c:varyColors val="0"/>
        <c:ser>
          <c:idx val="0"/>
          <c:order val="0"/>
          <c:tx>
            <c:strRef>
              <c:f>Sheet1!$C$1:$C$34</c:f>
              <c:strCache>
                <c:ptCount val="34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chemeClr val="tx2"/>
              </a:solidFill>
              <a:prstDash val="solid"/>
            </a:ln>
          </c:spPr>
          <c:marker>
            <c:symbol val="none"/>
          </c:marker>
          <c:cat>
            <c:multiLvlStrRef>
              <c:f>Sheet1!$A$35:$B$47</c:f>
              <c:multiLvlStrCache>
                <c:ptCount val="13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</c:lvl>
                <c:lvl>
                  <c:pt idx="2">
                    <c:v>2023</c:v>
                  </c:pt>
                  <c:pt idx="9">
                    <c:v>2024</c:v>
                  </c:pt>
                </c:lvl>
              </c:multiLvlStrCache>
            </c:multiLvlStrRef>
          </c:cat>
          <c:val>
            <c:numRef>
              <c:f>Sheet1!$C$35:$C$47</c:f>
              <c:numCache>
                <c:formatCode>0.0</c:formatCode>
                <c:ptCount val="13"/>
                <c:pt idx="0">
                  <c:v>0.3</c:v>
                </c:pt>
                <c:pt idx="1">
                  <c:v>-0.1</c:v>
                </c:pt>
                <c:pt idx="2">
                  <c:v>0.1</c:v>
                </c:pt>
                <c:pt idx="3">
                  <c:v>-0.1</c:v>
                </c:pt>
                <c:pt idx="4">
                  <c:v>1.1000000000000001</c:v>
                </c:pt>
                <c:pt idx="5">
                  <c:v>0.8</c:v>
                </c:pt>
                <c:pt idx="6">
                  <c:v>0</c:v>
                </c:pt>
                <c:pt idx="7">
                  <c:v>-0.2</c:v>
                </c:pt>
                <c:pt idx="8">
                  <c:v>-0.3</c:v>
                </c:pt>
                <c:pt idx="9">
                  <c:v>0.3</c:v>
                </c:pt>
                <c:pt idx="10">
                  <c:v>0.5</c:v>
                </c:pt>
                <c:pt idx="11">
                  <c:v>0.4</c:v>
                </c:pt>
                <c:pt idx="1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D0C-4D43-B4F5-15DD9AE53949}"/>
            </c:ext>
          </c:extLst>
        </c:ser>
        <c:ser>
          <c:idx val="1"/>
          <c:order val="1"/>
          <c:tx>
            <c:strRef>
              <c:f>Sheet1!$D$1:$D$34</c:f>
              <c:strCache>
                <c:ptCount val="34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Sheet1!$A$35:$B$47</c:f>
              <c:multiLvlStrCache>
                <c:ptCount val="13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</c:lvl>
                <c:lvl>
                  <c:pt idx="2">
                    <c:v>2023</c:v>
                  </c:pt>
                  <c:pt idx="9">
                    <c:v>2024</c:v>
                  </c:pt>
                </c:lvl>
              </c:multiLvlStrCache>
            </c:multiLvlStrRef>
          </c:cat>
          <c:val>
            <c:numRef>
              <c:f>Sheet1!$D$35:$D$47</c:f>
              <c:numCache>
                <c:formatCode>0.0</c:formatCode>
                <c:ptCount val="13"/>
                <c:pt idx="0">
                  <c:v>9</c:v>
                </c:pt>
                <c:pt idx="1">
                  <c:v>7.3</c:v>
                </c:pt>
                <c:pt idx="2">
                  <c:v>6.2</c:v>
                </c:pt>
                <c:pt idx="3">
                  <c:v>5.2</c:v>
                </c:pt>
                <c:pt idx="4">
                  <c:v>5.9</c:v>
                </c:pt>
                <c:pt idx="5">
                  <c:v>5.7</c:v>
                </c:pt>
                <c:pt idx="6">
                  <c:v>3.8</c:v>
                </c:pt>
                <c:pt idx="7">
                  <c:v>3.1</c:v>
                </c:pt>
                <c:pt idx="8">
                  <c:v>3.3</c:v>
                </c:pt>
                <c:pt idx="9">
                  <c:v>3</c:v>
                </c:pt>
                <c:pt idx="10">
                  <c:v>2.8</c:v>
                </c:pt>
                <c:pt idx="11">
                  <c:v>2.7</c:v>
                </c:pt>
                <c:pt idx="12">
                  <c:v>2.5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D0C-4D43-B4F5-15DD9AE539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2199168"/>
        <c:axId val="98270208"/>
      </c:lineChart>
      <c:catAx>
        <c:axId val="92199168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9827020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98270208"/>
        <c:scaling>
          <c:orientation val="minMax"/>
          <c:max val="18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92199168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8229772287765431"/>
          <c:y val="0.85831563330771365"/>
          <c:w val="0.41352872153597175"/>
          <c:h val="0.14003783511646101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'za grafikon'!$C$1</c:f>
              <c:strCache>
                <c:ptCount val="1"/>
                <c:pt idx="0">
                  <c:v>Десезонирани индекси
</c:v>
                </c:pt>
              </c:strCache>
            </c:strRef>
          </c:tx>
          <c:spPr>
            <a:ln w="2540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multiLvlStrRef>
              <c:f>'za grafikon'!$A$2:$B$50</c:f>
              <c:multiLvlStrCache>
                <c:ptCount val="49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  <c:pt idx="13">
                    <c:v>V</c:v>
                  </c:pt>
                  <c:pt idx="14">
                    <c:v>VI</c:v>
                  </c:pt>
                  <c:pt idx="15">
                    <c:v>VII</c:v>
                  </c:pt>
                  <c:pt idx="16">
                    <c:v>VIII</c:v>
                  </c:pt>
                  <c:pt idx="17">
                    <c:v>IX</c:v>
                  </c:pt>
                  <c:pt idx="18">
                    <c:v>X</c:v>
                  </c:pt>
                  <c:pt idx="19">
                    <c:v>XI</c:v>
                  </c:pt>
                  <c:pt idx="20">
                    <c:v>XII</c:v>
                  </c:pt>
                  <c:pt idx="21">
                    <c:v>I</c:v>
                  </c:pt>
                  <c:pt idx="22">
                    <c:v>II</c:v>
                  </c:pt>
                  <c:pt idx="23">
                    <c:v>III</c:v>
                  </c:pt>
                  <c:pt idx="24">
                    <c:v>IV</c:v>
                  </c:pt>
                  <c:pt idx="25">
                    <c:v>V</c:v>
                  </c:pt>
                  <c:pt idx="26">
                    <c:v>VI</c:v>
                  </c:pt>
                  <c:pt idx="27">
                    <c:v>VII</c:v>
                  </c:pt>
                  <c:pt idx="28">
                    <c:v>VIII</c:v>
                  </c:pt>
                  <c:pt idx="29">
                    <c:v>IX</c:v>
                  </c:pt>
                  <c:pt idx="30">
                    <c:v>X</c:v>
                  </c:pt>
                  <c:pt idx="31">
                    <c:v>XI</c:v>
                  </c:pt>
                  <c:pt idx="32">
                    <c:v>XII</c:v>
                  </c:pt>
                  <c:pt idx="33">
                    <c:v>I</c:v>
                  </c:pt>
                  <c:pt idx="34">
                    <c:v>II</c:v>
                  </c:pt>
                  <c:pt idx="35">
                    <c:v>III</c:v>
                  </c:pt>
                  <c:pt idx="36">
                    <c:v>IV</c:v>
                  </c:pt>
                  <c:pt idx="37">
                    <c:v>V</c:v>
                  </c:pt>
                  <c:pt idx="38">
                    <c:v>VI</c:v>
                  </c:pt>
                  <c:pt idx="39">
                    <c:v>VII</c:v>
                  </c:pt>
                  <c:pt idx="40">
                    <c:v>VIII</c:v>
                  </c:pt>
                  <c:pt idx="41">
                    <c:v>IX</c:v>
                  </c:pt>
                  <c:pt idx="42">
                    <c:v>X</c:v>
                  </c:pt>
                  <c:pt idx="43">
                    <c:v>XI</c:v>
                  </c:pt>
                  <c:pt idx="44">
                    <c:v>XII</c:v>
                  </c:pt>
                  <c:pt idx="45">
                    <c:v>I</c:v>
                  </c:pt>
                  <c:pt idx="46">
                    <c:v>II</c:v>
                  </c:pt>
                  <c:pt idx="47">
                    <c:v>III</c:v>
                  </c:pt>
                  <c:pt idx="48">
                    <c:v>IV</c:v>
                  </c:pt>
                </c:lvl>
                <c:lvl>
                  <c:pt idx="0">
                    <c:v>2020</c:v>
                  </c:pt>
                  <c:pt idx="9">
                    <c:v>2021</c:v>
                  </c:pt>
                  <c:pt idx="21">
                    <c:v>2022</c:v>
                  </c:pt>
                  <c:pt idx="33">
                    <c:v>2023</c:v>
                  </c:pt>
                  <c:pt idx="45">
                    <c:v>2024</c:v>
                  </c:pt>
                </c:lvl>
              </c:multiLvlStrCache>
            </c:multiLvlStrRef>
          </c:cat>
          <c:val>
            <c:numRef>
              <c:f>'za grafikon'!$C$2:$C$50</c:f>
              <c:numCache>
                <c:formatCode>0.0</c:formatCode>
                <c:ptCount val="49"/>
                <c:pt idx="0">
                  <c:v>83.676796452577918</c:v>
                </c:pt>
                <c:pt idx="1">
                  <c:v>84.323112159606694</c:v>
                </c:pt>
                <c:pt idx="2">
                  <c:v>84.522185624722511</c:v>
                </c:pt>
                <c:pt idx="3">
                  <c:v>92.978139271741057</c:v>
                </c:pt>
                <c:pt idx="4">
                  <c:v>92.714997448913579</c:v>
                </c:pt>
                <c:pt idx="5">
                  <c:v>89.973503662691769</c:v>
                </c:pt>
                <c:pt idx="6">
                  <c:v>92.086510537549174</c:v>
                </c:pt>
                <c:pt idx="7">
                  <c:v>93.396163583637147</c:v>
                </c:pt>
                <c:pt idx="8">
                  <c:v>98.828614482761381</c:v>
                </c:pt>
                <c:pt idx="9">
                  <c:v>98.246504709486217</c:v>
                </c:pt>
                <c:pt idx="10">
                  <c:v>105.72403542967311</c:v>
                </c:pt>
                <c:pt idx="11">
                  <c:v>101.31667630381384</c:v>
                </c:pt>
                <c:pt idx="12">
                  <c:v>100.90388908591025</c:v>
                </c:pt>
                <c:pt idx="13">
                  <c:v>96.809272292735173</c:v>
                </c:pt>
                <c:pt idx="14">
                  <c:v>101.76390093626644</c:v>
                </c:pt>
                <c:pt idx="15">
                  <c:v>97.552701893133062</c:v>
                </c:pt>
                <c:pt idx="16">
                  <c:v>97.699248979566974</c:v>
                </c:pt>
                <c:pt idx="17">
                  <c:v>96.035550830552268</c:v>
                </c:pt>
                <c:pt idx="18">
                  <c:v>94.741931248668124</c:v>
                </c:pt>
                <c:pt idx="19">
                  <c:v>103.6771136626374</c:v>
                </c:pt>
                <c:pt idx="20">
                  <c:v>105.34658193453551</c:v>
                </c:pt>
                <c:pt idx="21">
                  <c:v>98.399641665688179</c:v>
                </c:pt>
                <c:pt idx="22">
                  <c:v>101.06123717089088</c:v>
                </c:pt>
                <c:pt idx="23">
                  <c:v>106.82479494299849</c:v>
                </c:pt>
                <c:pt idx="24">
                  <c:v>108.19166949275296</c:v>
                </c:pt>
                <c:pt idx="25">
                  <c:v>104.43120712609417</c:v>
                </c:pt>
                <c:pt idx="26">
                  <c:v>101.15897902784681</c:v>
                </c:pt>
                <c:pt idx="27">
                  <c:v>95.037941403832733</c:v>
                </c:pt>
                <c:pt idx="28">
                  <c:v>99.273070171637485</c:v>
                </c:pt>
                <c:pt idx="29">
                  <c:v>92.541587170046611</c:v>
                </c:pt>
                <c:pt idx="30">
                  <c:v>94.938836715972684</c:v>
                </c:pt>
                <c:pt idx="31">
                  <c:v>98.497382323020688</c:v>
                </c:pt>
                <c:pt idx="32">
                  <c:v>98.896693754967515</c:v>
                </c:pt>
                <c:pt idx="33">
                  <c:v>103.20361433873387</c:v>
                </c:pt>
                <c:pt idx="34">
                  <c:v>98.332838722000702</c:v>
                </c:pt>
                <c:pt idx="35">
                  <c:v>104.7823702460781</c:v>
                </c:pt>
                <c:pt idx="36">
                  <c:v>100.05872722889323</c:v>
                </c:pt>
                <c:pt idx="37">
                  <c:v>99.892370121077576</c:v>
                </c:pt>
                <c:pt idx="38">
                  <c:v>93.66363101598408</c:v>
                </c:pt>
                <c:pt idx="39">
                  <c:v>94.817987420822561</c:v>
                </c:pt>
                <c:pt idx="40">
                  <c:v>97.040439098116664</c:v>
                </c:pt>
                <c:pt idx="41">
                  <c:v>95.758279879325897</c:v>
                </c:pt>
                <c:pt idx="42">
                  <c:v>94.569380184612086</c:v>
                </c:pt>
                <c:pt idx="43">
                  <c:v>88.056827081184053</c:v>
                </c:pt>
                <c:pt idx="44">
                  <c:v>92.8374707221394</c:v>
                </c:pt>
                <c:pt idx="45">
                  <c:v>95.205188558287517</c:v>
                </c:pt>
                <c:pt idx="46">
                  <c:v>99.716824919720338</c:v>
                </c:pt>
                <c:pt idx="47">
                  <c:v>93.137971472508596</c:v>
                </c:pt>
                <c:pt idx="48">
                  <c:v>93.712034053715954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0C9-4D55-898D-78EB125B70C8}"/>
            </c:ext>
          </c:extLst>
        </c:ser>
        <c:ser>
          <c:idx val="1"/>
          <c:order val="1"/>
          <c:tx>
            <c:strRef>
              <c:f>'za grafikon'!$D$1</c:f>
              <c:strCache>
                <c:ptCount val="1"/>
                <c:pt idx="0">
                  <c:v>Тренд индекси
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multiLvlStrRef>
              <c:f>'za grafikon'!$A$2:$B$50</c:f>
              <c:multiLvlStrCache>
                <c:ptCount val="49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  <c:pt idx="13">
                    <c:v>V</c:v>
                  </c:pt>
                  <c:pt idx="14">
                    <c:v>VI</c:v>
                  </c:pt>
                  <c:pt idx="15">
                    <c:v>VII</c:v>
                  </c:pt>
                  <c:pt idx="16">
                    <c:v>VIII</c:v>
                  </c:pt>
                  <c:pt idx="17">
                    <c:v>IX</c:v>
                  </c:pt>
                  <c:pt idx="18">
                    <c:v>X</c:v>
                  </c:pt>
                  <c:pt idx="19">
                    <c:v>XI</c:v>
                  </c:pt>
                  <c:pt idx="20">
                    <c:v>XII</c:v>
                  </c:pt>
                  <c:pt idx="21">
                    <c:v>I</c:v>
                  </c:pt>
                  <c:pt idx="22">
                    <c:v>II</c:v>
                  </c:pt>
                  <c:pt idx="23">
                    <c:v>III</c:v>
                  </c:pt>
                  <c:pt idx="24">
                    <c:v>IV</c:v>
                  </c:pt>
                  <c:pt idx="25">
                    <c:v>V</c:v>
                  </c:pt>
                  <c:pt idx="26">
                    <c:v>VI</c:v>
                  </c:pt>
                  <c:pt idx="27">
                    <c:v>VII</c:v>
                  </c:pt>
                  <c:pt idx="28">
                    <c:v>VIII</c:v>
                  </c:pt>
                  <c:pt idx="29">
                    <c:v>IX</c:v>
                  </c:pt>
                  <c:pt idx="30">
                    <c:v>X</c:v>
                  </c:pt>
                  <c:pt idx="31">
                    <c:v>XI</c:v>
                  </c:pt>
                  <c:pt idx="32">
                    <c:v>XII</c:v>
                  </c:pt>
                  <c:pt idx="33">
                    <c:v>I</c:v>
                  </c:pt>
                  <c:pt idx="34">
                    <c:v>II</c:v>
                  </c:pt>
                  <c:pt idx="35">
                    <c:v>III</c:v>
                  </c:pt>
                  <c:pt idx="36">
                    <c:v>IV</c:v>
                  </c:pt>
                  <c:pt idx="37">
                    <c:v>V</c:v>
                  </c:pt>
                  <c:pt idx="38">
                    <c:v>VI</c:v>
                  </c:pt>
                  <c:pt idx="39">
                    <c:v>VII</c:v>
                  </c:pt>
                  <c:pt idx="40">
                    <c:v>VIII</c:v>
                  </c:pt>
                  <c:pt idx="41">
                    <c:v>IX</c:v>
                  </c:pt>
                  <c:pt idx="42">
                    <c:v>X</c:v>
                  </c:pt>
                  <c:pt idx="43">
                    <c:v>XI</c:v>
                  </c:pt>
                  <c:pt idx="44">
                    <c:v>XII</c:v>
                  </c:pt>
                  <c:pt idx="45">
                    <c:v>I</c:v>
                  </c:pt>
                  <c:pt idx="46">
                    <c:v>II</c:v>
                  </c:pt>
                  <c:pt idx="47">
                    <c:v>III</c:v>
                  </c:pt>
                  <c:pt idx="48">
                    <c:v>IV</c:v>
                  </c:pt>
                </c:lvl>
                <c:lvl>
                  <c:pt idx="0">
                    <c:v>2020</c:v>
                  </c:pt>
                  <c:pt idx="9">
                    <c:v>2021</c:v>
                  </c:pt>
                  <c:pt idx="21">
                    <c:v>2022</c:v>
                  </c:pt>
                  <c:pt idx="33">
                    <c:v>2023</c:v>
                  </c:pt>
                  <c:pt idx="45">
                    <c:v>2024</c:v>
                  </c:pt>
                </c:lvl>
              </c:multiLvlStrCache>
            </c:multiLvlStrRef>
          </c:cat>
          <c:val>
            <c:numRef>
              <c:f>'za grafikon'!$D$2:$D$50</c:f>
              <c:numCache>
                <c:formatCode>0.0</c:formatCode>
                <c:ptCount val="49"/>
                <c:pt idx="0">
                  <c:v>86.807588758870295</c:v>
                </c:pt>
                <c:pt idx="1">
                  <c:v>86.063929892872295</c:v>
                </c:pt>
                <c:pt idx="2">
                  <c:v>87.42555118171623</c:v>
                </c:pt>
                <c:pt idx="3">
                  <c:v>89.778452983447892</c:v>
                </c:pt>
                <c:pt idx="4">
                  <c:v>91.283502251073045</c:v>
                </c:pt>
                <c:pt idx="5">
                  <c:v>91.85277950328036</c:v>
                </c:pt>
                <c:pt idx="6">
                  <c:v>92.813966057607445</c:v>
                </c:pt>
                <c:pt idx="7">
                  <c:v>94.758352014414072</c:v>
                </c:pt>
                <c:pt idx="8">
                  <c:v>97.331020479829533</c:v>
                </c:pt>
                <c:pt idx="9">
                  <c:v>99.830158809022336</c:v>
                </c:pt>
                <c:pt idx="10">
                  <c:v>101.4662981842899</c:v>
                </c:pt>
                <c:pt idx="11">
                  <c:v>101.49156926703833</c:v>
                </c:pt>
                <c:pt idx="12">
                  <c:v>100.45866787284234</c:v>
                </c:pt>
                <c:pt idx="13">
                  <c:v>99.586818704246227</c:v>
                </c:pt>
                <c:pt idx="14">
                  <c:v>99.119943653734779</c:v>
                </c:pt>
                <c:pt idx="15">
                  <c:v>98.398245377364717</c:v>
                </c:pt>
                <c:pt idx="16">
                  <c:v>97.547501588273676</c:v>
                </c:pt>
                <c:pt idx="17">
                  <c:v>97.307931510584879</c:v>
                </c:pt>
                <c:pt idx="18">
                  <c:v>98.43000560116306</c:v>
                </c:pt>
                <c:pt idx="19">
                  <c:v>100.6028245459816</c:v>
                </c:pt>
                <c:pt idx="20">
                  <c:v>101.81273513595687</c:v>
                </c:pt>
                <c:pt idx="21">
                  <c:v>101.93598052378476</c:v>
                </c:pt>
                <c:pt idx="22">
                  <c:v>102.88115766433218</c:v>
                </c:pt>
                <c:pt idx="23">
                  <c:v>104.6162486006173</c:v>
                </c:pt>
                <c:pt idx="24">
                  <c:v>105.17458766502381</c:v>
                </c:pt>
                <c:pt idx="25">
                  <c:v>103.64821846816585</c:v>
                </c:pt>
                <c:pt idx="26">
                  <c:v>100.84680671460339</c:v>
                </c:pt>
                <c:pt idx="27">
                  <c:v>98.29115337688124</c:v>
                </c:pt>
                <c:pt idx="28">
                  <c:v>96.652434160173911</c:v>
                </c:pt>
                <c:pt idx="29">
                  <c:v>95.751727990042767</c:v>
                </c:pt>
                <c:pt idx="30">
                  <c:v>96.167249454661089</c:v>
                </c:pt>
                <c:pt idx="31">
                  <c:v>97.686990643646894</c:v>
                </c:pt>
                <c:pt idx="32">
                  <c:v>99.36402326835028</c:v>
                </c:pt>
                <c:pt idx="33">
                  <c:v>100.5579721485867</c:v>
                </c:pt>
                <c:pt idx="34">
                  <c:v>101.13481994820076</c:v>
                </c:pt>
                <c:pt idx="35">
                  <c:v>101.23773650548955</c:v>
                </c:pt>
                <c:pt idx="36">
                  <c:v>100.27861139913573</c:v>
                </c:pt>
                <c:pt idx="37">
                  <c:v>98.365132509493023</c:v>
                </c:pt>
                <c:pt idx="38">
                  <c:v>96.523014955938052</c:v>
                </c:pt>
                <c:pt idx="39">
                  <c:v>95.747348911884259</c:v>
                </c:pt>
                <c:pt idx="40">
                  <c:v>95.612456013439953</c:v>
                </c:pt>
                <c:pt idx="41">
                  <c:v>94.912301654486427</c:v>
                </c:pt>
                <c:pt idx="42">
                  <c:v>93.452995252781363</c:v>
                </c:pt>
                <c:pt idx="43">
                  <c:v>92.445692576658772</c:v>
                </c:pt>
                <c:pt idx="44">
                  <c:v>93.140306966356405</c:v>
                </c:pt>
                <c:pt idx="45">
                  <c:v>94.798854405581878</c:v>
                </c:pt>
                <c:pt idx="46">
                  <c:v>95.627616695164178</c:v>
                </c:pt>
                <c:pt idx="47">
                  <c:v>95.04934638526133</c:v>
                </c:pt>
                <c:pt idx="48">
                  <c:v>94.216469014050745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0C9-4D55-898D-78EB125B70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8908928"/>
        <c:axId val="138909488"/>
      </c:lineChart>
      <c:catAx>
        <c:axId val="138908928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38909488"/>
        <c:crosses val="autoZero"/>
        <c:auto val="1"/>
        <c:lblAlgn val="ctr"/>
        <c:lblOffset val="100"/>
        <c:noMultiLvlLbl val="0"/>
      </c:catAx>
      <c:valAx>
        <c:axId val="138909488"/>
        <c:scaling>
          <c:orientation val="minMax"/>
          <c:max val="130"/>
          <c:min val="80"/>
        </c:scaling>
        <c:delete val="0"/>
        <c:axPos val="l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0.0" sourceLinked="1"/>
        <c:majorTickMark val="out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38908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599823170251867"/>
          <c:y val="0.90395691010037993"/>
          <c:w val="0.46631794482479816"/>
          <c:h val="9.604308989962012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'April_ 2024'!$A$2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5400" cap="rnd">
              <a:solidFill>
                <a:schemeClr val="tx2"/>
              </a:solidFill>
              <a:round/>
            </a:ln>
            <a:effectLst/>
          </c:spPr>
          <c:marker>
            <c:symbol val="none"/>
          </c:marker>
          <c:cat>
            <c:strRef>
              <c:f>'April_ 2024'!$B$1:$N$1</c:f>
              <c:strCache>
                <c:ptCount val="13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  <c:pt idx="6">
                  <c:v>X</c:v>
                </c:pt>
                <c:pt idx="7">
                  <c:v>XI</c:v>
                </c:pt>
                <c:pt idx="8">
                  <c:v>XII</c:v>
                </c:pt>
                <c:pt idx="9">
                  <c:v>I</c:v>
                </c:pt>
                <c:pt idx="10">
                  <c:v>II</c:v>
                </c:pt>
                <c:pt idx="11">
                  <c:v>III</c:v>
                </c:pt>
                <c:pt idx="12">
                  <c:v>IV</c:v>
                </c:pt>
              </c:strCache>
            </c:strRef>
          </c:cat>
          <c:val>
            <c:numRef>
              <c:f>'April_ 2024'!$B$2:$N$2</c:f>
              <c:numCache>
                <c:formatCode>0</c:formatCode>
                <c:ptCount val="13"/>
                <c:pt idx="0">
                  <c:v>561542</c:v>
                </c:pt>
                <c:pt idx="1">
                  <c:v>604196</c:v>
                </c:pt>
                <c:pt idx="2">
                  <c:v>639973</c:v>
                </c:pt>
                <c:pt idx="3">
                  <c:v>603328</c:v>
                </c:pt>
                <c:pt idx="4">
                  <c:v>569066</c:v>
                </c:pt>
                <c:pt idx="5">
                  <c:v>631740</c:v>
                </c:pt>
                <c:pt idx="6">
                  <c:v>600367</c:v>
                </c:pt>
                <c:pt idx="7">
                  <c:v>599184</c:v>
                </c:pt>
                <c:pt idx="8">
                  <c:v>610942</c:v>
                </c:pt>
                <c:pt idx="9">
                  <c:v>436764</c:v>
                </c:pt>
                <c:pt idx="10">
                  <c:v>588899</c:v>
                </c:pt>
                <c:pt idx="11">
                  <c:v>660075</c:v>
                </c:pt>
                <c:pt idx="12">
                  <c:v>655919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939-4392-98E7-8312BEBF1B54}"/>
            </c:ext>
          </c:extLst>
        </c:ser>
        <c:ser>
          <c:idx val="1"/>
          <c:order val="1"/>
          <c:tx>
            <c:strRef>
              <c:f>'April_ 2024'!$A$3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'April_ 2024'!$B$1:$N$1</c:f>
              <c:strCache>
                <c:ptCount val="13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  <c:pt idx="6">
                  <c:v>X</c:v>
                </c:pt>
                <c:pt idx="7">
                  <c:v>XI</c:v>
                </c:pt>
                <c:pt idx="8">
                  <c:v>XII</c:v>
                </c:pt>
                <c:pt idx="9">
                  <c:v>I</c:v>
                </c:pt>
                <c:pt idx="10">
                  <c:v>II</c:v>
                </c:pt>
                <c:pt idx="11">
                  <c:v>III</c:v>
                </c:pt>
                <c:pt idx="12">
                  <c:v>IV</c:v>
                </c:pt>
              </c:strCache>
            </c:strRef>
          </c:cat>
          <c:val>
            <c:numRef>
              <c:f>'April_ 2024'!$B$3:$N$3</c:f>
              <c:numCache>
                <c:formatCode>0</c:formatCode>
                <c:ptCount val="13"/>
                <c:pt idx="0">
                  <c:v>439211</c:v>
                </c:pt>
                <c:pt idx="1">
                  <c:v>435240</c:v>
                </c:pt>
                <c:pt idx="2">
                  <c:v>450242</c:v>
                </c:pt>
                <c:pt idx="3">
                  <c:v>431598</c:v>
                </c:pt>
                <c:pt idx="4">
                  <c:v>348940</c:v>
                </c:pt>
                <c:pt idx="5">
                  <c:v>456818</c:v>
                </c:pt>
                <c:pt idx="6">
                  <c:v>441048</c:v>
                </c:pt>
                <c:pt idx="7">
                  <c:v>444027</c:v>
                </c:pt>
                <c:pt idx="8">
                  <c:v>384160</c:v>
                </c:pt>
                <c:pt idx="9">
                  <c:v>349783</c:v>
                </c:pt>
                <c:pt idx="10">
                  <c:v>406370</c:v>
                </c:pt>
                <c:pt idx="11">
                  <c:v>424097</c:v>
                </c:pt>
                <c:pt idx="12">
                  <c:v>469974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939-4392-98E7-8312BEBF1B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2808832"/>
        <c:axId val="171942656"/>
      </c:lineChart>
      <c:catAx>
        <c:axId val="172808832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71942656"/>
        <c:crosses val="autoZero"/>
        <c:auto val="1"/>
        <c:lblAlgn val="ctr"/>
        <c:lblOffset val="100"/>
        <c:noMultiLvlLbl val="0"/>
      </c:catAx>
      <c:valAx>
        <c:axId val="171942656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" sourceLinked="0"/>
        <c:majorTickMark val="out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72808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2424171726008997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0.05304</cdr:x>
      <cdr:y>0.77276</cdr:y>
    </cdr:from>
    <cdr:to>
      <cdr:x>0.11834</cdr:x>
      <cdr:y>0.86638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340372" y="1677219"/>
          <a:ext cx="419050" cy="2031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800">
            <a:latin typeface="Arial Narrow" panose="020B060602020203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81656-DB24-450A-A749-0BC1C35F4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1166</Words>
  <Characters>6835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7986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Jelena Kadnic</cp:lastModifiedBy>
  <cp:revision>75</cp:revision>
  <cp:lastPrinted>2020-06-17T08:46:00Z</cp:lastPrinted>
  <dcterms:created xsi:type="dcterms:W3CDTF">2024-03-21T06:55:00Z</dcterms:created>
  <dcterms:modified xsi:type="dcterms:W3CDTF">2024-05-21T12:50:00Z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