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90650" w:rsidRDefault="00B94BFB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390650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90650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390650">
              <w:rPr>
                <w:rFonts w:ascii="Tahoma" w:hAnsi="Tahoma" w:cs="Tahoma"/>
                <w:color w:val="000000" w:themeColor="text1"/>
              </w:rPr>
              <w:br w:type="column"/>
            </w:r>
            <w:r w:rsidRPr="00390650">
              <w:rPr>
                <w:rFonts w:ascii="Tahoma" w:hAnsi="Tahoma" w:cs="Tahoma"/>
                <w:color w:val="000000" w:themeColor="text1"/>
              </w:rPr>
              <w:br w:type="column"/>
            </w:r>
            <w:r w:rsidRPr="00390650">
              <w:rPr>
                <w:rFonts w:ascii="Tahoma" w:hAnsi="Tahoma" w:cs="Tahoma"/>
                <w:color w:val="000000" w:themeColor="text1"/>
              </w:rPr>
              <w:br w:type="page"/>
            </w:r>
            <w:r w:rsidRPr="00390650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390650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90650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390650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390650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390650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E72BD4" w:rsidRPr="00390650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390650">
              <w:rPr>
                <w:rFonts w:ascii="Tahoma" w:hAnsi="Tahoma" w:cs="Tahoma"/>
                <w:color w:val="000000" w:themeColor="text1"/>
                <w:sz w:val="16"/>
              </w:rPr>
              <w:t xml:space="preserve">  </w:t>
            </w:r>
          </w:p>
          <w:p w:rsidR="005D5311" w:rsidRPr="00390650" w:rsidRDefault="004551B9" w:rsidP="00E721EA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</w:rPr>
            </w:pPr>
            <w:r w:rsidRPr="0039065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390650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39065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39065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39065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E721EA" w:rsidRPr="00390650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EB5CEF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October</w:t>
            </w:r>
            <w:r w:rsidR="00431915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20</w:t>
            </w:r>
            <w:r w:rsidR="00B2367E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AF45B5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3</w:t>
            </w:r>
            <w:r w:rsidR="00EB5CEF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 No</w:t>
            </w:r>
            <w:r w:rsidR="00431915" w:rsidRPr="0039065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F407BE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 xml:space="preserve"> </w:t>
            </w:r>
            <w:r w:rsidR="00E36D53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3</w:t>
            </w:r>
            <w:r w:rsidR="00E721EA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36</w:t>
            </w:r>
            <w:r w:rsidR="00431915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AF45B5" w:rsidRPr="0039065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3</w:t>
            </w:r>
            <w:r w:rsidR="00F6075A" w:rsidRPr="00390650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F407BE" w:rsidRPr="00390650" w:rsidTr="005074F6">
        <w:trPr>
          <w:cantSplit/>
        </w:trPr>
        <w:tc>
          <w:tcPr>
            <w:tcW w:w="5251" w:type="dxa"/>
            <w:vAlign w:val="center"/>
          </w:tcPr>
          <w:p w:rsidR="005D5311" w:rsidRPr="00390650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90650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</w:rPr>
            </w:pPr>
          </w:p>
        </w:tc>
      </w:tr>
    </w:tbl>
    <w:p w:rsidR="000971CB" w:rsidRPr="00390650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390650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90650" w:rsidRDefault="00EB5CEF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39065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390650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90650" w:rsidRDefault="00EB5CEF" w:rsidP="00E36D53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October</w:t>
            </w:r>
            <w:r w:rsidR="00E36D53"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  <w:r w:rsidR="00353834"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20</w:t>
            </w:r>
            <w:r w:rsidR="00B2367E"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AF45B5" w:rsidRPr="0039065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3</w:t>
            </w:r>
          </w:p>
        </w:tc>
      </w:tr>
    </w:tbl>
    <w:p w:rsidR="000F689B" w:rsidRPr="00390650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</w:rPr>
      </w:pPr>
    </w:p>
    <w:p w:rsidR="00E33D13" w:rsidRPr="00390650" w:rsidRDefault="00CF468F" w:rsidP="002B516D">
      <w:pPr>
        <w:jc w:val="both"/>
        <w:rPr>
          <w:rFonts w:ascii="Arial Narrow" w:hAnsi="Arial Narrow" w:cs="Tahoma"/>
          <w:b/>
          <w:sz w:val="30"/>
          <w:szCs w:val="30"/>
        </w:rPr>
      </w:pPr>
      <w:r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September</w:t>
      </w:r>
      <w:r w:rsidR="004D737B"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C743C1"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>2</w:t>
      </w:r>
      <w:r w:rsidR="001C462A"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>77</w:t>
      </w:r>
      <w:r w:rsidR="00E33D13" w:rsidRPr="00390650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КМ</w:t>
      </w:r>
    </w:p>
    <w:p w:rsidR="008E543D" w:rsidRPr="00390650" w:rsidRDefault="00CF468F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390650">
        <w:rPr>
          <w:rFonts w:ascii="Arial Narrow" w:hAnsi="Arial Narrow" w:cs="Tahoma"/>
          <w:b/>
          <w:sz w:val="28"/>
          <w:szCs w:val="22"/>
        </w:rPr>
        <w:t>Annual real wage growth</w:t>
      </w:r>
    </w:p>
    <w:p w:rsidR="00E33D13" w:rsidRPr="00390650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</w:rPr>
      </w:pPr>
      <w:r w:rsidRPr="00390650">
        <w:rPr>
          <w:rFonts w:ascii="Tahoma" w:hAnsi="Tahoma" w:cs="Tahoma"/>
          <w:b/>
          <w:sz w:val="24"/>
        </w:rPr>
        <w:tab/>
      </w:r>
      <w:r w:rsidRPr="00390650">
        <w:rPr>
          <w:rFonts w:ascii="Tahoma" w:hAnsi="Tahoma" w:cs="Tahoma"/>
          <w:b/>
          <w:sz w:val="24"/>
        </w:rPr>
        <w:tab/>
      </w:r>
    </w:p>
    <w:p w:rsidR="00877F8D" w:rsidRPr="00390650" w:rsidRDefault="00877F8D" w:rsidP="00877F8D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Average monthly net wage in Republika Srpska paid in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 amounted to 1,</w:t>
      </w:r>
      <w:r w:rsidRPr="00390650">
        <w:rPr>
          <w:rFonts w:ascii="Arial Narrow" w:hAnsi="Arial Narrow" w:cs="Tahoma"/>
          <w:sz w:val="22"/>
        </w:rPr>
        <w:t>277 KM, and it was nominally 0.7</w:t>
      </w:r>
      <w:r w:rsidRPr="00390650">
        <w:rPr>
          <w:rFonts w:ascii="Arial Narrow" w:hAnsi="Arial Narrow" w:cs="Tahoma"/>
          <w:sz w:val="22"/>
        </w:rPr>
        <w:t xml:space="preserve">% </w:t>
      </w:r>
      <w:r w:rsidRPr="00390650">
        <w:rPr>
          <w:rFonts w:ascii="Arial Narrow" w:hAnsi="Arial Narrow" w:cs="Tahoma"/>
          <w:sz w:val="22"/>
        </w:rPr>
        <w:t>lower and really 1</w:t>
      </w:r>
      <w:r w:rsidRPr="00390650">
        <w:rPr>
          <w:rFonts w:ascii="Arial Narrow" w:hAnsi="Arial Narrow" w:cs="Tahoma"/>
          <w:sz w:val="22"/>
        </w:rPr>
        <w:t xml:space="preserve">.5% lower compared to </w:t>
      </w:r>
      <w:r w:rsidRPr="00390650">
        <w:rPr>
          <w:rFonts w:ascii="Arial Narrow" w:hAnsi="Arial Narrow" w:cs="Tahoma"/>
          <w:sz w:val="22"/>
        </w:rPr>
        <w:t>August</w:t>
      </w:r>
      <w:r w:rsidRPr="00390650">
        <w:rPr>
          <w:rFonts w:ascii="Arial Narrow" w:hAnsi="Arial Narrow" w:cs="Tahoma"/>
          <w:sz w:val="22"/>
        </w:rPr>
        <w:t xml:space="preserve"> 2023. Compared to the same month of the previous year, it was nominally </w:t>
      </w:r>
      <w:r w:rsidR="00A63AF6" w:rsidRPr="00390650">
        <w:rPr>
          <w:rFonts w:ascii="Arial Narrow" w:hAnsi="Arial Narrow" w:cs="Tahoma"/>
          <w:sz w:val="22"/>
        </w:rPr>
        <w:t>7.4</w:t>
      </w:r>
      <w:r w:rsidRPr="00390650">
        <w:rPr>
          <w:rFonts w:ascii="Arial Narrow" w:hAnsi="Arial Narrow" w:cs="Tahoma"/>
          <w:sz w:val="22"/>
        </w:rPr>
        <w:t xml:space="preserve">% higher and really </w:t>
      </w:r>
      <w:r w:rsidR="00A63AF6" w:rsidRPr="00390650">
        <w:rPr>
          <w:rFonts w:ascii="Arial Narrow" w:hAnsi="Arial Narrow" w:cs="Tahoma"/>
          <w:sz w:val="22"/>
        </w:rPr>
        <w:t>1.6</w:t>
      </w:r>
      <w:r w:rsidRPr="00390650">
        <w:rPr>
          <w:rFonts w:ascii="Arial Narrow" w:hAnsi="Arial Narrow" w:cs="Tahoma"/>
          <w:sz w:val="22"/>
        </w:rPr>
        <w:t>% higher. Average mont</w:t>
      </w:r>
      <w:r w:rsidR="006E179F" w:rsidRPr="00390650">
        <w:rPr>
          <w:rFonts w:ascii="Arial Narrow" w:hAnsi="Arial Narrow" w:cs="Tahoma"/>
          <w:sz w:val="22"/>
        </w:rPr>
        <w:t>hly gross wage amounted to 1,941</w:t>
      </w:r>
      <w:r w:rsidRPr="00390650">
        <w:rPr>
          <w:rFonts w:ascii="Arial Narrow" w:hAnsi="Arial Narrow" w:cs="Tahoma"/>
          <w:sz w:val="22"/>
        </w:rPr>
        <w:t xml:space="preserve"> KM.</w:t>
      </w:r>
    </w:p>
    <w:p w:rsidR="00877F8D" w:rsidRPr="00390650" w:rsidRDefault="00877F8D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6E179F" w:rsidRPr="00390650" w:rsidRDefault="006E179F" w:rsidP="006E179F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In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the highest average net wage, by section of economic activities, was paid in the section </w:t>
      </w:r>
      <w:r w:rsidRPr="00390650">
        <w:rPr>
          <w:rFonts w:ascii="Arial Narrow" w:hAnsi="Arial Narrow" w:cs="Tahoma"/>
          <w:i/>
          <w:sz w:val="22"/>
        </w:rPr>
        <w:t>Financial and insurance activities</w:t>
      </w:r>
      <w:r w:rsidRPr="00390650">
        <w:rPr>
          <w:rFonts w:ascii="Arial Narrow" w:hAnsi="Arial Narrow" w:cs="Tahoma"/>
          <w:i/>
          <w:sz w:val="22"/>
        </w:rPr>
        <w:t xml:space="preserve"> </w:t>
      </w:r>
      <w:r w:rsidRPr="00390650">
        <w:rPr>
          <w:rFonts w:ascii="Arial Narrow" w:hAnsi="Arial Narrow" w:cs="Tahoma"/>
          <w:sz w:val="22"/>
        </w:rPr>
        <w:t>and it amounted to 1,</w:t>
      </w:r>
      <w:r w:rsidRPr="00390650">
        <w:rPr>
          <w:rFonts w:ascii="Arial Narrow" w:hAnsi="Arial Narrow" w:cs="Tahoma"/>
          <w:sz w:val="22"/>
        </w:rPr>
        <w:t>730</w:t>
      </w:r>
      <w:r w:rsidRPr="00390650">
        <w:rPr>
          <w:rFonts w:ascii="Arial Narrow" w:hAnsi="Arial Narrow" w:cs="Tahoma"/>
          <w:sz w:val="22"/>
        </w:rPr>
        <w:t xml:space="preserve"> KM. On the other hand, the lowest average net wage in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 was the one paid in the section </w:t>
      </w:r>
      <w:r w:rsidRPr="00390650">
        <w:rPr>
          <w:rFonts w:ascii="Arial Narrow" w:hAnsi="Arial Narrow" w:cs="Tahoma"/>
          <w:i/>
          <w:sz w:val="22"/>
        </w:rPr>
        <w:t>Construction</w:t>
      </w:r>
      <w:r w:rsidR="00F20229" w:rsidRPr="00390650">
        <w:rPr>
          <w:rFonts w:ascii="Arial Narrow" w:hAnsi="Arial Narrow" w:cs="Tahoma"/>
          <w:sz w:val="22"/>
        </w:rPr>
        <w:t>, 971</w:t>
      </w:r>
      <w:r w:rsidRPr="00390650">
        <w:rPr>
          <w:rFonts w:ascii="Arial Narrow" w:hAnsi="Arial Narrow" w:cs="Tahoma"/>
          <w:sz w:val="22"/>
        </w:rPr>
        <w:t xml:space="preserve"> KM.</w:t>
      </w:r>
    </w:p>
    <w:p w:rsidR="003B028E" w:rsidRPr="00390650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374B48" w:rsidRPr="00390650" w:rsidRDefault="00F20229" w:rsidP="00426C15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In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compared to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2022, a nominal increase in net wages was recorded in </w:t>
      </w:r>
      <w:r w:rsidRPr="00390650">
        <w:rPr>
          <w:rFonts w:ascii="Arial Narrow" w:hAnsi="Arial Narrow" w:cs="Tahoma"/>
          <w:sz w:val="22"/>
        </w:rPr>
        <w:t>18 of 19</w:t>
      </w:r>
      <w:r w:rsidRPr="00390650">
        <w:rPr>
          <w:rFonts w:ascii="Arial Narrow" w:hAnsi="Arial Narrow" w:cs="Tahoma"/>
          <w:sz w:val="22"/>
        </w:rPr>
        <w:t xml:space="preserve"> sections of economic activity, with the highest increase being recorded in the section </w:t>
      </w:r>
      <w:r w:rsidRPr="00390650">
        <w:rPr>
          <w:rFonts w:ascii="Arial Narrow" w:hAnsi="Arial Narrow" w:cs="Tahoma"/>
          <w:i/>
          <w:sz w:val="22"/>
        </w:rPr>
        <w:t xml:space="preserve">Arts, entertainment and recreation </w:t>
      </w:r>
      <w:r w:rsidRPr="00390650">
        <w:rPr>
          <w:rFonts w:ascii="Arial Narrow" w:hAnsi="Arial Narrow" w:cs="Tahoma"/>
          <w:sz w:val="22"/>
        </w:rPr>
        <w:t>17.9</w:t>
      </w:r>
      <w:r w:rsidRPr="00390650">
        <w:rPr>
          <w:rFonts w:ascii="Arial Narrow" w:hAnsi="Arial Narrow" w:cs="Tahoma"/>
          <w:sz w:val="22"/>
        </w:rPr>
        <w:t xml:space="preserve">%, followed by </w:t>
      </w:r>
      <w:r w:rsidRPr="00390650">
        <w:rPr>
          <w:rFonts w:ascii="Arial Narrow" w:hAnsi="Arial Narrow" w:cs="Tahoma"/>
          <w:i/>
          <w:sz w:val="22"/>
        </w:rPr>
        <w:t>Mining and quarrying</w:t>
      </w:r>
      <w:r w:rsidRPr="00390650">
        <w:rPr>
          <w:rFonts w:ascii="Arial Narrow" w:hAnsi="Arial Narrow" w:cs="Tahoma"/>
          <w:i/>
          <w:sz w:val="22"/>
        </w:rPr>
        <w:t xml:space="preserve"> </w:t>
      </w:r>
      <w:r w:rsidRPr="00390650">
        <w:rPr>
          <w:rFonts w:ascii="Arial Narrow" w:hAnsi="Arial Narrow" w:cs="Tahoma"/>
          <w:sz w:val="22"/>
        </w:rPr>
        <w:t>13.7</w:t>
      </w:r>
      <w:r w:rsidRPr="00390650">
        <w:rPr>
          <w:rFonts w:ascii="Arial Narrow" w:hAnsi="Arial Narrow" w:cs="Tahoma"/>
          <w:sz w:val="22"/>
        </w:rPr>
        <w:t xml:space="preserve">% and </w:t>
      </w:r>
      <w:r w:rsidRPr="00390650">
        <w:rPr>
          <w:rFonts w:ascii="Arial Narrow" w:hAnsi="Arial Narrow" w:cs="Tahoma"/>
          <w:i/>
          <w:sz w:val="22"/>
        </w:rPr>
        <w:t xml:space="preserve">Accommodation and food service activities </w:t>
      </w:r>
      <w:r w:rsidRPr="00390650">
        <w:rPr>
          <w:rFonts w:ascii="Arial Narrow" w:hAnsi="Arial Narrow" w:cs="Tahoma"/>
          <w:sz w:val="22"/>
        </w:rPr>
        <w:t>11.8</w:t>
      </w:r>
      <w:r w:rsidRPr="00390650">
        <w:rPr>
          <w:rFonts w:ascii="Arial Narrow" w:hAnsi="Arial Narrow" w:cs="Tahoma"/>
          <w:sz w:val="22"/>
        </w:rPr>
        <w:t>%</w:t>
      </w:r>
      <w:r w:rsidRPr="00390650">
        <w:rPr>
          <w:rFonts w:ascii="Arial Narrow" w:hAnsi="Arial Narrow" w:cs="Tahoma"/>
          <w:sz w:val="22"/>
        </w:rPr>
        <w:t xml:space="preserve">. A decrease was recorded in the section </w:t>
      </w:r>
      <w:r w:rsidRPr="00390650">
        <w:rPr>
          <w:rFonts w:ascii="Arial Narrow" w:hAnsi="Arial Narrow" w:cs="Tahoma"/>
          <w:i/>
          <w:sz w:val="22"/>
        </w:rPr>
        <w:t xml:space="preserve">Real estate activities, </w:t>
      </w:r>
      <w:r w:rsidRPr="00390650">
        <w:rPr>
          <w:rFonts w:ascii="Arial Narrow" w:hAnsi="Arial Narrow" w:cs="Tahoma"/>
          <w:sz w:val="22"/>
        </w:rPr>
        <w:t xml:space="preserve">by 0.2%. </w:t>
      </w:r>
    </w:p>
    <w:p w:rsidR="00F207B3" w:rsidRPr="00390650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:rsidR="00694584" w:rsidRPr="00390650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:rsidR="00E33D13" w:rsidRPr="0039065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Tahoma" w:hAnsi="Tahoma" w:cs="Tahoma"/>
          <w:i/>
          <w:sz w:val="14"/>
        </w:rPr>
        <w:t xml:space="preserve"> </w:t>
      </w:r>
      <w:r w:rsidRPr="00390650">
        <w:rPr>
          <w:rFonts w:ascii="Tahoma" w:hAnsi="Tahoma" w:cs="Tahoma"/>
          <w:sz w:val="14"/>
        </w:rPr>
        <w:t xml:space="preserve">   </w:t>
      </w:r>
      <w:r w:rsidRPr="00390650">
        <w:rPr>
          <w:rFonts w:ascii="Tahoma" w:hAnsi="Tahoma" w:cs="Tahoma"/>
          <w:sz w:val="14"/>
        </w:rPr>
        <w:tab/>
      </w:r>
      <w:r w:rsidRPr="00390650">
        <w:rPr>
          <w:rFonts w:ascii="Tahoma" w:hAnsi="Tahoma" w:cs="Tahoma"/>
          <w:sz w:val="14"/>
        </w:rPr>
        <w:tab/>
        <w:t xml:space="preserve">            </w:t>
      </w:r>
      <w:r w:rsidR="00F85AAC" w:rsidRPr="00390650">
        <w:rPr>
          <w:rFonts w:ascii="Tahoma" w:hAnsi="Tahoma" w:cs="Tahoma"/>
          <w:sz w:val="14"/>
        </w:rPr>
        <w:t xml:space="preserve">  </w:t>
      </w:r>
      <w:r w:rsidR="0062701E" w:rsidRPr="00390650">
        <w:rPr>
          <w:rFonts w:ascii="Tahoma" w:hAnsi="Tahoma" w:cs="Tahoma"/>
          <w:sz w:val="14"/>
        </w:rPr>
        <w:t xml:space="preserve"> </w:t>
      </w:r>
      <w:r w:rsidR="00F85AAC" w:rsidRPr="00390650">
        <w:rPr>
          <w:rFonts w:ascii="Tahoma" w:hAnsi="Tahoma" w:cs="Tahoma"/>
          <w:sz w:val="14"/>
        </w:rPr>
        <w:t xml:space="preserve"> </w:t>
      </w:r>
      <w:r w:rsidR="00DE7AB2" w:rsidRPr="00390650">
        <w:rPr>
          <w:rFonts w:ascii="Arial Narrow" w:hAnsi="Arial Narrow" w:cs="Tahoma"/>
          <w:sz w:val="16"/>
          <w:szCs w:val="22"/>
        </w:rPr>
        <w:t>KM</w:t>
      </w:r>
    </w:p>
    <w:p w:rsidR="00E33D13" w:rsidRPr="00390650" w:rsidRDefault="00425891" w:rsidP="00E33D13">
      <w:pPr>
        <w:jc w:val="center"/>
        <w:rPr>
          <w:rFonts w:ascii="Tahoma" w:hAnsi="Tahoma" w:cs="Tahoma"/>
        </w:rPr>
      </w:pPr>
      <w:r w:rsidRPr="00390650">
        <w:rPr>
          <w:rFonts w:ascii="Arial Narrow" w:hAnsi="Arial Narrow"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390650">
        <w:rPr>
          <w:noProof/>
        </w:rPr>
        <w:t xml:space="preserve"> </w:t>
      </w:r>
      <w:r w:rsidR="00E33D13" w:rsidRPr="00390650">
        <w:rPr>
          <w:rFonts w:ascii="Tahoma" w:hAnsi="Tahoma" w:cs="Tahoma"/>
          <w:szCs w:val="18"/>
        </w:rPr>
        <w:t xml:space="preserve"> </w:t>
      </w:r>
      <w:r w:rsidR="005B299A" w:rsidRPr="00390650">
        <w:rPr>
          <w:noProof/>
        </w:rPr>
        <w:drawing>
          <wp:inline distT="0" distB="0" distL="0" distR="0" wp14:anchorId="25563962" wp14:editId="77E424D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390650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:rsidR="00E33D13" w:rsidRPr="00390650" w:rsidRDefault="00CF468F" w:rsidP="00E33D13">
      <w:pPr>
        <w:jc w:val="center"/>
        <w:outlineLvl w:val="0"/>
        <w:rPr>
          <w:rFonts w:ascii="Arial Narrow" w:hAnsi="Arial Narrow" w:cs="Tahoma"/>
          <w:szCs w:val="22"/>
        </w:rPr>
      </w:pPr>
      <w:r w:rsidRPr="00390650">
        <w:rPr>
          <w:rFonts w:ascii="Arial Narrow" w:hAnsi="Arial Narrow" w:cs="Tahoma"/>
          <w:szCs w:val="22"/>
        </w:rPr>
        <w:t>Graph</w:t>
      </w:r>
      <w:r w:rsidR="00E33D13" w:rsidRPr="00390650">
        <w:rPr>
          <w:rFonts w:ascii="Arial Narrow" w:hAnsi="Arial Narrow" w:cs="Tahoma"/>
          <w:szCs w:val="22"/>
        </w:rPr>
        <w:t xml:space="preserve"> </w:t>
      </w:r>
      <w:r w:rsidR="0066022A" w:rsidRPr="00390650">
        <w:rPr>
          <w:rFonts w:ascii="Arial Narrow" w:hAnsi="Arial Narrow" w:cs="Tahoma"/>
          <w:szCs w:val="22"/>
        </w:rPr>
        <w:t>1</w:t>
      </w:r>
      <w:r w:rsidR="00E33D13" w:rsidRPr="00390650">
        <w:rPr>
          <w:rFonts w:ascii="Arial Narrow" w:hAnsi="Arial Narrow" w:cs="Tahoma"/>
          <w:szCs w:val="22"/>
        </w:rPr>
        <w:t xml:space="preserve">. </w:t>
      </w:r>
      <w:r w:rsidRPr="00390650">
        <w:rPr>
          <w:rFonts w:ascii="Arial Narrow" w:hAnsi="Arial Narrow" w:cs="Tahoma"/>
          <w:szCs w:val="22"/>
        </w:rPr>
        <w:t>Average net wages by month</w:t>
      </w:r>
    </w:p>
    <w:p w:rsidR="00B0137B" w:rsidRPr="00390650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:rsidR="00B50951" w:rsidRPr="00390650" w:rsidRDefault="008D5FA6" w:rsidP="00B50951">
      <w:pPr>
        <w:rPr>
          <w:rFonts w:ascii="Arial Narrow" w:hAnsi="Arial Narrow" w:cs="Tahoma"/>
          <w:sz w:val="28"/>
          <w:szCs w:val="24"/>
        </w:rPr>
      </w:pPr>
      <w:r w:rsidRPr="00390650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390650">
        <w:rPr>
          <w:rFonts w:ascii="Arial Narrow" w:hAnsi="Arial Narrow" w:cs="Tahoma"/>
          <w:b/>
          <w:sz w:val="28"/>
          <w:szCs w:val="24"/>
        </w:rPr>
        <w:t xml:space="preserve"> </w:t>
      </w:r>
      <w:r w:rsidRPr="00390650">
        <w:rPr>
          <w:rFonts w:ascii="Arial Narrow" w:hAnsi="Arial Narrow" w:cs="Tahoma"/>
          <w:b/>
          <w:sz w:val="28"/>
          <w:szCs w:val="24"/>
        </w:rPr>
        <w:t>0.</w:t>
      </w:r>
      <w:r w:rsidR="001279ED" w:rsidRPr="00390650">
        <w:rPr>
          <w:rFonts w:ascii="Arial Narrow" w:hAnsi="Arial Narrow" w:cs="Tahoma"/>
          <w:b/>
          <w:sz w:val="28"/>
          <w:szCs w:val="24"/>
        </w:rPr>
        <w:t>8</w:t>
      </w:r>
      <w:r w:rsidR="00B50951" w:rsidRPr="00390650">
        <w:rPr>
          <w:rFonts w:ascii="Arial Narrow" w:hAnsi="Arial Narrow" w:cs="Tahoma"/>
          <w:b/>
          <w:sz w:val="28"/>
          <w:szCs w:val="24"/>
        </w:rPr>
        <w:t>%</w:t>
      </w:r>
      <w:r w:rsidRPr="00390650">
        <w:rPr>
          <w:rFonts w:ascii="Arial Narrow" w:hAnsi="Arial Narrow" w:cs="Tahoma"/>
          <w:b/>
          <w:sz w:val="28"/>
          <w:szCs w:val="24"/>
        </w:rPr>
        <w:t xml:space="preserve"> in September 2023</w:t>
      </w:r>
    </w:p>
    <w:p w:rsidR="00B50951" w:rsidRPr="00390650" w:rsidRDefault="008D5FA6" w:rsidP="00B50951">
      <w:pPr>
        <w:rPr>
          <w:rFonts w:ascii="Arial Narrow" w:hAnsi="Arial Narrow" w:cs="Tahoma"/>
          <w:b/>
          <w:sz w:val="28"/>
          <w:szCs w:val="24"/>
        </w:rPr>
      </w:pPr>
      <w:r w:rsidRPr="00390650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390650">
        <w:rPr>
          <w:rFonts w:ascii="Arial Narrow" w:hAnsi="Arial Narrow" w:cs="Tahoma"/>
          <w:b/>
          <w:sz w:val="28"/>
          <w:szCs w:val="24"/>
        </w:rPr>
        <w:t xml:space="preserve"> (</w:t>
      </w:r>
      <w:r w:rsidRPr="00390650">
        <w:rPr>
          <w:rFonts w:ascii="Arial Narrow" w:hAnsi="Arial Narrow" w:cs="Tahoma"/>
          <w:b/>
          <w:sz w:val="28"/>
          <w:szCs w:val="24"/>
        </w:rPr>
        <w:t>September</w:t>
      </w:r>
      <w:r w:rsidR="00A57787" w:rsidRPr="00390650">
        <w:rPr>
          <w:rFonts w:ascii="Arial Narrow" w:hAnsi="Arial Narrow" w:cs="Tahoma"/>
          <w:b/>
          <w:sz w:val="28"/>
          <w:szCs w:val="24"/>
        </w:rPr>
        <w:t xml:space="preserve"> 2023</w:t>
      </w:r>
      <w:r w:rsidR="00B50951" w:rsidRPr="00390650">
        <w:rPr>
          <w:rFonts w:ascii="Arial Narrow" w:hAnsi="Arial Narrow" w:cs="Tahoma"/>
          <w:b/>
          <w:sz w:val="28"/>
          <w:szCs w:val="24"/>
        </w:rPr>
        <w:t>/</w:t>
      </w:r>
      <w:r w:rsidRPr="00390650">
        <w:rPr>
          <w:rFonts w:ascii="Arial Narrow" w:hAnsi="Arial Narrow" w:cs="Tahoma"/>
          <w:b/>
          <w:sz w:val="28"/>
          <w:szCs w:val="24"/>
        </w:rPr>
        <w:t>September</w:t>
      </w:r>
      <w:r w:rsidR="00A57787" w:rsidRPr="00390650">
        <w:rPr>
          <w:rFonts w:ascii="Arial Narrow" w:hAnsi="Arial Narrow" w:cs="Tahoma"/>
          <w:b/>
          <w:sz w:val="28"/>
          <w:szCs w:val="24"/>
        </w:rPr>
        <w:t xml:space="preserve"> 2022</w:t>
      </w:r>
      <w:r w:rsidR="00C679AA" w:rsidRPr="00390650">
        <w:rPr>
          <w:rFonts w:ascii="Arial Narrow" w:hAnsi="Arial Narrow" w:cs="Tahoma"/>
          <w:b/>
          <w:sz w:val="28"/>
          <w:szCs w:val="24"/>
        </w:rPr>
        <w:t xml:space="preserve">) </w:t>
      </w:r>
      <w:r w:rsidR="00B434AC" w:rsidRPr="00390650">
        <w:rPr>
          <w:rFonts w:ascii="Arial Narrow" w:hAnsi="Arial Narrow" w:cs="Tahoma"/>
          <w:b/>
          <w:sz w:val="28"/>
          <w:szCs w:val="24"/>
        </w:rPr>
        <w:t>5</w:t>
      </w:r>
      <w:r w:rsidRPr="00390650">
        <w:rPr>
          <w:rFonts w:ascii="Arial Narrow" w:hAnsi="Arial Narrow" w:cs="Tahoma"/>
          <w:b/>
          <w:sz w:val="28"/>
          <w:szCs w:val="24"/>
        </w:rPr>
        <w:t>.</w:t>
      </w:r>
      <w:r w:rsidR="001279ED" w:rsidRPr="00390650">
        <w:rPr>
          <w:rFonts w:ascii="Arial Narrow" w:hAnsi="Arial Narrow" w:cs="Tahoma"/>
          <w:b/>
          <w:sz w:val="28"/>
          <w:szCs w:val="24"/>
        </w:rPr>
        <w:t>7</w:t>
      </w:r>
      <w:r w:rsidR="00B50951" w:rsidRPr="00390650">
        <w:rPr>
          <w:rFonts w:ascii="Arial Narrow" w:hAnsi="Arial Narrow" w:cs="Tahoma"/>
          <w:b/>
          <w:sz w:val="28"/>
          <w:szCs w:val="24"/>
        </w:rPr>
        <w:t>%</w:t>
      </w:r>
    </w:p>
    <w:p w:rsidR="00B50951" w:rsidRPr="00390650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:rsidR="008521CD" w:rsidRPr="00390650" w:rsidRDefault="008521CD" w:rsidP="008521CD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</w:t>
      </w:r>
      <w:r w:rsidRPr="00390650">
        <w:rPr>
          <w:rFonts w:ascii="Arial Narrow" w:hAnsi="Arial Narrow" w:cs="Tahoma"/>
          <w:sz w:val="22"/>
          <w:szCs w:val="22"/>
        </w:rPr>
        <w:t>September</w:t>
      </w:r>
      <w:r w:rsidRPr="00390650">
        <w:rPr>
          <w:rFonts w:ascii="Arial Narrow" w:hAnsi="Arial Narrow" w:cs="Tahoma"/>
          <w:sz w:val="22"/>
          <w:szCs w:val="22"/>
        </w:rPr>
        <w:t xml:space="preserve"> 2023, compared to the previous month, were on average </w:t>
      </w:r>
      <w:r w:rsidRPr="00390650">
        <w:rPr>
          <w:rFonts w:ascii="Arial Narrow" w:hAnsi="Arial Narrow" w:cs="Tahoma"/>
          <w:sz w:val="22"/>
          <w:szCs w:val="22"/>
        </w:rPr>
        <w:t>0.8</w:t>
      </w:r>
      <w:r w:rsidRPr="00390650">
        <w:rPr>
          <w:rFonts w:ascii="Arial Narrow" w:hAnsi="Arial Narrow" w:cs="Tahoma"/>
          <w:sz w:val="22"/>
          <w:szCs w:val="22"/>
        </w:rPr>
        <w:t>% higher, while compared to the same month of the previo</w:t>
      </w:r>
      <w:r w:rsidRPr="00390650">
        <w:rPr>
          <w:rFonts w:ascii="Arial Narrow" w:hAnsi="Arial Narrow" w:cs="Tahoma"/>
          <w:sz w:val="22"/>
          <w:szCs w:val="22"/>
        </w:rPr>
        <w:t>us year they were on average 5.7</w:t>
      </w:r>
      <w:r w:rsidRPr="00390650">
        <w:rPr>
          <w:rFonts w:ascii="Arial Narrow" w:hAnsi="Arial Narrow" w:cs="Tahoma"/>
          <w:sz w:val="22"/>
          <w:szCs w:val="22"/>
        </w:rPr>
        <w:t>% higher.</w:t>
      </w:r>
    </w:p>
    <w:p w:rsidR="008521CD" w:rsidRPr="00390650" w:rsidRDefault="008521CD" w:rsidP="00C679AA">
      <w:pPr>
        <w:jc w:val="both"/>
        <w:rPr>
          <w:rFonts w:ascii="Arial Narrow" w:hAnsi="Arial Narrow" w:cs="Tahoma"/>
          <w:sz w:val="22"/>
          <w:szCs w:val="22"/>
        </w:rPr>
      </w:pPr>
    </w:p>
    <w:p w:rsidR="00D8278D" w:rsidRPr="00390650" w:rsidRDefault="008521CD" w:rsidP="00D8278D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Arial Narrow" w:hAnsi="Arial Narrow" w:cs="Tahoma"/>
          <w:sz w:val="22"/>
          <w:szCs w:val="22"/>
        </w:rPr>
        <w:t xml:space="preserve">Of the 12 main divisions of products and services, an increase in prices was recorded in ten divisions, while a decrease was recorded in two divisions. </w:t>
      </w:r>
    </w:p>
    <w:p w:rsidR="00BC36A8" w:rsidRPr="00390650" w:rsidRDefault="00BC36A8" w:rsidP="00BC36A8">
      <w:pPr>
        <w:jc w:val="both"/>
        <w:rPr>
          <w:rFonts w:ascii="Arial Narrow" w:hAnsi="Arial Narrow" w:cs="Arial"/>
          <w:sz w:val="22"/>
          <w:szCs w:val="22"/>
        </w:rPr>
      </w:pPr>
    </w:p>
    <w:p w:rsidR="00C50509" w:rsidRPr="00390650" w:rsidRDefault="00C50509" w:rsidP="00C50509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Arial Narrow" w:hAnsi="Arial Narrow" w:cs="Tahoma"/>
          <w:sz w:val="22"/>
          <w:szCs w:val="22"/>
        </w:rPr>
        <w:t xml:space="preserve">The highest annual increase in prices in </w:t>
      </w:r>
      <w:r w:rsidRPr="00390650">
        <w:rPr>
          <w:rFonts w:ascii="Arial Narrow" w:hAnsi="Arial Narrow" w:cs="Tahoma"/>
          <w:sz w:val="22"/>
          <w:szCs w:val="22"/>
        </w:rPr>
        <w:t>September</w:t>
      </w:r>
      <w:r w:rsidRPr="00390650">
        <w:rPr>
          <w:rFonts w:ascii="Arial Narrow" w:hAnsi="Arial Narrow" w:cs="Tahoma"/>
          <w:sz w:val="22"/>
          <w:szCs w:val="22"/>
        </w:rPr>
        <w:t xml:space="preserve"> 2023 was recorded in the division </w:t>
      </w:r>
      <w:r w:rsidRPr="00390650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390650">
        <w:rPr>
          <w:rFonts w:ascii="Arial Narrow" w:hAnsi="Arial Narrow" w:cs="Tahoma"/>
          <w:sz w:val="22"/>
          <w:szCs w:val="22"/>
        </w:rPr>
        <w:t xml:space="preserve">by </w:t>
      </w:r>
      <w:r w:rsidRPr="00390650">
        <w:rPr>
          <w:rFonts w:ascii="Arial Narrow" w:hAnsi="Arial Narrow" w:cs="Tahoma"/>
          <w:sz w:val="22"/>
          <w:szCs w:val="22"/>
        </w:rPr>
        <w:t>14.5</w:t>
      </w:r>
      <w:r w:rsidRPr="00390650">
        <w:rPr>
          <w:rFonts w:ascii="Arial Narrow" w:hAnsi="Arial Narrow" w:cs="Tahoma"/>
          <w:sz w:val="22"/>
          <w:szCs w:val="22"/>
        </w:rPr>
        <w:t xml:space="preserve">%, due to higher prices in the group electricity and other energy sources by 27.1%. An increase in prices was also recorded in the division </w:t>
      </w:r>
      <w:r w:rsidRPr="00390650">
        <w:rPr>
          <w:rFonts w:ascii="Arial Narrow" w:hAnsi="Arial Narrow" w:cs="Tahoma"/>
          <w:i/>
          <w:sz w:val="22"/>
          <w:szCs w:val="22"/>
        </w:rPr>
        <w:t xml:space="preserve">Other goods and services, </w:t>
      </w:r>
      <w:r w:rsidRPr="00390650">
        <w:rPr>
          <w:rFonts w:ascii="Arial Narrow" w:hAnsi="Arial Narrow" w:cs="Tahoma"/>
          <w:sz w:val="22"/>
          <w:szCs w:val="22"/>
        </w:rPr>
        <w:t>by 11.4</w:t>
      </w:r>
      <w:r w:rsidRPr="00390650">
        <w:rPr>
          <w:rFonts w:ascii="Arial Narrow" w:hAnsi="Arial Narrow" w:cs="Tahoma"/>
          <w:sz w:val="22"/>
          <w:szCs w:val="22"/>
        </w:rPr>
        <w:t>%, due to higher prices in the grou</w:t>
      </w:r>
      <w:r w:rsidRPr="00390650">
        <w:rPr>
          <w:rFonts w:ascii="Arial Narrow" w:hAnsi="Arial Narrow" w:cs="Tahoma"/>
          <w:sz w:val="22"/>
          <w:szCs w:val="22"/>
        </w:rPr>
        <w:t>p personal care products by 13.6</w:t>
      </w:r>
      <w:r w:rsidRPr="00390650">
        <w:rPr>
          <w:rFonts w:ascii="Arial Narrow" w:hAnsi="Arial Narrow" w:cs="Tahoma"/>
          <w:sz w:val="22"/>
          <w:szCs w:val="22"/>
        </w:rPr>
        <w:t xml:space="preserve">%. An increase in prices by 8.3% recorded in the division </w:t>
      </w:r>
      <w:r w:rsidR="00C40EF1" w:rsidRPr="00390650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Pr="00390650">
        <w:rPr>
          <w:rFonts w:ascii="Arial Narrow" w:hAnsi="Arial Narrow" w:cs="Tahoma"/>
          <w:sz w:val="22"/>
          <w:szCs w:val="22"/>
        </w:rPr>
        <w:t xml:space="preserve"> occurred due to higher prices in the g</w:t>
      </w:r>
      <w:r w:rsidR="00C40EF1" w:rsidRPr="00390650">
        <w:rPr>
          <w:rFonts w:ascii="Arial Narrow" w:hAnsi="Arial Narrow" w:cs="Tahoma"/>
          <w:sz w:val="22"/>
          <w:szCs w:val="22"/>
        </w:rPr>
        <w:t>roup repair of household appliances</w:t>
      </w:r>
      <w:r w:rsidRPr="00390650">
        <w:rPr>
          <w:rFonts w:ascii="Arial Narrow" w:hAnsi="Arial Narrow" w:cs="Tahoma"/>
          <w:sz w:val="22"/>
          <w:szCs w:val="22"/>
        </w:rPr>
        <w:t xml:space="preserve"> by </w:t>
      </w:r>
      <w:r w:rsidR="00C40EF1" w:rsidRPr="00390650">
        <w:rPr>
          <w:rFonts w:ascii="Arial Narrow" w:hAnsi="Arial Narrow" w:cs="Tahoma"/>
          <w:sz w:val="22"/>
          <w:szCs w:val="22"/>
        </w:rPr>
        <w:t>23.1</w:t>
      </w:r>
      <w:r w:rsidRPr="00390650">
        <w:rPr>
          <w:rFonts w:ascii="Arial Narrow" w:hAnsi="Arial Narrow" w:cs="Tahoma"/>
          <w:sz w:val="22"/>
          <w:szCs w:val="22"/>
        </w:rPr>
        <w:t xml:space="preserve">%. </w:t>
      </w:r>
    </w:p>
    <w:p w:rsidR="00C50509" w:rsidRPr="00390650" w:rsidRDefault="00C50509" w:rsidP="00BC36A8">
      <w:pPr>
        <w:jc w:val="both"/>
        <w:rPr>
          <w:rFonts w:ascii="Arial Narrow" w:hAnsi="Arial Narrow" w:cs="Tahoma"/>
          <w:sz w:val="22"/>
          <w:szCs w:val="22"/>
        </w:rPr>
      </w:pPr>
    </w:p>
    <w:p w:rsidR="00C40EF1" w:rsidRPr="00390650" w:rsidRDefault="00C40EF1" w:rsidP="00C40EF1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Arial Narrow" w:hAnsi="Arial Narrow" w:cs="Tahoma"/>
          <w:sz w:val="22"/>
          <w:szCs w:val="22"/>
        </w:rPr>
        <w:t xml:space="preserve">An increase in prices was recorded in the following divisions as well: </w:t>
      </w:r>
      <w:r w:rsidRPr="00390650">
        <w:rPr>
          <w:rFonts w:ascii="Arial Narrow" w:hAnsi="Arial Narrow" w:cs="Tahoma"/>
          <w:i/>
          <w:sz w:val="22"/>
          <w:szCs w:val="22"/>
        </w:rPr>
        <w:t>Food and non-alcoholic beverages</w:t>
      </w:r>
      <w:r w:rsidRPr="00390650">
        <w:rPr>
          <w:rFonts w:ascii="Arial Narrow" w:hAnsi="Arial Narrow" w:cs="Tahoma"/>
          <w:i/>
          <w:sz w:val="22"/>
          <w:szCs w:val="22"/>
        </w:rPr>
        <w:t xml:space="preserve">, </w:t>
      </w:r>
      <w:r w:rsidRPr="00390650">
        <w:rPr>
          <w:rFonts w:ascii="Arial Narrow" w:hAnsi="Arial Narrow" w:cs="Tahoma"/>
          <w:sz w:val="22"/>
          <w:szCs w:val="22"/>
        </w:rPr>
        <w:t xml:space="preserve">by </w:t>
      </w:r>
      <w:r w:rsidRPr="00390650">
        <w:rPr>
          <w:rFonts w:ascii="Arial Narrow" w:hAnsi="Arial Narrow" w:cs="Tahoma"/>
          <w:sz w:val="22"/>
          <w:szCs w:val="22"/>
        </w:rPr>
        <w:t>6.6</w:t>
      </w:r>
      <w:r w:rsidRPr="00390650">
        <w:rPr>
          <w:rFonts w:ascii="Arial Narrow" w:hAnsi="Arial Narrow" w:cs="Tahoma"/>
          <w:sz w:val="22"/>
          <w:szCs w:val="22"/>
        </w:rPr>
        <w:t>%, du</w:t>
      </w:r>
      <w:r w:rsidRPr="00390650">
        <w:rPr>
          <w:rFonts w:ascii="Arial Narrow" w:hAnsi="Arial Narrow" w:cs="Tahoma"/>
          <w:sz w:val="22"/>
          <w:szCs w:val="22"/>
        </w:rPr>
        <w:t>e to higher prices in the groups vegetables by 18.1</w:t>
      </w:r>
      <w:r w:rsidRPr="00390650">
        <w:rPr>
          <w:rFonts w:ascii="Arial Narrow" w:hAnsi="Arial Narrow" w:cs="Tahoma"/>
          <w:sz w:val="22"/>
          <w:szCs w:val="22"/>
        </w:rPr>
        <w:t>%</w:t>
      </w:r>
      <w:r w:rsidRPr="00390650">
        <w:rPr>
          <w:rFonts w:ascii="Arial Narrow" w:hAnsi="Arial Narrow" w:cs="Tahoma"/>
          <w:sz w:val="22"/>
          <w:szCs w:val="22"/>
        </w:rPr>
        <w:t xml:space="preserve"> and other food products by 11.5%</w:t>
      </w:r>
      <w:r w:rsidRPr="00390650">
        <w:rPr>
          <w:rFonts w:ascii="Arial Narrow" w:hAnsi="Arial Narrow" w:cs="Tahoma"/>
          <w:sz w:val="22"/>
          <w:szCs w:val="22"/>
        </w:rPr>
        <w:t xml:space="preserve">; </w:t>
      </w:r>
      <w:r w:rsidRPr="00390650">
        <w:rPr>
          <w:rFonts w:ascii="Arial Narrow" w:hAnsi="Arial Narrow" w:cs="Tahoma"/>
          <w:i/>
          <w:sz w:val="22"/>
          <w:szCs w:val="22"/>
        </w:rPr>
        <w:t>Restaurants and hotels</w:t>
      </w:r>
      <w:r w:rsidRPr="00390650">
        <w:rPr>
          <w:rFonts w:ascii="Arial Narrow" w:hAnsi="Arial Narrow" w:cs="Tahoma"/>
          <w:sz w:val="22"/>
          <w:szCs w:val="22"/>
        </w:rPr>
        <w:t xml:space="preserve"> by </w:t>
      </w:r>
      <w:r w:rsidRPr="00390650">
        <w:rPr>
          <w:rFonts w:ascii="Arial Narrow" w:hAnsi="Arial Narrow" w:cs="Tahoma"/>
          <w:sz w:val="22"/>
          <w:szCs w:val="22"/>
        </w:rPr>
        <w:t>6.0</w:t>
      </w:r>
      <w:r w:rsidRPr="00390650">
        <w:rPr>
          <w:rFonts w:ascii="Arial Narrow" w:hAnsi="Arial Narrow" w:cs="Tahoma"/>
          <w:sz w:val="22"/>
          <w:szCs w:val="22"/>
        </w:rPr>
        <w:t>%, due to higher prices in the gro</w:t>
      </w:r>
      <w:r w:rsidRPr="00390650">
        <w:rPr>
          <w:rFonts w:ascii="Arial Narrow" w:hAnsi="Arial Narrow" w:cs="Tahoma"/>
          <w:sz w:val="22"/>
          <w:szCs w:val="22"/>
        </w:rPr>
        <w:t>up accommodation services by 9.8</w:t>
      </w:r>
      <w:r w:rsidRPr="00390650">
        <w:rPr>
          <w:rFonts w:ascii="Arial Narrow" w:hAnsi="Arial Narrow" w:cs="Tahoma"/>
          <w:sz w:val="22"/>
          <w:szCs w:val="22"/>
        </w:rPr>
        <w:t xml:space="preserve">%; </w:t>
      </w:r>
      <w:r w:rsidRPr="00390650">
        <w:rPr>
          <w:rFonts w:ascii="Arial Narrow" w:hAnsi="Arial Narrow" w:cs="Tahoma"/>
          <w:i/>
          <w:sz w:val="22"/>
          <w:szCs w:val="22"/>
        </w:rPr>
        <w:t>Recreation and culture</w:t>
      </w:r>
      <w:r w:rsidRPr="00390650">
        <w:rPr>
          <w:rFonts w:ascii="Arial Narrow" w:hAnsi="Arial Narrow" w:cs="Tahoma"/>
          <w:sz w:val="22"/>
          <w:szCs w:val="22"/>
        </w:rPr>
        <w:t>, by 5.7</w:t>
      </w:r>
      <w:r w:rsidRPr="00390650">
        <w:rPr>
          <w:rFonts w:ascii="Arial Narrow" w:hAnsi="Arial Narrow" w:cs="Tahoma"/>
          <w:sz w:val="22"/>
          <w:szCs w:val="22"/>
        </w:rPr>
        <w:t xml:space="preserve">%, due to higher prices in the </w:t>
      </w:r>
      <w:r w:rsidRPr="00390650">
        <w:rPr>
          <w:rFonts w:ascii="Arial Narrow" w:hAnsi="Arial Narrow" w:cs="Tahoma"/>
          <w:sz w:val="22"/>
          <w:szCs w:val="22"/>
        </w:rPr>
        <w:t>group books and textbooks by 11.0</w:t>
      </w:r>
      <w:r w:rsidRPr="00390650">
        <w:rPr>
          <w:rFonts w:ascii="Arial Narrow" w:hAnsi="Arial Narrow" w:cs="Tahoma"/>
          <w:sz w:val="22"/>
          <w:szCs w:val="22"/>
        </w:rPr>
        <w:t>%</w:t>
      </w:r>
      <w:r w:rsidRPr="00390650">
        <w:rPr>
          <w:rFonts w:ascii="Arial Narrow" w:hAnsi="Arial Narrow" w:cs="Tahoma"/>
          <w:sz w:val="22"/>
          <w:szCs w:val="22"/>
        </w:rPr>
        <w:t xml:space="preserve">; </w:t>
      </w:r>
      <w:r w:rsidRPr="00390650">
        <w:rPr>
          <w:rFonts w:ascii="Arial Narrow" w:hAnsi="Arial Narrow" w:cs="Tahoma"/>
          <w:i/>
          <w:sz w:val="22"/>
          <w:szCs w:val="22"/>
        </w:rPr>
        <w:t xml:space="preserve">Alcoholic beverages and tobacco, </w:t>
      </w:r>
      <w:r w:rsidRPr="00390650">
        <w:rPr>
          <w:rFonts w:ascii="Arial Narrow" w:hAnsi="Arial Narrow" w:cs="Tahoma"/>
          <w:sz w:val="22"/>
          <w:szCs w:val="22"/>
        </w:rPr>
        <w:t>by 5.6</w:t>
      </w:r>
      <w:r w:rsidRPr="00390650">
        <w:rPr>
          <w:rFonts w:ascii="Arial Narrow" w:hAnsi="Arial Narrow" w:cs="Tahoma"/>
          <w:sz w:val="22"/>
          <w:szCs w:val="22"/>
        </w:rPr>
        <w:t xml:space="preserve">%, due to higher prices in the group beer by </w:t>
      </w:r>
      <w:r w:rsidRPr="00390650">
        <w:rPr>
          <w:rFonts w:ascii="Arial Narrow" w:hAnsi="Arial Narrow" w:cs="Tahoma"/>
          <w:sz w:val="22"/>
          <w:szCs w:val="22"/>
        </w:rPr>
        <w:t>14.5</w:t>
      </w:r>
      <w:r w:rsidRPr="00390650">
        <w:rPr>
          <w:rFonts w:ascii="Arial Narrow" w:hAnsi="Arial Narrow" w:cs="Tahoma"/>
          <w:sz w:val="22"/>
          <w:szCs w:val="22"/>
        </w:rPr>
        <w:t xml:space="preserve">%. </w:t>
      </w:r>
    </w:p>
    <w:p w:rsidR="00C40EF1" w:rsidRPr="00390650" w:rsidRDefault="00C40EF1" w:rsidP="00C40EF1">
      <w:pPr>
        <w:jc w:val="both"/>
        <w:rPr>
          <w:rFonts w:ascii="Arial Narrow" w:hAnsi="Arial Narrow" w:cs="Tahoma"/>
          <w:sz w:val="22"/>
          <w:szCs w:val="22"/>
        </w:rPr>
      </w:pPr>
    </w:p>
    <w:p w:rsidR="00C40EF1" w:rsidRPr="00390650" w:rsidRDefault="00C40EF1" w:rsidP="00C40EF1">
      <w:pPr>
        <w:jc w:val="both"/>
        <w:rPr>
          <w:rFonts w:ascii="Arial Narrow" w:hAnsi="Arial Narrow" w:cs="Tahoma"/>
          <w:sz w:val="22"/>
          <w:szCs w:val="22"/>
        </w:rPr>
      </w:pPr>
      <w:r w:rsidRPr="00390650">
        <w:rPr>
          <w:rFonts w:ascii="Arial Narrow" w:hAnsi="Arial Narrow" w:cs="Tahoma"/>
          <w:sz w:val="22"/>
          <w:szCs w:val="22"/>
        </w:rPr>
        <w:t xml:space="preserve">An increase in prices by </w:t>
      </w:r>
      <w:r w:rsidRPr="00390650">
        <w:rPr>
          <w:rFonts w:ascii="Arial Narrow" w:hAnsi="Arial Narrow" w:cs="Tahoma"/>
          <w:sz w:val="22"/>
          <w:szCs w:val="22"/>
        </w:rPr>
        <w:t>3.0</w:t>
      </w:r>
      <w:r w:rsidRPr="00390650">
        <w:rPr>
          <w:rFonts w:ascii="Arial Narrow" w:hAnsi="Arial Narrow" w:cs="Tahoma"/>
          <w:sz w:val="22"/>
          <w:szCs w:val="22"/>
        </w:rPr>
        <w:t xml:space="preserve">% in the division </w:t>
      </w:r>
      <w:r w:rsidRPr="00390650">
        <w:rPr>
          <w:rFonts w:ascii="Arial Narrow" w:hAnsi="Arial Narrow" w:cs="Tahoma"/>
          <w:i/>
          <w:sz w:val="22"/>
          <w:szCs w:val="22"/>
        </w:rPr>
        <w:t xml:space="preserve">Health </w:t>
      </w:r>
      <w:r w:rsidRPr="00390650">
        <w:rPr>
          <w:rFonts w:ascii="Arial Narrow" w:hAnsi="Arial Narrow" w:cs="Tahoma"/>
          <w:sz w:val="22"/>
          <w:szCs w:val="22"/>
        </w:rPr>
        <w:t>occurred due to higher prices in the group health care service</w:t>
      </w:r>
      <w:r w:rsidRPr="00390650">
        <w:rPr>
          <w:rFonts w:ascii="Arial Narrow" w:hAnsi="Arial Narrow" w:cs="Tahoma"/>
          <w:sz w:val="22"/>
          <w:szCs w:val="22"/>
        </w:rPr>
        <w:t>s by 5.5%, while an increase by 2.3</w:t>
      </w:r>
      <w:r w:rsidRPr="00390650">
        <w:rPr>
          <w:rFonts w:ascii="Arial Narrow" w:hAnsi="Arial Narrow" w:cs="Tahoma"/>
          <w:sz w:val="22"/>
          <w:szCs w:val="22"/>
        </w:rPr>
        <w:t xml:space="preserve">% in the division </w:t>
      </w:r>
      <w:r w:rsidRPr="00390650">
        <w:rPr>
          <w:rFonts w:ascii="Arial Narrow" w:hAnsi="Arial Narrow" w:cs="Tahoma"/>
          <w:i/>
          <w:sz w:val="22"/>
          <w:szCs w:val="22"/>
        </w:rPr>
        <w:t xml:space="preserve">Communication </w:t>
      </w:r>
      <w:r w:rsidRPr="00390650">
        <w:rPr>
          <w:rFonts w:ascii="Arial Narrow" w:hAnsi="Arial Narrow" w:cs="Tahoma"/>
          <w:sz w:val="22"/>
          <w:szCs w:val="22"/>
        </w:rPr>
        <w:t>occurred due to higher prices in the postal services by 5.</w:t>
      </w:r>
      <w:r w:rsidRPr="00390650">
        <w:rPr>
          <w:rFonts w:ascii="Arial Narrow" w:hAnsi="Arial Narrow" w:cs="Tahoma"/>
          <w:sz w:val="22"/>
          <w:szCs w:val="22"/>
        </w:rPr>
        <w:t>1%. An increase in prices by 1.2</w:t>
      </w:r>
      <w:r w:rsidRPr="00390650">
        <w:rPr>
          <w:rFonts w:ascii="Arial Narrow" w:hAnsi="Arial Narrow" w:cs="Tahoma"/>
          <w:sz w:val="22"/>
          <w:szCs w:val="22"/>
        </w:rPr>
        <w:t xml:space="preserve">% recorded in the division </w:t>
      </w:r>
      <w:r w:rsidRPr="00390650">
        <w:rPr>
          <w:rFonts w:ascii="Arial Narrow" w:hAnsi="Arial Narrow" w:cs="Tahoma"/>
          <w:i/>
          <w:sz w:val="22"/>
          <w:szCs w:val="22"/>
        </w:rPr>
        <w:t>Education</w:t>
      </w:r>
      <w:r w:rsidRPr="00390650">
        <w:rPr>
          <w:rFonts w:ascii="Arial Narrow" w:hAnsi="Arial Narrow" w:cs="Tahoma"/>
          <w:sz w:val="22"/>
          <w:szCs w:val="22"/>
        </w:rPr>
        <w:t xml:space="preserve"> occurred due to higher prices in the group preschool education by 6.7%</w:t>
      </w:r>
    </w:p>
    <w:p w:rsidR="00C40EF1" w:rsidRPr="00390650" w:rsidRDefault="00C40EF1" w:rsidP="00BC36A8">
      <w:pPr>
        <w:jc w:val="both"/>
        <w:rPr>
          <w:rFonts w:ascii="Arial Narrow" w:hAnsi="Arial Narrow" w:cs="Tahoma"/>
          <w:sz w:val="22"/>
          <w:szCs w:val="22"/>
        </w:rPr>
      </w:pPr>
    </w:p>
    <w:p w:rsidR="008964A8" w:rsidRPr="00390650" w:rsidRDefault="00C40EF1" w:rsidP="00A87480">
      <w:pPr>
        <w:jc w:val="both"/>
        <w:rPr>
          <w:rFonts w:ascii="Arial Narrow" w:hAnsi="Arial Narrow" w:cs="Tahoma"/>
        </w:rPr>
      </w:pPr>
      <w:r w:rsidRPr="00390650">
        <w:rPr>
          <w:rFonts w:ascii="Arial Narrow" w:hAnsi="Arial Narrow" w:cs="Tahoma"/>
          <w:sz w:val="22"/>
          <w:szCs w:val="22"/>
        </w:rPr>
        <w:t xml:space="preserve">A decrease in prices at the annual level in </w:t>
      </w:r>
      <w:r w:rsidRPr="00390650">
        <w:rPr>
          <w:rFonts w:ascii="Arial Narrow" w:hAnsi="Arial Narrow" w:cs="Tahoma"/>
          <w:sz w:val="22"/>
          <w:szCs w:val="22"/>
        </w:rPr>
        <w:t>September</w:t>
      </w:r>
      <w:r w:rsidRPr="00390650">
        <w:rPr>
          <w:rFonts w:ascii="Arial Narrow" w:hAnsi="Arial Narrow" w:cs="Tahoma"/>
          <w:sz w:val="22"/>
          <w:szCs w:val="22"/>
        </w:rPr>
        <w:t xml:space="preserve"> 2023 was recorded in the division </w:t>
      </w:r>
      <w:r w:rsidRPr="00390650">
        <w:rPr>
          <w:rFonts w:ascii="Arial Narrow" w:hAnsi="Arial Narrow" w:cs="Tahoma"/>
          <w:i/>
          <w:sz w:val="22"/>
          <w:szCs w:val="22"/>
        </w:rPr>
        <w:t>Transport</w:t>
      </w:r>
      <w:r w:rsidRPr="00390650">
        <w:rPr>
          <w:rFonts w:ascii="Arial Narrow" w:hAnsi="Arial Narrow" w:cs="Tahoma"/>
          <w:sz w:val="22"/>
          <w:szCs w:val="22"/>
        </w:rPr>
        <w:t xml:space="preserve">, by </w:t>
      </w:r>
      <w:r w:rsidRPr="00390650">
        <w:rPr>
          <w:rFonts w:ascii="Arial Narrow" w:hAnsi="Arial Narrow" w:cs="Tahoma"/>
          <w:sz w:val="22"/>
          <w:szCs w:val="22"/>
        </w:rPr>
        <w:t>2.8</w:t>
      </w:r>
      <w:r w:rsidRPr="00390650">
        <w:rPr>
          <w:rFonts w:ascii="Arial Narrow" w:hAnsi="Arial Narrow" w:cs="Tahoma"/>
          <w:sz w:val="22"/>
          <w:szCs w:val="22"/>
        </w:rPr>
        <w:t xml:space="preserve">%, due to lower prices in the group fuels and lubricants for passenger cars by </w:t>
      </w:r>
      <w:r w:rsidRPr="00390650">
        <w:rPr>
          <w:rFonts w:ascii="Arial Narrow" w:hAnsi="Arial Narrow" w:cs="Tahoma"/>
          <w:sz w:val="22"/>
          <w:szCs w:val="22"/>
        </w:rPr>
        <w:t>7.6</w:t>
      </w:r>
      <w:r w:rsidRPr="00390650">
        <w:rPr>
          <w:rFonts w:ascii="Arial Narrow" w:hAnsi="Arial Narrow" w:cs="Tahoma"/>
          <w:sz w:val="22"/>
          <w:szCs w:val="22"/>
        </w:rPr>
        <w:t xml:space="preserve">%, and in the division </w:t>
      </w:r>
      <w:r w:rsidRPr="00390650">
        <w:rPr>
          <w:rFonts w:ascii="Arial Narrow" w:hAnsi="Arial Narrow" w:cs="Tahoma"/>
          <w:i/>
          <w:sz w:val="22"/>
          <w:szCs w:val="22"/>
        </w:rPr>
        <w:t>Clothing and footwear</w:t>
      </w:r>
      <w:r w:rsidRPr="00390650">
        <w:rPr>
          <w:rFonts w:ascii="Arial Narrow" w:hAnsi="Arial Narrow" w:cs="Tahoma"/>
          <w:sz w:val="22"/>
          <w:szCs w:val="22"/>
        </w:rPr>
        <w:t xml:space="preserve">, by </w:t>
      </w:r>
      <w:r w:rsidRPr="00390650">
        <w:rPr>
          <w:rFonts w:ascii="Arial Narrow" w:hAnsi="Arial Narrow" w:cs="Tahoma"/>
          <w:sz w:val="22"/>
          <w:szCs w:val="22"/>
        </w:rPr>
        <w:t>6.0</w:t>
      </w:r>
      <w:r w:rsidRPr="00390650">
        <w:rPr>
          <w:rFonts w:ascii="Arial Narrow" w:hAnsi="Arial Narrow" w:cs="Tahoma"/>
          <w:sz w:val="22"/>
          <w:szCs w:val="22"/>
        </w:rPr>
        <w:t>%, due to seasonal discounts on ready-made clothing and footwear during the year</w:t>
      </w:r>
      <w:r w:rsidR="00BC36A8" w:rsidRPr="00390650">
        <w:rPr>
          <w:rFonts w:ascii="Arial Narrow" w:hAnsi="Arial Narrow" w:cs="Tahoma"/>
        </w:rPr>
        <w:t xml:space="preserve">. </w:t>
      </w:r>
    </w:p>
    <w:p w:rsidR="00F36928" w:rsidRPr="00390650" w:rsidRDefault="00F36928" w:rsidP="00180B6F">
      <w:pPr>
        <w:jc w:val="both"/>
        <w:rPr>
          <w:rFonts w:ascii="Arial Narrow" w:hAnsi="Arial Narrow" w:cs="Tahoma"/>
          <w:sz w:val="22"/>
          <w:szCs w:val="22"/>
        </w:rPr>
      </w:pPr>
    </w:p>
    <w:p w:rsidR="00B50951" w:rsidRPr="00390650" w:rsidRDefault="00CF468F" w:rsidP="00B50951">
      <w:pPr>
        <w:jc w:val="center"/>
        <w:rPr>
          <w:rFonts w:ascii="Arial Narrow" w:hAnsi="Arial Narrow" w:cs="Tahoma"/>
          <w:sz w:val="16"/>
          <w:szCs w:val="16"/>
        </w:rPr>
      </w:pP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20D89" wp14:editId="427E2C38">
                <wp:simplePos x="0" y="0"/>
                <wp:positionH relativeFrom="margin">
                  <wp:posOffset>2297430</wp:posOffset>
                </wp:positionH>
                <wp:positionV relativeFrom="paragraph">
                  <wp:posOffset>2644444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468F" w:rsidRDefault="00CF468F" w:rsidP="00CF46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20D8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80.9pt;margin-top:208.2pt;width:71.35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" fillcolor="window" stroked="f" strokeweight=".5pt">
                <v:textbox>
                  <w:txbxContent>
                    <w:p w:rsidR="00CF468F" w:rsidRDefault="00CF468F" w:rsidP="00CF46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20D89" wp14:editId="427E2C38">
                <wp:simplePos x="0" y="0"/>
                <wp:positionH relativeFrom="margin">
                  <wp:posOffset>3649235</wp:posOffset>
                </wp:positionH>
                <wp:positionV relativeFrom="paragraph">
                  <wp:posOffset>2670616</wp:posOffset>
                </wp:positionV>
                <wp:extent cx="906145" cy="294199"/>
                <wp:effectExtent l="0" t="0" r="825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468F" w:rsidRDefault="00CF468F" w:rsidP="00CF46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0D89" id="Text Box 31" o:spid="_x0000_s1027" type="#_x0000_t202" style="position:absolute;left:0;text-align:left;margin-left:287.35pt;margin-top:210.3pt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" fillcolor="window" stroked="f" strokeweight=".5pt">
                <v:textbox>
                  <w:txbxContent>
                    <w:p w:rsidR="00CF468F" w:rsidRDefault="00CF468F" w:rsidP="00CF46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36A" w:rsidRPr="0039065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2846705</wp:posOffset>
                </wp:positionV>
                <wp:extent cx="2637155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2.95pt;margin-top:224.15pt;width:207.65pt;height:25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39065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9" type="#_x0000_t202" style="position:absolute;left:0;text-align:left;margin-left:17.95pt;margin-top:2.75pt;width:19.4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39065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390650" w:rsidRDefault="00CF468F" w:rsidP="00B50951">
      <w:pPr>
        <w:jc w:val="center"/>
        <w:rPr>
          <w:rFonts w:ascii="Arial Narrow" w:hAnsi="Arial Narrow" w:cs="Tahoma"/>
          <w:szCs w:val="16"/>
        </w:rPr>
      </w:pPr>
      <w:r w:rsidRPr="00390650">
        <w:rPr>
          <w:rFonts w:ascii="Arial Narrow" w:hAnsi="Arial Narrow" w:cs="Tahoma"/>
          <w:szCs w:val="16"/>
        </w:rPr>
        <w:t>Graph</w:t>
      </w:r>
      <w:r w:rsidR="00B50951" w:rsidRPr="00390650">
        <w:rPr>
          <w:rFonts w:ascii="Arial Narrow" w:hAnsi="Arial Narrow" w:cs="Tahoma"/>
          <w:szCs w:val="16"/>
        </w:rPr>
        <w:t xml:space="preserve"> </w:t>
      </w:r>
      <w:r w:rsidR="001D7B2C" w:rsidRPr="00390650">
        <w:rPr>
          <w:rFonts w:ascii="Arial Narrow" w:hAnsi="Arial Narrow" w:cs="Tahoma"/>
          <w:szCs w:val="16"/>
        </w:rPr>
        <w:t>2</w:t>
      </w:r>
      <w:r w:rsidR="00B50951" w:rsidRPr="00390650">
        <w:rPr>
          <w:rFonts w:ascii="Arial Narrow" w:hAnsi="Arial Narrow" w:cs="Tahoma"/>
          <w:szCs w:val="16"/>
        </w:rPr>
        <w:t xml:space="preserve">. </w:t>
      </w:r>
      <w:r w:rsidRPr="00390650">
        <w:rPr>
          <w:rFonts w:ascii="Arial Narrow" w:hAnsi="Arial Narrow" w:cs="Tahoma"/>
          <w:szCs w:val="16"/>
        </w:rPr>
        <w:t>Monthly and annual inflation</w:t>
      </w:r>
    </w:p>
    <w:p w:rsidR="009C3C6C" w:rsidRPr="00390650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390650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390650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3C6AA4" w:rsidRPr="00390650" w:rsidRDefault="00B04A79" w:rsidP="003C6AA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</w:rPr>
      </w:pPr>
      <w:r w:rsidRPr="00390650">
        <w:rPr>
          <w:rFonts w:ascii="Arial Narrow" w:hAnsi="Arial Narrow" w:cs="Tahoma"/>
          <w:b/>
          <w:bCs/>
          <w:sz w:val="28"/>
          <w:szCs w:val="30"/>
        </w:rPr>
        <w:t xml:space="preserve">Working-day adjusted industrial production </w:t>
      </w:r>
      <w:r w:rsidR="003C6AA4" w:rsidRPr="00390650">
        <w:rPr>
          <w:rFonts w:ascii="Arial Narrow" w:hAnsi="Arial Narrow" w:cs="Tahoma"/>
          <w:b/>
          <w:sz w:val="28"/>
          <w:szCs w:val="30"/>
        </w:rPr>
        <w:t>(</w:t>
      </w:r>
      <w:r w:rsidRPr="00390650">
        <w:rPr>
          <w:rFonts w:ascii="Arial Narrow" w:hAnsi="Arial Narrow" w:cs="Tahoma"/>
          <w:b/>
          <w:sz w:val="28"/>
          <w:szCs w:val="30"/>
        </w:rPr>
        <w:t>Sep</w:t>
      </w:r>
      <w:r w:rsidR="003C6AA4" w:rsidRPr="00390650">
        <w:rPr>
          <w:rFonts w:ascii="Arial Narrow" w:hAnsi="Arial Narrow" w:cs="Tahoma"/>
          <w:b/>
          <w:sz w:val="28"/>
          <w:szCs w:val="30"/>
        </w:rPr>
        <w:t xml:space="preserve"> 2023</w:t>
      </w:r>
      <w:r w:rsidRPr="00390650">
        <w:rPr>
          <w:rFonts w:ascii="Arial Narrow" w:hAnsi="Arial Narrow" w:cs="Tahoma"/>
          <w:b/>
          <w:sz w:val="28"/>
          <w:szCs w:val="30"/>
        </w:rPr>
        <w:t>/Sep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 xml:space="preserve"> 2022) </w:t>
      </w:r>
      <w:r w:rsidRPr="00390650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 xml:space="preserve"> 3</w:t>
      </w:r>
      <w:r w:rsidRPr="00390650">
        <w:rPr>
          <w:rFonts w:ascii="Arial Narrow" w:hAnsi="Arial Narrow" w:cs="Tahoma"/>
          <w:b/>
          <w:bCs/>
          <w:sz w:val="28"/>
          <w:szCs w:val="30"/>
        </w:rPr>
        <w:t>.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>5%</w:t>
      </w:r>
    </w:p>
    <w:p w:rsidR="003C6AA4" w:rsidRPr="00390650" w:rsidRDefault="00B04A79" w:rsidP="00042C1F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</w:rPr>
      </w:pPr>
      <w:r w:rsidRPr="00390650">
        <w:rPr>
          <w:rFonts w:ascii="Arial Narrow" w:hAnsi="Arial Narrow" w:cs="Tahoma"/>
          <w:b/>
          <w:bCs/>
          <w:sz w:val="28"/>
          <w:szCs w:val="30"/>
        </w:rPr>
        <w:t>Seasonally adjusted industrial production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3C6AA4" w:rsidRPr="00390650">
        <w:rPr>
          <w:rFonts w:ascii="Arial Narrow" w:hAnsi="Arial Narrow" w:cs="Tahoma"/>
          <w:b/>
          <w:sz w:val="28"/>
          <w:szCs w:val="30"/>
        </w:rPr>
        <w:t>(</w:t>
      </w:r>
      <w:r w:rsidRPr="00390650">
        <w:rPr>
          <w:rFonts w:ascii="Arial Narrow" w:hAnsi="Arial Narrow" w:cs="Tahoma"/>
          <w:b/>
          <w:sz w:val="28"/>
          <w:szCs w:val="30"/>
        </w:rPr>
        <w:t>Sep</w:t>
      </w:r>
      <w:r w:rsidR="003C6AA4" w:rsidRPr="00390650">
        <w:rPr>
          <w:rFonts w:ascii="Arial Narrow" w:hAnsi="Arial Narrow" w:cs="Tahoma"/>
          <w:b/>
          <w:sz w:val="28"/>
          <w:szCs w:val="30"/>
        </w:rPr>
        <w:t xml:space="preserve"> 2023</w:t>
      </w:r>
      <w:r w:rsidRPr="00390650">
        <w:rPr>
          <w:rFonts w:ascii="Arial Narrow" w:hAnsi="Arial Narrow" w:cs="Tahoma"/>
          <w:b/>
          <w:sz w:val="28"/>
          <w:szCs w:val="30"/>
        </w:rPr>
        <w:t xml:space="preserve">/Aug 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 xml:space="preserve">2023) </w:t>
      </w:r>
      <w:r w:rsidRPr="00390650">
        <w:rPr>
          <w:rFonts w:ascii="Arial Narrow" w:hAnsi="Arial Narrow" w:cs="Tahoma"/>
          <w:b/>
          <w:bCs/>
          <w:sz w:val="28"/>
          <w:szCs w:val="30"/>
        </w:rPr>
        <w:t>increased by 1.</w:t>
      </w:r>
      <w:r w:rsidR="003C6AA4" w:rsidRPr="00390650">
        <w:rPr>
          <w:rFonts w:ascii="Arial Narrow" w:hAnsi="Arial Narrow" w:cs="Tahoma"/>
          <w:b/>
          <w:bCs/>
          <w:sz w:val="28"/>
          <w:szCs w:val="30"/>
        </w:rPr>
        <w:t>1%</w:t>
      </w:r>
    </w:p>
    <w:p w:rsidR="00042C1F" w:rsidRPr="00390650" w:rsidRDefault="00042C1F" w:rsidP="00042C1F">
      <w:pPr>
        <w:jc w:val="both"/>
        <w:rPr>
          <w:rFonts w:ascii="Arial Narrow" w:hAnsi="Arial Narrow" w:cs="Tahoma"/>
          <w:sz w:val="22"/>
        </w:rPr>
      </w:pPr>
    </w:p>
    <w:p w:rsidR="00B04A79" w:rsidRPr="00390650" w:rsidRDefault="00B04A79" w:rsidP="003C6AA4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Working-day adjusted industrial production in Republika Srpska in September 2023, compared to September 2022, increased by 3.5%. Seasonally adjusted industrial production in Republika Srpska in September 2023, compared to </w:t>
      </w:r>
      <w:r w:rsidR="00390650" w:rsidRPr="00390650">
        <w:rPr>
          <w:rFonts w:ascii="Arial Narrow" w:hAnsi="Arial Narrow" w:cs="Tahoma"/>
          <w:sz w:val="22"/>
        </w:rPr>
        <w:t>August</w:t>
      </w:r>
      <w:r w:rsidRPr="00390650">
        <w:rPr>
          <w:rFonts w:ascii="Arial Narrow" w:hAnsi="Arial Narrow" w:cs="Tahoma"/>
          <w:sz w:val="22"/>
        </w:rPr>
        <w:t xml:space="preserve"> 2023, increased by 1.1%. </w:t>
      </w:r>
    </w:p>
    <w:p w:rsidR="003C6AA4" w:rsidRPr="00390650" w:rsidRDefault="003C6AA4" w:rsidP="00042C1F">
      <w:pPr>
        <w:jc w:val="both"/>
        <w:rPr>
          <w:rFonts w:ascii="Arial Narrow" w:hAnsi="Arial Narrow" w:cs="Tahoma"/>
          <w:sz w:val="22"/>
        </w:rPr>
      </w:pPr>
    </w:p>
    <w:p w:rsidR="00B04A79" w:rsidRPr="00390650" w:rsidRDefault="00B04A79" w:rsidP="00B04A79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Working-day adjusted industrial production in Republika Srpska in the period January –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compared to the same </w:t>
      </w:r>
      <w:r w:rsidR="002078CD" w:rsidRPr="00390650">
        <w:rPr>
          <w:rFonts w:ascii="Arial Narrow" w:hAnsi="Arial Narrow" w:cs="Tahoma"/>
          <w:sz w:val="22"/>
        </w:rPr>
        <w:t>period of 2022, decreased by 2.2</w:t>
      </w:r>
      <w:r w:rsidRPr="00390650">
        <w:rPr>
          <w:rFonts w:ascii="Arial Narrow" w:hAnsi="Arial Narrow" w:cs="Tahoma"/>
          <w:sz w:val="22"/>
        </w:rPr>
        <w:t xml:space="preserve">%. During the same period, in the section </w:t>
      </w:r>
      <w:r w:rsidRPr="00390650">
        <w:rPr>
          <w:rFonts w:ascii="Arial Narrow" w:hAnsi="Arial Narrow" w:cs="Tahoma"/>
          <w:i/>
          <w:sz w:val="22"/>
        </w:rPr>
        <w:t>Electricity, gas, steam and air-conditioning supply</w:t>
      </w:r>
      <w:r w:rsidRPr="00390650">
        <w:rPr>
          <w:rFonts w:ascii="Arial Narrow" w:hAnsi="Arial Narrow" w:cs="Tahoma"/>
          <w:sz w:val="22"/>
        </w:rPr>
        <w:t xml:space="preserve"> an in</w:t>
      </w:r>
      <w:r w:rsidR="002078CD" w:rsidRPr="00390650">
        <w:rPr>
          <w:rFonts w:ascii="Arial Narrow" w:hAnsi="Arial Narrow" w:cs="Tahoma"/>
          <w:sz w:val="22"/>
        </w:rPr>
        <w:t xml:space="preserve">crease by 5.1% was recorded and </w:t>
      </w:r>
      <w:r w:rsidRPr="00390650">
        <w:rPr>
          <w:rFonts w:ascii="Arial Narrow" w:hAnsi="Arial Narrow" w:cs="Tahoma"/>
          <w:sz w:val="22"/>
        </w:rPr>
        <w:t xml:space="preserve">in the section </w:t>
      </w:r>
      <w:r w:rsidRPr="00390650">
        <w:rPr>
          <w:rFonts w:ascii="Arial Narrow" w:hAnsi="Arial Narrow" w:cs="Tahoma"/>
          <w:i/>
          <w:sz w:val="22"/>
        </w:rPr>
        <w:t xml:space="preserve">Mining and quarrying </w:t>
      </w:r>
      <w:r w:rsidR="002078CD" w:rsidRPr="00390650">
        <w:rPr>
          <w:rFonts w:ascii="Arial Narrow" w:hAnsi="Arial Narrow" w:cs="Tahoma"/>
          <w:sz w:val="22"/>
        </w:rPr>
        <w:t>an increase by 0.1%, while</w:t>
      </w:r>
      <w:r w:rsidRPr="00390650">
        <w:rPr>
          <w:rFonts w:ascii="Arial Narrow" w:hAnsi="Arial Narrow" w:cs="Tahoma"/>
          <w:sz w:val="22"/>
        </w:rPr>
        <w:t xml:space="preserve"> in the section </w:t>
      </w:r>
      <w:r w:rsidRPr="00390650">
        <w:rPr>
          <w:rFonts w:ascii="Arial Narrow" w:hAnsi="Arial Narrow" w:cs="Tahoma"/>
          <w:i/>
          <w:sz w:val="22"/>
        </w:rPr>
        <w:t xml:space="preserve">Manufacturing </w:t>
      </w:r>
      <w:r w:rsidR="002078CD" w:rsidRPr="00390650">
        <w:rPr>
          <w:rFonts w:ascii="Arial Narrow" w:hAnsi="Arial Narrow" w:cs="Tahoma"/>
          <w:sz w:val="22"/>
        </w:rPr>
        <w:t>a decrease by 5.4</w:t>
      </w:r>
      <w:r w:rsidRPr="00390650">
        <w:rPr>
          <w:rFonts w:ascii="Arial Narrow" w:hAnsi="Arial Narrow" w:cs="Tahoma"/>
          <w:sz w:val="22"/>
        </w:rPr>
        <w:t>%</w:t>
      </w:r>
      <w:r w:rsidR="002078CD" w:rsidRPr="00390650">
        <w:rPr>
          <w:rFonts w:ascii="Arial Narrow" w:hAnsi="Arial Narrow" w:cs="Tahoma"/>
          <w:sz w:val="22"/>
        </w:rPr>
        <w:t xml:space="preserve"> was recorded</w:t>
      </w:r>
      <w:r w:rsidRPr="00390650">
        <w:rPr>
          <w:rFonts w:ascii="Arial Narrow" w:hAnsi="Arial Narrow" w:cs="Tahoma"/>
          <w:sz w:val="22"/>
        </w:rPr>
        <w:t>.</w:t>
      </w:r>
    </w:p>
    <w:p w:rsidR="00B04A79" w:rsidRPr="00390650" w:rsidRDefault="00B04A79" w:rsidP="00042C1F">
      <w:pPr>
        <w:jc w:val="both"/>
        <w:rPr>
          <w:rFonts w:ascii="Arial Narrow" w:hAnsi="Arial Narrow" w:cs="Tahoma"/>
          <w:sz w:val="22"/>
        </w:rPr>
      </w:pPr>
    </w:p>
    <w:p w:rsidR="00B30D24" w:rsidRPr="00390650" w:rsidRDefault="00B30D24" w:rsidP="008967F4">
      <w:pPr>
        <w:jc w:val="both"/>
        <w:rPr>
          <w:rFonts w:ascii="Arial Narrow" w:hAnsi="Arial Narrow" w:cs="Tahoma"/>
          <w:sz w:val="22"/>
        </w:rPr>
      </w:pPr>
    </w:p>
    <w:p w:rsidR="00B30D24" w:rsidRPr="00390650" w:rsidRDefault="00CF468F" w:rsidP="008967F4">
      <w:pPr>
        <w:jc w:val="both"/>
        <w:rPr>
          <w:rFonts w:ascii="Arial Narrow" w:hAnsi="Arial Narrow" w:cs="Tahoma"/>
          <w:sz w:val="22"/>
        </w:rPr>
      </w:pP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2F90F" wp14:editId="6BC965C0">
                <wp:simplePos x="0" y="0"/>
                <wp:positionH relativeFrom="margin">
                  <wp:posOffset>3840480</wp:posOffset>
                </wp:positionH>
                <wp:positionV relativeFrom="paragraph">
                  <wp:posOffset>2707446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468F" w:rsidRDefault="00CF468F" w:rsidP="00CF46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F90F" id="Text Box 28" o:spid="_x0000_s1030" type="#_x0000_t202" style="position:absolute;left:0;text-align:left;margin-left:302.4pt;margin-top:213.2pt;width:1in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" fillcolor="window" stroked="f" strokeweight=".5pt">
                <v:textbox>
                  <w:txbxContent>
                    <w:p w:rsidR="00CF468F" w:rsidRDefault="00CF468F" w:rsidP="00CF46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73C3A" wp14:editId="643E3DCE">
                <wp:simplePos x="0" y="0"/>
                <wp:positionH relativeFrom="margin">
                  <wp:posOffset>2313829</wp:posOffset>
                </wp:positionH>
                <wp:positionV relativeFrom="paragraph">
                  <wp:posOffset>2723349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468F" w:rsidRDefault="00CF468F" w:rsidP="00CF46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3C3A" id="Text Box 27" o:spid="_x0000_s1031" type="#_x0000_t202" style="position:absolute;left:0;text-align:left;margin-left:182.2pt;margin-top:214.45pt;width:98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" fillcolor="window" stroked="f" strokeweight=".5pt">
                <v:textbox>
                  <w:txbxContent>
                    <w:p w:rsidR="00CF468F" w:rsidRDefault="00CF468F" w:rsidP="00CF46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2F2" w:rsidRPr="0039065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332EC" wp14:editId="10357CDA">
                <wp:simplePos x="0" y="0"/>
                <wp:positionH relativeFrom="column">
                  <wp:posOffset>2005965</wp:posOffset>
                </wp:positionH>
                <wp:positionV relativeFrom="paragraph">
                  <wp:posOffset>2861945</wp:posOffset>
                </wp:positionV>
                <wp:extent cx="2559050" cy="20066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12F2" w:rsidRDefault="00FC12F2" w:rsidP="00FC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2EC" id="Text Box 24" o:spid="_x0000_s1032" type="#_x0000_t202" style="position:absolute;left:0;text-align:left;margin-left:157.95pt;margin-top:225.35pt;width:201.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" fillcolor="white [3201]" stroked="f" strokeweight=".5pt">
                <v:textbox>
                  <w:txbxContent>
                    <w:p w:rsidR="00FC12F2" w:rsidRDefault="00FC12F2" w:rsidP="00FC12F2"/>
                  </w:txbxContent>
                </v:textbox>
              </v:shape>
            </w:pict>
          </mc:Fallback>
        </mc:AlternateContent>
      </w:r>
      <w:r w:rsidR="00FC12F2" w:rsidRPr="00390650">
        <w:rPr>
          <w:noProof/>
        </w:rPr>
        <w:drawing>
          <wp:inline distT="0" distB="0" distL="0" distR="0" wp14:anchorId="23B8C72F" wp14:editId="02BE21AE">
            <wp:extent cx="6480810" cy="3096591"/>
            <wp:effectExtent l="0" t="0" r="0" b="889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390650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390650" w:rsidRDefault="001A4F4F" w:rsidP="00E15D41">
      <w:pPr>
        <w:jc w:val="center"/>
        <w:rPr>
          <w:rFonts w:ascii="Arial Narrow" w:hAnsi="Arial Narrow" w:cs="Tahoma"/>
          <w:szCs w:val="16"/>
        </w:rPr>
      </w:pPr>
      <w:r w:rsidRPr="00390650">
        <w:rPr>
          <w:rFonts w:ascii="Arial Narrow" w:hAnsi="Arial Narrow" w:cs="Tahoma"/>
          <w:szCs w:val="16"/>
        </w:rPr>
        <w:t>Graph</w:t>
      </w:r>
      <w:r w:rsidR="00E15D41" w:rsidRPr="00390650">
        <w:rPr>
          <w:rFonts w:ascii="Arial Narrow" w:hAnsi="Arial Narrow" w:cs="Tahoma"/>
          <w:szCs w:val="16"/>
        </w:rPr>
        <w:t xml:space="preserve"> 3. </w:t>
      </w:r>
      <w:r w:rsidRPr="00390650">
        <w:rPr>
          <w:rFonts w:ascii="Arial Narrow" w:hAnsi="Arial Narrow" w:cs="Tahoma"/>
          <w:szCs w:val="16"/>
        </w:rPr>
        <w:t>Indices of industrial production,</w:t>
      </w:r>
      <w:r w:rsidR="00C411FF" w:rsidRPr="00390650">
        <w:rPr>
          <w:rFonts w:ascii="Arial Narrow" w:hAnsi="Arial Narrow" w:cs="Tahoma"/>
          <w:szCs w:val="16"/>
        </w:rPr>
        <w:t xml:space="preserve"> </w:t>
      </w:r>
      <w:r w:rsidRPr="00390650">
        <w:rPr>
          <w:rFonts w:ascii="Arial Narrow" w:hAnsi="Arial Narrow" w:cs="Tahoma"/>
          <w:szCs w:val="16"/>
        </w:rPr>
        <w:t>September</w:t>
      </w:r>
      <w:r w:rsidR="00C411FF" w:rsidRPr="00390650">
        <w:rPr>
          <w:rFonts w:ascii="Arial Narrow" w:hAnsi="Arial Narrow" w:cs="Tahoma"/>
          <w:szCs w:val="16"/>
        </w:rPr>
        <w:t xml:space="preserve"> 20</w:t>
      </w:r>
      <w:r w:rsidR="00206778" w:rsidRPr="00390650">
        <w:rPr>
          <w:rFonts w:ascii="Arial Narrow" w:hAnsi="Arial Narrow" w:cs="Tahoma"/>
          <w:szCs w:val="16"/>
        </w:rPr>
        <w:t>19</w:t>
      </w:r>
      <w:r w:rsidR="00C411FF" w:rsidRPr="00390650">
        <w:rPr>
          <w:rFonts w:ascii="Arial Narrow" w:hAnsi="Arial Narrow" w:cs="Tahoma"/>
          <w:szCs w:val="16"/>
        </w:rPr>
        <w:t xml:space="preserve"> – </w:t>
      </w:r>
      <w:r w:rsidRPr="00390650">
        <w:rPr>
          <w:rFonts w:ascii="Arial Narrow" w:hAnsi="Arial Narrow" w:cs="Tahoma"/>
          <w:szCs w:val="16"/>
        </w:rPr>
        <w:t>September</w:t>
      </w:r>
      <w:r w:rsidR="00C411FF" w:rsidRPr="00390650">
        <w:rPr>
          <w:rFonts w:ascii="Arial Narrow" w:hAnsi="Arial Narrow" w:cs="Tahoma"/>
          <w:szCs w:val="16"/>
        </w:rPr>
        <w:t xml:space="preserve"> 202</w:t>
      </w:r>
      <w:r w:rsidR="00C022F6" w:rsidRPr="00390650">
        <w:rPr>
          <w:rFonts w:ascii="Arial Narrow" w:hAnsi="Arial Narrow" w:cs="Tahoma"/>
          <w:szCs w:val="16"/>
        </w:rPr>
        <w:t>3</w:t>
      </w:r>
      <w:r w:rsidR="00C411FF" w:rsidRPr="00390650">
        <w:rPr>
          <w:rFonts w:ascii="Arial Narrow" w:hAnsi="Arial Narrow" w:cs="Tahoma"/>
          <w:szCs w:val="16"/>
        </w:rPr>
        <w:t xml:space="preserve"> (</w:t>
      </w:r>
      <w:r w:rsidR="00C411FF" w:rsidRPr="00390650">
        <w:rPr>
          <w:rFonts w:ascii="Arial Narrow" w:hAnsi="Arial Narrow" w:cs="Tahoma"/>
          <w:szCs w:val="16"/>
        </w:rPr>
        <w:sym w:font="Symbol" w:char="F0C6"/>
      </w:r>
      <w:r w:rsidR="00C411FF" w:rsidRPr="00390650">
        <w:rPr>
          <w:rFonts w:ascii="Arial Narrow" w:hAnsi="Arial Narrow" w:cs="Tahoma"/>
          <w:szCs w:val="16"/>
        </w:rPr>
        <w:t>2015=100)</w:t>
      </w:r>
      <w:r w:rsidR="008642BA" w:rsidRPr="00390650">
        <w:rPr>
          <w:noProof/>
          <w:sz w:val="24"/>
        </w:rPr>
        <w:t xml:space="preserve"> </w:t>
      </w:r>
    </w:p>
    <w:p w:rsidR="00C520F2" w:rsidRPr="00390650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390650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:rsidR="00042C1F" w:rsidRPr="00390650" w:rsidRDefault="00AE6824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390650">
        <w:rPr>
          <w:rFonts w:ascii="Arial Narrow" w:hAnsi="Arial Narrow" w:cs="Tahoma"/>
          <w:b/>
          <w:sz w:val="28"/>
        </w:rPr>
        <w:t>Number of employees in industry</w:t>
      </w:r>
      <w:r w:rsidR="00042C1F" w:rsidRPr="00390650">
        <w:rPr>
          <w:rFonts w:ascii="Arial Narrow" w:hAnsi="Arial Narrow" w:cs="Tahoma"/>
          <w:b/>
          <w:sz w:val="28"/>
        </w:rPr>
        <w:t xml:space="preserve"> (</w:t>
      </w:r>
      <w:r w:rsidRPr="00390650">
        <w:rPr>
          <w:rFonts w:ascii="Arial Narrow" w:hAnsi="Arial Narrow" w:cs="Tahoma"/>
          <w:b/>
          <w:sz w:val="28"/>
        </w:rPr>
        <w:t>Sep</w:t>
      </w:r>
      <w:r w:rsidR="00042C1F" w:rsidRPr="00390650">
        <w:rPr>
          <w:rFonts w:ascii="Arial Narrow" w:hAnsi="Arial Narrow" w:cs="Tahoma"/>
          <w:b/>
          <w:sz w:val="28"/>
          <w:szCs w:val="30"/>
        </w:rPr>
        <w:t xml:space="preserve"> 2023/</w:t>
      </w:r>
      <w:r w:rsidRPr="00390650">
        <w:rPr>
          <w:rFonts w:ascii="Arial Narrow" w:hAnsi="Arial Narrow" w:cs="Tahoma"/>
          <w:b/>
          <w:sz w:val="28"/>
        </w:rPr>
        <w:t>Aug</w:t>
      </w:r>
      <w:r w:rsidR="00042C1F" w:rsidRPr="00390650">
        <w:rPr>
          <w:rFonts w:ascii="Arial Narrow" w:hAnsi="Arial Narrow" w:cs="Tahoma"/>
          <w:b/>
          <w:sz w:val="28"/>
        </w:rPr>
        <w:t xml:space="preserve"> </w:t>
      </w:r>
      <w:r w:rsidR="00042C1F" w:rsidRPr="00390650">
        <w:rPr>
          <w:rFonts w:ascii="Arial Narrow" w:hAnsi="Arial Narrow" w:cs="Tahoma"/>
          <w:b/>
          <w:bCs/>
          <w:sz w:val="28"/>
          <w:szCs w:val="30"/>
        </w:rPr>
        <w:t>20</w:t>
      </w:r>
      <w:r w:rsidR="00637961" w:rsidRPr="00390650">
        <w:rPr>
          <w:rFonts w:ascii="Arial Narrow" w:hAnsi="Arial Narrow" w:cs="Tahoma"/>
          <w:b/>
          <w:bCs/>
          <w:sz w:val="28"/>
          <w:szCs w:val="30"/>
        </w:rPr>
        <w:t>23</w:t>
      </w:r>
      <w:r w:rsidR="00042C1F" w:rsidRPr="00390650">
        <w:rPr>
          <w:rFonts w:ascii="Arial Narrow" w:hAnsi="Arial Narrow" w:cs="Tahoma"/>
          <w:b/>
          <w:sz w:val="28"/>
        </w:rPr>
        <w:t xml:space="preserve">) </w:t>
      </w:r>
      <w:r w:rsidRPr="00390650">
        <w:rPr>
          <w:rFonts w:ascii="Arial Narrow" w:hAnsi="Arial Narrow" w:cs="Tahoma"/>
          <w:b/>
          <w:sz w:val="28"/>
        </w:rPr>
        <w:t>remained unchanged</w:t>
      </w:r>
    </w:p>
    <w:p w:rsidR="00042C1F" w:rsidRPr="00390650" w:rsidRDefault="00042C1F" w:rsidP="00042C1F">
      <w:pPr>
        <w:jc w:val="both"/>
        <w:rPr>
          <w:rFonts w:ascii="Arial Narrow" w:hAnsi="Arial Narrow" w:cs="Tahoma"/>
          <w:sz w:val="22"/>
        </w:rPr>
      </w:pPr>
    </w:p>
    <w:p w:rsidR="00AE6824" w:rsidRPr="00390650" w:rsidRDefault="00AE6824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390650">
        <w:rPr>
          <w:rFonts w:ascii="Arial Narrow" w:hAnsi="Arial Narrow" w:cs="Tahoma"/>
          <w:sz w:val="22"/>
          <w:lang w:val="en-US"/>
        </w:rPr>
        <w:t>Number of employees in industry in September 2023, compared to August 2023, remained unchanged.</w:t>
      </w:r>
    </w:p>
    <w:p w:rsidR="00AE6824" w:rsidRPr="00390650" w:rsidRDefault="00AE6824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:rsidR="00AE6824" w:rsidRPr="00390650" w:rsidRDefault="00AE6824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390650">
        <w:rPr>
          <w:rFonts w:ascii="Arial Narrow" w:hAnsi="Arial Narrow" w:cs="Tahoma"/>
          <w:sz w:val="22"/>
          <w:lang w:val="en-US"/>
        </w:rPr>
        <w:t xml:space="preserve">Number of employees in industry in September 2023, compared to the 2022 average, was 2.8% lower, while compared to the same month of the previous year it was 2.9% lower. </w:t>
      </w:r>
    </w:p>
    <w:p w:rsidR="00994984" w:rsidRPr="00390650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:rsidR="0097485C" w:rsidRPr="00390650" w:rsidRDefault="0097485C" w:rsidP="006D1F0C">
      <w:pPr>
        <w:jc w:val="both"/>
        <w:rPr>
          <w:rFonts w:ascii="Arial Narrow" w:hAnsi="Arial Narrow" w:cs="Tahoma"/>
          <w:sz w:val="16"/>
          <w:szCs w:val="16"/>
        </w:rPr>
      </w:pPr>
    </w:p>
    <w:p w:rsidR="001024F1" w:rsidRPr="00390650" w:rsidRDefault="00400ECF" w:rsidP="001024F1">
      <w:pPr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b/>
          <w:sz w:val="30"/>
          <w:szCs w:val="30"/>
        </w:rPr>
        <w:t>In the period January-September 2023, the highest value of export was that of exports to Serbia and Croatia</w:t>
      </w:r>
    </w:p>
    <w:p w:rsidR="00400ECF" w:rsidRPr="00390650" w:rsidRDefault="00400ECF" w:rsidP="001024F1">
      <w:pPr>
        <w:jc w:val="both"/>
        <w:rPr>
          <w:rFonts w:ascii="Arial Narrow" w:hAnsi="Arial Narrow" w:cs="Tahoma"/>
          <w:sz w:val="22"/>
        </w:rPr>
      </w:pPr>
    </w:p>
    <w:p w:rsidR="007F4575" w:rsidRPr="00390650" w:rsidRDefault="007F4575" w:rsidP="007F4575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In the period January –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the value of export was three billion and </w:t>
      </w:r>
      <w:r w:rsidRPr="00390650">
        <w:rPr>
          <w:rFonts w:ascii="Arial Narrow" w:hAnsi="Arial Narrow" w:cs="Tahoma"/>
          <w:sz w:val="22"/>
        </w:rPr>
        <w:t>915</w:t>
      </w:r>
      <w:r w:rsidRPr="00390650">
        <w:rPr>
          <w:rFonts w:ascii="Arial Narrow" w:hAnsi="Arial Narrow" w:cs="Tahoma"/>
          <w:sz w:val="22"/>
        </w:rPr>
        <w:t xml:space="preserve"> million KM, whi</w:t>
      </w:r>
      <w:r w:rsidRPr="00390650">
        <w:rPr>
          <w:rFonts w:ascii="Arial Narrow" w:hAnsi="Arial Narrow" w:cs="Tahoma"/>
          <w:sz w:val="22"/>
        </w:rPr>
        <w:t>ch represented a decrease by 3.6</w:t>
      </w:r>
      <w:r w:rsidRPr="00390650">
        <w:rPr>
          <w:rFonts w:ascii="Arial Narrow" w:hAnsi="Arial Narrow" w:cs="Tahoma"/>
          <w:sz w:val="22"/>
        </w:rPr>
        <w:t xml:space="preserve">% compared to the period January -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2022, while the value of import was </w:t>
      </w:r>
      <w:r w:rsidRPr="00390650">
        <w:rPr>
          <w:rFonts w:ascii="Arial Narrow" w:hAnsi="Arial Narrow" w:cs="Tahoma"/>
          <w:sz w:val="22"/>
        </w:rPr>
        <w:t>five</w:t>
      </w:r>
      <w:r w:rsidRPr="00390650">
        <w:rPr>
          <w:rFonts w:ascii="Arial Narrow" w:hAnsi="Arial Narrow" w:cs="Tahoma"/>
          <w:sz w:val="22"/>
        </w:rPr>
        <w:t xml:space="preserve"> billion and </w:t>
      </w:r>
      <w:r w:rsidRPr="00390650">
        <w:rPr>
          <w:rFonts w:ascii="Arial Narrow" w:hAnsi="Arial Narrow" w:cs="Tahoma"/>
          <w:sz w:val="22"/>
        </w:rPr>
        <w:t>230</w:t>
      </w:r>
      <w:r w:rsidRPr="00390650">
        <w:rPr>
          <w:rFonts w:ascii="Arial Narrow" w:hAnsi="Arial Narrow" w:cs="Tahoma"/>
          <w:sz w:val="22"/>
        </w:rPr>
        <w:t xml:space="preserve"> million KM, whic</w:t>
      </w:r>
      <w:r w:rsidRPr="00390650">
        <w:rPr>
          <w:rFonts w:ascii="Arial Narrow" w:hAnsi="Arial Narrow" w:cs="Tahoma"/>
          <w:sz w:val="22"/>
        </w:rPr>
        <w:t>h represented an increase by 0.2</w:t>
      </w:r>
      <w:r w:rsidRPr="00390650">
        <w:rPr>
          <w:rFonts w:ascii="Arial Narrow" w:hAnsi="Arial Narrow" w:cs="Tahoma"/>
          <w:sz w:val="22"/>
        </w:rPr>
        <w:t>% compared to the period January -</w:t>
      </w:r>
      <w:r w:rsidRPr="00390650">
        <w:t xml:space="preserve">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2022. The percentage of cover</w:t>
      </w:r>
      <w:r w:rsidRPr="00390650">
        <w:rPr>
          <w:rFonts w:ascii="Arial Narrow" w:hAnsi="Arial Narrow" w:cs="Tahoma"/>
          <w:sz w:val="22"/>
        </w:rPr>
        <w:t>age of import with export was 74.9</w:t>
      </w:r>
      <w:r w:rsidRPr="00390650">
        <w:rPr>
          <w:rFonts w:ascii="Arial Narrow" w:hAnsi="Arial Narrow" w:cs="Tahoma"/>
          <w:sz w:val="22"/>
        </w:rPr>
        <w:t>%.</w:t>
      </w:r>
    </w:p>
    <w:p w:rsidR="007F4575" w:rsidRPr="00390650" w:rsidRDefault="007F4575" w:rsidP="001024F1">
      <w:pPr>
        <w:jc w:val="both"/>
        <w:rPr>
          <w:rFonts w:ascii="Arial Narrow" w:hAnsi="Arial Narrow" w:cs="Tahoma"/>
          <w:sz w:val="22"/>
        </w:rPr>
      </w:pPr>
    </w:p>
    <w:p w:rsidR="007F4575" w:rsidRPr="00390650" w:rsidRDefault="007F4575" w:rsidP="007F4575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In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the value of export was </w:t>
      </w:r>
      <w:r w:rsidRPr="00390650">
        <w:rPr>
          <w:rFonts w:ascii="Arial Narrow" w:hAnsi="Arial Narrow" w:cs="Tahoma"/>
          <w:sz w:val="22"/>
        </w:rPr>
        <w:t>457</w:t>
      </w:r>
      <w:r w:rsidRPr="00390650">
        <w:rPr>
          <w:rFonts w:ascii="Arial Narrow" w:hAnsi="Arial Narrow" w:cs="Tahoma"/>
          <w:sz w:val="22"/>
        </w:rPr>
        <w:t xml:space="preserve"> million KM, which represented a decrease by </w:t>
      </w:r>
      <w:r w:rsidRPr="00390650">
        <w:rPr>
          <w:rFonts w:ascii="Arial Narrow" w:hAnsi="Arial Narrow" w:cs="Tahoma"/>
          <w:sz w:val="22"/>
        </w:rPr>
        <w:t>2.6</w:t>
      </w:r>
      <w:r w:rsidRPr="00390650">
        <w:rPr>
          <w:rFonts w:ascii="Arial Narrow" w:hAnsi="Arial Narrow" w:cs="Tahoma"/>
          <w:sz w:val="22"/>
        </w:rPr>
        <w:t xml:space="preserve">% compared to the same month of 2022, while the value of import was </w:t>
      </w:r>
      <w:r w:rsidRPr="00390650">
        <w:rPr>
          <w:rFonts w:ascii="Arial Narrow" w:hAnsi="Arial Narrow" w:cs="Tahoma"/>
          <w:sz w:val="22"/>
        </w:rPr>
        <w:t>632</w:t>
      </w:r>
      <w:r w:rsidRPr="00390650">
        <w:rPr>
          <w:rFonts w:ascii="Arial Narrow" w:hAnsi="Arial Narrow" w:cs="Tahoma"/>
          <w:sz w:val="22"/>
        </w:rPr>
        <w:t xml:space="preserve"> million KM, which represented </w:t>
      </w:r>
      <w:r w:rsidRPr="00390650">
        <w:rPr>
          <w:rFonts w:ascii="Arial Narrow" w:hAnsi="Arial Narrow" w:cs="Tahoma"/>
          <w:sz w:val="22"/>
        </w:rPr>
        <w:t>a decrease by 5.1</w:t>
      </w:r>
      <w:r w:rsidRPr="00390650">
        <w:rPr>
          <w:rFonts w:ascii="Arial Narrow" w:hAnsi="Arial Narrow" w:cs="Tahoma"/>
          <w:sz w:val="22"/>
        </w:rPr>
        <w:t xml:space="preserve">% compared to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2022. The percentage of coverage of import with export was </w:t>
      </w:r>
      <w:r w:rsidRPr="00390650">
        <w:rPr>
          <w:rFonts w:ascii="Arial Narrow" w:hAnsi="Arial Narrow" w:cs="Tahoma"/>
          <w:sz w:val="22"/>
        </w:rPr>
        <w:t>72.3</w:t>
      </w:r>
      <w:r w:rsidRPr="00390650">
        <w:rPr>
          <w:rFonts w:ascii="Arial Narrow" w:hAnsi="Arial Narrow" w:cs="Tahoma"/>
          <w:sz w:val="22"/>
        </w:rPr>
        <w:t>%.</w:t>
      </w:r>
    </w:p>
    <w:p w:rsidR="001024F1" w:rsidRPr="00390650" w:rsidRDefault="001024F1" w:rsidP="001024F1">
      <w:pPr>
        <w:jc w:val="both"/>
        <w:rPr>
          <w:rFonts w:ascii="Arial Narrow" w:hAnsi="Arial Narrow" w:cs="Tahoma"/>
          <w:sz w:val="22"/>
        </w:rPr>
      </w:pPr>
    </w:p>
    <w:p w:rsidR="002C2551" w:rsidRPr="00390650" w:rsidRDefault="002C2551" w:rsidP="002C2551">
      <w:pPr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In terms of the geographical distribution of external trade of Republika Srpska, in the period January –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the highest value of export was that of export to Serbia, with </w:t>
      </w:r>
      <w:r w:rsidRPr="00390650">
        <w:rPr>
          <w:rFonts w:ascii="Arial Narrow" w:hAnsi="Arial Narrow" w:cs="Tahoma"/>
          <w:sz w:val="22"/>
        </w:rPr>
        <w:t>651</w:t>
      </w:r>
      <w:r w:rsidRPr="00390650">
        <w:rPr>
          <w:rFonts w:ascii="Arial Narrow" w:hAnsi="Arial Narrow" w:cs="Tahoma"/>
          <w:sz w:val="22"/>
        </w:rPr>
        <w:t xml:space="preserve"> million KM or 16.6%, followed by Croatia, with </w:t>
      </w:r>
      <w:r w:rsidRPr="00390650">
        <w:rPr>
          <w:rFonts w:ascii="Arial Narrow" w:hAnsi="Arial Narrow" w:cs="Tahoma"/>
          <w:sz w:val="22"/>
        </w:rPr>
        <w:t>606</w:t>
      </w:r>
      <w:r w:rsidRPr="00390650">
        <w:rPr>
          <w:rFonts w:ascii="Arial Narrow" w:hAnsi="Arial Narrow" w:cs="Tahoma"/>
          <w:sz w:val="22"/>
        </w:rPr>
        <w:t xml:space="preserve"> million KM or 15.5% of the total realised export. During the same period, the highest value of import was that of import form Serbia, with </w:t>
      </w:r>
      <w:r w:rsidRPr="00390650">
        <w:rPr>
          <w:rFonts w:ascii="Arial Narrow" w:hAnsi="Arial Narrow" w:cs="Tahoma"/>
          <w:sz w:val="22"/>
        </w:rPr>
        <w:t>829 million KM or 15.8</w:t>
      </w:r>
      <w:r w:rsidRPr="00390650">
        <w:rPr>
          <w:rFonts w:ascii="Arial Narrow" w:hAnsi="Arial Narrow" w:cs="Tahoma"/>
          <w:sz w:val="22"/>
        </w:rPr>
        <w:t xml:space="preserve">%, followed by Italy, with </w:t>
      </w:r>
      <w:r w:rsidRPr="00390650">
        <w:rPr>
          <w:rFonts w:ascii="Arial Narrow" w:hAnsi="Arial Narrow" w:cs="Tahoma"/>
          <w:sz w:val="22"/>
        </w:rPr>
        <w:t>809 million KM or 15.5</w:t>
      </w:r>
      <w:r w:rsidRPr="00390650">
        <w:rPr>
          <w:rFonts w:ascii="Arial Narrow" w:hAnsi="Arial Narrow" w:cs="Tahoma"/>
          <w:sz w:val="22"/>
        </w:rPr>
        <w:t>% of the total realised import.</w:t>
      </w:r>
    </w:p>
    <w:p w:rsidR="001024F1" w:rsidRPr="00390650" w:rsidRDefault="001024F1" w:rsidP="001024F1">
      <w:pPr>
        <w:jc w:val="both"/>
        <w:rPr>
          <w:rFonts w:ascii="Arial Narrow" w:hAnsi="Arial Narrow" w:cs="Tahoma"/>
          <w:sz w:val="22"/>
          <w:szCs w:val="22"/>
        </w:rPr>
      </w:pPr>
    </w:p>
    <w:p w:rsidR="002C2551" w:rsidRPr="00390650" w:rsidRDefault="002C2551" w:rsidP="002C255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390650">
        <w:rPr>
          <w:rFonts w:ascii="Arial Narrow" w:hAnsi="Arial Narrow" w:cs="Tahoma"/>
          <w:sz w:val="22"/>
        </w:rPr>
        <w:t xml:space="preserve">By group of products, in the period January - </w:t>
      </w:r>
      <w:r w:rsidRPr="00390650">
        <w:rPr>
          <w:rFonts w:ascii="Arial Narrow" w:hAnsi="Arial Narrow" w:cs="Tahoma"/>
          <w:sz w:val="22"/>
        </w:rPr>
        <w:t>September</w:t>
      </w:r>
      <w:r w:rsidRPr="00390650">
        <w:rPr>
          <w:rFonts w:ascii="Arial Narrow" w:hAnsi="Arial Narrow" w:cs="Tahoma"/>
          <w:sz w:val="22"/>
        </w:rPr>
        <w:t xml:space="preserve"> 2023, the highest share in export was that of electricity, with the total value of </w:t>
      </w:r>
      <w:r w:rsidRPr="00390650">
        <w:rPr>
          <w:rFonts w:ascii="Arial Narrow" w:hAnsi="Arial Narrow" w:cs="Tahoma"/>
          <w:sz w:val="22"/>
        </w:rPr>
        <w:t>429 million KM, which was 11.0</w:t>
      </w:r>
      <w:r w:rsidRPr="00390650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390650">
        <w:rPr>
          <w:rFonts w:ascii="Arial Narrow" w:hAnsi="Arial Narrow" w:cs="Tahoma"/>
          <w:sz w:val="22"/>
        </w:rPr>
        <w:t>384</w:t>
      </w:r>
      <w:r w:rsidRPr="00390650">
        <w:rPr>
          <w:rFonts w:ascii="Arial Narrow" w:hAnsi="Arial Narrow" w:cs="Tahoma"/>
          <w:sz w:val="22"/>
        </w:rPr>
        <w:t xml:space="preserve"> million KM, which was 7.3% of the total import.</w:t>
      </w:r>
    </w:p>
    <w:p w:rsidR="001024F1" w:rsidRPr="00390650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:rsidR="00177D95" w:rsidRPr="00390650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177D95" w:rsidRPr="00390650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1024F1" w:rsidRPr="00390650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1024F1" w:rsidRPr="00390650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39065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EB5CEF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 w:rsidR="001024F1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33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EB5CEF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 w:rsidR="001024F1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390650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1024F1" w:rsidRPr="00390650" w:rsidRDefault="00EB5CEF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2A9F6A" wp14:editId="64327082">
                <wp:simplePos x="0" y="0"/>
                <wp:positionH relativeFrom="margin">
                  <wp:posOffset>5175830</wp:posOffset>
                </wp:positionH>
                <wp:positionV relativeFrom="paragraph">
                  <wp:posOffset>1203325</wp:posOffset>
                </wp:positionV>
                <wp:extent cx="533400" cy="2101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0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5CEF" w:rsidRDefault="00EB5CEF" w:rsidP="00EB5CE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Ex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9F6A" id="Text Box 12" o:spid="_x0000_s1034" type="#_x0000_t202" style="position:absolute;left:0;text-align:left;margin-left:407.55pt;margin-top:94.75pt;width:42pt;height:16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" fillcolor="window" stroked="f" strokeweight=".5pt">
                <v:textbox>
                  <w:txbxContent>
                    <w:p w:rsidR="00EB5CEF" w:rsidRDefault="00EB5CEF" w:rsidP="00EB5CE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Ex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6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2A9F6A" wp14:editId="64327082">
                <wp:simplePos x="0" y="0"/>
                <wp:positionH relativeFrom="margin">
                  <wp:posOffset>5176299</wp:posOffset>
                </wp:positionH>
                <wp:positionV relativeFrom="paragraph">
                  <wp:posOffset>861971</wp:posOffset>
                </wp:positionV>
                <wp:extent cx="533400" cy="21018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0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5CEF" w:rsidRDefault="00EB5CEF" w:rsidP="00EB5CE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Import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9F6A" id="Text Box 29" o:spid="_x0000_s1035" type="#_x0000_t202" style="position:absolute;left:0;text-align:left;margin-left:407.6pt;margin-top:67.85pt;width:42pt;height:16.5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" fillcolor="window" stroked="f" strokeweight=".5pt">
                <v:textbox>
                  <w:txbxContent>
                    <w:p w:rsidR="00EB5CEF" w:rsidRDefault="00EB5CEF" w:rsidP="00EB5CE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Import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4F1" w:rsidRPr="0039065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32E609" wp14:editId="03AFE048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6" type="#_x0000_t202" style="position:absolute;left:0;text-align:left;margin-left:327.55pt;margin-top:178.35pt;width:30.85pt;height:16.8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4hdq&#10;FOEAAAALAQAADwAAAAAAAAAAAAAAAACe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390650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24F1" w:rsidRPr="00390650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390650" w:rsidRDefault="00BB3806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  <w:r w:rsidRPr="0039065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903580" wp14:editId="7061340F">
                <wp:simplePos x="0" y="0"/>
                <wp:positionH relativeFrom="column">
                  <wp:posOffset>1717675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7" type="#_x0000_t202" style="position:absolute;left:0;text-align:left;margin-left:135.25pt;margin-top:.55pt;width:30.85pt;height:16.8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390650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:rsidR="001024F1" w:rsidRPr="00390650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:rsidR="001024F1" w:rsidRPr="00390650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:rsidR="001024F1" w:rsidRPr="00390650" w:rsidRDefault="00EB5CEF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390650">
        <w:rPr>
          <w:rFonts w:ascii="Arial Narrow" w:hAnsi="Arial Narrow" w:cs="Tahoma"/>
          <w:sz w:val="16"/>
          <w:szCs w:val="22"/>
        </w:rPr>
        <w:t>Graph</w:t>
      </w:r>
      <w:r w:rsidR="001024F1" w:rsidRPr="00390650">
        <w:rPr>
          <w:rFonts w:ascii="Arial Narrow" w:hAnsi="Arial Narrow" w:cs="Tahoma"/>
          <w:sz w:val="16"/>
          <w:szCs w:val="22"/>
        </w:rPr>
        <w:t xml:space="preserve"> 4. </w:t>
      </w:r>
      <w:r w:rsidRPr="00390650">
        <w:rPr>
          <w:rFonts w:ascii="Arial Narrow" w:hAnsi="Arial Narrow" w:cs="Tahoma"/>
          <w:iCs/>
          <w:sz w:val="16"/>
          <w:szCs w:val="22"/>
        </w:rPr>
        <w:t>Export and import by month</w:t>
      </w:r>
    </w:p>
    <w:p w:rsidR="001024F1" w:rsidRPr="00390650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9065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9065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9065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AE0432" w:rsidRPr="0039065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39065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82B55" w:rsidRPr="0039065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3D0F56" w:rsidRPr="00390650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3D0F56" w:rsidRPr="00390650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3D0F56" w:rsidRPr="00390650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21F22" w:rsidRPr="00390650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1024F1" w:rsidRPr="00390650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653B24" w:rsidRPr="00390650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6A1425" w:rsidRPr="00390650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6DAB" w:rsidRPr="00390650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390650" w:rsidRDefault="00EB5CEF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390650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390650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:rsidR="006806FE" w:rsidRPr="00390650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90650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90650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90650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390650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390650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390650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390650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390650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4A6DAB" w:rsidRPr="00390650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:rsidR="00E31BF3" w:rsidRPr="00390650" w:rsidRDefault="00390650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39065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</w:rPr>
                <w:t>biljana.glusac@rzs.rs.ba</w:t>
              </w:r>
            </w:hyperlink>
            <w:r w:rsidR="0066022A" w:rsidRPr="00390650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407BE" w:rsidRPr="00390650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:rsidR="0066022A" w:rsidRPr="00390650" w:rsidRDefault="00390650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hyperlink r:id="rId15" w:history="1">
              <w:r w:rsidR="00EA7213" w:rsidRPr="00390650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u w:val="none"/>
                </w:rPr>
                <w:t>zeljka.draskovic@rzs.rs.ba</w:t>
              </w:r>
            </w:hyperlink>
          </w:p>
        </w:tc>
      </w:tr>
      <w:tr w:rsidR="00F407BE" w:rsidRPr="00390650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:rsidR="00C52E14" w:rsidRPr="00390650" w:rsidRDefault="00EB5CEF" w:rsidP="00EB5CEF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:rsidR="000F5C7E" w:rsidRPr="00390650" w:rsidRDefault="00390650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="00A776E7" w:rsidRPr="00390650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andrea.erak@rzs.rs.ba</w:t>
              </w:r>
            </w:hyperlink>
          </w:p>
        </w:tc>
      </w:tr>
      <w:tr w:rsidR="00C94E88" w:rsidRPr="00390650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:rsidR="00EB5CEF" w:rsidRPr="00390650" w:rsidRDefault="00EB5CEF" w:rsidP="00EB5CE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sz w:val="18"/>
                <w:szCs w:val="18"/>
              </w:rPr>
              <w:t>Sanja Stojčević Uvalić, MSc</w:t>
            </w:r>
          </w:p>
          <w:p w:rsidR="0066022A" w:rsidRPr="00390650" w:rsidRDefault="00390650" w:rsidP="009E2A9A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7" w:history="1">
              <w:r w:rsidR="007B6B0E" w:rsidRPr="00390650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390650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:rsidR="0066022A" w:rsidRPr="00390650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:rsidR="0066022A" w:rsidRPr="00390650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</w:p>
          <w:p w:rsidR="0066022A" w:rsidRPr="00390650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</w:p>
        </w:tc>
      </w:tr>
    </w:tbl>
    <w:p w:rsidR="009E2A9A" w:rsidRPr="00390650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  <w:bookmarkStart w:id="0" w:name="_GoBack"/>
      <w:bookmarkEnd w:id="0"/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C3BE2" w:rsidRPr="00390650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02D2D" w:rsidRPr="00390650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177E0E" w:rsidRPr="00390650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3619D4" w:rsidRPr="00390650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390650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9E2A9A" w:rsidRPr="00390650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  <w:r w:rsidRPr="00390650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9AE8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390650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90650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</w:rPr>
            </w:pPr>
          </w:p>
        </w:tc>
      </w:tr>
      <w:tr w:rsidR="00F407BE" w:rsidRPr="00390650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90650" w:rsidRDefault="00EB5CEF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</w:rPr>
              <w:t>The Release prepared by the Protocol Department</w:t>
            </w:r>
          </w:p>
        </w:tc>
      </w:tr>
      <w:tr w:rsidR="00F407BE" w:rsidRPr="00390650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CEF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Milunović, Director of the Institute, Editor in Chief</w:t>
            </w:r>
          </w:p>
          <w:p w:rsidR="00EB5CEF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Ognjen Ignjić, Chief of the Department </w:t>
            </w:r>
          </w:p>
          <w:p w:rsidR="00EB5CEF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:rsidR="00EB5CEF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:rsidR="00EB5CEF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:rsidR="002B3E94" w:rsidRPr="00390650" w:rsidRDefault="00EB5CEF" w:rsidP="00EB5C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Telephone: +387 51 332 700; E-mail</w:t>
            </w:r>
            <w:r w:rsidR="002B3E94" w:rsidRPr="00390650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8" w:history="1">
              <w:r w:rsidR="002B3E94" w:rsidRPr="00390650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stat@rzs.rs.ba</w:t>
              </w:r>
            </w:hyperlink>
          </w:p>
          <w:p w:rsidR="002B3E94" w:rsidRPr="00390650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</w:rPr>
            </w:pPr>
          </w:p>
          <w:p w:rsidR="002B3E94" w:rsidRPr="00390650" w:rsidRDefault="00EB5CEF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</w:rPr>
            </w:pPr>
            <w:r w:rsidRPr="00390650">
              <w:rPr>
                <w:rFonts w:ascii="Arial Narrow" w:hAnsi="Arial Narrow" w:cs="Tahoma"/>
                <w:b/>
                <w:bCs/>
                <w:color w:val="000000" w:themeColor="text1"/>
                <w:sz w:val="18"/>
              </w:rPr>
              <w:t>Data may be used provided the source is acknowledged</w:t>
            </w:r>
          </w:p>
        </w:tc>
      </w:tr>
    </w:tbl>
    <w:p w:rsidR="009E2A9A" w:rsidRPr="00390650" w:rsidRDefault="004F6953" w:rsidP="009E2A9A">
      <w:pPr>
        <w:rPr>
          <w:rFonts w:ascii="Tahoma" w:hAnsi="Tahoma" w:cs="Tahoma"/>
          <w:color w:val="000000" w:themeColor="text1"/>
        </w:rPr>
      </w:pPr>
      <w:r w:rsidRPr="00390650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FE20" id="Line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90650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9065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8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90650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9065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43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4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9065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EB5CEF" w:rsidRDefault="00EB5CEF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:rsidR="00F257E5" w:rsidRPr="00EB5CEF" w:rsidRDefault="00EB5CEF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721E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721EA">
            <w:rPr>
              <w:rFonts w:ascii="Arial Narrow" w:hAnsi="Arial Narrow" w:cs="Tahoma"/>
              <w:color w:val="1F497D"/>
              <w:sz w:val="16"/>
              <w:lang w:val="sr-Cyrl-BA"/>
            </w:rPr>
            <w:t>3</w:t>
          </w:r>
          <w:r w:rsidR="00EB5CE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</w:t>
          </w:r>
          <w:r w:rsidR="00EB5CEF">
            <w:rPr>
              <w:rFonts w:ascii="Arial Narrow" w:hAnsi="Arial Narrow" w:cs="Tahoma"/>
              <w:color w:val="1F497D"/>
              <w:sz w:val="16"/>
              <w:szCs w:val="16"/>
            </w:rPr>
            <w:t>October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B5CE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3, </w:t>
          </w:r>
          <w:r w:rsidR="00EB5CEF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36D5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 w:rsidR="00E721E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3F8B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7283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4F4F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8CD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551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650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0ECF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79F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575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1CD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77F8D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A9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A6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28A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AF6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824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A79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0EF1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509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6E79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68F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CEF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229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2833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7D59C793"/>
  <w15:docId w15:val="{A322009D-B7B8-4C20-B094-DC369DF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SEPTEMBAR%202023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1189</c:v>
                </c:pt>
                <c:pt idx="1">
                  <c:v>1198</c:v>
                </c:pt>
                <c:pt idx="2">
                  <c:v>1211</c:v>
                </c:pt>
                <c:pt idx="3">
                  <c:v>1217</c:v>
                </c:pt>
                <c:pt idx="4" formatCode="General">
                  <c:v>1217</c:v>
                </c:pt>
                <c:pt idx="5">
                  <c:v>1256</c:v>
                </c:pt>
                <c:pt idx="6">
                  <c:v>1258</c:v>
                </c:pt>
                <c:pt idx="7">
                  <c:v>1265</c:v>
                </c:pt>
                <c:pt idx="8">
                  <c:v>1280</c:v>
                </c:pt>
                <c:pt idx="9">
                  <c:v>1284</c:v>
                </c:pt>
                <c:pt idx="10">
                  <c:v>1278</c:v>
                </c:pt>
                <c:pt idx="11">
                  <c:v>1286</c:v>
                </c:pt>
                <c:pt idx="12">
                  <c:v>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B-4149-8D30-5133A5B76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745664"/>
        <c:axId val="149747200"/>
      </c:lineChart>
      <c:catAx>
        <c:axId val="149745664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49747200"/>
        <c:crosses val="autoZero"/>
        <c:auto val="1"/>
        <c:lblAlgn val="ctr"/>
        <c:lblOffset val="100"/>
        <c:noMultiLvlLbl val="0"/>
      </c:catAx>
      <c:valAx>
        <c:axId val="149747200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,##0" sourceLinked="0"/>
        <c:majorTickMark val="out"/>
        <c:minorTickMark val="none"/>
        <c:tickLblPos val="nextTo"/>
        <c:crossAx val="1497456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</c:v>
                </c:pt>
                <c:pt idx="1">
                  <c:v>1.8</c:v>
                </c:pt>
                <c:pt idx="2">
                  <c:v>0.5</c:v>
                </c:pt>
                <c:pt idx="3">
                  <c:v>-0.4</c:v>
                </c:pt>
                <c:pt idx="4">
                  <c:v>0.6</c:v>
                </c:pt>
                <c:pt idx="5">
                  <c:v>0.6</c:v>
                </c:pt>
                <c:pt idx="6">
                  <c:v>0.5</c:v>
                </c:pt>
                <c:pt idx="7">
                  <c:v>0.3</c:v>
                </c:pt>
                <c:pt idx="8">
                  <c:v>-0.1</c:v>
                </c:pt>
                <c:pt idx="9">
                  <c:v>0.1</c:v>
                </c:pt>
                <c:pt idx="10">
                  <c:v>-0.1</c:v>
                </c:pt>
                <c:pt idx="11">
                  <c:v>1.1000000000000001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16.100000000000001</c:v>
                </c:pt>
                <c:pt idx="1">
                  <c:v>15.5</c:v>
                </c:pt>
                <c:pt idx="2">
                  <c:v>14.7</c:v>
                </c:pt>
                <c:pt idx="3">
                  <c:v>13.6</c:v>
                </c:pt>
                <c:pt idx="4">
                  <c:v>13.4</c:v>
                </c:pt>
                <c:pt idx="5">
                  <c:v>12.7</c:v>
                </c:pt>
                <c:pt idx="6">
                  <c:v>10.4</c:v>
                </c:pt>
                <c:pt idx="7">
                  <c:v>9</c:v>
                </c:pt>
                <c:pt idx="8">
                  <c:v>7.3</c:v>
                </c:pt>
                <c:pt idx="9">
                  <c:v>6.2</c:v>
                </c:pt>
                <c:pt idx="10">
                  <c:v>5.2</c:v>
                </c:pt>
                <c:pt idx="11">
                  <c:v>5.9</c:v>
                </c:pt>
                <c:pt idx="12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451392"/>
        <c:axId val="199452928"/>
      </c:lineChart>
      <c:catAx>
        <c:axId val="19945139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9452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945292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945139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102.789165139712</c:v>
                </c:pt>
                <c:pt idx="1">
                  <c:v>96.05552811785563</c:v>
                </c:pt>
                <c:pt idx="2">
                  <c:v>97.950910669374835</c:v>
                </c:pt>
                <c:pt idx="3">
                  <c:v>97.68569032123041</c:v>
                </c:pt>
                <c:pt idx="4">
                  <c:v>100.24044080770858</c:v>
                </c:pt>
                <c:pt idx="5">
                  <c:v>93.162208618945556</c:v>
                </c:pt>
                <c:pt idx="6">
                  <c:v>92.461255450804174</c:v>
                </c:pt>
                <c:pt idx="7">
                  <c:v>86.783354916734254</c:v>
                </c:pt>
                <c:pt idx="8">
                  <c:v>87.08622728648939</c:v>
                </c:pt>
                <c:pt idx="9">
                  <c:v>88.130521816437522</c:v>
                </c:pt>
                <c:pt idx="10">
                  <c:v>94.507162243984595</c:v>
                </c:pt>
                <c:pt idx="11">
                  <c:v>95.669521022719735</c:v>
                </c:pt>
                <c:pt idx="12">
                  <c:v>94.366038127205044</c:v>
                </c:pt>
                <c:pt idx="13">
                  <c:v>95.861627957479257</c:v>
                </c:pt>
                <c:pt idx="14">
                  <c:v>96.401411147001397</c:v>
                </c:pt>
                <c:pt idx="15">
                  <c:v>100.39263540925116</c:v>
                </c:pt>
                <c:pt idx="16">
                  <c:v>101.70569612088241</c:v>
                </c:pt>
                <c:pt idx="17">
                  <c:v>107.08623620773398</c:v>
                </c:pt>
                <c:pt idx="18">
                  <c:v>103.3026852969501</c:v>
                </c:pt>
                <c:pt idx="19">
                  <c:v>103.39651370517566</c:v>
                </c:pt>
                <c:pt idx="20">
                  <c:v>100.78486354781276</c:v>
                </c:pt>
                <c:pt idx="21">
                  <c:v>104.39600902101392</c:v>
                </c:pt>
                <c:pt idx="22">
                  <c:v>101.13950245296144</c:v>
                </c:pt>
                <c:pt idx="23">
                  <c:v>101.20584713836409</c:v>
                </c:pt>
                <c:pt idx="24">
                  <c:v>99.973362729421297</c:v>
                </c:pt>
                <c:pt idx="25">
                  <c:v>100.8732466490149</c:v>
                </c:pt>
                <c:pt idx="26">
                  <c:v>105.77523502996497</c:v>
                </c:pt>
                <c:pt idx="27">
                  <c:v>106.55246905869659</c:v>
                </c:pt>
                <c:pt idx="28">
                  <c:v>101.89545212654851</c:v>
                </c:pt>
                <c:pt idx="29">
                  <c:v>103.41288548574738</c:v>
                </c:pt>
                <c:pt idx="30">
                  <c:v>107.39145868377973</c:v>
                </c:pt>
                <c:pt idx="31">
                  <c:v>110.6605575091919</c:v>
                </c:pt>
                <c:pt idx="32">
                  <c:v>107.5410395265511</c:v>
                </c:pt>
                <c:pt idx="33">
                  <c:v>104.59862043453559</c:v>
                </c:pt>
                <c:pt idx="34">
                  <c:v>99.632789673690596</c:v>
                </c:pt>
                <c:pt idx="35">
                  <c:v>101.38250802831318</c:v>
                </c:pt>
                <c:pt idx="36">
                  <c:v>98.392782739460813</c:v>
                </c:pt>
                <c:pt idx="37">
                  <c:v>99.5858767405403</c:v>
                </c:pt>
                <c:pt idx="38">
                  <c:v>101.04016331882708</c:v>
                </c:pt>
                <c:pt idx="39">
                  <c:v>101.41630381460831</c:v>
                </c:pt>
                <c:pt idx="40">
                  <c:v>104.4911452992901</c:v>
                </c:pt>
                <c:pt idx="41">
                  <c:v>101.63910024302713</c:v>
                </c:pt>
                <c:pt idx="42">
                  <c:v>104.68336823770336</c:v>
                </c:pt>
                <c:pt idx="43">
                  <c:v>102.50661586886939</c:v>
                </c:pt>
                <c:pt idx="44">
                  <c:v>102.16247414957787</c:v>
                </c:pt>
                <c:pt idx="45">
                  <c:v>97.749720594062495</c:v>
                </c:pt>
                <c:pt idx="46">
                  <c:v>98.623063355873924</c:v>
                </c:pt>
                <c:pt idx="47">
                  <c:v>100.10601907395608</c:v>
                </c:pt>
                <c:pt idx="48">
                  <c:v>101.17571441796144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91-4227-9A24-EED38F670869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101.9872396495813</c:v>
                </c:pt>
                <c:pt idx="1">
                  <c:v>98.830424591561382</c:v>
                </c:pt>
                <c:pt idx="2">
                  <c:v>97.820493889764407</c:v>
                </c:pt>
                <c:pt idx="3">
                  <c:v>98.086054211709765</c:v>
                </c:pt>
                <c:pt idx="4">
                  <c:v>97.253757080415113</c:v>
                </c:pt>
                <c:pt idx="5">
                  <c:v>94.569373752518672</c:v>
                </c:pt>
                <c:pt idx="6">
                  <c:v>91.388569404483064</c:v>
                </c:pt>
                <c:pt idx="7">
                  <c:v>88.829024700165064</c:v>
                </c:pt>
                <c:pt idx="8">
                  <c:v>88.071450537607006</c:v>
                </c:pt>
                <c:pt idx="9">
                  <c:v>89.824993637127363</c:v>
                </c:pt>
                <c:pt idx="10">
                  <c:v>92.832197154059841</c:v>
                </c:pt>
                <c:pt idx="11">
                  <c:v>94.67938364788661</c:v>
                </c:pt>
                <c:pt idx="12">
                  <c:v>95.173201231952248</c:v>
                </c:pt>
                <c:pt idx="13">
                  <c:v>95.906508206284059</c:v>
                </c:pt>
                <c:pt idx="14">
                  <c:v>97.488503729963355</c:v>
                </c:pt>
                <c:pt idx="15">
                  <c:v>99.804826203932237</c:v>
                </c:pt>
                <c:pt idx="16">
                  <c:v>102.43367467667711</c:v>
                </c:pt>
                <c:pt idx="17">
                  <c:v>104.19229825659055</c:v>
                </c:pt>
                <c:pt idx="18">
                  <c:v>104.0039485187631</c:v>
                </c:pt>
                <c:pt idx="19">
                  <c:v>102.92232894449364</c:v>
                </c:pt>
                <c:pt idx="20">
                  <c:v>102.48363810380329</c:v>
                </c:pt>
                <c:pt idx="21">
                  <c:v>102.50121065272883</c:v>
                </c:pt>
                <c:pt idx="22">
                  <c:v>101.91229832765944</c:v>
                </c:pt>
                <c:pt idx="23">
                  <c:v>101.09738779836361</c:v>
                </c:pt>
                <c:pt idx="24">
                  <c:v>100.93444824270807</c:v>
                </c:pt>
                <c:pt idx="25">
                  <c:v>102.13413376127245</c:v>
                </c:pt>
                <c:pt idx="26">
                  <c:v>104.24764521399791</c:v>
                </c:pt>
                <c:pt idx="27">
                  <c:v>104.76731204516575</c:v>
                </c:pt>
                <c:pt idx="28">
                  <c:v>103.88937166380308</c:v>
                </c:pt>
                <c:pt idx="29">
                  <c:v>104.52801809157943</c:v>
                </c:pt>
                <c:pt idx="30">
                  <c:v>106.88605397914331</c:v>
                </c:pt>
                <c:pt idx="31">
                  <c:v>108.26786490190399</c:v>
                </c:pt>
                <c:pt idx="32">
                  <c:v>107.05320339031236</c:v>
                </c:pt>
                <c:pt idx="33">
                  <c:v>104.16510641955874</c:v>
                </c:pt>
                <c:pt idx="34">
                  <c:v>101.66826999669895</c:v>
                </c:pt>
                <c:pt idx="35">
                  <c:v>100.39260791449134</c:v>
                </c:pt>
                <c:pt idx="36">
                  <c:v>99.716638212111476</c:v>
                </c:pt>
                <c:pt idx="37">
                  <c:v>99.902118166040793</c:v>
                </c:pt>
                <c:pt idx="38">
                  <c:v>100.85145279295593</c:v>
                </c:pt>
                <c:pt idx="39">
                  <c:v>102.00503921853866</c:v>
                </c:pt>
                <c:pt idx="40">
                  <c:v>102.83980247631098</c:v>
                </c:pt>
                <c:pt idx="41">
                  <c:v>103.08275496385616</c:v>
                </c:pt>
                <c:pt idx="42">
                  <c:v>103.19585077427844</c:v>
                </c:pt>
                <c:pt idx="43">
                  <c:v>102.66885854235819</c:v>
                </c:pt>
                <c:pt idx="44">
                  <c:v>101.1169921756735</c:v>
                </c:pt>
                <c:pt idx="45">
                  <c:v>99.476098538907834</c:v>
                </c:pt>
                <c:pt idx="46">
                  <c:v>99.156495116306985</c:v>
                </c:pt>
                <c:pt idx="47">
                  <c:v>100.02212982518341</c:v>
                </c:pt>
                <c:pt idx="48">
                  <c:v>100.87732223731979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91-4227-9A24-EED38F670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529216"/>
        <c:axId val="199530752"/>
      </c:lineChart>
      <c:catAx>
        <c:axId val="19952921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530752"/>
        <c:crosses val="autoZero"/>
        <c:auto val="1"/>
        <c:lblAlgn val="ctr"/>
        <c:lblOffset val="100"/>
        <c:noMultiLvlLbl val="0"/>
      </c:catAx>
      <c:valAx>
        <c:axId val="199530752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52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'Jan_Sep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'Jan_Sep 2023'!$B$1:$N$1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'Jan_Sep 2023'!$B$2:$N$2</c:f>
              <c:numCache>
                <c:formatCode>0</c:formatCode>
                <c:ptCount val="13"/>
                <c:pt idx="0">
                  <c:v>665885</c:v>
                </c:pt>
                <c:pt idx="1">
                  <c:v>669751</c:v>
                </c:pt>
                <c:pt idx="2">
                  <c:v>672096</c:v>
                </c:pt>
                <c:pt idx="3">
                  <c:v>617025</c:v>
                </c:pt>
                <c:pt idx="4">
                  <c:v>419177</c:v>
                </c:pt>
                <c:pt idx="5">
                  <c:v>543875</c:v>
                </c:pt>
                <c:pt idx="6">
                  <c:v>656752</c:v>
                </c:pt>
                <c:pt idx="7">
                  <c:v>561542</c:v>
                </c:pt>
                <c:pt idx="8">
                  <c:v>604196</c:v>
                </c:pt>
                <c:pt idx="9">
                  <c:v>639973</c:v>
                </c:pt>
                <c:pt idx="10">
                  <c:v>603328</c:v>
                </c:pt>
                <c:pt idx="11">
                  <c:v>569066</c:v>
                </c:pt>
                <c:pt idx="12">
                  <c:v>631721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'Jan_Sep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'Jan_Sep 2023'!$B$1:$N$1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'Jan_Sep 2023'!$B$3:$N$3</c:f>
              <c:numCache>
                <c:formatCode>0</c:formatCode>
                <c:ptCount val="13"/>
                <c:pt idx="0">
                  <c:v>468683</c:v>
                </c:pt>
                <c:pt idx="1">
                  <c:v>458064</c:v>
                </c:pt>
                <c:pt idx="2">
                  <c:v>480321</c:v>
                </c:pt>
                <c:pt idx="3">
                  <c:v>435371</c:v>
                </c:pt>
                <c:pt idx="4">
                  <c:v>410349</c:v>
                </c:pt>
                <c:pt idx="5">
                  <c:v>465031</c:v>
                </c:pt>
                <c:pt idx="6">
                  <c:v>478202</c:v>
                </c:pt>
                <c:pt idx="7">
                  <c:v>439211</c:v>
                </c:pt>
                <c:pt idx="8">
                  <c:v>435497</c:v>
                </c:pt>
                <c:pt idx="9">
                  <c:v>450096</c:v>
                </c:pt>
                <c:pt idx="10">
                  <c:v>431193</c:v>
                </c:pt>
                <c:pt idx="11">
                  <c:v>348343</c:v>
                </c:pt>
                <c:pt idx="12">
                  <c:v>456586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352512"/>
        <c:axId val="178354432"/>
      </c:lineChart>
      <c:catAx>
        <c:axId val="17835251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8354432"/>
        <c:crosses val="autoZero"/>
        <c:auto val="1"/>
        <c:lblAlgn val="ctr"/>
        <c:lblOffset val="100"/>
        <c:noMultiLvlLbl val="0"/>
      </c:catAx>
      <c:valAx>
        <c:axId val="1783544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835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3569584710237545"/>
          <c:w val="0.14079288737556453"/>
          <c:h val="0.291690010573741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F50B-B47C-4957-AF34-0A7E1849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7999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1175</cp:revision>
  <cp:lastPrinted>2020-06-17T08:46:00Z</cp:lastPrinted>
  <dcterms:created xsi:type="dcterms:W3CDTF">2018-06-21T10:44:00Z</dcterms:created>
  <dcterms:modified xsi:type="dcterms:W3CDTF">2023-10-23T07:03:00Z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