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2A6E74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2A6E74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2A6E74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2A6E74">
              <w:rPr>
                <w:rFonts w:ascii="Tahoma" w:hAnsi="Tahoma" w:cs="Tahoma"/>
                <w:color w:val="000000" w:themeColor="text1"/>
              </w:rPr>
              <w:br w:type="column"/>
            </w:r>
            <w:r w:rsidRPr="002A6E74">
              <w:rPr>
                <w:rFonts w:ascii="Tahoma" w:hAnsi="Tahoma" w:cs="Tahoma"/>
                <w:color w:val="000000" w:themeColor="text1"/>
              </w:rPr>
              <w:br w:type="column"/>
            </w:r>
            <w:r w:rsidRPr="002A6E74">
              <w:rPr>
                <w:rFonts w:ascii="Tahoma" w:hAnsi="Tahoma" w:cs="Tahoma"/>
                <w:color w:val="000000" w:themeColor="text1"/>
              </w:rPr>
              <w:br w:type="page"/>
            </w:r>
            <w:r w:rsidRPr="002A6E74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2A6E74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2A6E74">
              <w:rPr>
                <w:rFonts w:ascii="Tahoma" w:hAnsi="Tahoma" w:cs="Tahoma"/>
                <w:color w:val="000000" w:themeColor="text1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2A6E7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2A6E7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2A6E7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2A6E7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2A6E74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2A6E74" w:rsidRDefault="004551B9" w:rsidP="00D5442E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2A6E7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2A6E74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A6E7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A6E7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2A6E74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A6DAB" w:rsidRPr="002A6E74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D5442E" w:rsidRPr="002A6E7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July </w:t>
            </w:r>
            <w:r w:rsidR="00431915" w:rsidRPr="002A6E7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2A6E7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2A6E7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D5442E" w:rsidRPr="002A6E7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2A6E7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2A6E7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E95A89" w:rsidRPr="002A6E7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230</w:t>
            </w:r>
            <w:r w:rsidR="00431915" w:rsidRPr="002A6E7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2A6E7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AF45B5" w:rsidRPr="002A6E7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3</w:t>
            </w:r>
            <w:r w:rsidR="00F6075A" w:rsidRPr="002A6E74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2A6E74" w:rsidTr="005074F6">
        <w:trPr>
          <w:cantSplit/>
        </w:trPr>
        <w:tc>
          <w:tcPr>
            <w:tcW w:w="5251" w:type="dxa"/>
            <w:vAlign w:val="center"/>
          </w:tcPr>
          <w:p w:rsidR="005D5311" w:rsidRPr="002A6E7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2A6E7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2A6E74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2A6E74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A6E74" w:rsidRDefault="00D5442E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2A6E74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2A6E7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2A6E74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2A6E74" w:rsidRDefault="00D5442E" w:rsidP="00E95A8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2A6E7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July</w:t>
            </w:r>
            <w:r w:rsidR="00353834" w:rsidRPr="002A6E7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2A6E7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AF45B5" w:rsidRPr="002A6E7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3</w:t>
            </w:r>
          </w:p>
        </w:tc>
      </w:tr>
    </w:tbl>
    <w:p w:rsidR="000F689B" w:rsidRPr="002A6E74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2A6E74" w:rsidRDefault="00231F26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June</w:t>
      </w:r>
      <w:r w:rsidR="004D737B"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88728F"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>8</w:t>
      </w:r>
      <w:r w:rsidR="0075537B"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E33D13" w:rsidRPr="002A6E7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2A6E74" w:rsidRDefault="00231F26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2A6E74">
        <w:rPr>
          <w:rFonts w:ascii="Arial Narrow" w:hAnsi="Arial Narrow" w:cs="Tahoma"/>
          <w:b/>
          <w:sz w:val="28"/>
          <w:szCs w:val="22"/>
        </w:rPr>
        <w:t>Real wage growth recorded both monthly and annually</w:t>
      </w:r>
    </w:p>
    <w:p w:rsidR="00E33D13" w:rsidRPr="002A6E7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2A6E74">
        <w:rPr>
          <w:rFonts w:ascii="Tahoma" w:hAnsi="Tahoma" w:cs="Tahoma"/>
          <w:b/>
          <w:sz w:val="24"/>
        </w:rPr>
        <w:tab/>
      </w:r>
      <w:r w:rsidRPr="002A6E74">
        <w:rPr>
          <w:rFonts w:ascii="Tahoma" w:hAnsi="Tahoma" w:cs="Tahoma"/>
          <w:b/>
          <w:sz w:val="24"/>
        </w:rPr>
        <w:tab/>
      </w:r>
    </w:p>
    <w:p w:rsidR="00CB44F0" w:rsidRPr="002A6E74" w:rsidRDefault="00CB44F0" w:rsidP="00CB44F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Average monthly net wage in Republika Srpska paid in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 amounted to 1,</w:t>
      </w:r>
      <w:r w:rsidRPr="002A6E74">
        <w:rPr>
          <w:rFonts w:ascii="Arial Narrow" w:hAnsi="Arial Narrow" w:cs="Tahoma"/>
          <w:sz w:val="22"/>
        </w:rPr>
        <w:t>284</w:t>
      </w:r>
      <w:r w:rsidRPr="002A6E74">
        <w:rPr>
          <w:rFonts w:ascii="Arial Narrow" w:hAnsi="Arial Narrow" w:cs="Tahoma"/>
          <w:sz w:val="22"/>
        </w:rPr>
        <w:t xml:space="preserve"> KM, and it was nominally </w:t>
      </w:r>
      <w:r w:rsidRPr="002A6E74">
        <w:rPr>
          <w:rFonts w:ascii="Arial Narrow" w:hAnsi="Arial Narrow" w:cs="Tahoma"/>
          <w:sz w:val="22"/>
        </w:rPr>
        <w:t>0.3</w:t>
      </w:r>
      <w:r w:rsidRPr="002A6E74">
        <w:rPr>
          <w:rFonts w:ascii="Arial Narrow" w:hAnsi="Arial Narrow" w:cs="Tahoma"/>
          <w:sz w:val="22"/>
        </w:rPr>
        <w:t xml:space="preserve">% higher and really </w:t>
      </w:r>
      <w:r w:rsidRPr="002A6E74">
        <w:rPr>
          <w:rFonts w:ascii="Arial Narrow" w:hAnsi="Arial Narrow" w:cs="Tahoma"/>
          <w:sz w:val="22"/>
        </w:rPr>
        <w:t>0.2</w:t>
      </w:r>
      <w:r w:rsidRPr="002A6E74">
        <w:rPr>
          <w:rFonts w:ascii="Arial Narrow" w:hAnsi="Arial Narrow" w:cs="Tahoma"/>
          <w:sz w:val="22"/>
        </w:rPr>
        <w:t xml:space="preserve">% higher compared to </w:t>
      </w:r>
      <w:r w:rsidRPr="002A6E74">
        <w:rPr>
          <w:rFonts w:ascii="Arial Narrow" w:hAnsi="Arial Narrow" w:cs="Tahoma"/>
          <w:sz w:val="22"/>
        </w:rPr>
        <w:t>May</w:t>
      </w:r>
      <w:r w:rsidRPr="002A6E74">
        <w:rPr>
          <w:rFonts w:ascii="Arial Narrow" w:hAnsi="Arial Narrow" w:cs="Tahoma"/>
          <w:sz w:val="22"/>
        </w:rPr>
        <w:t xml:space="preserve"> 2023. Compared to the same month of the previous year, it was nominally </w:t>
      </w:r>
      <w:r w:rsidRPr="002A6E74">
        <w:rPr>
          <w:rFonts w:ascii="Arial Narrow" w:hAnsi="Arial Narrow" w:cs="Tahoma"/>
          <w:sz w:val="22"/>
        </w:rPr>
        <w:t>11.0</w:t>
      </w:r>
      <w:r w:rsidRPr="002A6E74">
        <w:rPr>
          <w:rFonts w:ascii="Arial Narrow" w:hAnsi="Arial Narrow" w:cs="Tahoma"/>
          <w:sz w:val="22"/>
        </w:rPr>
        <w:t xml:space="preserve">% higher and really </w:t>
      </w:r>
      <w:r w:rsidRPr="002A6E74">
        <w:rPr>
          <w:rFonts w:ascii="Arial Narrow" w:hAnsi="Arial Narrow" w:cs="Tahoma"/>
          <w:sz w:val="22"/>
        </w:rPr>
        <w:t>4.5</w:t>
      </w:r>
      <w:r w:rsidRPr="002A6E74">
        <w:rPr>
          <w:rFonts w:ascii="Arial Narrow" w:hAnsi="Arial Narrow" w:cs="Tahoma"/>
          <w:sz w:val="22"/>
        </w:rPr>
        <w:t>% higher. Average monthly gross wage amounted to 1,</w:t>
      </w:r>
      <w:r w:rsidRPr="002A6E74">
        <w:rPr>
          <w:rFonts w:ascii="Arial Narrow" w:hAnsi="Arial Narrow" w:cs="Tahoma"/>
          <w:sz w:val="22"/>
        </w:rPr>
        <w:t>953</w:t>
      </w:r>
      <w:r w:rsidRPr="002A6E74">
        <w:rPr>
          <w:rFonts w:ascii="Arial Narrow" w:hAnsi="Arial Narrow" w:cs="Tahoma"/>
          <w:sz w:val="22"/>
        </w:rPr>
        <w:t xml:space="preserve"> KM.</w:t>
      </w:r>
    </w:p>
    <w:p w:rsidR="00CB44F0" w:rsidRPr="002A6E74" w:rsidRDefault="00CB44F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2A6E74" w:rsidRDefault="00CB44F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In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2A6E74">
        <w:rPr>
          <w:rFonts w:ascii="Arial Narrow" w:hAnsi="Arial Narrow" w:cs="Tahoma"/>
          <w:i/>
          <w:sz w:val="22"/>
        </w:rPr>
        <w:t>Information and communication</w:t>
      </w:r>
      <w:r w:rsidRPr="002A6E74">
        <w:rPr>
          <w:rFonts w:ascii="Arial Narrow" w:hAnsi="Arial Narrow" w:cs="Tahoma"/>
          <w:i/>
          <w:sz w:val="22"/>
        </w:rPr>
        <w:t xml:space="preserve"> </w:t>
      </w:r>
      <w:r w:rsidRPr="002A6E74">
        <w:rPr>
          <w:rFonts w:ascii="Arial Narrow" w:hAnsi="Arial Narrow" w:cs="Tahoma"/>
          <w:sz w:val="22"/>
        </w:rPr>
        <w:t>and it amounted to 1,</w:t>
      </w:r>
      <w:r w:rsidRPr="002A6E74">
        <w:rPr>
          <w:rFonts w:ascii="Arial Narrow" w:hAnsi="Arial Narrow" w:cs="Tahoma"/>
          <w:sz w:val="22"/>
        </w:rPr>
        <w:t>683</w:t>
      </w:r>
      <w:r w:rsidRPr="002A6E74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 was the one paid in the section </w:t>
      </w:r>
      <w:r w:rsidRPr="002A6E74">
        <w:rPr>
          <w:rFonts w:ascii="Arial Narrow" w:hAnsi="Arial Narrow" w:cs="Tahoma"/>
          <w:i/>
          <w:sz w:val="22"/>
        </w:rPr>
        <w:t>Construction</w:t>
      </w:r>
      <w:r w:rsidRPr="002A6E74">
        <w:rPr>
          <w:rFonts w:ascii="Arial Narrow" w:hAnsi="Arial Narrow" w:cs="Tahoma"/>
          <w:sz w:val="22"/>
        </w:rPr>
        <w:t>, 950</w:t>
      </w:r>
      <w:r w:rsidRPr="002A6E74">
        <w:rPr>
          <w:rFonts w:ascii="Arial Narrow" w:hAnsi="Arial Narrow" w:cs="Tahoma"/>
          <w:sz w:val="22"/>
        </w:rPr>
        <w:t xml:space="preserve"> KM.</w:t>
      </w:r>
    </w:p>
    <w:p w:rsidR="00E33D13" w:rsidRPr="002A6E74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CB44F0" w:rsidRPr="002A6E74" w:rsidRDefault="00CB44F0" w:rsidP="00CB44F0">
      <w:pPr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In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compared to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2022, a nominal increase in net wages was recorded in all sections of economic activity, with the highest increase being recorded in the section </w:t>
      </w:r>
      <w:r w:rsidRPr="002A6E74">
        <w:rPr>
          <w:rFonts w:ascii="Arial Narrow" w:hAnsi="Arial Narrow" w:cs="Tahoma"/>
          <w:i/>
          <w:sz w:val="22"/>
        </w:rPr>
        <w:t>Arts, entertainment and recreation</w:t>
      </w:r>
      <w:r w:rsidRPr="002A6E74">
        <w:rPr>
          <w:rFonts w:ascii="Arial Narrow" w:hAnsi="Arial Narrow" w:cs="Tahoma"/>
          <w:i/>
          <w:sz w:val="22"/>
        </w:rPr>
        <w:t xml:space="preserve"> </w:t>
      </w:r>
      <w:r w:rsidRPr="002A6E74">
        <w:rPr>
          <w:rFonts w:ascii="Arial Narrow" w:hAnsi="Arial Narrow" w:cs="Tahoma"/>
          <w:sz w:val="22"/>
        </w:rPr>
        <w:t>23.6</w:t>
      </w:r>
      <w:r w:rsidRPr="002A6E74">
        <w:rPr>
          <w:rFonts w:ascii="Arial Narrow" w:hAnsi="Arial Narrow" w:cs="Tahoma"/>
          <w:sz w:val="22"/>
        </w:rPr>
        <w:t xml:space="preserve">%, followed by </w:t>
      </w:r>
      <w:r w:rsidRPr="002A6E74">
        <w:rPr>
          <w:rFonts w:ascii="Arial Narrow" w:hAnsi="Arial Narrow" w:cs="Tahoma"/>
          <w:i/>
          <w:sz w:val="22"/>
        </w:rPr>
        <w:t>Accommodation and food service activities</w:t>
      </w:r>
      <w:r w:rsidRPr="002A6E74">
        <w:rPr>
          <w:rFonts w:ascii="Arial Narrow" w:hAnsi="Arial Narrow" w:cs="Tahoma"/>
          <w:i/>
          <w:sz w:val="22"/>
        </w:rPr>
        <w:t xml:space="preserve"> </w:t>
      </w:r>
      <w:r w:rsidRPr="002A6E74">
        <w:rPr>
          <w:rFonts w:ascii="Arial Narrow" w:hAnsi="Arial Narrow" w:cs="Tahoma"/>
          <w:sz w:val="22"/>
        </w:rPr>
        <w:t>16.5</w:t>
      </w:r>
      <w:r w:rsidRPr="002A6E74">
        <w:rPr>
          <w:rFonts w:ascii="Arial Narrow" w:hAnsi="Arial Narrow" w:cs="Tahoma"/>
          <w:sz w:val="22"/>
        </w:rPr>
        <w:t xml:space="preserve">% and </w:t>
      </w:r>
      <w:r w:rsidRPr="002A6E74">
        <w:rPr>
          <w:rFonts w:ascii="Arial Narrow" w:hAnsi="Arial Narrow" w:cs="Tahoma"/>
          <w:i/>
          <w:sz w:val="22"/>
        </w:rPr>
        <w:t>Agriculture, forestry and fishing</w:t>
      </w:r>
      <w:r w:rsidRPr="002A6E74">
        <w:rPr>
          <w:rFonts w:ascii="Arial Narrow" w:hAnsi="Arial Narrow" w:cs="Tahoma"/>
          <w:i/>
          <w:sz w:val="22"/>
        </w:rPr>
        <w:t xml:space="preserve"> </w:t>
      </w:r>
      <w:r w:rsidRPr="002A6E74">
        <w:rPr>
          <w:rFonts w:ascii="Arial Narrow" w:hAnsi="Arial Narrow" w:cs="Tahoma"/>
          <w:sz w:val="22"/>
        </w:rPr>
        <w:t>14.3</w:t>
      </w:r>
      <w:r w:rsidRPr="002A6E74">
        <w:rPr>
          <w:rFonts w:ascii="Arial Narrow" w:hAnsi="Arial Narrow" w:cs="Tahoma"/>
          <w:sz w:val="22"/>
        </w:rPr>
        <w:t>%</w:t>
      </w:r>
    </w:p>
    <w:p w:rsidR="00374B48" w:rsidRPr="002A6E74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F207B3" w:rsidRPr="002A6E74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2A6E74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2A6E7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Tahoma" w:hAnsi="Tahoma" w:cs="Tahoma"/>
          <w:i/>
          <w:sz w:val="14"/>
        </w:rPr>
        <w:t xml:space="preserve"> </w:t>
      </w:r>
      <w:r w:rsidRPr="002A6E74">
        <w:rPr>
          <w:rFonts w:ascii="Tahoma" w:hAnsi="Tahoma" w:cs="Tahoma"/>
          <w:sz w:val="14"/>
        </w:rPr>
        <w:t xml:space="preserve">   </w:t>
      </w:r>
      <w:r w:rsidRPr="002A6E74">
        <w:rPr>
          <w:rFonts w:ascii="Tahoma" w:hAnsi="Tahoma" w:cs="Tahoma"/>
          <w:sz w:val="14"/>
        </w:rPr>
        <w:tab/>
      </w:r>
      <w:r w:rsidRPr="002A6E74">
        <w:rPr>
          <w:rFonts w:ascii="Tahoma" w:hAnsi="Tahoma" w:cs="Tahoma"/>
          <w:sz w:val="14"/>
        </w:rPr>
        <w:tab/>
        <w:t xml:space="preserve">            </w:t>
      </w:r>
      <w:r w:rsidR="00F85AAC" w:rsidRPr="002A6E74">
        <w:rPr>
          <w:rFonts w:ascii="Tahoma" w:hAnsi="Tahoma" w:cs="Tahoma"/>
          <w:sz w:val="14"/>
        </w:rPr>
        <w:t xml:space="preserve">  </w:t>
      </w:r>
      <w:r w:rsidR="0062701E" w:rsidRPr="002A6E74">
        <w:rPr>
          <w:rFonts w:ascii="Tahoma" w:hAnsi="Tahoma" w:cs="Tahoma"/>
          <w:sz w:val="14"/>
        </w:rPr>
        <w:t xml:space="preserve"> </w:t>
      </w:r>
      <w:r w:rsidR="00F85AAC" w:rsidRPr="002A6E74">
        <w:rPr>
          <w:rFonts w:ascii="Tahoma" w:hAnsi="Tahoma" w:cs="Tahoma"/>
          <w:sz w:val="14"/>
        </w:rPr>
        <w:t xml:space="preserve"> </w:t>
      </w:r>
      <w:r w:rsidR="00DE7AB2" w:rsidRPr="002A6E74">
        <w:rPr>
          <w:rFonts w:ascii="Arial Narrow" w:hAnsi="Arial Narrow" w:cs="Tahoma"/>
          <w:sz w:val="16"/>
          <w:szCs w:val="22"/>
        </w:rPr>
        <w:t>KM</w:t>
      </w:r>
    </w:p>
    <w:p w:rsidR="00E33D13" w:rsidRPr="002A6E74" w:rsidRDefault="00425891" w:rsidP="00E33D13">
      <w:pPr>
        <w:jc w:val="center"/>
        <w:rPr>
          <w:rFonts w:ascii="Tahoma" w:hAnsi="Tahoma" w:cs="Tahoma"/>
        </w:rPr>
      </w:pPr>
      <w:r w:rsidRPr="002A6E74">
        <w:rPr>
          <w:rFonts w:ascii="Arial Narrow" w:hAnsi="Arial Narrow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A6E74">
        <w:rPr>
          <w:noProof/>
        </w:rPr>
        <w:t xml:space="preserve"> </w:t>
      </w:r>
      <w:r w:rsidR="00E33D13" w:rsidRPr="002A6E74">
        <w:rPr>
          <w:rFonts w:ascii="Tahoma" w:hAnsi="Tahoma" w:cs="Tahoma"/>
          <w:szCs w:val="18"/>
        </w:rPr>
        <w:t xml:space="preserve"> </w:t>
      </w:r>
      <w:r w:rsidR="00820BC0" w:rsidRPr="002A6E74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A6E74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2A6E74" w:rsidRDefault="00231F26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2A6E74">
        <w:rPr>
          <w:rFonts w:ascii="Arial Narrow" w:hAnsi="Arial Narrow" w:cs="Tahoma"/>
          <w:sz w:val="16"/>
          <w:szCs w:val="22"/>
        </w:rPr>
        <w:t>Graph</w:t>
      </w:r>
      <w:r w:rsidR="00E33D13" w:rsidRPr="002A6E74">
        <w:rPr>
          <w:rFonts w:ascii="Arial Narrow" w:hAnsi="Arial Narrow" w:cs="Tahoma"/>
          <w:sz w:val="16"/>
          <w:szCs w:val="22"/>
        </w:rPr>
        <w:t xml:space="preserve"> </w:t>
      </w:r>
      <w:r w:rsidR="0066022A" w:rsidRPr="002A6E74">
        <w:rPr>
          <w:rFonts w:ascii="Arial Narrow" w:hAnsi="Arial Narrow" w:cs="Tahoma"/>
          <w:sz w:val="16"/>
          <w:szCs w:val="22"/>
        </w:rPr>
        <w:t>1</w:t>
      </w:r>
      <w:r w:rsidR="00E33D13" w:rsidRPr="002A6E74">
        <w:rPr>
          <w:rFonts w:ascii="Arial Narrow" w:hAnsi="Arial Narrow" w:cs="Tahoma"/>
          <w:sz w:val="16"/>
          <w:szCs w:val="22"/>
        </w:rPr>
        <w:t xml:space="preserve">. </w:t>
      </w:r>
      <w:r w:rsidRPr="002A6E74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2A6E74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417370" w:rsidRPr="002A6E74" w:rsidRDefault="00417370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2A6E74" w:rsidRDefault="001F4459" w:rsidP="00B50951">
      <w:pPr>
        <w:rPr>
          <w:rFonts w:ascii="Arial Narrow" w:hAnsi="Arial Narrow" w:cs="Tahoma"/>
          <w:sz w:val="28"/>
          <w:szCs w:val="24"/>
        </w:rPr>
      </w:pPr>
      <w:r w:rsidRPr="002A6E74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2A6E74">
        <w:rPr>
          <w:rFonts w:ascii="Arial Narrow" w:hAnsi="Arial Narrow" w:cs="Tahoma"/>
          <w:b/>
          <w:sz w:val="28"/>
          <w:szCs w:val="24"/>
        </w:rPr>
        <w:t xml:space="preserve"> </w:t>
      </w:r>
      <w:r w:rsidRPr="002A6E74">
        <w:rPr>
          <w:rFonts w:ascii="Arial Narrow" w:hAnsi="Arial Narrow" w:cs="Tahoma"/>
          <w:b/>
          <w:sz w:val="28"/>
          <w:szCs w:val="24"/>
        </w:rPr>
        <w:t>0.1</w:t>
      </w:r>
      <w:r w:rsidR="00B50951" w:rsidRPr="002A6E74">
        <w:rPr>
          <w:rFonts w:ascii="Arial Narrow" w:hAnsi="Arial Narrow" w:cs="Tahoma"/>
          <w:b/>
          <w:sz w:val="28"/>
          <w:szCs w:val="24"/>
        </w:rPr>
        <w:t>%</w:t>
      </w:r>
      <w:r w:rsidRPr="002A6E74">
        <w:rPr>
          <w:rFonts w:ascii="Arial Narrow" w:hAnsi="Arial Narrow" w:cs="Tahoma"/>
          <w:b/>
          <w:sz w:val="28"/>
          <w:szCs w:val="24"/>
        </w:rPr>
        <w:t xml:space="preserve"> in June 2023</w:t>
      </w:r>
    </w:p>
    <w:p w:rsidR="00B50951" w:rsidRPr="002A6E74" w:rsidRDefault="001F4459" w:rsidP="00B50951">
      <w:pPr>
        <w:rPr>
          <w:rFonts w:ascii="Arial Narrow" w:hAnsi="Arial Narrow" w:cs="Tahoma"/>
          <w:b/>
          <w:sz w:val="28"/>
          <w:szCs w:val="24"/>
        </w:rPr>
      </w:pPr>
      <w:r w:rsidRPr="002A6E74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2A6E74">
        <w:rPr>
          <w:rFonts w:ascii="Arial Narrow" w:hAnsi="Arial Narrow" w:cs="Tahoma"/>
          <w:b/>
          <w:sz w:val="28"/>
          <w:szCs w:val="24"/>
        </w:rPr>
        <w:t xml:space="preserve"> (</w:t>
      </w:r>
      <w:r w:rsidRPr="002A6E74">
        <w:rPr>
          <w:rFonts w:ascii="Arial Narrow" w:hAnsi="Arial Narrow" w:cs="Tahoma"/>
          <w:b/>
          <w:sz w:val="28"/>
          <w:szCs w:val="24"/>
        </w:rPr>
        <w:t>June</w:t>
      </w:r>
      <w:r w:rsidR="00A57787" w:rsidRPr="002A6E74">
        <w:rPr>
          <w:rFonts w:ascii="Arial Narrow" w:hAnsi="Arial Narrow" w:cs="Tahoma"/>
          <w:b/>
          <w:sz w:val="28"/>
          <w:szCs w:val="24"/>
        </w:rPr>
        <w:t xml:space="preserve"> 2023</w:t>
      </w:r>
      <w:r w:rsidR="00B50951" w:rsidRPr="002A6E74">
        <w:rPr>
          <w:rFonts w:ascii="Arial Narrow" w:hAnsi="Arial Narrow" w:cs="Tahoma"/>
          <w:b/>
          <w:sz w:val="28"/>
          <w:szCs w:val="24"/>
        </w:rPr>
        <w:t>/</w:t>
      </w:r>
      <w:r w:rsidRPr="002A6E74">
        <w:rPr>
          <w:rFonts w:ascii="Arial Narrow" w:hAnsi="Arial Narrow" w:cs="Tahoma"/>
          <w:b/>
          <w:sz w:val="28"/>
          <w:szCs w:val="24"/>
        </w:rPr>
        <w:t>June</w:t>
      </w:r>
      <w:r w:rsidR="00A57787" w:rsidRPr="002A6E74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2A6E74">
        <w:rPr>
          <w:rFonts w:ascii="Arial Narrow" w:hAnsi="Arial Narrow" w:cs="Tahoma"/>
          <w:b/>
          <w:sz w:val="28"/>
          <w:szCs w:val="24"/>
        </w:rPr>
        <w:t xml:space="preserve">) </w:t>
      </w:r>
      <w:r w:rsidRPr="002A6E74">
        <w:rPr>
          <w:rFonts w:ascii="Arial Narrow" w:hAnsi="Arial Narrow" w:cs="Tahoma"/>
          <w:b/>
          <w:sz w:val="28"/>
          <w:szCs w:val="24"/>
        </w:rPr>
        <w:t>6.</w:t>
      </w:r>
      <w:r w:rsidR="009D13E6" w:rsidRPr="002A6E74">
        <w:rPr>
          <w:rFonts w:ascii="Arial Narrow" w:hAnsi="Arial Narrow" w:cs="Tahoma"/>
          <w:b/>
          <w:sz w:val="28"/>
          <w:szCs w:val="24"/>
        </w:rPr>
        <w:t>2</w:t>
      </w:r>
      <w:r w:rsidR="00B50951" w:rsidRPr="002A6E74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2A6E74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1F4459" w:rsidRPr="002A6E74" w:rsidRDefault="001F4459" w:rsidP="00C679AA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2A6E74">
        <w:rPr>
          <w:rFonts w:ascii="Arial Narrow" w:hAnsi="Arial Narrow" w:cs="Tahoma"/>
          <w:sz w:val="22"/>
          <w:szCs w:val="22"/>
        </w:rPr>
        <w:t>June</w:t>
      </w:r>
      <w:r w:rsidRPr="002A6E74">
        <w:rPr>
          <w:rFonts w:ascii="Arial Narrow" w:hAnsi="Arial Narrow" w:cs="Tahoma"/>
          <w:sz w:val="22"/>
          <w:szCs w:val="22"/>
        </w:rPr>
        <w:t xml:space="preserve"> 2023, compared to the previous month, were on average 0.1% </w:t>
      </w:r>
      <w:r w:rsidRPr="002A6E74">
        <w:rPr>
          <w:rFonts w:ascii="Arial Narrow" w:hAnsi="Arial Narrow" w:cs="Tahoma"/>
          <w:sz w:val="22"/>
          <w:szCs w:val="22"/>
        </w:rPr>
        <w:t>higher</w:t>
      </w:r>
      <w:r w:rsidRPr="002A6E74">
        <w:rPr>
          <w:rFonts w:ascii="Arial Narrow" w:hAnsi="Arial Narrow" w:cs="Tahoma"/>
          <w:sz w:val="22"/>
          <w:szCs w:val="22"/>
        </w:rPr>
        <w:t xml:space="preserve">, while compared to the same month of the previous year they were on average </w:t>
      </w:r>
      <w:r w:rsidRPr="002A6E74">
        <w:rPr>
          <w:rFonts w:ascii="Arial Narrow" w:hAnsi="Arial Narrow" w:cs="Tahoma"/>
          <w:sz w:val="22"/>
          <w:szCs w:val="22"/>
        </w:rPr>
        <w:t>6.2</w:t>
      </w:r>
      <w:r w:rsidRPr="002A6E74">
        <w:rPr>
          <w:rFonts w:ascii="Arial Narrow" w:hAnsi="Arial Narrow" w:cs="Tahoma"/>
          <w:sz w:val="22"/>
          <w:szCs w:val="22"/>
        </w:rPr>
        <w:t>% higher.</w:t>
      </w:r>
    </w:p>
    <w:p w:rsidR="001F4459" w:rsidRPr="002A6E74" w:rsidRDefault="001F4459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1F4459" w:rsidRPr="002A6E74" w:rsidRDefault="001F4459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1F4459" w:rsidRPr="002A6E74" w:rsidRDefault="001F4459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D8278D" w:rsidRPr="002A6E74" w:rsidRDefault="001F4459" w:rsidP="00D8278D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ten divisions, while a decrease was recorded in two divisions</w:t>
      </w:r>
      <w:r w:rsidRPr="002A6E74">
        <w:rPr>
          <w:rFonts w:ascii="Arial Narrow" w:hAnsi="Arial Narrow" w:cs="Tahoma"/>
          <w:sz w:val="22"/>
          <w:szCs w:val="22"/>
        </w:rPr>
        <w:t>.</w:t>
      </w:r>
    </w:p>
    <w:p w:rsidR="00E14DF2" w:rsidRPr="002A6E74" w:rsidRDefault="00E14DF2" w:rsidP="009D13E6">
      <w:pPr>
        <w:jc w:val="both"/>
        <w:rPr>
          <w:rFonts w:ascii="Arial Narrow" w:hAnsi="Arial Narrow" w:cs="Tahoma"/>
          <w:sz w:val="22"/>
          <w:szCs w:val="22"/>
        </w:rPr>
      </w:pPr>
    </w:p>
    <w:p w:rsidR="00E14DF2" w:rsidRPr="002A6E74" w:rsidRDefault="00E14DF2" w:rsidP="00E14DF2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2A6E74">
        <w:rPr>
          <w:rFonts w:ascii="Arial Narrow" w:hAnsi="Arial Narrow" w:cs="Tahoma"/>
          <w:sz w:val="22"/>
          <w:szCs w:val="22"/>
        </w:rPr>
        <w:t>June</w:t>
      </w:r>
      <w:r w:rsidRPr="002A6E74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2A6E74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2A6E74">
        <w:rPr>
          <w:rFonts w:ascii="Arial Narrow" w:hAnsi="Arial Narrow" w:cs="Tahoma"/>
          <w:sz w:val="22"/>
          <w:szCs w:val="22"/>
        </w:rPr>
        <w:t>by 18</w:t>
      </w:r>
      <w:r w:rsidRPr="002A6E74">
        <w:rPr>
          <w:rFonts w:ascii="Arial Narrow" w:hAnsi="Arial Narrow" w:cs="Tahoma"/>
          <w:sz w:val="22"/>
          <w:szCs w:val="22"/>
        </w:rPr>
        <w:t xml:space="preserve">.0%, due to higher prices in the groups electricity and other energy sources by 27.1% and solid fuels by </w:t>
      </w:r>
      <w:r w:rsidRPr="002A6E74">
        <w:rPr>
          <w:rFonts w:ascii="Arial Narrow" w:hAnsi="Arial Narrow" w:cs="Tahoma"/>
          <w:sz w:val="22"/>
          <w:szCs w:val="22"/>
        </w:rPr>
        <w:t>20.4</w:t>
      </w:r>
      <w:r w:rsidRPr="002A6E74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="001F63B8" w:rsidRPr="002A6E74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2A6E74">
        <w:rPr>
          <w:rFonts w:ascii="Arial Narrow" w:hAnsi="Arial Narrow" w:cs="Tahoma"/>
          <w:i/>
          <w:sz w:val="22"/>
          <w:szCs w:val="22"/>
        </w:rPr>
        <w:t xml:space="preserve">, </w:t>
      </w:r>
      <w:r w:rsidR="001F63B8" w:rsidRPr="002A6E74">
        <w:rPr>
          <w:rFonts w:ascii="Arial Narrow" w:hAnsi="Arial Narrow" w:cs="Tahoma"/>
          <w:sz w:val="22"/>
          <w:szCs w:val="22"/>
        </w:rPr>
        <w:t>by 11</w:t>
      </w:r>
      <w:r w:rsidRPr="002A6E74">
        <w:rPr>
          <w:rFonts w:ascii="Arial Narrow" w:hAnsi="Arial Narrow" w:cs="Tahoma"/>
          <w:sz w:val="22"/>
          <w:szCs w:val="22"/>
        </w:rPr>
        <w:t>.1%, due to higher prices in the group</w:t>
      </w:r>
      <w:r w:rsidR="001F63B8" w:rsidRPr="002A6E74">
        <w:rPr>
          <w:rFonts w:ascii="Arial Narrow" w:hAnsi="Arial Narrow" w:cs="Tahoma"/>
          <w:sz w:val="22"/>
          <w:szCs w:val="22"/>
        </w:rPr>
        <w:t>s</w:t>
      </w:r>
      <w:r w:rsidRPr="002A6E74">
        <w:rPr>
          <w:rFonts w:ascii="Arial Narrow" w:hAnsi="Arial Narrow" w:cs="Tahoma"/>
          <w:sz w:val="22"/>
          <w:szCs w:val="22"/>
        </w:rPr>
        <w:t xml:space="preserve"> </w:t>
      </w:r>
      <w:r w:rsidR="001F63B8" w:rsidRPr="002A6E74">
        <w:rPr>
          <w:rFonts w:ascii="Arial Narrow" w:hAnsi="Arial Narrow" w:cs="Tahoma"/>
          <w:sz w:val="22"/>
          <w:szCs w:val="22"/>
        </w:rPr>
        <w:t>vegetables by 27.6</w:t>
      </w:r>
      <w:r w:rsidRPr="002A6E74">
        <w:rPr>
          <w:rFonts w:ascii="Arial Narrow" w:hAnsi="Arial Narrow" w:cs="Tahoma"/>
          <w:sz w:val="22"/>
          <w:szCs w:val="22"/>
        </w:rPr>
        <w:t>%</w:t>
      </w:r>
      <w:r w:rsidR="001F63B8" w:rsidRPr="002A6E74">
        <w:rPr>
          <w:rFonts w:ascii="Arial Narrow" w:hAnsi="Arial Narrow" w:cs="Tahoma"/>
          <w:sz w:val="22"/>
          <w:szCs w:val="22"/>
        </w:rPr>
        <w:t xml:space="preserve"> and fish by 21.6%</w:t>
      </w:r>
      <w:r w:rsidRPr="002A6E74">
        <w:rPr>
          <w:rFonts w:ascii="Arial Narrow" w:hAnsi="Arial Narrow" w:cs="Tahoma"/>
          <w:sz w:val="22"/>
          <w:szCs w:val="22"/>
        </w:rPr>
        <w:t xml:space="preserve">. An increase in prices by </w:t>
      </w:r>
      <w:r w:rsidR="001F63B8" w:rsidRPr="002A6E74">
        <w:rPr>
          <w:rFonts w:ascii="Arial Narrow" w:hAnsi="Arial Narrow" w:cs="Tahoma"/>
          <w:sz w:val="22"/>
          <w:szCs w:val="22"/>
        </w:rPr>
        <w:t>10.9</w:t>
      </w:r>
      <w:r w:rsidRPr="002A6E74">
        <w:rPr>
          <w:rFonts w:ascii="Arial Narrow" w:hAnsi="Arial Narrow" w:cs="Tahoma"/>
          <w:sz w:val="22"/>
          <w:szCs w:val="22"/>
        </w:rPr>
        <w:t xml:space="preserve">% recorded in the division </w:t>
      </w:r>
      <w:r w:rsidR="001F63B8" w:rsidRPr="002A6E74">
        <w:rPr>
          <w:rFonts w:ascii="Arial Narrow" w:hAnsi="Arial Narrow" w:cs="Tahoma"/>
          <w:i/>
          <w:sz w:val="22"/>
          <w:szCs w:val="22"/>
        </w:rPr>
        <w:t>Other goods and services</w:t>
      </w:r>
      <w:r w:rsidRPr="002A6E74">
        <w:rPr>
          <w:rFonts w:ascii="Arial Narrow" w:hAnsi="Arial Narrow" w:cs="Tahoma"/>
          <w:sz w:val="22"/>
          <w:szCs w:val="22"/>
        </w:rPr>
        <w:t xml:space="preserve"> occurred due to higher prices in the </w:t>
      </w:r>
      <w:r w:rsidR="001F63B8" w:rsidRPr="002A6E74">
        <w:rPr>
          <w:rFonts w:ascii="Arial Narrow" w:hAnsi="Arial Narrow" w:cs="Tahoma"/>
          <w:sz w:val="22"/>
          <w:szCs w:val="22"/>
        </w:rPr>
        <w:t>group personal care products by</w:t>
      </w:r>
      <w:r w:rsidRPr="002A6E74">
        <w:rPr>
          <w:rFonts w:ascii="Arial Narrow" w:hAnsi="Arial Narrow" w:cs="Tahoma"/>
          <w:sz w:val="22"/>
          <w:szCs w:val="22"/>
        </w:rPr>
        <w:t xml:space="preserve"> </w:t>
      </w:r>
      <w:r w:rsidR="001F63B8" w:rsidRPr="002A6E74">
        <w:rPr>
          <w:rFonts w:ascii="Arial Narrow" w:hAnsi="Arial Narrow" w:cs="Tahoma"/>
          <w:sz w:val="22"/>
          <w:szCs w:val="22"/>
        </w:rPr>
        <w:t>15.2</w:t>
      </w:r>
      <w:r w:rsidRPr="002A6E74">
        <w:rPr>
          <w:rFonts w:ascii="Arial Narrow" w:hAnsi="Arial Narrow" w:cs="Tahoma"/>
          <w:sz w:val="22"/>
          <w:szCs w:val="22"/>
        </w:rPr>
        <w:t xml:space="preserve">%. </w:t>
      </w:r>
    </w:p>
    <w:p w:rsidR="001F63B8" w:rsidRPr="002A6E74" w:rsidRDefault="001F63B8" w:rsidP="00E14DF2">
      <w:pPr>
        <w:jc w:val="both"/>
        <w:rPr>
          <w:rFonts w:ascii="Arial Narrow" w:hAnsi="Arial Narrow" w:cs="Tahoma"/>
          <w:sz w:val="22"/>
          <w:szCs w:val="22"/>
        </w:rPr>
      </w:pPr>
    </w:p>
    <w:p w:rsidR="001F63B8" w:rsidRPr="002A6E74" w:rsidRDefault="001F63B8" w:rsidP="001F63B8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2A6E74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2A6E74">
        <w:rPr>
          <w:rFonts w:ascii="Arial Narrow" w:hAnsi="Arial Narrow" w:cs="Tahoma"/>
          <w:sz w:val="22"/>
          <w:szCs w:val="22"/>
        </w:rPr>
        <w:t xml:space="preserve">by 8.7%, due to higher prices in the group household cleaning and maintenance products by </w:t>
      </w:r>
      <w:r w:rsidRPr="002A6E74">
        <w:rPr>
          <w:rFonts w:ascii="Arial Narrow" w:hAnsi="Arial Narrow" w:cs="Tahoma"/>
          <w:sz w:val="22"/>
          <w:szCs w:val="22"/>
        </w:rPr>
        <w:t>12.1</w:t>
      </w:r>
      <w:r w:rsidRPr="002A6E74">
        <w:rPr>
          <w:rFonts w:ascii="Arial Narrow" w:hAnsi="Arial Narrow" w:cs="Tahoma"/>
          <w:sz w:val="22"/>
          <w:szCs w:val="22"/>
        </w:rPr>
        <w:t xml:space="preserve">%; </w:t>
      </w:r>
      <w:r w:rsidRPr="002A6E74">
        <w:rPr>
          <w:rFonts w:ascii="Arial Narrow" w:hAnsi="Arial Narrow" w:cs="Tahoma"/>
          <w:i/>
          <w:sz w:val="22"/>
          <w:szCs w:val="22"/>
        </w:rPr>
        <w:t>Restaurants and hotels</w:t>
      </w:r>
      <w:r w:rsidRPr="002A6E74">
        <w:rPr>
          <w:rFonts w:ascii="Arial Narrow" w:hAnsi="Arial Narrow" w:cs="Tahoma"/>
          <w:sz w:val="22"/>
          <w:szCs w:val="22"/>
        </w:rPr>
        <w:t xml:space="preserve"> by 5.4%, due to </w:t>
      </w:r>
      <w:r w:rsidRPr="002A6E74">
        <w:rPr>
          <w:rFonts w:ascii="Arial Narrow" w:hAnsi="Arial Narrow" w:cs="Tahoma"/>
          <w:sz w:val="22"/>
          <w:szCs w:val="22"/>
        </w:rPr>
        <w:t xml:space="preserve">higher prices in the group restaurant and café services by </w:t>
      </w:r>
      <w:r w:rsidRPr="002A6E74">
        <w:rPr>
          <w:rFonts w:ascii="Arial Narrow" w:hAnsi="Arial Narrow" w:cs="Tahoma"/>
          <w:sz w:val="22"/>
          <w:szCs w:val="22"/>
        </w:rPr>
        <w:t>6.0</w:t>
      </w:r>
      <w:r w:rsidRPr="002A6E74">
        <w:rPr>
          <w:rFonts w:ascii="Arial Narrow" w:hAnsi="Arial Narrow" w:cs="Tahoma"/>
          <w:sz w:val="22"/>
          <w:szCs w:val="22"/>
        </w:rPr>
        <w:t>%</w:t>
      </w:r>
      <w:r w:rsidRPr="002A6E74">
        <w:rPr>
          <w:rFonts w:ascii="Arial Narrow" w:hAnsi="Arial Narrow" w:cs="Tahoma"/>
          <w:sz w:val="22"/>
          <w:szCs w:val="22"/>
        </w:rPr>
        <w:t xml:space="preserve">; </w:t>
      </w:r>
      <w:r w:rsidRPr="002A6E74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2A6E74">
        <w:rPr>
          <w:rFonts w:ascii="Arial Narrow" w:hAnsi="Arial Narrow" w:cs="Tahoma"/>
          <w:sz w:val="22"/>
          <w:szCs w:val="22"/>
        </w:rPr>
        <w:t xml:space="preserve">by </w:t>
      </w:r>
      <w:r w:rsidRPr="002A6E74">
        <w:rPr>
          <w:rFonts w:ascii="Arial Narrow" w:hAnsi="Arial Narrow" w:cs="Tahoma"/>
          <w:sz w:val="22"/>
          <w:szCs w:val="22"/>
        </w:rPr>
        <w:t>5.3</w:t>
      </w:r>
      <w:r w:rsidRPr="002A6E74">
        <w:rPr>
          <w:rFonts w:ascii="Arial Narrow" w:hAnsi="Arial Narrow" w:cs="Tahoma"/>
          <w:sz w:val="22"/>
          <w:szCs w:val="22"/>
        </w:rPr>
        <w:t xml:space="preserve">%, due to higher prices in the group beer by </w:t>
      </w:r>
      <w:r w:rsidRPr="002A6E74">
        <w:rPr>
          <w:rFonts w:ascii="Arial Narrow" w:hAnsi="Arial Narrow" w:cs="Tahoma"/>
          <w:sz w:val="22"/>
          <w:szCs w:val="22"/>
        </w:rPr>
        <w:t>11.9</w:t>
      </w:r>
      <w:r w:rsidRPr="002A6E74">
        <w:rPr>
          <w:rFonts w:ascii="Arial Narrow" w:hAnsi="Arial Narrow" w:cs="Tahoma"/>
          <w:sz w:val="22"/>
          <w:szCs w:val="22"/>
        </w:rPr>
        <w:t xml:space="preserve">%; </w:t>
      </w:r>
      <w:r w:rsidRPr="002A6E74">
        <w:rPr>
          <w:rFonts w:ascii="Arial Narrow" w:hAnsi="Arial Narrow" w:cs="Tahoma"/>
          <w:i/>
          <w:sz w:val="22"/>
          <w:szCs w:val="22"/>
        </w:rPr>
        <w:t>Recreation and culture</w:t>
      </w:r>
      <w:r w:rsidRPr="002A6E74">
        <w:rPr>
          <w:rFonts w:ascii="Arial Narrow" w:hAnsi="Arial Narrow" w:cs="Tahoma"/>
          <w:sz w:val="22"/>
          <w:szCs w:val="22"/>
        </w:rPr>
        <w:t xml:space="preserve">, by </w:t>
      </w:r>
      <w:r w:rsidRPr="002A6E74">
        <w:rPr>
          <w:rFonts w:ascii="Arial Narrow" w:hAnsi="Arial Narrow" w:cs="Tahoma"/>
          <w:sz w:val="22"/>
          <w:szCs w:val="22"/>
        </w:rPr>
        <w:t>3.9</w:t>
      </w:r>
      <w:r w:rsidRPr="002A6E74">
        <w:rPr>
          <w:rFonts w:ascii="Arial Narrow" w:hAnsi="Arial Narrow" w:cs="Tahoma"/>
          <w:sz w:val="22"/>
          <w:szCs w:val="22"/>
        </w:rPr>
        <w:t xml:space="preserve">%, due to higher prices in the groups pet products by </w:t>
      </w:r>
      <w:r w:rsidRPr="002A6E74">
        <w:rPr>
          <w:rFonts w:ascii="Arial Narrow" w:hAnsi="Arial Narrow" w:cs="Tahoma"/>
          <w:sz w:val="22"/>
          <w:szCs w:val="22"/>
        </w:rPr>
        <w:t>17.5</w:t>
      </w:r>
      <w:r w:rsidRPr="002A6E74">
        <w:rPr>
          <w:rFonts w:ascii="Arial Narrow" w:hAnsi="Arial Narrow" w:cs="Tahoma"/>
          <w:sz w:val="22"/>
          <w:szCs w:val="22"/>
        </w:rPr>
        <w:t xml:space="preserve">% and </w:t>
      </w:r>
      <w:r w:rsidR="00DF24DB" w:rsidRPr="002A6E74">
        <w:rPr>
          <w:rFonts w:ascii="Arial Narrow" w:hAnsi="Arial Narrow" w:cs="Tahoma"/>
          <w:sz w:val="22"/>
          <w:szCs w:val="22"/>
        </w:rPr>
        <w:t>vacation packages</w:t>
      </w:r>
      <w:r w:rsidRPr="002A6E74">
        <w:rPr>
          <w:rFonts w:ascii="Arial Narrow" w:hAnsi="Arial Narrow" w:cs="Tahoma"/>
          <w:sz w:val="22"/>
          <w:szCs w:val="22"/>
        </w:rPr>
        <w:t xml:space="preserve"> by </w:t>
      </w:r>
      <w:r w:rsidRPr="002A6E74">
        <w:rPr>
          <w:rFonts w:ascii="Arial Narrow" w:hAnsi="Arial Narrow" w:cs="Tahoma"/>
          <w:sz w:val="22"/>
          <w:szCs w:val="22"/>
        </w:rPr>
        <w:t>11.0</w:t>
      </w:r>
      <w:r w:rsidRPr="002A6E74">
        <w:rPr>
          <w:rFonts w:ascii="Arial Narrow" w:hAnsi="Arial Narrow" w:cs="Tahoma"/>
          <w:sz w:val="22"/>
          <w:szCs w:val="22"/>
        </w:rPr>
        <w:t>%.</w:t>
      </w:r>
    </w:p>
    <w:p w:rsidR="001F63B8" w:rsidRPr="002A6E74" w:rsidRDefault="001F63B8" w:rsidP="00E14DF2">
      <w:pPr>
        <w:jc w:val="both"/>
        <w:rPr>
          <w:rFonts w:ascii="Arial Narrow" w:hAnsi="Arial Narrow" w:cs="Tahoma"/>
          <w:sz w:val="22"/>
          <w:szCs w:val="22"/>
        </w:rPr>
      </w:pPr>
    </w:p>
    <w:p w:rsidR="00DF24DB" w:rsidRPr="002A6E74" w:rsidRDefault="00DF24DB" w:rsidP="00DF24DB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Arial Narrow" w:hAnsi="Arial Narrow" w:cs="Tahoma"/>
          <w:sz w:val="22"/>
          <w:szCs w:val="22"/>
        </w:rPr>
        <w:t>An increase in prices by 2.</w:t>
      </w:r>
      <w:r w:rsidRPr="002A6E74">
        <w:rPr>
          <w:rFonts w:ascii="Arial Narrow" w:hAnsi="Arial Narrow" w:cs="Tahoma"/>
          <w:sz w:val="22"/>
          <w:szCs w:val="22"/>
        </w:rPr>
        <w:t>0</w:t>
      </w:r>
      <w:r w:rsidRPr="002A6E74">
        <w:rPr>
          <w:rFonts w:ascii="Arial Narrow" w:hAnsi="Arial Narrow" w:cs="Tahoma"/>
          <w:sz w:val="22"/>
          <w:szCs w:val="22"/>
        </w:rPr>
        <w:t xml:space="preserve">% in the division </w:t>
      </w:r>
      <w:r w:rsidRPr="002A6E74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2A6E74">
        <w:rPr>
          <w:rFonts w:ascii="Arial Narrow" w:hAnsi="Arial Narrow" w:cs="Tahoma"/>
          <w:sz w:val="22"/>
          <w:szCs w:val="22"/>
        </w:rPr>
        <w:t xml:space="preserve">occurred due to higher prices in the group health care services by </w:t>
      </w:r>
      <w:r w:rsidRPr="002A6E74">
        <w:rPr>
          <w:rFonts w:ascii="Arial Narrow" w:hAnsi="Arial Narrow" w:cs="Tahoma"/>
          <w:sz w:val="22"/>
          <w:szCs w:val="22"/>
        </w:rPr>
        <w:t>3.7</w:t>
      </w:r>
      <w:r w:rsidRPr="002A6E74">
        <w:rPr>
          <w:rFonts w:ascii="Arial Narrow" w:hAnsi="Arial Narrow" w:cs="Tahoma"/>
          <w:sz w:val="22"/>
          <w:szCs w:val="22"/>
        </w:rPr>
        <w:t>%, whi</w:t>
      </w:r>
      <w:r w:rsidRPr="002A6E74">
        <w:rPr>
          <w:rFonts w:ascii="Arial Narrow" w:hAnsi="Arial Narrow" w:cs="Tahoma"/>
          <w:sz w:val="22"/>
          <w:szCs w:val="22"/>
        </w:rPr>
        <w:t>le an increase by 1.4</w:t>
      </w:r>
      <w:r w:rsidRPr="002A6E74">
        <w:rPr>
          <w:rFonts w:ascii="Arial Narrow" w:hAnsi="Arial Narrow" w:cs="Tahoma"/>
          <w:sz w:val="22"/>
          <w:szCs w:val="22"/>
        </w:rPr>
        <w:t xml:space="preserve">% in the division </w:t>
      </w:r>
      <w:r w:rsidRPr="002A6E74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2A6E74">
        <w:rPr>
          <w:rFonts w:ascii="Arial Narrow" w:hAnsi="Arial Narrow" w:cs="Tahoma"/>
          <w:sz w:val="22"/>
          <w:szCs w:val="22"/>
        </w:rPr>
        <w:t xml:space="preserve">occurred due to higher prices in the postal services by 5.1%. An increase in prices by </w:t>
      </w:r>
      <w:r w:rsidRPr="002A6E74">
        <w:rPr>
          <w:rFonts w:ascii="Arial Narrow" w:hAnsi="Arial Narrow" w:cs="Tahoma"/>
          <w:sz w:val="22"/>
          <w:szCs w:val="22"/>
        </w:rPr>
        <w:t>1.0</w:t>
      </w:r>
      <w:r w:rsidRPr="002A6E74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2A6E74">
        <w:rPr>
          <w:rFonts w:ascii="Arial Narrow" w:hAnsi="Arial Narrow" w:cs="Tahoma"/>
          <w:i/>
          <w:sz w:val="22"/>
          <w:szCs w:val="22"/>
        </w:rPr>
        <w:t>Education</w:t>
      </w:r>
      <w:r w:rsidRPr="002A6E74">
        <w:rPr>
          <w:rFonts w:ascii="Arial Narrow" w:hAnsi="Arial Narrow" w:cs="Tahoma"/>
          <w:sz w:val="22"/>
          <w:szCs w:val="22"/>
        </w:rPr>
        <w:t xml:space="preserve"> occurred due to higher prices in the group preschool education by 6.7%</w:t>
      </w:r>
    </w:p>
    <w:p w:rsidR="00E95A89" w:rsidRPr="002A6E74" w:rsidRDefault="00E95A89" w:rsidP="009D13E6">
      <w:pPr>
        <w:jc w:val="both"/>
        <w:rPr>
          <w:rFonts w:ascii="Arial Narrow" w:hAnsi="Arial Narrow" w:cs="Tahoma"/>
          <w:sz w:val="22"/>
          <w:szCs w:val="22"/>
        </w:rPr>
      </w:pPr>
    </w:p>
    <w:p w:rsidR="009D13E6" w:rsidRPr="002A6E74" w:rsidRDefault="00DF24DB" w:rsidP="00DF24DB">
      <w:pPr>
        <w:jc w:val="both"/>
        <w:rPr>
          <w:rFonts w:ascii="Arial Narrow" w:hAnsi="Arial Narrow" w:cs="Tahoma"/>
          <w:sz w:val="22"/>
          <w:szCs w:val="22"/>
        </w:rPr>
      </w:pPr>
      <w:r w:rsidRPr="002A6E74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2A6E74">
        <w:rPr>
          <w:rFonts w:ascii="Arial Narrow" w:hAnsi="Arial Narrow" w:cs="Tahoma"/>
          <w:sz w:val="22"/>
          <w:szCs w:val="22"/>
        </w:rPr>
        <w:t>June</w:t>
      </w:r>
      <w:r w:rsidRPr="002A6E74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2A6E74">
        <w:rPr>
          <w:rFonts w:ascii="Arial Narrow" w:hAnsi="Arial Narrow" w:cs="Tahoma"/>
          <w:i/>
          <w:sz w:val="22"/>
          <w:szCs w:val="22"/>
        </w:rPr>
        <w:t>Transport</w:t>
      </w:r>
      <w:r w:rsidRPr="002A6E74">
        <w:rPr>
          <w:rFonts w:ascii="Arial Narrow" w:hAnsi="Arial Narrow" w:cs="Tahoma"/>
          <w:sz w:val="22"/>
          <w:szCs w:val="22"/>
        </w:rPr>
        <w:t xml:space="preserve">, by </w:t>
      </w:r>
      <w:r w:rsidRPr="002A6E74">
        <w:rPr>
          <w:rFonts w:ascii="Arial Narrow" w:hAnsi="Arial Narrow" w:cs="Tahoma"/>
          <w:sz w:val="22"/>
          <w:szCs w:val="22"/>
        </w:rPr>
        <w:t>11.5</w:t>
      </w:r>
      <w:r w:rsidRPr="002A6E74">
        <w:rPr>
          <w:rFonts w:ascii="Arial Narrow" w:hAnsi="Arial Narrow" w:cs="Tahoma"/>
          <w:sz w:val="22"/>
          <w:szCs w:val="22"/>
        </w:rPr>
        <w:t xml:space="preserve">%, due to lower prices in the group fuels and lubricants for passenger cars by </w:t>
      </w:r>
      <w:r w:rsidRPr="002A6E74">
        <w:rPr>
          <w:rFonts w:ascii="Arial Narrow" w:hAnsi="Arial Narrow" w:cs="Tahoma"/>
          <w:sz w:val="22"/>
          <w:szCs w:val="22"/>
        </w:rPr>
        <w:t>22.0</w:t>
      </w:r>
      <w:r w:rsidRPr="002A6E74">
        <w:rPr>
          <w:rFonts w:ascii="Arial Narrow" w:hAnsi="Arial Narrow" w:cs="Tahoma"/>
          <w:sz w:val="22"/>
          <w:szCs w:val="22"/>
        </w:rPr>
        <w:t xml:space="preserve">%, and in the division </w:t>
      </w:r>
      <w:r w:rsidRPr="002A6E74">
        <w:rPr>
          <w:rFonts w:ascii="Arial Narrow" w:hAnsi="Arial Narrow" w:cs="Tahoma"/>
          <w:i/>
          <w:sz w:val="22"/>
          <w:szCs w:val="22"/>
        </w:rPr>
        <w:t>Clothing and footwear</w:t>
      </w:r>
      <w:r w:rsidRPr="002A6E74">
        <w:rPr>
          <w:rFonts w:ascii="Arial Narrow" w:hAnsi="Arial Narrow" w:cs="Tahoma"/>
          <w:sz w:val="22"/>
          <w:szCs w:val="22"/>
        </w:rPr>
        <w:t xml:space="preserve">, by </w:t>
      </w:r>
      <w:r w:rsidRPr="002A6E74">
        <w:rPr>
          <w:rFonts w:ascii="Arial Narrow" w:hAnsi="Arial Narrow" w:cs="Tahoma"/>
          <w:sz w:val="22"/>
          <w:szCs w:val="22"/>
        </w:rPr>
        <w:t>3.1</w:t>
      </w:r>
      <w:r w:rsidRPr="002A6E74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9D13E6" w:rsidRPr="002A6E74">
        <w:rPr>
          <w:rFonts w:ascii="Arial Narrow" w:hAnsi="Arial Narrow" w:cs="Tahoma"/>
          <w:sz w:val="22"/>
          <w:szCs w:val="22"/>
        </w:rPr>
        <w:t xml:space="preserve">. </w:t>
      </w:r>
    </w:p>
    <w:p w:rsidR="008964A8" w:rsidRPr="002A6E74" w:rsidRDefault="008964A8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2A6E74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2A6E74" w:rsidRDefault="00994321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2A6E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AD80E" wp14:editId="38BF71BF">
                <wp:simplePos x="0" y="0"/>
                <wp:positionH relativeFrom="margin">
                  <wp:posOffset>3641698</wp:posOffset>
                </wp:positionH>
                <wp:positionV relativeFrom="paragraph">
                  <wp:posOffset>2665923</wp:posOffset>
                </wp:positionV>
                <wp:extent cx="906145" cy="294199"/>
                <wp:effectExtent l="0" t="0" r="825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321" w:rsidRDefault="00994321" w:rsidP="0099432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AD80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86.75pt;margin-top:209.9pt;width:71.3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" fillcolor="window" stroked="f" strokeweight=".5pt">
                <v:textbox>
                  <w:txbxContent>
                    <w:p w:rsidR="00994321" w:rsidRDefault="00994321" w:rsidP="0099432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E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AD80E" wp14:editId="38BF71BF">
                <wp:simplePos x="0" y="0"/>
                <wp:positionH relativeFrom="margin">
                  <wp:posOffset>2234317</wp:posOffset>
                </wp:positionH>
                <wp:positionV relativeFrom="paragraph">
                  <wp:posOffset>2673874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321" w:rsidRDefault="00994321" w:rsidP="0099432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D80E" id="Text Box 30" o:spid="_x0000_s1027" type="#_x0000_t202" style="position:absolute;left:0;text-align:left;margin-left:175.95pt;margin-top:210.55pt;width:71.3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z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YVp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" fillcolor="window" stroked="f" strokeweight=".5pt">
                <v:textbox>
                  <w:txbxContent>
                    <w:p w:rsidR="00994321" w:rsidRDefault="00994321" w:rsidP="0099432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2A6E7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25pt;width:207.65pt;height:25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2A6E7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2A6E7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2A6E74" w:rsidRDefault="00994321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2A6E74">
        <w:rPr>
          <w:rFonts w:ascii="Arial Narrow" w:hAnsi="Arial Narrow" w:cs="Tahoma"/>
          <w:sz w:val="16"/>
          <w:szCs w:val="16"/>
        </w:rPr>
        <w:t>Graph</w:t>
      </w:r>
      <w:r w:rsidR="00B50951" w:rsidRPr="002A6E74">
        <w:rPr>
          <w:rFonts w:ascii="Arial Narrow" w:hAnsi="Arial Narrow" w:cs="Tahoma"/>
          <w:sz w:val="16"/>
          <w:szCs w:val="16"/>
        </w:rPr>
        <w:t xml:space="preserve"> </w:t>
      </w:r>
      <w:r w:rsidR="001D7B2C" w:rsidRPr="002A6E74">
        <w:rPr>
          <w:rFonts w:ascii="Arial Narrow" w:hAnsi="Arial Narrow" w:cs="Tahoma"/>
          <w:sz w:val="16"/>
          <w:szCs w:val="16"/>
        </w:rPr>
        <w:t>2</w:t>
      </w:r>
      <w:r w:rsidR="00B50951" w:rsidRPr="002A6E74">
        <w:rPr>
          <w:rFonts w:ascii="Arial Narrow" w:hAnsi="Arial Narrow" w:cs="Tahoma"/>
          <w:sz w:val="16"/>
          <w:szCs w:val="16"/>
        </w:rPr>
        <w:t xml:space="preserve">. </w:t>
      </w:r>
      <w:r w:rsidRPr="002A6E74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2A6E74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2A6E7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2A6E7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2A6E7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2A6E74" w:rsidRDefault="00BA4A1C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2A6E74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F95518" w:rsidRPr="002A6E74">
        <w:rPr>
          <w:rFonts w:ascii="Arial Narrow" w:hAnsi="Arial Narrow" w:cs="Tahoma"/>
          <w:b/>
          <w:sz w:val="28"/>
          <w:szCs w:val="30"/>
        </w:rPr>
        <w:t>(</w:t>
      </w:r>
      <w:r w:rsidRPr="002A6E74">
        <w:rPr>
          <w:rFonts w:ascii="Arial Narrow" w:hAnsi="Arial Narrow" w:cs="Tahoma"/>
          <w:b/>
          <w:sz w:val="28"/>
          <w:szCs w:val="30"/>
        </w:rPr>
        <w:t>Jan</w:t>
      </w:r>
      <w:r w:rsidR="00C450AF" w:rsidRPr="002A6E74">
        <w:rPr>
          <w:rFonts w:ascii="Arial Narrow" w:hAnsi="Arial Narrow" w:cs="Tahoma"/>
          <w:b/>
          <w:sz w:val="28"/>
          <w:szCs w:val="30"/>
        </w:rPr>
        <w:t>-</w:t>
      </w:r>
      <w:r w:rsidRPr="002A6E74">
        <w:rPr>
          <w:rFonts w:ascii="Arial Narrow" w:hAnsi="Arial Narrow" w:cs="Tahoma"/>
          <w:b/>
          <w:sz w:val="28"/>
          <w:szCs w:val="30"/>
        </w:rPr>
        <w:t>Jun</w:t>
      </w:r>
      <w:r w:rsidR="00F95518" w:rsidRPr="002A6E74">
        <w:rPr>
          <w:rFonts w:ascii="Arial Narrow" w:hAnsi="Arial Narrow" w:cs="Tahoma"/>
          <w:b/>
          <w:sz w:val="28"/>
          <w:szCs w:val="30"/>
        </w:rPr>
        <w:t xml:space="preserve"> 20</w:t>
      </w:r>
      <w:r w:rsidR="00206778" w:rsidRPr="002A6E74">
        <w:rPr>
          <w:rFonts w:ascii="Arial Narrow" w:hAnsi="Arial Narrow" w:cs="Tahoma"/>
          <w:b/>
          <w:sz w:val="28"/>
          <w:szCs w:val="30"/>
        </w:rPr>
        <w:t>23</w:t>
      </w:r>
      <w:r w:rsidR="00F95518" w:rsidRPr="002A6E74">
        <w:rPr>
          <w:rFonts w:ascii="Arial Narrow" w:hAnsi="Arial Narrow" w:cs="Tahoma"/>
          <w:b/>
          <w:sz w:val="28"/>
          <w:szCs w:val="30"/>
        </w:rPr>
        <w:t>/</w:t>
      </w:r>
      <w:r w:rsidRPr="002A6E74">
        <w:rPr>
          <w:rFonts w:ascii="Arial Narrow" w:hAnsi="Arial Narrow" w:cs="Tahoma"/>
          <w:b/>
          <w:sz w:val="28"/>
          <w:szCs w:val="30"/>
        </w:rPr>
        <w:t>Jan</w:t>
      </w:r>
      <w:r w:rsidR="00C450AF" w:rsidRPr="002A6E74">
        <w:rPr>
          <w:rFonts w:ascii="Arial Narrow" w:hAnsi="Arial Narrow" w:cs="Tahoma"/>
          <w:b/>
          <w:sz w:val="28"/>
          <w:szCs w:val="30"/>
        </w:rPr>
        <w:t>-</w:t>
      </w:r>
      <w:r w:rsidRPr="002A6E74">
        <w:rPr>
          <w:rFonts w:ascii="Arial Narrow" w:hAnsi="Arial Narrow" w:cs="Tahoma"/>
          <w:b/>
          <w:sz w:val="28"/>
          <w:szCs w:val="30"/>
        </w:rPr>
        <w:t>Jun</w:t>
      </w:r>
      <w:r w:rsidR="002B7FEF" w:rsidRPr="002A6E7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F95518" w:rsidRPr="002A6E74">
        <w:rPr>
          <w:rFonts w:ascii="Arial Narrow" w:hAnsi="Arial Narrow" w:cs="Tahoma"/>
          <w:b/>
          <w:bCs/>
          <w:sz w:val="28"/>
          <w:szCs w:val="30"/>
        </w:rPr>
        <w:t>202</w:t>
      </w:r>
      <w:r w:rsidR="00206778" w:rsidRPr="002A6E74">
        <w:rPr>
          <w:rFonts w:ascii="Arial Narrow" w:hAnsi="Arial Narrow" w:cs="Tahoma"/>
          <w:b/>
          <w:bCs/>
          <w:sz w:val="28"/>
          <w:szCs w:val="30"/>
        </w:rPr>
        <w:t>2</w:t>
      </w:r>
      <w:r w:rsidR="00F95518" w:rsidRPr="002A6E74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2A6E74">
        <w:rPr>
          <w:rFonts w:ascii="Arial Narrow" w:hAnsi="Arial Narrow" w:cs="Tahoma"/>
          <w:b/>
          <w:bCs/>
          <w:sz w:val="28"/>
          <w:szCs w:val="30"/>
        </w:rPr>
        <w:t>decreased</w:t>
      </w:r>
      <w:r w:rsidR="00F95518" w:rsidRPr="002A6E7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6269A8" w:rsidRPr="002A6E74">
        <w:rPr>
          <w:rFonts w:ascii="Arial Narrow" w:hAnsi="Arial Narrow" w:cs="Tahoma"/>
          <w:b/>
          <w:bCs/>
          <w:sz w:val="28"/>
          <w:szCs w:val="30"/>
        </w:rPr>
        <w:t>3</w:t>
      </w:r>
      <w:r w:rsidRPr="002A6E74">
        <w:rPr>
          <w:rFonts w:ascii="Arial Narrow" w:hAnsi="Arial Narrow" w:cs="Tahoma"/>
          <w:b/>
          <w:bCs/>
          <w:sz w:val="28"/>
          <w:szCs w:val="30"/>
        </w:rPr>
        <w:t>.</w:t>
      </w:r>
      <w:r w:rsidR="006269A8" w:rsidRPr="002A6E74">
        <w:rPr>
          <w:rFonts w:ascii="Arial Narrow" w:hAnsi="Arial Narrow" w:cs="Tahoma"/>
          <w:b/>
          <w:bCs/>
          <w:sz w:val="28"/>
          <w:szCs w:val="30"/>
        </w:rPr>
        <w:t>4</w:t>
      </w:r>
      <w:r w:rsidR="00F95518" w:rsidRPr="002A6E74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2A6E74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BA4A1C" w:rsidRPr="002A6E74" w:rsidRDefault="00BA4A1C" w:rsidP="00BA4A1C">
      <w:pPr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compared to the same period of 2022, decreased by </w:t>
      </w:r>
      <w:r w:rsidRPr="002A6E74">
        <w:rPr>
          <w:rFonts w:ascii="Arial Narrow" w:hAnsi="Arial Narrow" w:cs="Tahoma"/>
          <w:sz w:val="22"/>
        </w:rPr>
        <w:t>3.4</w:t>
      </w:r>
      <w:r w:rsidRPr="002A6E74">
        <w:rPr>
          <w:rFonts w:ascii="Arial Narrow" w:hAnsi="Arial Narrow" w:cs="Tahoma"/>
          <w:sz w:val="22"/>
        </w:rPr>
        <w:t xml:space="preserve">%. During the same period, in the section </w:t>
      </w:r>
      <w:r w:rsidRPr="002A6E74">
        <w:rPr>
          <w:rFonts w:ascii="Arial Narrow" w:hAnsi="Arial Narrow" w:cs="Tahoma"/>
          <w:i/>
          <w:sz w:val="22"/>
        </w:rPr>
        <w:t>Electricity, gas, steam and air-conditioning supply</w:t>
      </w:r>
      <w:r w:rsidRPr="002A6E74">
        <w:rPr>
          <w:rFonts w:ascii="Arial Narrow" w:hAnsi="Arial Narrow" w:cs="Tahoma"/>
          <w:sz w:val="22"/>
        </w:rPr>
        <w:t xml:space="preserve"> an increase by </w:t>
      </w:r>
      <w:r w:rsidRPr="002A6E74">
        <w:rPr>
          <w:rFonts w:ascii="Arial Narrow" w:hAnsi="Arial Narrow" w:cs="Tahoma"/>
          <w:sz w:val="22"/>
        </w:rPr>
        <w:t>0.8</w:t>
      </w:r>
      <w:r w:rsidRPr="002A6E74">
        <w:rPr>
          <w:rFonts w:ascii="Arial Narrow" w:hAnsi="Arial Narrow" w:cs="Tahoma"/>
          <w:sz w:val="22"/>
        </w:rPr>
        <w:t>% was recorded, while in the section</w:t>
      </w:r>
      <w:r w:rsidRPr="002A6E74">
        <w:rPr>
          <w:rFonts w:ascii="Arial Narrow" w:hAnsi="Arial Narrow" w:cs="Tahoma"/>
          <w:sz w:val="22"/>
        </w:rPr>
        <w:t xml:space="preserve"> </w:t>
      </w:r>
      <w:r w:rsidRPr="002A6E74">
        <w:rPr>
          <w:rFonts w:ascii="Arial Narrow" w:hAnsi="Arial Narrow" w:cs="Tahoma"/>
          <w:i/>
          <w:sz w:val="22"/>
        </w:rPr>
        <w:t xml:space="preserve">Mining and quarrying </w:t>
      </w:r>
      <w:r w:rsidRPr="002A6E74">
        <w:rPr>
          <w:rFonts w:ascii="Arial Narrow" w:hAnsi="Arial Narrow" w:cs="Tahoma"/>
          <w:sz w:val="22"/>
        </w:rPr>
        <w:t>a decrease by 2.2% was recorded and in the section</w:t>
      </w:r>
      <w:r w:rsidRPr="002A6E74">
        <w:rPr>
          <w:rFonts w:ascii="Arial Narrow" w:hAnsi="Arial Narrow" w:cs="Tahoma"/>
          <w:sz w:val="22"/>
        </w:rPr>
        <w:t xml:space="preserve"> </w:t>
      </w:r>
      <w:r w:rsidRPr="002A6E74">
        <w:rPr>
          <w:rFonts w:ascii="Arial Narrow" w:hAnsi="Arial Narrow" w:cs="Tahoma"/>
          <w:i/>
          <w:sz w:val="22"/>
        </w:rPr>
        <w:t xml:space="preserve">Manufacturing </w:t>
      </w:r>
      <w:r w:rsidRPr="002A6E74">
        <w:rPr>
          <w:rFonts w:ascii="Arial Narrow" w:hAnsi="Arial Narrow" w:cs="Tahoma"/>
          <w:sz w:val="22"/>
        </w:rPr>
        <w:t>a decrease by 5.8</w:t>
      </w:r>
      <w:r w:rsidRPr="002A6E74">
        <w:rPr>
          <w:rFonts w:ascii="Arial Narrow" w:hAnsi="Arial Narrow" w:cs="Tahoma"/>
          <w:sz w:val="22"/>
        </w:rPr>
        <w:t>%</w:t>
      </w:r>
      <w:r w:rsidRPr="002A6E74">
        <w:rPr>
          <w:rFonts w:ascii="Arial Narrow" w:hAnsi="Arial Narrow" w:cs="Tahoma"/>
          <w:sz w:val="22"/>
        </w:rPr>
        <w:t>.</w:t>
      </w:r>
    </w:p>
    <w:p w:rsidR="00BA4A1C" w:rsidRPr="002A6E74" w:rsidRDefault="00BA4A1C" w:rsidP="00C450AF">
      <w:pPr>
        <w:jc w:val="both"/>
        <w:rPr>
          <w:rFonts w:ascii="Arial Narrow" w:hAnsi="Arial Narrow" w:cs="Tahoma"/>
          <w:sz w:val="22"/>
        </w:rPr>
      </w:pPr>
    </w:p>
    <w:p w:rsidR="00B23124" w:rsidRPr="002A6E74" w:rsidRDefault="00B23124" w:rsidP="00B23124">
      <w:pPr>
        <w:jc w:val="both"/>
        <w:rPr>
          <w:rFonts w:ascii="Arial Narrow" w:hAnsi="Arial Narrow" w:cs="Tahoma"/>
          <w:sz w:val="22"/>
        </w:rPr>
      </w:pPr>
    </w:p>
    <w:p w:rsidR="00B23124" w:rsidRPr="002A6E74" w:rsidRDefault="00B23124" w:rsidP="00B23124">
      <w:pPr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compared to </w:t>
      </w:r>
      <w:r w:rsidRPr="002A6E74">
        <w:rPr>
          <w:rFonts w:ascii="Arial Narrow" w:hAnsi="Arial Narrow" w:cs="Tahoma"/>
          <w:sz w:val="22"/>
        </w:rPr>
        <w:t>May 2023, de</w:t>
      </w:r>
      <w:r w:rsidRPr="002A6E74">
        <w:rPr>
          <w:rFonts w:ascii="Arial Narrow" w:hAnsi="Arial Narrow" w:cs="Tahoma"/>
          <w:sz w:val="22"/>
        </w:rPr>
        <w:t xml:space="preserve">creased by </w:t>
      </w:r>
      <w:r w:rsidRPr="002A6E74">
        <w:rPr>
          <w:rFonts w:ascii="Arial Narrow" w:hAnsi="Arial Narrow" w:cs="Tahoma"/>
          <w:sz w:val="22"/>
        </w:rPr>
        <w:t>4.2</w:t>
      </w:r>
      <w:r w:rsidRPr="002A6E74">
        <w:rPr>
          <w:rFonts w:ascii="Arial Narrow" w:hAnsi="Arial Narrow" w:cs="Tahoma"/>
          <w:sz w:val="22"/>
        </w:rPr>
        <w:t xml:space="preserve">%. Working-day adjusted industrial production in Republika Srpska in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compared to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2022, decreased by </w:t>
      </w:r>
      <w:r w:rsidRPr="002A6E74">
        <w:rPr>
          <w:rFonts w:ascii="Arial Narrow" w:hAnsi="Arial Narrow" w:cs="Tahoma"/>
          <w:sz w:val="22"/>
        </w:rPr>
        <w:t>7.5</w:t>
      </w:r>
      <w:r w:rsidRPr="002A6E74">
        <w:rPr>
          <w:rFonts w:ascii="Arial Narrow" w:hAnsi="Arial Narrow" w:cs="Tahoma"/>
          <w:sz w:val="22"/>
        </w:rPr>
        <w:t xml:space="preserve">%. </w:t>
      </w:r>
    </w:p>
    <w:p w:rsidR="00B30D24" w:rsidRPr="002A6E74" w:rsidRDefault="00B30D24" w:rsidP="008967F4">
      <w:pPr>
        <w:jc w:val="both"/>
        <w:rPr>
          <w:rFonts w:ascii="Arial Narrow" w:hAnsi="Arial Narrow" w:cs="Tahoma"/>
          <w:sz w:val="22"/>
        </w:rPr>
      </w:pPr>
    </w:p>
    <w:p w:rsidR="00B30D24" w:rsidRPr="002A6E74" w:rsidRDefault="00994321" w:rsidP="008967F4">
      <w:pPr>
        <w:jc w:val="both"/>
        <w:rPr>
          <w:rFonts w:ascii="Arial Narrow" w:hAnsi="Arial Narrow" w:cs="Tahoma"/>
          <w:sz w:val="22"/>
        </w:rPr>
      </w:pPr>
      <w:r w:rsidRPr="002A6E7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E5D67" wp14:editId="49F20166">
                <wp:simplePos x="0" y="0"/>
                <wp:positionH relativeFrom="margin">
                  <wp:posOffset>3800724</wp:posOffset>
                </wp:positionH>
                <wp:positionV relativeFrom="paragraph">
                  <wp:posOffset>2841735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321" w:rsidRDefault="00994321" w:rsidP="0099432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5D67" id="Text Box 28" o:spid="_x0000_s1030" type="#_x0000_t202" style="position:absolute;left:0;text-align:left;margin-left:299.25pt;margin-top:223.75pt;width:1in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" fillcolor="window" stroked="f" strokeweight=".5pt">
                <v:textbox>
                  <w:txbxContent>
                    <w:p w:rsidR="00994321" w:rsidRDefault="00994321" w:rsidP="0099432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E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2995F" wp14:editId="4C72B88A">
                <wp:simplePos x="0" y="0"/>
                <wp:positionH relativeFrom="margin">
                  <wp:posOffset>2321781</wp:posOffset>
                </wp:positionH>
                <wp:positionV relativeFrom="paragraph">
                  <wp:posOffset>2841735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321" w:rsidRDefault="00994321" w:rsidP="0099432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2995F" id="Text Box 27" o:spid="_x0000_s1031" type="#_x0000_t202" style="position:absolute;left:0;text-align:left;margin-left:182.8pt;margin-top:223.75pt;width:98.3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" fillcolor="window" stroked="f" strokeweight=".5pt">
                <v:textbox>
                  <w:txbxContent>
                    <w:p w:rsidR="00994321" w:rsidRDefault="00994321" w:rsidP="0099432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D24" w:rsidRPr="002A6E7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2666400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left:0;text-align:left;margin-left:179.85pt;margin-top:209.95pt;width:186.45pt;height:19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E95A89" w:rsidRPr="002A6E74">
        <w:rPr>
          <w:noProof/>
        </w:rPr>
        <w:drawing>
          <wp:inline distT="0" distB="0" distL="0" distR="0" wp14:anchorId="60D5BDE7" wp14:editId="02E3337E">
            <wp:extent cx="6480810" cy="3215247"/>
            <wp:effectExtent l="0" t="0" r="0" b="44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2A6E74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2A6E74" w:rsidRDefault="00994321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2A6E74">
        <w:rPr>
          <w:rFonts w:ascii="Arial Narrow" w:hAnsi="Arial Narrow" w:cs="Tahoma"/>
          <w:sz w:val="16"/>
          <w:szCs w:val="16"/>
        </w:rPr>
        <w:t>Graph</w:t>
      </w:r>
      <w:r w:rsidR="00E15D41" w:rsidRPr="002A6E74">
        <w:rPr>
          <w:rFonts w:ascii="Arial Narrow" w:hAnsi="Arial Narrow" w:cs="Tahoma"/>
          <w:sz w:val="16"/>
          <w:szCs w:val="16"/>
        </w:rPr>
        <w:t xml:space="preserve"> 3. </w:t>
      </w:r>
      <w:r w:rsidRPr="002A6E74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2A6E74">
        <w:rPr>
          <w:rFonts w:ascii="Arial Narrow" w:hAnsi="Arial Narrow" w:cs="Tahoma"/>
          <w:sz w:val="16"/>
          <w:szCs w:val="16"/>
        </w:rPr>
        <w:t xml:space="preserve"> </w:t>
      </w:r>
      <w:r w:rsidRPr="002A6E74">
        <w:rPr>
          <w:rFonts w:ascii="Arial Narrow" w:hAnsi="Arial Narrow" w:cs="Tahoma"/>
          <w:sz w:val="16"/>
          <w:szCs w:val="16"/>
        </w:rPr>
        <w:t xml:space="preserve">June </w:t>
      </w:r>
      <w:r w:rsidR="00C411FF" w:rsidRPr="002A6E74">
        <w:rPr>
          <w:rFonts w:ascii="Arial Narrow" w:hAnsi="Arial Narrow" w:cs="Tahoma"/>
          <w:sz w:val="16"/>
          <w:szCs w:val="16"/>
        </w:rPr>
        <w:t>20</w:t>
      </w:r>
      <w:r w:rsidR="00206778" w:rsidRPr="002A6E74">
        <w:rPr>
          <w:rFonts w:ascii="Arial Narrow" w:hAnsi="Arial Narrow" w:cs="Tahoma"/>
          <w:sz w:val="16"/>
          <w:szCs w:val="16"/>
        </w:rPr>
        <w:t>19</w:t>
      </w:r>
      <w:r w:rsidR="00C411FF" w:rsidRPr="002A6E74">
        <w:rPr>
          <w:rFonts w:ascii="Arial Narrow" w:hAnsi="Arial Narrow" w:cs="Tahoma"/>
          <w:sz w:val="16"/>
          <w:szCs w:val="16"/>
        </w:rPr>
        <w:t xml:space="preserve"> – </w:t>
      </w:r>
      <w:r w:rsidRPr="002A6E74">
        <w:rPr>
          <w:rFonts w:ascii="Arial Narrow" w:hAnsi="Arial Narrow" w:cs="Tahoma"/>
          <w:sz w:val="16"/>
          <w:szCs w:val="16"/>
        </w:rPr>
        <w:t xml:space="preserve">June </w:t>
      </w:r>
      <w:r w:rsidR="00C411FF" w:rsidRPr="002A6E74">
        <w:rPr>
          <w:rFonts w:ascii="Arial Narrow" w:hAnsi="Arial Narrow" w:cs="Tahoma"/>
          <w:sz w:val="16"/>
          <w:szCs w:val="16"/>
        </w:rPr>
        <w:t>202</w:t>
      </w:r>
      <w:r w:rsidR="00C022F6" w:rsidRPr="002A6E74">
        <w:rPr>
          <w:rFonts w:ascii="Arial Narrow" w:hAnsi="Arial Narrow" w:cs="Tahoma"/>
          <w:sz w:val="16"/>
          <w:szCs w:val="16"/>
        </w:rPr>
        <w:t>3</w:t>
      </w:r>
      <w:r w:rsidR="00C411FF" w:rsidRPr="002A6E74">
        <w:rPr>
          <w:rFonts w:ascii="Arial Narrow" w:hAnsi="Arial Narrow" w:cs="Tahoma"/>
          <w:sz w:val="16"/>
          <w:szCs w:val="16"/>
        </w:rPr>
        <w:t xml:space="preserve"> (</w:t>
      </w:r>
      <w:r w:rsidR="00C411FF" w:rsidRPr="002A6E74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2A6E74">
        <w:rPr>
          <w:rFonts w:ascii="Arial Narrow" w:hAnsi="Arial Narrow" w:cs="Tahoma"/>
          <w:sz w:val="16"/>
          <w:szCs w:val="16"/>
        </w:rPr>
        <w:t>2015=100)</w:t>
      </w:r>
      <w:r w:rsidR="008642BA" w:rsidRPr="002A6E74">
        <w:rPr>
          <w:noProof/>
        </w:rPr>
        <w:t xml:space="preserve"> </w:t>
      </w:r>
    </w:p>
    <w:p w:rsidR="00C520F2" w:rsidRPr="002A6E7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2A6E7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2A6E74" w:rsidRDefault="00B23124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2A6E74">
        <w:rPr>
          <w:rFonts w:ascii="Arial Narrow" w:hAnsi="Arial Narrow" w:cs="Tahoma"/>
          <w:b/>
          <w:sz w:val="28"/>
        </w:rPr>
        <w:t>Number of employees in industry</w:t>
      </w:r>
      <w:r w:rsidR="00A22D9B" w:rsidRPr="002A6E74">
        <w:rPr>
          <w:rFonts w:ascii="Arial Narrow" w:hAnsi="Arial Narrow" w:cs="Tahoma"/>
          <w:b/>
          <w:sz w:val="28"/>
        </w:rPr>
        <w:t xml:space="preserve"> (</w:t>
      </w:r>
      <w:r w:rsidRPr="002A6E74">
        <w:rPr>
          <w:rFonts w:ascii="Arial Narrow" w:hAnsi="Arial Narrow" w:cs="Tahoma"/>
          <w:b/>
          <w:sz w:val="28"/>
        </w:rPr>
        <w:t>June</w:t>
      </w:r>
      <w:r w:rsidR="00A22D9B" w:rsidRPr="002A6E74">
        <w:rPr>
          <w:rFonts w:ascii="Arial Narrow" w:hAnsi="Arial Narrow" w:cs="Tahoma"/>
          <w:b/>
          <w:sz w:val="28"/>
          <w:szCs w:val="30"/>
        </w:rPr>
        <w:t xml:space="preserve"> 202</w:t>
      </w:r>
      <w:r w:rsidR="00935795" w:rsidRPr="002A6E74">
        <w:rPr>
          <w:rFonts w:ascii="Arial Narrow" w:hAnsi="Arial Narrow" w:cs="Tahoma"/>
          <w:b/>
          <w:sz w:val="28"/>
          <w:szCs w:val="30"/>
        </w:rPr>
        <w:t>3</w:t>
      </w:r>
      <w:r w:rsidR="006E282D" w:rsidRPr="002A6E74">
        <w:rPr>
          <w:rFonts w:ascii="Arial Narrow" w:hAnsi="Arial Narrow" w:cs="Tahoma"/>
          <w:b/>
          <w:sz w:val="28"/>
          <w:szCs w:val="30"/>
        </w:rPr>
        <w:t>/</w:t>
      </w:r>
      <w:r w:rsidRPr="002A6E74">
        <w:rPr>
          <w:rFonts w:ascii="Arial Narrow" w:hAnsi="Arial Narrow" w:cs="Tahoma"/>
          <w:b/>
          <w:sz w:val="28"/>
        </w:rPr>
        <w:t>June</w:t>
      </w:r>
      <w:r w:rsidR="00935795" w:rsidRPr="002A6E74">
        <w:rPr>
          <w:rFonts w:ascii="Arial Narrow" w:hAnsi="Arial Narrow" w:cs="Tahoma"/>
          <w:b/>
          <w:sz w:val="28"/>
        </w:rPr>
        <w:t xml:space="preserve"> </w:t>
      </w:r>
      <w:r w:rsidR="00A22D9B" w:rsidRPr="002A6E74">
        <w:rPr>
          <w:rFonts w:ascii="Arial Narrow" w:hAnsi="Arial Narrow" w:cs="Tahoma"/>
          <w:b/>
          <w:bCs/>
          <w:sz w:val="28"/>
          <w:szCs w:val="30"/>
        </w:rPr>
        <w:t>202</w:t>
      </w:r>
      <w:r w:rsidR="00935795" w:rsidRPr="002A6E74">
        <w:rPr>
          <w:rFonts w:ascii="Arial Narrow" w:hAnsi="Arial Narrow" w:cs="Tahoma"/>
          <w:b/>
          <w:bCs/>
          <w:sz w:val="28"/>
          <w:szCs w:val="30"/>
        </w:rPr>
        <w:t>2</w:t>
      </w:r>
      <w:r w:rsidR="00A22D9B" w:rsidRPr="002A6E74">
        <w:rPr>
          <w:rFonts w:ascii="Arial Narrow" w:hAnsi="Arial Narrow" w:cs="Tahoma"/>
          <w:b/>
          <w:sz w:val="28"/>
        </w:rPr>
        <w:t xml:space="preserve">) </w:t>
      </w:r>
      <w:r w:rsidRPr="002A6E74">
        <w:rPr>
          <w:rFonts w:ascii="Arial Narrow" w:hAnsi="Arial Narrow" w:cs="Tahoma"/>
          <w:b/>
          <w:sz w:val="28"/>
        </w:rPr>
        <w:t>decreased by</w:t>
      </w:r>
      <w:r w:rsidR="00A22D9B" w:rsidRPr="002A6E74">
        <w:rPr>
          <w:rFonts w:ascii="Arial Narrow" w:hAnsi="Arial Narrow" w:cs="Tahoma"/>
          <w:b/>
          <w:sz w:val="28"/>
        </w:rPr>
        <w:t xml:space="preserve"> </w:t>
      </w:r>
      <w:r w:rsidR="008312FD" w:rsidRPr="002A6E74">
        <w:rPr>
          <w:rFonts w:ascii="Arial Narrow" w:hAnsi="Arial Narrow" w:cs="Tahoma"/>
          <w:b/>
          <w:sz w:val="28"/>
        </w:rPr>
        <w:t>0</w:t>
      </w:r>
      <w:r w:rsidRPr="002A6E74">
        <w:rPr>
          <w:rFonts w:ascii="Arial Narrow" w:hAnsi="Arial Narrow" w:cs="Tahoma"/>
          <w:b/>
          <w:sz w:val="28"/>
        </w:rPr>
        <w:t>.</w:t>
      </w:r>
      <w:r w:rsidR="00543074" w:rsidRPr="002A6E74">
        <w:rPr>
          <w:rFonts w:ascii="Arial Narrow" w:hAnsi="Arial Narrow" w:cs="Tahoma"/>
          <w:b/>
          <w:sz w:val="28"/>
        </w:rPr>
        <w:t>3</w:t>
      </w:r>
      <w:r w:rsidR="00A22D9B" w:rsidRPr="002A6E74">
        <w:rPr>
          <w:rFonts w:ascii="Arial Narrow" w:hAnsi="Arial Narrow" w:cs="Tahoma"/>
          <w:b/>
          <w:sz w:val="28"/>
        </w:rPr>
        <w:t>%</w:t>
      </w:r>
    </w:p>
    <w:p w:rsidR="0097485C" w:rsidRPr="002A6E74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B23124" w:rsidRPr="002A6E74" w:rsidRDefault="00B23124" w:rsidP="00B23124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2A6E74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2A6E74">
        <w:rPr>
          <w:rFonts w:ascii="Arial Narrow" w:hAnsi="Arial Narrow" w:cs="Tahoma"/>
          <w:sz w:val="22"/>
          <w:lang w:val="en-US"/>
        </w:rPr>
        <w:t>June</w:t>
      </w:r>
      <w:r w:rsidRPr="002A6E74">
        <w:rPr>
          <w:rFonts w:ascii="Arial Narrow" w:hAnsi="Arial Narrow" w:cs="Tahoma"/>
          <w:sz w:val="22"/>
          <w:lang w:val="en-US"/>
        </w:rPr>
        <w:t xml:space="preserve"> 2023, compared to </w:t>
      </w:r>
      <w:r w:rsidRPr="002A6E74">
        <w:rPr>
          <w:rFonts w:ascii="Arial Narrow" w:hAnsi="Arial Narrow" w:cs="Tahoma"/>
          <w:sz w:val="22"/>
          <w:lang w:val="en-US"/>
        </w:rPr>
        <w:t>May 2023, was 0</w:t>
      </w:r>
      <w:r w:rsidRPr="002A6E74">
        <w:rPr>
          <w:rFonts w:ascii="Arial Narrow" w:hAnsi="Arial Narrow" w:cs="Tahoma"/>
          <w:sz w:val="22"/>
          <w:lang w:val="en-US"/>
        </w:rPr>
        <w:t>.3% lower.</w:t>
      </w:r>
      <w:r w:rsidRPr="002A6E74">
        <w:rPr>
          <w:rFonts w:ascii="Arial Narrow" w:hAnsi="Arial Narrow" w:cs="Tahoma"/>
          <w:sz w:val="22"/>
          <w:szCs w:val="22"/>
          <w:lang w:val="en-US"/>
        </w:rPr>
        <w:t xml:space="preserve"> </w:t>
      </w:r>
    </w:p>
    <w:p w:rsidR="00B23124" w:rsidRPr="002A6E74" w:rsidRDefault="00B23124" w:rsidP="00B23124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B23124" w:rsidRPr="002A6E74" w:rsidRDefault="00B23124" w:rsidP="00B23124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2A6E74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2A6E74">
        <w:rPr>
          <w:rFonts w:ascii="Arial Narrow" w:hAnsi="Arial Narrow" w:cs="Tahoma"/>
          <w:sz w:val="22"/>
          <w:lang w:val="en-US"/>
        </w:rPr>
        <w:t>June</w:t>
      </w:r>
      <w:r w:rsidRPr="002A6E74">
        <w:rPr>
          <w:rFonts w:ascii="Arial Narrow" w:hAnsi="Arial Narrow" w:cs="Tahoma"/>
          <w:sz w:val="22"/>
          <w:lang w:val="en-US"/>
        </w:rPr>
        <w:t xml:space="preserve"> 2023, compa</w:t>
      </w:r>
      <w:r w:rsidRPr="002A6E74">
        <w:rPr>
          <w:rFonts w:ascii="Arial Narrow" w:hAnsi="Arial Narrow" w:cs="Tahoma"/>
          <w:sz w:val="22"/>
          <w:lang w:val="en-US"/>
        </w:rPr>
        <w:t>red to the 2022 average, was 1.7</w:t>
      </w:r>
      <w:r w:rsidRPr="002A6E74">
        <w:rPr>
          <w:rFonts w:ascii="Arial Narrow" w:hAnsi="Arial Narrow" w:cs="Tahoma"/>
          <w:sz w:val="22"/>
          <w:lang w:val="en-US"/>
        </w:rPr>
        <w:t xml:space="preserve">% lower, while compared to </w:t>
      </w:r>
      <w:r w:rsidRPr="002A6E74">
        <w:rPr>
          <w:rFonts w:ascii="Arial Narrow" w:hAnsi="Arial Narrow" w:cs="Tahoma"/>
          <w:sz w:val="22"/>
          <w:lang w:val="en-US"/>
        </w:rPr>
        <w:t>the same month of the previous year</w:t>
      </w:r>
      <w:r w:rsidRPr="002A6E74">
        <w:rPr>
          <w:rFonts w:ascii="Arial Narrow" w:hAnsi="Arial Narrow" w:cs="Tahoma"/>
          <w:sz w:val="22"/>
          <w:lang w:val="en-US"/>
        </w:rPr>
        <w:t xml:space="preserve"> it </w:t>
      </w:r>
      <w:r w:rsidRPr="002A6E74">
        <w:rPr>
          <w:rFonts w:ascii="Arial Narrow" w:hAnsi="Arial Narrow" w:cs="Tahoma"/>
          <w:sz w:val="22"/>
          <w:lang w:val="en-US"/>
        </w:rPr>
        <w:t>was 2.1% lower</w:t>
      </w:r>
      <w:r w:rsidRPr="002A6E74">
        <w:rPr>
          <w:rFonts w:ascii="Arial Narrow" w:hAnsi="Arial Narrow" w:cs="Tahoma"/>
          <w:sz w:val="22"/>
          <w:lang w:val="en-US"/>
        </w:rPr>
        <w:t xml:space="preserve">. </w:t>
      </w:r>
    </w:p>
    <w:p w:rsidR="00994984" w:rsidRPr="002A6E74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2A6E74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CF5AA7" w:rsidRPr="002A6E74" w:rsidRDefault="00B23124" w:rsidP="00CF5AA7">
      <w:pPr>
        <w:rPr>
          <w:rFonts w:ascii="Arial Narrow" w:hAnsi="Arial Narrow" w:cs="Tahoma"/>
          <w:b/>
          <w:sz w:val="30"/>
          <w:szCs w:val="30"/>
        </w:rPr>
      </w:pPr>
      <w:r w:rsidRPr="002A6E74">
        <w:rPr>
          <w:rFonts w:ascii="Arial Narrow" w:hAnsi="Arial Narrow" w:cs="Tahoma"/>
          <w:b/>
          <w:sz w:val="30"/>
          <w:szCs w:val="30"/>
        </w:rPr>
        <w:t>In the period January-May 2023, the highest value of export was that of exports to Serbia and Croatia</w:t>
      </w:r>
    </w:p>
    <w:p w:rsidR="00B23124" w:rsidRPr="002A6E74" w:rsidRDefault="00B23124" w:rsidP="00CF5AA7">
      <w:pPr>
        <w:rPr>
          <w:rFonts w:ascii="Arial Narrow" w:hAnsi="Arial Narrow" w:cs="Tahoma"/>
          <w:sz w:val="22"/>
        </w:rPr>
      </w:pPr>
    </w:p>
    <w:p w:rsidR="00B529E4" w:rsidRPr="002A6E74" w:rsidRDefault="00B529E4" w:rsidP="00B529E4">
      <w:pPr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In the period January –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the value of export was two billion and </w:t>
      </w:r>
      <w:r w:rsidRPr="002A6E74">
        <w:rPr>
          <w:rFonts w:ascii="Arial Narrow" w:hAnsi="Arial Narrow" w:cs="Tahoma"/>
          <w:sz w:val="22"/>
        </w:rPr>
        <w:t>678</w:t>
      </w:r>
      <w:r w:rsidRPr="002A6E74">
        <w:rPr>
          <w:rFonts w:ascii="Arial Narrow" w:hAnsi="Arial Narrow" w:cs="Tahoma"/>
          <w:sz w:val="22"/>
        </w:rPr>
        <w:t xml:space="preserve"> million KM, which represented a decrease by </w:t>
      </w:r>
      <w:r w:rsidRPr="002A6E74">
        <w:rPr>
          <w:rFonts w:ascii="Arial Narrow" w:hAnsi="Arial Narrow" w:cs="Tahoma"/>
          <w:sz w:val="22"/>
        </w:rPr>
        <w:t>3.1</w:t>
      </w:r>
      <w:r w:rsidRPr="002A6E74">
        <w:rPr>
          <w:rFonts w:ascii="Arial Narrow" w:hAnsi="Arial Narrow" w:cs="Tahoma"/>
          <w:sz w:val="22"/>
        </w:rPr>
        <w:t xml:space="preserve">% compared to the period January -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2022, while the value of import was </w:t>
      </w:r>
      <w:r w:rsidRPr="002A6E74">
        <w:rPr>
          <w:rFonts w:ascii="Arial Narrow" w:hAnsi="Arial Narrow" w:cs="Tahoma"/>
          <w:sz w:val="22"/>
        </w:rPr>
        <w:t>three</w:t>
      </w:r>
      <w:r w:rsidRPr="002A6E74">
        <w:rPr>
          <w:rFonts w:ascii="Arial Narrow" w:hAnsi="Arial Narrow" w:cs="Tahoma"/>
          <w:sz w:val="22"/>
        </w:rPr>
        <w:t xml:space="preserve"> billion and </w:t>
      </w:r>
      <w:r w:rsidRPr="002A6E74">
        <w:rPr>
          <w:rFonts w:ascii="Arial Narrow" w:hAnsi="Arial Narrow" w:cs="Tahoma"/>
          <w:sz w:val="22"/>
        </w:rPr>
        <w:t>425</w:t>
      </w:r>
      <w:r w:rsidRPr="002A6E74">
        <w:rPr>
          <w:rFonts w:ascii="Arial Narrow" w:hAnsi="Arial Narrow" w:cs="Tahoma"/>
          <w:sz w:val="22"/>
        </w:rPr>
        <w:t xml:space="preserve"> million KM, which represented a decr</w:t>
      </w:r>
      <w:r w:rsidRPr="002A6E74">
        <w:rPr>
          <w:rFonts w:ascii="Arial Narrow" w:hAnsi="Arial Narrow" w:cs="Tahoma"/>
          <w:sz w:val="22"/>
        </w:rPr>
        <w:t>ease by 0.2</w:t>
      </w:r>
      <w:r w:rsidRPr="002A6E74">
        <w:rPr>
          <w:rFonts w:ascii="Arial Narrow" w:hAnsi="Arial Narrow" w:cs="Tahoma"/>
          <w:sz w:val="22"/>
        </w:rPr>
        <w:t>% compared to the period January -</w:t>
      </w:r>
      <w:r w:rsidRPr="002A6E74">
        <w:t xml:space="preserve">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2022. The percentage of coverage of import with export was </w:t>
      </w:r>
      <w:r w:rsidRPr="002A6E74">
        <w:rPr>
          <w:rFonts w:ascii="Arial Narrow" w:hAnsi="Arial Narrow" w:cs="Tahoma"/>
          <w:sz w:val="22"/>
        </w:rPr>
        <w:t>78.2</w:t>
      </w:r>
      <w:r w:rsidRPr="002A6E74">
        <w:rPr>
          <w:rFonts w:ascii="Arial Narrow" w:hAnsi="Arial Narrow" w:cs="Tahoma"/>
          <w:sz w:val="22"/>
        </w:rPr>
        <w:t>%.</w:t>
      </w:r>
    </w:p>
    <w:p w:rsidR="007E360D" w:rsidRPr="002A6E74" w:rsidRDefault="007E360D" w:rsidP="00132635">
      <w:pPr>
        <w:jc w:val="both"/>
        <w:rPr>
          <w:rFonts w:ascii="Arial Narrow" w:hAnsi="Arial Narrow" w:cs="Tahoma"/>
          <w:sz w:val="22"/>
        </w:rPr>
      </w:pPr>
    </w:p>
    <w:p w:rsidR="00B529E4" w:rsidRPr="002A6E74" w:rsidRDefault="00B529E4" w:rsidP="00B529E4">
      <w:pPr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>In June</w:t>
      </w:r>
      <w:r w:rsidRPr="002A6E74">
        <w:rPr>
          <w:rFonts w:ascii="Arial Narrow" w:hAnsi="Arial Narrow" w:cs="Tahoma"/>
          <w:sz w:val="22"/>
        </w:rPr>
        <w:t xml:space="preserve"> 2023, the value of export was </w:t>
      </w:r>
      <w:r w:rsidRPr="002A6E74">
        <w:rPr>
          <w:rFonts w:ascii="Arial Narrow" w:hAnsi="Arial Narrow" w:cs="Tahoma"/>
          <w:sz w:val="22"/>
        </w:rPr>
        <w:t>450</w:t>
      </w:r>
      <w:r w:rsidRPr="002A6E74">
        <w:rPr>
          <w:rFonts w:ascii="Arial Narrow" w:hAnsi="Arial Narrow" w:cs="Tahoma"/>
          <w:sz w:val="22"/>
        </w:rPr>
        <w:t xml:space="preserve"> million KM, whic</w:t>
      </w:r>
      <w:r w:rsidRPr="002A6E74">
        <w:rPr>
          <w:rFonts w:ascii="Arial Narrow" w:hAnsi="Arial Narrow" w:cs="Tahoma"/>
          <w:sz w:val="22"/>
        </w:rPr>
        <w:t>h represented a decrease by 12.5</w:t>
      </w:r>
      <w:r w:rsidRPr="002A6E74">
        <w:rPr>
          <w:rFonts w:ascii="Arial Narrow" w:hAnsi="Arial Narrow" w:cs="Tahoma"/>
          <w:sz w:val="22"/>
        </w:rPr>
        <w:t xml:space="preserve">% compared to the same month of 2022, while the value of import was </w:t>
      </w:r>
      <w:r w:rsidRPr="002A6E74">
        <w:rPr>
          <w:rFonts w:ascii="Arial Narrow" w:hAnsi="Arial Narrow" w:cs="Tahoma"/>
          <w:sz w:val="22"/>
        </w:rPr>
        <w:t>640</w:t>
      </w:r>
      <w:r w:rsidRPr="002A6E74">
        <w:rPr>
          <w:rFonts w:ascii="Arial Narrow" w:hAnsi="Arial Narrow" w:cs="Tahoma"/>
          <w:sz w:val="22"/>
        </w:rPr>
        <w:t xml:space="preserve"> million KM, which represented </w:t>
      </w:r>
      <w:r w:rsidRPr="002A6E74">
        <w:rPr>
          <w:rFonts w:ascii="Arial Narrow" w:hAnsi="Arial Narrow" w:cs="Tahoma"/>
          <w:sz w:val="22"/>
        </w:rPr>
        <w:t>a decrease by 0.6</w:t>
      </w:r>
      <w:r w:rsidRPr="002A6E74">
        <w:rPr>
          <w:rFonts w:ascii="Arial Narrow" w:hAnsi="Arial Narrow" w:cs="Tahoma"/>
          <w:sz w:val="22"/>
        </w:rPr>
        <w:t xml:space="preserve">% compared to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2022. The percentage of coverage of import with export was </w:t>
      </w:r>
      <w:r w:rsidRPr="002A6E74">
        <w:rPr>
          <w:rFonts w:ascii="Arial Narrow" w:hAnsi="Arial Narrow" w:cs="Tahoma"/>
          <w:sz w:val="22"/>
        </w:rPr>
        <w:t>70.3</w:t>
      </w:r>
      <w:r w:rsidRPr="002A6E74">
        <w:rPr>
          <w:rFonts w:ascii="Arial Narrow" w:hAnsi="Arial Narrow" w:cs="Tahoma"/>
          <w:sz w:val="22"/>
        </w:rPr>
        <w:t>%.</w:t>
      </w:r>
    </w:p>
    <w:p w:rsidR="00B529E4" w:rsidRPr="002A6E74" w:rsidRDefault="00B529E4" w:rsidP="00132635">
      <w:pPr>
        <w:jc w:val="both"/>
        <w:rPr>
          <w:rFonts w:ascii="Arial Narrow" w:hAnsi="Arial Narrow" w:cs="Tahoma"/>
          <w:sz w:val="22"/>
        </w:rPr>
      </w:pPr>
    </w:p>
    <w:p w:rsidR="00B529E4" w:rsidRPr="002A6E74" w:rsidRDefault="00B529E4" w:rsidP="00B529E4">
      <w:pPr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 w:rsidRPr="002A6E74">
        <w:rPr>
          <w:rFonts w:ascii="Arial Narrow" w:hAnsi="Arial Narrow" w:cs="Tahoma"/>
          <w:sz w:val="22"/>
        </w:rPr>
        <w:t>441 million KM or 16.5</w:t>
      </w:r>
      <w:r w:rsidRPr="002A6E74">
        <w:rPr>
          <w:rFonts w:ascii="Arial Narrow" w:hAnsi="Arial Narrow" w:cs="Tahoma"/>
          <w:sz w:val="22"/>
        </w:rPr>
        <w:t xml:space="preserve">%, followed by Croatia, with </w:t>
      </w:r>
      <w:r w:rsidRPr="002A6E74">
        <w:rPr>
          <w:rFonts w:ascii="Arial Narrow" w:hAnsi="Arial Narrow" w:cs="Tahoma"/>
          <w:sz w:val="22"/>
        </w:rPr>
        <w:t>408</w:t>
      </w:r>
      <w:r w:rsidRPr="002A6E74">
        <w:rPr>
          <w:rFonts w:ascii="Arial Narrow" w:hAnsi="Arial Narrow" w:cs="Tahoma"/>
          <w:sz w:val="22"/>
        </w:rPr>
        <w:t xml:space="preserve"> million KM or </w:t>
      </w:r>
      <w:r w:rsidRPr="002A6E74">
        <w:rPr>
          <w:rFonts w:ascii="Arial Narrow" w:hAnsi="Arial Narrow" w:cs="Tahoma"/>
          <w:sz w:val="22"/>
        </w:rPr>
        <w:t>15.2</w:t>
      </w:r>
      <w:r w:rsidRPr="002A6E74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2A6E74">
        <w:rPr>
          <w:rFonts w:ascii="Arial Narrow" w:hAnsi="Arial Narrow" w:cs="Tahoma"/>
          <w:sz w:val="22"/>
        </w:rPr>
        <w:t>533 million KM or 15.6</w:t>
      </w:r>
      <w:r w:rsidRPr="002A6E74">
        <w:rPr>
          <w:rFonts w:ascii="Arial Narrow" w:hAnsi="Arial Narrow" w:cs="Tahoma"/>
          <w:sz w:val="22"/>
        </w:rPr>
        <w:t xml:space="preserve">%, followed by Italy, with </w:t>
      </w:r>
      <w:r w:rsidRPr="002A6E74">
        <w:rPr>
          <w:rFonts w:ascii="Arial Narrow" w:hAnsi="Arial Narrow" w:cs="Tahoma"/>
          <w:sz w:val="22"/>
        </w:rPr>
        <w:t>510 million KM or 14.9</w:t>
      </w:r>
      <w:r w:rsidRPr="002A6E74">
        <w:rPr>
          <w:rFonts w:ascii="Arial Narrow" w:hAnsi="Arial Narrow" w:cs="Tahoma"/>
          <w:sz w:val="22"/>
        </w:rPr>
        <w:t>% of the total realised import.</w:t>
      </w:r>
    </w:p>
    <w:p w:rsidR="00B1451F" w:rsidRPr="002A6E74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B529E4" w:rsidRPr="002A6E74" w:rsidRDefault="00B529E4" w:rsidP="00B529E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2A6E74">
        <w:rPr>
          <w:rFonts w:ascii="Arial Narrow" w:hAnsi="Arial Narrow" w:cs="Tahoma"/>
          <w:sz w:val="22"/>
        </w:rPr>
        <w:t xml:space="preserve">By group of products, in the period January - </w:t>
      </w:r>
      <w:r w:rsidRPr="002A6E74">
        <w:rPr>
          <w:rFonts w:ascii="Arial Narrow" w:hAnsi="Arial Narrow" w:cs="Tahoma"/>
          <w:sz w:val="22"/>
        </w:rPr>
        <w:t>June</w:t>
      </w:r>
      <w:r w:rsidRPr="002A6E74">
        <w:rPr>
          <w:rFonts w:ascii="Arial Narrow" w:hAnsi="Arial Narrow" w:cs="Tahoma"/>
          <w:sz w:val="22"/>
        </w:rPr>
        <w:t xml:space="preserve"> 2023, the highest share in export was that of electricity, with the total value of </w:t>
      </w:r>
      <w:r w:rsidRPr="002A6E74">
        <w:rPr>
          <w:rFonts w:ascii="Arial Narrow" w:hAnsi="Arial Narrow" w:cs="Tahoma"/>
          <w:sz w:val="22"/>
        </w:rPr>
        <w:t>321</w:t>
      </w:r>
      <w:r w:rsidRPr="002A6E74">
        <w:rPr>
          <w:rFonts w:ascii="Arial Narrow" w:hAnsi="Arial Narrow" w:cs="Tahoma"/>
          <w:sz w:val="22"/>
        </w:rPr>
        <w:t xml:space="preserve"> </w:t>
      </w:r>
      <w:r w:rsidRPr="002A6E74">
        <w:rPr>
          <w:rFonts w:ascii="Arial Narrow" w:hAnsi="Arial Narrow" w:cs="Tahoma"/>
          <w:sz w:val="22"/>
        </w:rPr>
        <w:t>million KM, which was 12.0</w:t>
      </w:r>
      <w:r w:rsidRPr="002A6E74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2A6E74">
        <w:rPr>
          <w:rFonts w:ascii="Arial Narrow" w:hAnsi="Arial Narrow" w:cs="Tahoma"/>
          <w:sz w:val="22"/>
        </w:rPr>
        <w:t>219</w:t>
      </w:r>
      <w:r w:rsidRPr="002A6E74">
        <w:rPr>
          <w:rFonts w:ascii="Arial Narrow" w:hAnsi="Arial Narrow" w:cs="Tahoma"/>
          <w:sz w:val="22"/>
        </w:rPr>
        <w:t xml:space="preserve"> million KM, which was 6.4% of the total import.</w:t>
      </w:r>
    </w:p>
    <w:p w:rsidR="00B1451F" w:rsidRPr="002A6E7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A6276" w:rsidRPr="002A6E74" w:rsidRDefault="00B26E7F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2A6E7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994321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994321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529E4" w:rsidRPr="002A6E74" w:rsidRDefault="00B529E4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2A6E74" w:rsidRDefault="0099432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2A6E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7D40B" wp14:editId="536E839C">
                <wp:simplePos x="0" y="0"/>
                <wp:positionH relativeFrom="margin">
                  <wp:posOffset>5136542</wp:posOffset>
                </wp:positionH>
                <wp:positionV relativeFrom="paragraph">
                  <wp:posOffset>1216964</wp:posOffset>
                </wp:positionV>
                <wp:extent cx="533400" cy="2101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321" w:rsidRDefault="00994321" w:rsidP="0099432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D40B" id="Text Box 12" o:spid="_x0000_s1034" type="#_x0000_t202" style="position:absolute;left:0;text-align:left;margin-left:404.45pt;margin-top:95.8pt;width:42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" fillcolor="window" stroked="f" strokeweight=".5pt">
                <v:textbox>
                  <w:txbxContent>
                    <w:p w:rsidR="00994321" w:rsidRDefault="00994321" w:rsidP="0099432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E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7D40B" wp14:editId="536E839C">
                <wp:simplePos x="0" y="0"/>
                <wp:positionH relativeFrom="margin">
                  <wp:posOffset>5136543</wp:posOffset>
                </wp:positionH>
                <wp:positionV relativeFrom="paragraph">
                  <wp:posOffset>861777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321" w:rsidRDefault="00994321" w:rsidP="0099432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D40B" id="Text Box 29" o:spid="_x0000_s1035" type="#_x0000_t202" style="position:absolute;left:0;text-align:left;margin-left:404.45pt;margin-top:67.85pt;width:42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" fillcolor="window" stroked="f" strokeweight=".5pt">
                <v:textbox>
                  <w:txbxContent>
                    <w:p w:rsidR="00994321" w:rsidRDefault="00994321" w:rsidP="0099432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280" w:rsidRPr="002A6E7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327.55pt;margin-top:178.35pt;width:30.85pt;height:16.8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2A6E74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2A6E74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2A6E74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2A6E7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7" type="#_x0000_t202" style="position:absolute;left:0;text-align:left;margin-left:166.1pt;margin-top:.55pt;width:30.85pt;height:16.8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2A6E74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2A6E7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2A6E74" w:rsidRDefault="00994321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2A6E74">
        <w:rPr>
          <w:rFonts w:ascii="Arial Narrow" w:hAnsi="Arial Narrow" w:cs="Tahoma"/>
          <w:sz w:val="16"/>
          <w:szCs w:val="22"/>
        </w:rPr>
        <w:t>Graph</w:t>
      </w:r>
      <w:r w:rsidR="0031264C" w:rsidRPr="002A6E74">
        <w:rPr>
          <w:rFonts w:ascii="Arial Narrow" w:hAnsi="Arial Narrow" w:cs="Tahoma"/>
          <w:sz w:val="16"/>
          <w:szCs w:val="22"/>
        </w:rPr>
        <w:t xml:space="preserve"> 4. </w:t>
      </w:r>
      <w:r w:rsidRPr="002A6E74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2A6E7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A6E7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A6E7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2A6E7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2A6E7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2A6E7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2A6E74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2A6E74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2A6E74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2A6E7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53B24" w:rsidRPr="002A6E7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53B24" w:rsidRPr="002A6E7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53B24" w:rsidRPr="002A6E7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2A6E74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43A2F" w:rsidRPr="002A6E74" w:rsidTr="00D5442E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A6E74" w:rsidRDefault="00D5442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A6E74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2A6E74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2A6E7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A6E7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A6E7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A6E7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A6E7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A6E7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A6E7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A6E7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A6E7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043A2F" w:rsidRPr="002A6E74" w:rsidTr="00D5442E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A6E74" w:rsidRDefault="00D5442E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2A6E74" w:rsidRDefault="00D5442E" w:rsidP="00D5442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sz w:val="18"/>
                <w:szCs w:val="18"/>
              </w:rPr>
              <w:t>biljana.glusac@rzs.rs.ba</w:t>
            </w:r>
            <w:r w:rsidR="0066022A" w:rsidRPr="002A6E74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5442E" w:rsidRPr="002A6E74" w:rsidTr="00D5442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Pr="002A6E74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D5442E" w:rsidRPr="002A6E74" w:rsidTr="00D5442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D5442E" w:rsidRPr="002A6E74" w:rsidRDefault="00D5442E" w:rsidP="00D5442E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2A6E74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5" w:history="1">
              <w:r w:rsidRPr="002A6E74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Pr="002A6E7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; </w:t>
            </w:r>
          </w:p>
        </w:tc>
      </w:tr>
      <w:tr w:rsidR="00D5442E" w:rsidRPr="002A6E74" w:rsidTr="00D5442E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D5442E" w:rsidRPr="002A6E74" w:rsidRDefault="00D5442E" w:rsidP="00D5442E">
            <w:pPr>
              <w:jc w:val="both"/>
              <w:rPr>
                <w:rStyle w:val="Hyperlink"/>
                <w:color w:val="000000" w:themeColor="text1"/>
              </w:rPr>
            </w:pPr>
            <w:hyperlink r:id="rId16" w:history="1">
              <w:r w:rsidRPr="002A6E74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D5442E" w:rsidRPr="002A6E74" w:rsidRDefault="00D5442E" w:rsidP="00D5442E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5442E" w:rsidRPr="002A6E74" w:rsidRDefault="00D5442E" w:rsidP="00D5442E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D5442E" w:rsidRPr="002A6E74" w:rsidRDefault="00D5442E" w:rsidP="00D5442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2A6E7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2A6E7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2A6E7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2A6E7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2A6E7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2A6E7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2A6E74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2A6E74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86F8F" id="Line 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2A6E74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2A6E74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2A6E74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2A6E74" w:rsidRDefault="00D5442E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2A6E74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42E" w:rsidRPr="002A6E74" w:rsidRDefault="00D5442E" w:rsidP="00D54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D5442E" w:rsidRPr="002A6E74" w:rsidRDefault="00D5442E" w:rsidP="00D54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D5442E" w:rsidRPr="002A6E74" w:rsidRDefault="00D5442E" w:rsidP="00D54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D5442E" w:rsidRPr="002A6E74" w:rsidRDefault="00D5442E" w:rsidP="00D54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D5442E" w:rsidRPr="002A6E74" w:rsidRDefault="00D5442E" w:rsidP="00D54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2A6E74" w:rsidRDefault="00D5442E" w:rsidP="00D54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</w:t>
            </w:r>
            <w:r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ephone: +387 51 332 700; E-mail</w:t>
            </w:r>
            <w:r w:rsidR="002B3E94" w:rsidRPr="002A6E7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7" w:history="1">
              <w:r w:rsidR="002B3E94" w:rsidRPr="002A6E74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2A6E74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2A6E74" w:rsidRDefault="00D5442E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2A6E74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2A6E74" w:rsidRDefault="004F6953" w:rsidP="009E2A9A">
      <w:pPr>
        <w:rPr>
          <w:rFonts w:ascii="Tahoma" w:hAnsi="Tahoma" w:cs="Tahoma"/>
          <w:color w:val="000000" w:themeColor="text1"/>
        </w:rPr>
      </w:pPr>
      <w:r w:rsidRPr="002A6E74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BE076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2A6E74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91A6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91A65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91A6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91A65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5442E" w:rsidRDefault="00D5442E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5442E" w:rsidRDefault="00D5442E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5442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5442E">
            <w:rPr>
              <w:rFonts w:ascii="Arial Narrow" w:hAnsi="Arial Narrow" w:cs="Tahoma"/>
              <w:color w:val="1F497D"/>
              <w:sz w:val="16"/>
              <w:lang w:val="sr-Latn-BA"/>
            </w:rPr>
            <w:t xml:space="preserve">4 July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D5442E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D5442E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95A89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904B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52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A2F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459"/>
    <w:rsid w:val="001F4C53"/>
    <w:rsid w:val="001F5630"/>
    <w:rsid w:val="001F59BE"/>
    <w:rsid w:val="001F610A"/>
    <w:rsid w:val="001F61E8"/>
    <w:rsid w:val="001F62EB"/>
    <w:rsid w:val="001F63B8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1F26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A65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6E74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321"/>
    <w:rsid w:val="00994559"/>
    <w:rsid w:val="009945B7"/>
    <w:rsid w:val="00994984"/>
    <w:rsid w:val="00994A87"/>
    <w:rsid w:val="00994D70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124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9E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A1C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97E28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4F0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42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4DB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DF2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24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D2BE3FB"/>
  <w15:docId w15:val="{3E01B93C-9841-4946-B2AC-60FAFCA6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nela.boroj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andrea.erak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eljka.draskov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JUN%202023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2022</c:v>
                  </c:pt>
                  <c:pt idx="7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1157</c:v>
                </c:pt>
                <c:pt idx="1">
                  <c:v>1160</c:v>
                </c:pt>
                <c:pt idx="2">
                  <c:v>1166</c:v>
                </c:pt>
                <c:pt idx="3">
                  <c:v>1189</c:v>
                </c:pt>
                <c:pt idx="4">
                  <c:v>1198</c:v>
                </c:pt>
                <c:pt idx="5">
                  <c:v>1211</c:v>
                </c:pt>
                <c:pt idx="6">
                  <c:v>1217</c:v>
                </c:pt>
                <c:pt idx="7">
                  <c:v>1217</c:v>
                </c:pt>
                <c:pt idx="8">
                  <c:v>1256</c:v>
                </c:pt>
                <c:pt idx="9">
                  <c:v>1258</c:v>
                </c:pt>
                <c:pt idx="10">
                  <c:v>1265</c:v>
                </c:pt>
                <c:pt idx="11">
                  <c:v>1280</c:v>
                </c:pt>
                <c:pt idx="12">
                  <c:v>1284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678144"/>
        <c:axId val="149271296"/>
      </c:lineChart>
      <c:catAx>
        <c:axId val="14867814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9271296"/>
        <c:crosses val="autoZero"/>
        <c:auto val="1"/>
        <c:lblAlgn val="ctr"/>
        <c:lblOffset val="100"/>
        <c:noMultiLvlLbl val="0"/>
      </c:catAx>
      <c:valAx>
        <c:axId val="149271296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8678144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1.1000000000000001</c:v>
                </c:pt>
                <c:pt idx="1">
                  <c:v>0.9</c:v>
                </c:pt>
                <c:pt idx="2">
                  <c:v>0.4</c:v>
                </c:pt>
                <c:pt idx="3">
                  <c:v>1</c:v>
                </c:pt>
                <c:pt idx="4">
                  <c:v>1.8</c:v>
                </c:pt>
                <c:pt idx="5">
                  <c:v>0.5</c:v>
                </c:pt>
                <c:pt idx="6">
                  <c:v>-0.4</c:v>
                </c:pt>
                <c:pt idx="7">
                  <c:v>0.6</c:v>
                </c:pt>
                <c:pt idx="8">
                  <c:v>0.6</c:v>
                </c:pt>
                <c:pt idx="9">
                  <c:v>0.5</c:v>
                </c:pt>
                <c:pt idx="10">
                  <c:v>0.3</c:v>
                </c:pt>
                <c:pt idx="11">
                  <c:v>-0.1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14.3</c:v>
                </c:pt>
                <c:pt idx="1">
                  <c:v>15.4</c:v>
                </c:pt>
                <c:pt idx="2">
                  <c:v>15.6</c:v>
                </c:pt>
                <c:pt idx="3">
                  <c:v>16.100000000000001</c:v>
                </c:pt>
                <c:pt idx="4">
                  <c:v>15.5</c:v>
                </c:pt>
                <c:pt idx="5">
                  <c:v>14.7</c:v>
                </c:pt>
                <c:pt idx="6">
                  <c:v>13.6</c:v>
                </c:pt>
                <c:pt idx="7">
                  <c:v>13.4</c:v>
                </c:pt>
                <c:pt idx="8">
                  <c:v>12.7</c:v>
                </c:pt>
                <c:pt idx="9">
                  <c:v>10.4</c:v>
                </c:pt>
                <c:pt idx="10">
                  <c:v>9</c:v>
                </c:pt>
                <c:pt idx="11">
                  <c:v>7.3</c:v>
                </c:pt>
                <c:pt idx="12">
                  <c:v>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194176"/>
        <c:axId val="164208640"/>
      </c:lineChart>
      <c:catAx>
        <c:axId val="16419417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2086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42086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19417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  <c:pt idx="19">
                    <c:v>2021</c:v>
                  </c:pt>
                  <c:pt idx="31">
                    <c:v>2022</c:v>
                  </c:pt>
                  <c:pt idx="43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103.04817659657955</c:v>
                </c:pt>
                <c:pt idx="1">
                  <c:v>108.09324067501095</c:v>
                </c:pt>
                <c:pt idx="2">
                  <c:v>106.57774977449812</c:v>
                </c:pt>
                <c:pt idx="3">
                  <c:v>102.85407772657834</c:v>
                </c:pt>
                <c:pt idx="4">
                  <c:v>96.090861708287704</c:v>
                </c:pt>
                <c:pt idx="5">
                  <c:v>97.977496330809089</c:v>
                </c:pt>
                <c:pt idx="6">
                  <c:v>97.705722952409459</c:v>
                </c:pt>
                <c:pt idx="7">
                  <c:v>100.25059621266271</c:v>
                </c:pt>
                <c:pt idx="8">
                  <c:v>93.168720593940492</c:v>
                </c:pt>
                <c:pt idx="9">
                  <c:v>92.454701578438417</c:v>
                </c:pt>
                <c:pt idx="10">
                  <c:v>86.781395124474827</c:v>
                </c:pt>
                <c:pt idx="11">
                  <c:v>87.072010268467807</c:v>
                </c:pt>
                <c:pt idx="12">
                  <c:v>88.088919215366616</c:v>
                </c:pt>
                <c:pt idx="13">
                  <c:v>94.379482177255383</c:v>
                </c:pt>
                <c:pt idx="14">
                  <c:v>95.671922439872105</c:v>
                </c:pt>
                <c:pt idx="15">
                  <c:v>94.445101537638024</c:v>
                </c:pt>
                <c:pt idx="16">
                  <c:v>95.908476948163027</c:v>
                </c:pt>
                <c:pt idx="17">
                  <c:v>96.436213029592508</c:v>
                </c:pt>
                <c:pt idx="18">
                  <c:v>100.42005412027719</c:v>
                </c:pt>
                <c:pt idx="19">
                  <c:v>101.71949120144912</c:v>
                </c:pt>
                <c:pt idx="20">
                  <c:v>107.09631171472243</c:v>
                </c:pt>
                <c:pt idx="21">
                  <c:v>103.29315687158348</c:v>
                </c:pt>
                <c:pt idx="22">
                  <c:v>103.39359324734424</c:v>
                </c:pt>
                <c:pt idx="23">
                  <c:v>100.76325187426103</c:v>
                </c:pt>
                <c:pt idx="24">
                  <c:v>104.33094778454578</c:v>
                </c:pt>
                <c:pt idx="25">
                  <c:v>100.95881705172785</c:v>
                </c:pt>
                <c:pt idx="26">
                  <c:v>101.20938314728267</c:v>
                </c:pt>
                <c:pt idx="27">
                  <c:v>100.08445043539018</c:v>
                </c:pt>
                <c:pt idx="28">
                  <c:v>100.93868328517537</c:v>
                </c:pt>
                <c:pt idx="29">
                  <c:v>105.82598672771095</c:v>
                </c:pt>
                <c:pt idx="30">
                  <c:v>106.59114789337602</c:v>
                </c:pt>
                <c:pt idx="31">
                  <c:v>101.91394838829362</c:v>
                </c:pt>
                <c:pt idx="32">
                  <c:v>103.42586475494734</c:v>
                </c:pt>
                <c:pt idx="33">
                  <c:v>107.37863060755679</c:v>
                </c:pt>
                <c:pt idx="34">
                  <c:v>110.65641115087098</c:v>
                </c:pt>
                <c:pt idx="35">
                  <c:v>107.51099555617246</c:v>
                </c:pt>
                <c:pt idx="36">
                  <c:v>104.51200989735723</c:v>
                </c:pt>
                <c:pt idx="37">
                  <c:v>99.398130528459163</c:v>
                </c:pt>
                <c:pt idx="38">
                  <c:v>101.38608872259233</c:v>
                </c:pt>
                <c:pt idx="39">
                  <c:v>98.539783877079728</c:v>
                </c:pt>
                <c:pt idx="40">
                  <c:v>99.668175311136451</c:v>
                </c:pt>
                <c:pt idx="41">
                  <c:v>101.11021741562297</c:v>
                </c:pt>
                <c:pt idx="42">
                  <c:v>101.45582253043167</c:v>
                </c:pt>
                <c:pt idx="43">
                  <c:v>104.53233717768791</c:v>
                </c:pt>
                <c:pt idx="44">
                  <c:v>101.63070661127607</c:v>
                </c:pt>
                <c:pt idx="45">
                  <c:v>104.71008129296692</c:v>
                </c:pt>
                <c:pt idx="46">
                  <c:v>102.43233146298175</c:v>
                </c:pt>
                <c:pt idx="47">
                  <c:v>102.12878628088187</c:v>
                </c:pt>
                <c:pt idx="48">
                  <c:v>97.877737184602509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9D-439B-93B9-4F21E9B4729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  <c:pt idx="19">
                    <c:v>2021</c:v>
                  </c:pt>
                  <c:pt idx="31">
                    <c:v>2022</c:v>
                  </c:pt>
                  <c:pt idx="43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103.36047384647823</c:v>
                </c:pt>
                <c:pt idx="1">
                  <c:v>105.62292970354785</c:v>
                </c:pt>
                <c:pt idx="2">
                  <c:v>105.18413062167035</c:v>
                </c:pt>
                <c:pt idx="3">
                  <c:v>102.01876772615499</c:v>
                </c:pt>
                <c:pt idx="4">
                  <c:v>98.866513018011204</c:v>
                </c:pt>
                <c:pt idx="5">
                  <c:v>97.847747132920574</c:v>
                </c:pt>
                <c:pt idx="6">
                  <c:v>98.105280762689389</c:v>
                </c:pt>
                <c:pt idx="7">
                  <c:v>97.265314418529755</c:v>
                </c:pt>
                <c:pt idx="8">
                  <c:v>94.573496118653026</c:v>
                </c:pt>
                <c:pt idx="9">
                  <c:v>91.386286927602043</c:v>
                </c:pt>
                <c:pt idx="10">
                  <c:v>88.820553825096397</c:v>
                </c:pt>
                <c:pt idx="11">
                  <c:v>88.049549243557991</c:v>
                </c:pt>
                <c:pt idx="12">
                  <c:v>89.7759715414319</c:v>
                </c:pt>
                <c:pt idx="13">
                  <c:v>92.7751091408782</c:v>
                </c:pt>
                <c:pt idx="14">
                  <c:v>94.668827370044454</c:v>
                </c:pt>
                <c:pt idx="15">
                  <c:v>95.212258949732899</c:v>
                </c:pt>
                <c:pt idx="16">
                  <c:v>95.952977411267128</c:v>
                </c:pt>
                <c:pt idx="17">
                  <c:v>97.524564492833818</c:v>
                </c:pt>
                <c:pt idx="18">
                  <c:v>99.83082544247678</c:v>
                </c:pt>
                <c:pt idx="19">
                  <c:v>102.449887307935</c:v>
                </c:pt>
                <c:pt idx="20">
                  <c:v>104.19840996157521</c:v>
                </c:pt>
                <c:pt idx="21">
                  <c:v>104.00061233393362</c:v>
                </c:pt>
                <c:pt idx="22">
                  <c:v>102.90944142625933</c:v>
                </c:pt>
                <c:pt idx="23">
                  <c:v>102.45000849592626</c:v>
                </c:pt>
                <c:pt idx="24">
                  <c:v>102.42726895832612</c:v>
                </c:pt>
                <c:pt idx="25">
                  <c:v>101.82944694318006</c:v>
                </c:pt>
                <c:pt idx="26">
                  <c:v>101.08257816977415</c:v>
                </c:pt>
                <c:pt idx="27">
                  <c:v>100.98940389537395</c:v>
                </c:pt>
                <c:pt idx="28">
                  <c:v>102.1997677466922</c:v>
                </c:pt>
                <c:pt idx="29">
                  <c:v>104.29881071263242</c:v>
                </c:pt>
                <c:pt idx="30">
                  <c:v>104.80355368831538</c:v>
                </c:pt>
                <c:pt idx="31">
                  <c:v>103.91124252468494</c:v>
                </c:pt>
                <c:pt idx="32">
                  <c:v>104.53623997668387</c:v>
                </c:pt>
                <c:pt idx="33">
                  <c:v>106.88161905543593</c:v>
                </c:pt>
                <c:pt idx="34">
                  <c:v>108.25003398348798</c:v>
                </c:pt>
                <c:pt idx="35">
                  <c:v>107.00680103703881</c:v>
                </c:pt>
                <c:pt idx="36">
                  <c:v>104.06575714290732</c:v>
                </c:pt>
                <c:pt idx="37">
                  <c:v>101.55894230984134</c:v>
                </c:pt>
                <c:pt idx="38">
                  <c:v>100.37328340646586</c:v>
                </c:pt>
                <c:pt idx="39">
                  <c:v>99.788580182764647</c:v>
                </c:pt>
                <c:pt idx="40">
                  <c:v>99.987330823194526</c:v>
                </c:pt>
                <c:pt idx="41">
                  <c:v>100.91694407884749</c:v>
                </c:pt>
                <c:pt idx="42">
                  <c:v>102.05212758935681</c:v>
                </c:pt>
                <c:pt idx="43">
                  <c:v>102.86813707952264</c:v>
                </c:pt>
                <c:pt idx="44">
                  <c:v>103.09430873324787</c:v>
                </c:pt>
                <c:pt idx="45">
                  <c:v>103.18910982560729</c:v>
                </c:pt>
                <c:pt idx="46">
                  <c:v>102.6485043843073</c:v>
                </c:pt>
                <c:pt idx="47">
                  <c:v>101.14653758624975</c:v>
                </c:pt>
                <c:pt idx="48">
                  <c:v>99.659219103631131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9D-439B-93B9-4F21E9B47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8378880"/>
        <c:axId val="273047552"/>
      </c:lineChart>
      <c:catAx>
        <c:axId val="24837888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3047552"/>
        <c:crosses val="autoZero"/>
        <c:auto val="1"/>
        <c:lblAlgn val="ctr"/>
        <c:lblOffset val="100"/>
        <c:noMultiLvlLbl val="0"/>
      </c:catAx>
      <c:valAx>
        <c:axId val="273047552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4837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'Jan_Jun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'Jan_Jun 2023'!$B$1:$N$1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'Jan_Jun 2023'!$B$2:$N$2</c:f>
              <c:numCache>
                <c:formatCode>0</c:formatCode>
                <c:ptCount val="13"/>
                <c:pt idx="0">
                  <c:v>643838</c:v>
                </c:pt>
                <c:pt idx="1">
                  <c:v>586702</c:v>
                </c:pt>
                <c:pt idx="2">
                  <c:v>536027</c:v>
                </c:pt>
                <c:pt idx="3">
                  <c:v>665885</c:v>
                </c:pt>
                <c:pt idx="4">
                  <c:v>669870</c:v>
                </c:pt>
                <c:pt idx="5">
                  <c:v>672142</c:v>
                </c:pt>
                <c:pt idx="6">
                  <c:v>617095</c:v>
                </c:pt>
                <c:pt idx="7">
                  <c:v>419177</c:v>
                </c:pt>
                <c:pt idx="8">
                  <c:v>543875</c:v>
                </c:pt>
                <c:pt idx="9">
                  <c:v>656752</c:v>
                </c:pt>
                <c:pt idx="10">
                  <c:v>561542</c:v>
                </c:pt>
                <c:pt idx="11">
                  <c:v>604196</c:v>
                </c:pt>
                <c:pt idx="12">
                  <c:v>604196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'Jan_Jun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'Jan_Jun 2023'!$B$1:$N$1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'Jan_Jun 2023'!$B$3:$N$3</c:f>
              <c:numCache>
                <c:formatCode>0</c:formatCode>
                <c:ptCount val="13"/>
                <c:pt idx="0">
                  <c:v>514162</c:v>
                </c:pt>
                <c:pt idx="1">
                  <c:v>456169</c:v>
                </c:pt>
                <c:pt idx="2">
                  <c:v>374642</c:v>
                </c:pt>
                <c:pt idx="3">
                  <c:v>468941</c:v>
                </c:pt>
                <c:pt idx="4">
                  <c:v>457206</c:v>
                </c:pt>
                <c:pt idx="5">
                  <c:v>479211</c:v>
                </c:pt>
                <c:pt idx="6">
                  <c:v>434497</c:v>
                </c:pt>
                <c:pt idx="7">
                  <c:v>410238</c:v>
                </c:pt>
                <c:pt idx="8">
                  <c:v>465103</c:v>
                </c:pt>
                <c:pt idx="9">
                  <c:v>478131</c:v>
                </c:pt>
                <c:pt idx="10">
                  <c:v>439156</c:v>
                </c:pt>
                <c:pt idx="11">
                  <c:v>435365</c:v>
                </c:pt>
                <c:pt idx="12">
                  <c:v>435365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562432"/>
        <c:axId val="36564352"/>
      </c:lineChart>
      <c:catAx>
        <c:axId val="365624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6564352"/>
        <c:crosses val="autoZero"/>
        <c:auto val="1"/>
        <c:lblAlgn val="ctr"/>
        <c:lblOffset val="100"/>
        <c:noMultiLvlLbl val="0"/>
      </c:catAx>
      <c:valAx>
        <c:axId val="3656435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656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569584710237545"/>
          <c:w val="0.14079288737556453"/>
          <c:h val="0.302903915816241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37FA-0D8C-457E-ACC0-0AD7D3A7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7738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1118</cp:revision>
  <cp:lastPrinted>2020-06-17T08:46:00Z</cp:lastPrinted>
  <dcterms:created xsi:type="dcterms:W3CDTF">2018-06-21T10:44:00Z</dcterms:created>
  <dcterms:modified xsi:type="dcterms:W3CDTF">2023-07-24T06:37:00Z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