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B01A80" w:rsidRDefault="00B94BFB">
      <w:bookmarkStart w:id="0" w:name="_GoBack"/>
      <w:bookmarkEnd w:id="0"/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B01A80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B01A80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01A80">
              <w:rPr>
                <w:rFonts w:ascii="Tahoma" w:hAnsi="Tahoma" w:cs="Tahoma"/>
              </w:rPr>
              <w:br w:type="column"/>
            </w:r>
            <w:r w:rsidRPr="00B01A80">
              <w:rPr>
                <w:rFonts w:ascii="Tahoma" w:hAnsi="Tahoma" w:cs="Tahoma"/>
              </w:rPr>
              <w:br w:type="column"/>
            </w:r>
            <w:r w:rsidRPr="00B01A80">
              <w:rPr>
                <w:rFonts w:ascii="Tahoma" w:hAnsi="Tahoma" w:cs="Tahoma"/>
              </w:rPr>
              <w:br w:type="page"/>
            </w:r>
            <w:r w:rsidRPr="00B01A80">
              <w:rPr>
                <w:rFonts w:ascii="Tahoma" w:hAnsi="Tahoma" w:cs="Tahoma"/>
              </w:rPr>
              <w:br w:type="page"/>
            </w:r>
            <w:r w:rsidR="004F6953" w:rsidRPr="00B01A80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B01A80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B01A8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B01A8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B01A8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B01A80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01A80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B01A80" w:rsidRDefault="004551B9" w:rsidP="00F13AB9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</w:pPr>
            <w:r w:rsidRPr="00B01A8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B01A80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B01A8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B01A8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B01A8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754138" w:rsidRPr="00B01A80">
              <w:rPr>
                <w:rFonts w:ascii="Arial Narrow" w:hAnsi="Arial Narrow" w:cs="Tahoma"/>
                <w:color w:val="44546A" w:themeColor="text2"/>
                <w:sz w:val="16"/>
              </w:rPr>
              <w:t>3 May</w:t>
            </w:r>
            <w:r w:rsidR="00431915" w:rsidRPr="00B01A8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20</w:t>
            </w:r>
            <w:r w:rsidR="00B2367E" w:rsidRPr="00B01A8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B14AF3" w:rsidRPr="00B01A8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754138" w:rsidRPr="00B01A8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B01A8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372A19" w:rsidRPr="00B01A8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1</w:t>
            </w:r>
            <w:r w:rsidR="00F13AB9" w:rsidRPr="00B01A8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58</w:t>
            </w:r>
            <w:r w:rsidR="00431915" w:rsidRPr="00B01A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B01A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BE412C" w:rsidRPr="00B01A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F6075A" w:rsidRPr="00B01A80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B01A80" w:rsidTr="005074F6">
        <w:trPr>
          <w:cantSplit/>
        </w:trPr>
        <w:tc>
          <w:tcPr>
            <w:tcW w:w="5251" w:type="dxa"/>
            <w:vAlign w:val="center"/>
          </w:tcPr>
          <w:p w:rsidR="005D5311" w:rsidRPr="00B01A8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B01A8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B01A80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B01A80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B01A80" w:rsidRDefault="00754138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B01A80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B01A80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B01A80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B01A80" w:rsidRDefault="00754138" w:rsidP="002A5A8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B01A80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May</w:t>
            </w:r>
            <w:r w:rsidR="00353834" w:rsidRPr="00B01A80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B01A80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  <w:r w:rsidR="002A5A87" w:rsidRPr="00B01A80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</w:p>
        </w:tc>
      </w:tr>
    </w:tbl>
    <w:p w:rsidR="000F689B" w:rsidRPr="00B01A80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B01A80" w:rsidRDefault="00DD279B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B01A80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April</w:t>
      </w:r>
      <w:r w:rsidR="004D737B" w:rsidRPr="00B01A80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B01A80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B01A80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7D6461" w:rsidRPr="00B01A80">
        <w:rPr>
          <w:rFonts w:ascii="Arial Narrow" w:hAnsi="Arial Narrow" w:cs="Tahoma"/>
          <w:b/>
          <w:bCs/>
          <w:sz w:val="30"/>
          <w:szCs w:val="30"/>
          <w:lang w:eastAsia="sr-Latn-BA"/>
        </w:rPr>
        <w:t>0</w:t>
      </w:r>
      <w:r w:rsidR="008E543D" w:rsidRPr="00B01A80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B02167" w:rsidRPr="00B01A80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="00E33D13" w:rsidRPr="00B01A80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B01A80" w:rsidRDefault="00DD279B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B01A80">
        <w:rPr>
          <w:rFonts w:ascii="Arial Narrow" w:hAnsi="Arial Narrow" w:cs="Tahoma"/>
          <w:b/>
          <w:sz w:val="28"/>
          <w:szCs w:val="22"/>
        </w:rPr>
        <w:t>A nominal increase in net wages recorded in all 19 sections</w:t>
      </w:r>
      <w:r w:rsidR="004707B2" w:rsidRPr="00B01A80">
        <w:rPr>
          <w:rFonts w:ascii="Arial Narrow" w:hAnsi="Arial Narrow" w:cs="Tahoma"/>
          <w:b/>
          <w:sz w:val="28"/>
          <w:szCs w:val="22"/>
        </w:rPr>
        <w:t xml:space="preserve"> (</w:t>
      </w:r>
      <w:r w:rsidRPr="00B01A80">
        <w:rPr>
          <w:rFonts w:ascii="Arial Narrow" w:hAnsi="Arial Narrow" w:cs="Tahoma"/>
          <w:b/>
          <w:sz w:val="28"/>
          <w:szCs w:val="22"/>
        </w:rPr>
        <w:t>April</w:t>
      </w:r>
      <w:r w:rsidR="004707B2" w:rsidRPr="00B01A80">
        <w:rPr>
          <w:rFonts w:ascii="Arial Narrow" w:hAnsi="Arial Narrow" w:cs="Tahoma"/>
          <w:b/>
          <w:sz w:val="28"/>
          <w:szCs w:val="22"/>
        </w:rPr>
        <w:t xml:space="preserve"> 202</w:t>
      </w:r>
      <w:r w:rsidR="002A5A87" w:rsidRPr="00B01A80">
        <w:rPr>
          <w:rFonts w:ascii="Arial Narrow" w:hAnsi="Arial Narrow" w:cs="Tahoma"/>
          <w:b/>
          <w:sz w:val="28"/>
          <w:szCs w:val="22"/>
        </w:rPr>
        <w:t>2</w:t>
      </w:r>
      <w:r w:rsidR="004707B2" w:rsidRPr="00B01A80">
        <w:rPr>
          <w:rFonts w:ascii="Arial Narrow" w:hAnsi="Arial Narrow" w:cs="Tahoma"/>
          <w:b/>
          <w:sz w:val="28"/>
          <w:szCs w:val="22"/>
        </w:rPr>
        <w:t>/</w:t>
      </w:r>
      <w:r w:rsidRPr="00B01A80">
        <w:rPr>
          <w:rFonts w:ascii="Arial Narrow" w:hAnsi="Arial Narrow" w:cs="Tahoma"/>
          <w:b/>
          <w:sz w:val="28"/>
          <w:szCs w:val="22"/>
        </w:rPr>
        <w:t>April</w:t>
      </w:r>
      <w:r w:rsidR="004707B2" w:rsidRPr="00B01A80">
        <w:rPr>
          <w:rFonts w:ascii="Arial Narrow" w:hAnsi="Arial Narrow" w:cs="Tahoma"/>
          <w:b/>
          <w:sz w:val="28"/>
          <w:szCs w:val="22"/>
        </w:rPr>
        <w:t xml:space="preserve"> 202</w:t>
      </w:r>
      <w:r w:rsidR="002A5A87" w:rsidRPr="00B01A80">
        <w:rPr>
          <w:rFonts w:ascii="Arial Narrow" w:hAnsi="Arial Narrow" w:cs="Tahoma"/>
          <w:b/>
          <w:sz w:val="28"/>
          <w:szCs w:val="22"/>
        </w:rPr>
        <w:t>1</w:t>
      </w:r>
      <w:r w:rsidR="004707B2" w:rsidRPr="00B01A80">
        <w:rPr>
          <w:rFonts w:ascii="Arial Narrow" w:hAnsi="Arial Narrow" w:cs="Tahoma"/>
          <w:b/>
          <w:sz w:val="28"/>
          <w:szCs w:val="22"/>
        </w:rPr>
        <w:t xml:space="preserve">) </w:t>
      </w:r>
    </w:p>
    <w:p w:rsidR="00E33D13" w:rsidRPr="00B01A80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B01A80">
        <w:rPr>
          <w:rFonts w:ascii="Tahoma" w:hAnsi="Tahoma" w:cs="Tahoma"/>
          <w:b/>
          <w:sz w:val="24"/>
        </w:rPr>
        <w:tab/>
      </w:r>
      <w:r w:rsidRPr="00B01A80">
        <w:rPr>
          <w:rFonts w:ascii="Tahoma" w:hAnsi="Tahoma" w:cs="Tahoma"/>
          <w:b/>
          <w:sz w:val="24"/>
        </w:rPr>
        <w:tab/>
      </w:r>
    </w:p>
    <w:p w:rsidR="00574485" w:rsidRPr="00B01A80" w:rsidRDefault="00574485" w:rsidP="0057448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B01A80">
        <w:rPr>
          <w:rFonts w:ascii="Arial Narrow" w:hAnsi="Arial Narrow" w:cs="Tahoma"/>
          <w:sz w:val="22"/>
        </w:rPr>
        <w:t xml:space="preserve">Average monthly net wage in Republika Srpska paid in April 2022 amounted to 1,094 KM and it was nominally 11.9% higher and really 0.1% higher compared to the same month of the previous year, while compared to March 2022 nominally it was 0.3% higher, while really it was 1.3% lower. Average monthly gross wage amounted to 1,649 KM. </w:t>
      </w:r>
    </w:p>
    <w:p w:rsidR="00574485" w:rsidRPr="00B01A80" w:rsidRDefault="0057448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B028E" w:rsidRPr="00B01A80" w:rsidRDefault="0057448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B01A80">
        <w:rPr>
          <w:rFonts w:ascii="Arial Narrow" w:hAnsi="Arial Narrow" w:cs="Tahoma"/>
          <w:sz w:val="22"/>
        </w:rPr>
        <w:t xml:space="preserve">In April 2022, the highest average net wage, by section of economic activities, was paid in the section </w:t>
      </w:r>
      <w:r w:rsidRPr="00B01A80">
        <w:rPr>
          <w:rFonts w:ascii="Arial Narrow" w:hAnsi="Arial Narrow" w:cs="Tahoma"/>
          <w:i/>
          <w:sz w:val="22"/>
        </w:rPr>
        <w:t>Information and communication</w:t>
      </w:r>
      <w:r w:rsidRPr="00B01A80">
        <w:rPr>
          <w:rFonts w:ascii="Arial Narrow" w:hAnsi="Arial Narrow" w:cs="Tahoma"/>
          <w:sz w:val="22"/>
        </w:rPr>
        <w:t xml:space="preserve"> and it amounted to 1,564 KM. On the other hand, the lowest average net wage in April 2022 was the one paid in the section </w:t>
      </w:r>
      <w:r w:rsidRPr="00B01A80">
        <w:rPr>
          <w:rFonts w:ascii="Arial Narrow" w:hAnsi="Arial Narrow" w:cs="Tahoma"/>
          <w:i/>
          <w:sz w:val="22"/>
        </w:rPr>
        <w:t>Construction</w:t>
      </w:r>
      <w:r w:rsidRPr="00B01A80">
        <w:rPr>
          <w:rFonts w:ascii="Arial Narrow" w:hAnsi="Arial Narrow" w:cs="Tahoma"/>
          <w:sz w:val="22"/>
        </w:rPr>
        <w:t>, 802 KM.</w:t>
      </w:r>
    </w:p>
    <w:p w:rsidR="00574485" w:rsidRPr="00B01A80" w:rsidRDefault="0057448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574485" w:rsidRPr="00B01A80" w:rsidRDefault="00574485" w:rsidP="0057448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B01A80">
        <w:rPr>
          <w:rFonts w:ascii="Arial Narrow" w:hAnsi="Arial Narrow" w:cs="Tahoma"/>
          <w:sz w:val="22"/>
        </w:rPr>
        <w:t xml:space="preserve">In April 2022, compared to April 2021, a nominal increase in net wages was recorded in all 19 sections of economic activities, with the highest increase being recorded in the section </w:t>
      </w:r>
      <w:r w:rsidRPr="00B01A80">
        <w:rPr>
          <w:rFonts w:ascii="Arial Narrow" w:hAnsi="Arial Narrow" w:cs="Tahoma"/>
          <w:i/>
          <w:sz w:val="22"/>
        </w:rPr>
        <w:t>Administrative and support service activities</w:t>
      </w:r>
      <w:r w:rsidRPr="00B01A80">
        <w:rPr>
          <w:rFonts w:ascii="Arial Narrow" w:hAnsi="Arial Narrow" w:cs="Tahoma"/>
          <w:sz w:val="22"/>
        </w:rPr>
        <w:t xml:space="preserve"> 23.9%, followed by </w:t>
      </w:r>
      <w:r w:rsidRPr="00B01A80">
        <w:rPr>
          <w:rFonts w:ascii="Arial Narrow" w:hAnsi="Arial Narrow" w:cs="Tahoma"/>
          <w:i/>
          <w:sz w:val="22"/>
        </w:rPr>
        <w:t>Accommodation and food service activities</w:t>
      </w:r>
      <w:r w:rsidRPr="00B01A80">
        <w:rPr>
          <w:rFonts w:ascii="Arial Narrow" w:hAnsi="Arial Narrow" w:cs="Tahoma"/>
          <w:sz w:val="22"/>
        </w:rPr>
        <w:t xml:space="preserve"> 21.1% and </w:t>
      </w:r>
      <w:r w:rsidRPr="00B01A80">
        <w:rPr>
          <w:rFonts w:ascii="Arial Narrow" w:hAnsi="Arial Narrow" w:cs="Tahoma"/>
          <w:i/>
          <w:sz w:val="22"/>
        </w:rPr>
        <w:t>Real estate activities</w:t>
      </w:r>
      <w:r w:rsidRPr="00B01A80">
        <w:rPr>
          <w:rFonts w:ascii="Arial Narrow" w:hAnsi="Arial Narrow" w:cs="Tahoma"/>
          <w:sz w:val="22"/>
        </w:rPr>
        <w:t xml:space="preserve"> 20.3%.</w:t>
      </w:r>
    </w:p>
    <w:p w:rsidR="00E33D13" w:rsidRPr="00B01A80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207B3" w:rsidRPr="00B01A80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  <w:r w:rsidRPr="00B01A80">
        <w:rPr>
          <w:rFonts w:ascii="Arial Narrow" w:hAnsi="Arial Narrow" w:cs="Tahoma"/>
          <w:sz w:val="22"/>
          <w:szCs w:val="22"/>
        </w:rPr>
        <w:tab/>
      </w:r>
    </w:p>
    <w:p w:rsidR="00694584" w:rsidRPr="00B01A80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B01A80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B01A80">
        <w:rPr>
          <w:rFonts w:ascii="Tahoma" w:hAnsi="Tahoma" w:cs="Tahoma"/>
          <w:i/>
          <w:sz w:val="14"/>
        </w:rPr>
        <w:t xml:space="preserve"> </w:t>
      </w:r>
      <w:r w:rsidRPr="00B01A80">
        <w:rPr>
          <w:rFonts w:ascii="Tahoma" w:hAnsi="Tahoma" w:cs="Tahoma"/>
          <w:sz w:val="14"/>
        </w:rPr>
        <w:t xml:space="preserve">   </w:t>
      </w:r>
      <w:r w:rsidRPr="00B01A80">
        <w:rPr>
          <w:rFonts w:ascii="Tahoma" w:hAnsi="Tahoma" w:cs="Tahoma"/>
          <w:sz w:val="14"/>
        </w:rPr>
        <w:tab/>
      </w:r>
      <w:r w:rsidRPr="00B01A80">
        <w:rPr>
          <w:rFonts w:ascii="Tahoma" w:hAnsi="Tahoma" w:cs="Tahoma"/>
          <w:sz w:val="14"/>
        </w:rPr>
        <w:tab/>
        <w:t xml:space="preserve">            </w:t>
      </w:r>
      <w:r w:rsidR="00F85AAC" w:rsidRPr="00B01A80">
        <w:rPr>
          <w:rFonts w:ascii="Tahoma" w:hAnsi="Tahoma" w:cs="Tahoma"/>
          <w:sz w:val="14"/>
        </w:rPr>
        <w:t xml:space="preserve">  </w:t>
      </w:r>
      <w:r w:rsidR="0062701E" w:rsidRPr="00B01A80">
        <w:rPr>
          <w:rFonts w:ascii="Tahoma" w:hAnsi="Tahoma" w:cs="Tahoma"/>
          <w:sz w:val="14"/>
        </w:rPr>
        <w:t xml:space="preserve"> </w:t>
      </w:r>
      <w:r w:rsidR="00F85AAC" w:rsidRPr="00B01A80">
        <w:rPr>
          <w:rFonts w:ascii="Tahoma" w:hAnsi="Tahoma" w:cs="Tahoma"/>
          <w:sz w:val="14"/>
        </w:rPr>
        <w:t xml:space="preserve"> </w:t>
      </w:r>
      <w:r w:rsidR="00DE7AB2" w:rsidRPr="00B01A80">
        <w:rPr>
          <w:rFonts w:ascii="Arial Narrow" w:hAnsi="Arial Narrow" w:cs="Tahoma"/>
          <w:sz w:val="16"/>
          <w:szCs w:val="22"/>
        </w:rPr>
        <w:t>KM</w:t>
      </w:r>
    </w:p>
    <w:p w:rsidR="00E33D13" w:rsidRPr="00B01A80" w:rsidRDefault="00425891" w:rsidP="00E33D13">
      <w:pPr>
        <w:jc w:val="center"/>
        <w:rPr>
          <w:rFonts w:ascii="Tahoma" w:hAnsi="Tahoma" w:cs="Tahoma"/>
        </w:rPr>
      </w:pPr>
      <w:r w:rsidRPr="00B01A80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1060862</wp:posOffset>
            </wp:positionH>
            <wp:positionV relativeFrom="paragraph">
              <wp:posOffset>2068195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B01A80">
        <w:rPr>
          <w:noProof/>
        </w:rPr>
        <w:t xml:space="preserve"> </w:t>
      </w:r>
      <w:r w:rsidR="00E33D13" w:rsidRPr="00B01A80">
        <w:rPr>
          <w:rFonts w:ascii="Tahoma" w:hAnsi="Tahoma" w:cs="Tahoma"/>
          <w:szCs w:val="18"/>
        </w:rPr>
        <w:t xml:space="preserve"> </w:t>
      </w:r>
      <w:r w:rsidR="00820BC0" w:rsidRPr="00B01A80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B01A80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B01A80" w:rsidRDefault="00754138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B01A80">
        <w:rPr>
          <w:rFonts w:ascii="Arial Narrow" w:hAnsi="Arial Narrow" w:cs="Tahoma"/>
          <w:sz w:val="16"/>
          <w:szCs w:val="22"/>
        </w:rPr>
        <w:t>Graph</w:t>
      </w:r>
      <w:r w:rsidR="00E33D13" w:rsidRPr="00B01A80">
        <w:rPr>
          <w:rFonts w:ascii="Arial Narrow" w:hAnsi="Arial Narrow" w:cs="Tahoma"/>
          <w:sz w:val="16"/>
          <w:szCs w:val="22"/>
        </w:rPr>
        <w:t xml:space="preserve"> </w:t>
      </w:r>
      <w:r w:rsidR="0066022A" w:rsidRPr="00B01A80">
        <w:rPr>
          <w:rFonts w:ascii="Arial Narrow" w:hAnsi="Arial Narrow" w:cs="Tahoma"/>
          <w:sz w:val="16"/>
          <w:szCs w:val="22"/>
        </w:rPr>
        <w:t>1</w:t>
      </w:r>
      <w:r w:rsidR="00E33D13" w:rsidRPr="00B01A80">
        <w:rPr>
          <w:rFonts w:ascii="Arial Narrow" w:hAnsi="Arial Narrow" w:cs="Tahoma"/>
          <w:sz w:val="16"/>
          <w:szCs w:val="22"/>
        </w:rPr>
        <w:t xml:space="preserve">. </w:t>
      </w:r>
      <w:r w:rsidRPr="00B01A80">
        <w:rPr>
          <w:rFonts w:ascii="Arial Narrow" w:hAnsi="Arial Narrow" w:cs="Tahoma"/>
          <w:sz w:val="16"/>
          <w:szCs w:val="22"/>
        </w:rPr>
        <w:t>Average net wages by month</w:t>
      </w:r>
    </w:p>
    <w:p w:rsidR="00B0137B" w:rsidRPr="00B01A80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B01A80" w:rsidRDefault="00EB57E2" w:rsidP="00B50951">
      <w:pPr>
        <w:rPr>
          <w:rFonts w:ascii="Arial Narrow" w:hAnsi="Arial Narrow" w:cs="Tahoma"/>
          <w:sz w:val="28"/>
          <w:szCs w:val="24"/>
        </w:rPr>
      </w:pPr>
      <w:r w:rsidRPr="00B01A80">
        <w:rPr>
          <w:rFonts w:ascii="Arial Narrow" w:hAnsi="Arial Narrow" w:cs="Tahoma"/>
          <w:b/>
          <w:sz w:val="28"/>
          <w:szCs w:val="24"/>
        </w:rPr>
        <w:t xml:space="preserve">Monthly inflation </w:t>
      </w:r>
      <w:r w:rsidR="00180B6F" w:rsidRPr="00B01A80">
        <w:rPr>
          <w:rFonts w:ascii="Arial Narrow" w:hAnsi="Arial Narrow" w:cs="Tahoma"/>
          <w:b/>
          <w:sz w:val="28"/>
          <w:szCs w:val="24"/>
        </w:rPr>
        <w:t>1</w:t>
      </w:r>
      <w:r w:rsidRPr="00B01A80">
        <w:rPr>
          <w:rFonts w:ascii="Arial Narrow" w:hAnsi="Arial Narrow" w:cs="Tahoma"/>
          <w:b/>
          <w:sz w:val="28"/>
          <w:szCs w:val="24"/>
        </w:rPr>
        <w:t>.</w:t>
      </w:r>
      <w:r w:rsidR="00A616C8" w:rsidRPr="00B01A80">
        <w:rPr>
          <w:rFonts w:ascii="Arial Narrow" w:hAnsi="Arial Narrow" w:cs="Tahoma"/>
          <w:b/>
          <w:sz w:val="28"/>
          <w:szCs w:val="24"/>
        </w:rPr>
        <w:t>6</w:t>
      </w:r>
      <w:r w:rsidR="00B50951" w:rsidRPr="00B01A80">
        <w:rPr>
          <w:rFonts w:ascii="Arial Narrow" w:hAnsi="Arial Narrow" w:cs="Tahoma"/>
          <w:b/>
          <w:sz w:val="28"/>
          <w:szCs w:val="24"/>
        </w:rPr>
        <w:t>%</w:t>
      </w:r>
      <w:r w:rsidRPr="00B01A80">
        <w:rPr>
          <w:rFonts w:ascii="Arial Narrow" w:hAnsi="Arial Narrow" w:cs="Tahoma"/>
          <w:b/>
          <w:sz w:val="28"/>
          <w:szCs w:val="24"/>
        </w:rPr>
        <w:t xml:space="preserve"> in April 2022</w:t>
      </w:r>
    </w:p>
    <w:p w:rsidR="00B50951" w:rsidRPr="00B01A80" w:rsidRDefault="00EB57E2" w:rsidP="00B50951">
      <w:pPr>
        <w:rPr>
          <w:rFonts w:ascii="Arial Narrow" w:hAnsi="Arial Narrow" w:cs="Tahoma"/>
          <w:b/>
          <w:sz w:val="28"/>
          <w:szCs w:val="24"/>
        </w:rPr>
      </w:pPr>
      <w:r w:rsidRPr="00B01A80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B01A80">
        <w:rPr>
          <w:rFonts w:ascii="Arial Narrow" w:hAnsi="Arial Narrow" w:cs="Tahoma"/>
          <w:b/>
          <w:sz w:val="28"/>
          <w:szCs w:val="24"/>
        </w:rPr>
        <w:t xml:space="preserve"> (</w:t>
      </w:r>
      <w:r w:rsidRPr="00B01A80">
        <w:rPr>
          <w:rFonts w:ascii="Arial Narrow" w:hAnsi="Arial Narrow" w:cs="Tahoma"/>
          <w:b/>
          <w:sz w:val="28"/>
          <w:szCs w:val="24"/>
        </w:rPr>
        <w:t>April</w:t>
      </w:r>
      <w:r w:rsidR="00B0137B" w:rsidRPr="00B01A80">
        <w:rPr>
          <w:rFonts w:ascii="Arial Narrow" w:hAnsi="Arial Narrow" w:cs="Tahoma"/>
          <w:b/>
          <w:sz w:val="28"/>
          <w:szCs w:val="24"/>
        </w:rPr>
        <w:t xml:space="preserve"> 2022</w:t>
      </w:r>
      <w:r w:rsidR="00B50951" w:rsidRPr="00B01A80">
        <w:rPr>
          <w:rFonts w:ascii="Arial Narrow" w:hAnsi="Arial Narrow" w:cs="Tahoma"/>
          <w:b/>
          <w:sz w:val="28"/>
          <w:szCs w:val="24"/>
        </w:rPr>
        <w:t>/</w:t>
      </w:r>
      <w:r w:rsidRPr="00B01A80">
        <w:rPr>
          <w:rFonts w:ascii="Arial Narrow" w:hAnsi="Arial Narrow" w:cs="Tahoma"/>
          <w:b/>
          <w:sz w:val="28"/>
          <w:szCs w:val="24"/>
        </w:rPr>
        <w:t>April</w:t>
      </w:r>
      <w:r w:rsidR="00B0137B" w:rsidRPr="00B01A80">
        <w:rPr>
          <w:rFonts w:ascii="Arial Narrow" w:hAnsi="Arial Narrow" w:cs="Tahoma"/>
          <w:b/>
          <w:sz w:val="28"/>
          <w:szCs w:val="24"/>
        </w:rPr>
        <w:t xml:space="preserve"> 2021</w:t>
      </w:r>
      <w:r w:rsidR="00C679AA" w:rsidRPr="00B01A80">
        <w:rPr>
          <w:rFonts w:ascii="Arial Narrow" w:hAnsi="Arial Narrow" w:cs="Tahoma"/>
          <w:b/>
          <w:sz w:val="28"/>
          <w:szCs w:val="24"/>
        </w:rPr>
        <w:t xml:space="preserve">) </w:t>
      </w:r>
      <w:r w:rsidR="00180B6F" w:rsidRPr="00B01A80">
        <w:rPr>
          <w:rFonts w:ascii="Arial Narrow" w:hAnsi="Arial Narrow" w:cs="Tahoma"/>
          <w:b/>
          <w:sz w:val="28"/>
          <w:szCs w:val="24"/>
        </w:rPr>
        <w:t>11</w:t>
      </w:r>
      <w:r w:rsidRPr="00B01A80">
        <w:rPr>
          <w:rFonts w:ascii="Arial Narrow" w:hAnsi="Arial Narrow" w:cs="Tahoma"/>
          <w:b/>
          <w:sz w:val="28"/>
          <w:szCs w:val="24"/>
        </w:rPr>
        <w:t>.</w:t>
      </w:r>
      <w:r w:rsidR="00180B6F" w:rsidRPr="00B01A80">
        <w:rPr>
          <w:rFonts w:ascii="Arial Narrow" w:hAnsi="Arial Narrow" w:cs="Tahoma"/>
          <w:b/>
          <w:sz w:val="28"/>
          <w:szCs w:val="24"/>
        </w:rPr>
        <w:t>7</w:t>
      </w:r>
      <w:r w:rsidR="00B50951" w:rsidRPr="00B01A80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B01A80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9A3D3D" w:rsidRPr="00B01A80" w:rsidRDefault="009A3D3D" w:rsidP="009A3D3D">
      <w:pPr>
        <w:jc w:val="both"/>
        <w:rPr>
          <w:rFonts w:ascii="Arial Narrow" w:hAnsi="Arial Narrow" w:cs="Tahoma"/>
          <w:sz w:val="22"/>
          <w:szCs w:val="22"/>
        </w:rPr>
      </w:pPr>
      <w:r w:rsidRPr="00B01A80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April 2022, compared to the previous month, were on average 1.6% higher, while compared to the same month of the previous year they were on average 11.7% higher. </w:t>
      </w:r>
    </w:p>
    <w:p w:rsidR="009A3D3D" w:rsidRPr="00B01A80" w:rsidRDefault="009A3D3D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9A3D3D" w:rsidRPr="00B01A80" w:rsidRDefault="009A3D3D" w:rsidP="009A3D3D">
      <w:pPr>
        <w:jc w:val="both"/>
        <w:rPr>
          <w:rFonts w:ascii="Arial Narrow" w:hAnsi="Arial Narrow" w:cs="Tahoma"/>
          <w:sz w:val="22"/>
          <w:szCs w:val="22"/>
        </w:rPr>
      </w:pPr>
      <w:r w:rsidRPr="00B01A80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ten divisions, while a decrease was recorded in two divisions.</w:t>
      </w:r>
    </w:p>
    <w:p w:rsidR="00D8278D" w:rsidRPr="00B01A80" w:rsidRDefault="00D8278D" w:rsidP="00D8278D">
      <w:pPr>
        <w:jc w:val="both"/>
        <w:rPr>
          <w:rFonts w:ascii="Arial Narrow" w:hAnsi="Arial Narrow" w:cs="Tahoma"/>
          <w:sz w:val="22"/>
          <w:szCs w:val="22"/>
        </w:rPr>
      </w:pPr>
    </w:p>
    <w:p w:rsidR="00E85626" w:rsidRPr="00B01A80" w:rsidRDefault="00E85626" w:rsidP="00180B6F">
      <w:pPr>
        <w:jc w:val="both"/>
        <w:rPr>
          <w:rFonts w:ascii="Arial Narrow" w:hAnsi="Arial Narrow" w:cs="Tahoma"/>
          <w:sz w:val="22"/>
          <w:szCs w:val="22"/>
        </w:rPr>
      </w:pPr>
      <w:r w:rsidRPr="00B01A80">
        <w:rPr>
          <w:rFonts w:ascii="Arial Narrow" w:hAnsi="Arial Narrow" w:cs="Tahoma"/>
          <w:sz w:val="22"/>
          <w:szCs w:val="22"/>
        </w:rPr>
        <w:lastRenderedPageBreak/>
        <w:t xml:space="preserve">The highest annual increase in prices in April 2022 was recorded in the section </w:t>
      </w:r>
      <w:r w:rsidRPr="00B01A80">
        <w:rPr>
          <w:rFonts w:ascii="Arial Narrow" w:hAnsi="Arial Narrow" w:cs="Tahoma"/>
          <w:i/>
          <w:sz w:val="22"/>
          <w:szCs w:val="22"/>
        </w:rPr>
        <w:t xml:space="preserve">Transport, </w:t>
      </w:r>
      <w:r w:rsidRPr="00B01A80">
        <w:rPr>
          <w:rFonts w:ascii="Arial Narrow" w:hAnsi="Arial Narrow" w:cs="Tahoma"/>
          <w:sz w:val="22"/>
          <w:szCs w:val="22"/>
        </w:rPr>
        <w:t xml:space="preserve">namely by 28.6%, due to higher prices in the group fuels and lubricants for passenger cars by 46.8%. An increase in prices was also recorded in the division </w:t>
      </w:r>
      <w:r w:rsidRPr="00B01A80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B01A80">
        <w:rPr>
          <w:rFonts w:ascii="Arial Narrow" w:hAnsi="Arial Narrow" w:cs="Tahoma"/>
          <w:sz w:val="22"/>
          <w:szCs w:val="22"/>
        </w:rPr>
        <w:t xml:space="preserve">, by 19.5%, due to higher prices in the groups oils and fats by 61.9% and vegetables by 27.2%. Higher prices were also recorded in the division </w:t>
      </w:r>
      <w:r w:rsidRPr="00B01A80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Pr="00B01A80">
        <w:rPr>
          <w:rFonts w:ascii="Arial Narrow" w:hAnsi="Arial Narrow" w:cs="Tahoma"/>
          <w:sz w:val="22"/>
          <w:szCs w:val="22"/>
        </w:rPr>
        <w:t>by 8.4%, due to higher prices in the group restaurant and café services by 10.2%.</w:t>
      </w:r>
      <w:r w:rsidRPr="00B01A80">
        <w:t xml:space="preserve"> </w:t>
      </w:r>
      <w:r w:rsidRPr="00B01A80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B01A80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B01A80">
        <w:rPr>
          <w:rFonts w:ascii="Arial Narrow" w:hAnsi="Arial Narrow" w:cs="Tahoma"/>
          <w:sz w:val="22"/>
          <w:szCs w:val="22"/>
        </w:rPr>
        <w:t xml:space="preserve">by 6.6%, due to higher prices in the group </w:t>
      </w:r>
      <w:r w:rsidR="0064167D" w:rsidRPr="00B01A80">
        <w:rPr>
          <w:rFonts w:ascii="Arial Narrow" w:hAnsi="Arial Narrow" w:cs="Tahoma"/>
          <w:sz w:val="22"/>
          <w:szCs w:val="22"/>
        </w:rPr>
        <w:t>large</w:t>
      </w:r>
      <w:r w:rsidRPr="00B01A80">
        <w:rPr>
          <w:rFonts w:ascii="Arial Narrow" w:hAnsi="Arial Narrow" w:cs="Tahoma"/>
          <w:sz w:val="22"/>
          <w:szCs w:val="22"/>
        </w:rPr>
        <w:t xml:space="preserve"> tools and equipment by 13.4%; </w:t>
      </w:r>
      <w:r w:rsidRPr="00B01A80">
        <w:rPr>
          <w:rFonts w:ascii="Arial Narrow" w:hAnsi="Arial Narrow" w:cs="Tahoma"/>
          <w:i/>
          <w:sz w:val="22"/>
          <w:szCs w:val="22"/>
        </w:rPr>
        <w:t xml:space="preserve">Recreation and culture, </w:t>
      </w:r>
      <w:r w:rsidR="0064167D" w:rsidRPr="00B01A80">
        <w:rPr>
          <w:rFonts w:ascii="Arial Narrow" w:hAnsi="Arial Narrow" w:cs="Tahoma"/>
          <w:sz w:val="22"/>
          <w:szCs w:val="22"/>
        </w:rPr>
        <w:t>by 5.7</w:t>
      </w:r>
      <w:r w:rsidRPr="00B01A80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64167D" w:rsidRPr="00B01A80">
        <w:rPr>
          <w:rFonts w:ascii="Arial Narrow" w:hAnsi="Arial Narrow" w:cs="Tahoma"/>
          <w:sz w:val="22"/>
          <w:szCs w:val="22"/>
        </w:rPr>
        <w:t>pet products by 21.7</w:t>
      </w:r>
      <w:r w:rsidRPr="00B01A80">
        <w:rPr>
          <w:rFonts w:ascii="Arial Narrow" w:hAnsi="Arial Narrow" w:cs="Tahoma"/>
          <w:sz w:val="22"/>
          <w:szCs w:val="22"/>
        </w:rPr>
        <w:t xml:space="preserve">%; </w:t>
      </w:r>
      <w:r w:rsidRPr="00B01A80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B01A80">
        <w:rPr>
          <w:rFonts w:ascii="Arial Narrow" w:hAnsi="Arial Narrow" w:cs="Tahoma"/>
          <w:sz w:val="22"/>
          <w:szCs w:val="22"/>
        </w:rPr>
        <w:t xml:space="preserve">by </w:t>
      </w:r>
      <w:r w:rsidR="0064167D" w:rsidRPr="00B01A80">
        <w:rPr>
          <w:rFonts w:ascii="Arial Narrow" w:hAnsi="Arial Narrow" w:cs="Tahoma"/>
          <w:sz w:val="22"/>
          <w:szCs w:val="22"/>
        </w:rPr>
        <w:t>4.7</w:t>
      </w:r>
      <w:r w:rsidRPr="00B01A80">
        <w:rPr>
          <w:rFonts w:ascii="Arial Narrow" w:hAnsi="Arial Narrow" w:cs="Tahoma"/>
          <w:sz w:val="22"/>
          <w:szCs w:val="22"/>
        </w:rPr>
        <w:t>%, due to higher prices in the group</w:t>
      </w:r>
      <w:r w:rsidR="0064167D" w:rsidRPr="00B01A80">
        <w:rPr>
          <w:rFonts w:ascii="Arial Narrow" w:hAnsi="Arial Narrow" w:cs="Tahoma"/>
          <w:sz w:val="22"/>
          <w:szCs w:val="22"/>
        </w:rPr>
        <w:t>s</w:t>
      </w:r>
      <w:r w:rsidRPr="00B01A80">
        <w:rPr>
          <w:rFonts w:ascii="Arial Narrow" w:hAnsi="Arial Narrow" w:cs="Tahoma"/>
          <w:sz w:val="22"/>
          <w:szCs w:val="22"/>
        </w:rPr>
        <w:t xml:space="preserve"> liquid fuels by </w:t>
      </w:r>
      <w:r w:rsidR="0064167D" w:rsidRPr="00B01A80">
        <w:rPr>
          <w:rFonts w:ascii="Arial Narrow" w:hAnsi="Arial Narrow" w:cs="Tahoma"/>
          <w:sz w:val="22"/>
          <w:szCs w:val="22"/>
        </w:rPr>
        <w:t>62.5</w:t>
      </w:r>
      <w:r w:rsidRPr="00B01A80">
        <w:rPr>
          <w:rFonts w:ascii="Arial Narrow" w:hAnsi="Arial Narrow" w:cs="Tahoma"/>
          <w:sz w:val="22"/>
          <w:szCs w:val="22"/>
        </w:rPr>
        <w:t>%</w:t>
      </w:r>
      <w:r w:rsidR="0064167D" w:rsidRPr="00B01A80">
        <w:rPr>
          <w:rFonts w:ascii="Arial Narrow" w:hAnsi="Arial Narrow" w:cs="Tahoma"/>
          <w:sz w:val="22"/>
          <w:szCs w:val="22"/>
        </w:rPr>
        <w:t xml:space="preserve"> and gas by 56.1%</w:t>
      </w:r>
      <w:r w:rsidRPr="00B01A80">
        <w:rPr>
          <w:rFonts w:ascii="Arial Narrow" w:hAnsi="Arial Narrow" w:cs="Tahoma"/>
          <w:sz w:val="22"/>
          <w:szCs w:val="22"/>
        </w:rPr>
        <w:t xml:space="preserve">; </w:t>
      </w:r>
      <w:r w:rsidRPr="00B01A80">
        <w:rPr>
          <w:rFonts w:ascii="Arial Narrow" w:hAnsi="Arial Narrow" w:cs="Tahoma"/>
          <w:i/>
          <w:sz w:val="22"/>
          <w:szCs w:val="22"/>
        </w:rPr>
        <w:t>Other goods and services</w:t>
      </w:r>
      <w:r w:rsidR="0064167D" w:rsidRPr="00B01A80">
        <w:rPr>
          <w:rFonts w:ascii="Arial Narrow" w:hAnsi="Arial Narrow" w:cs="Tahoma"/>
          <w:sz w:val="22"/>
          <w:szCs w:val="22"/>
        </w:rPr>
        <w:t>, by 3.9</w:t>
      </w:r>
      <w:r w:rsidRPr="00B01A80">
        <w:rPr>
          <w:rFonts w:ascii="Arial Narrow" w:hAnsi="Arial Narrow" w:cs="Tahoma"/>
          <w:sz w:val="22"/>
          <w:szCs w:val="22"/>
        </w:rPr>
        <w:t>%, due to higher prices in the group other financial services, by 9.3%</w:t>
      </w:r>
      <w:r w:rsidR="0064167D" w:rsidRPr="00B01A80">
        <w:rPr>
          <w:rFonts w:ascii="Arial Narrow" w:hAnsi="Arial Narrow" w:cs="Tahoma"/>
          <w:sz w:val="22"/>
          <w:szCs w:val="22"/>
        </w:rPr>
        <w:t xml:space="preserve">. An increase in prices by 1.0% recorded in the division </w:t>
      </w:r>
      <w:r w:rsidR="0064167D" w:rsidRPr="00B01A80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="0064167D" w:rsidRPr="00B01A80">
        <w:rPr>
          <w:rFonts w:ascii="Arial Narrow" w:hAnsi="Arial Narrow" w:cs="Tahoma"/>
          <w:sz w:val="22"/>
          <w:szCs w:val="22"/>
        </w:rPr>
        <w:t xml:space="preserve">occurred due to higher prices in the group telephone and telefax services by 1.2%, while an increase in prices by 0.6% recorded in the division </w:t>
      </w:r>
      <w:r w:rsidR="0064167D" w:rsidRPr="00B01A80">
        <w:rPr>
          <w:rFonts w:ascii="Arial Narrow" w:hAnsi="Arial Narrow" w:cs="Tahoma"/>
          <w:i/>
          <w:sz w:val="22"/>
          <w:szCs w:val="22"/>
        </w:rPr>
        <w:t xml:space="preserve">Alcoholic beverages and tobacco </w:t>
      </w:r>
      <w:r w:rsidR="0064167D" w:rsidRPr="00B01A80">
        <w:rPr>
          <w:rFonts w:ascii="Arial Narrow" w:hAnsi="Arial Narrow" w:cs="Tahoma"/>
          <w:sz w:val="22"/>
          <w:szCs w:val="22"/>
        </w:rPr>
        <w:t xml:space="preserve">occurred to higher prices in the group wine by 3.7%. In the division </w:t>
      </w:r>
      <w:r w:rsidR="0064167D" w:rsidRPr="00B01A80">
        <w:rPr>
          <w:rFonts w:ascii="Arial Narrow" w:hAnsi="Arial Narrow" w:cs="Tahoma"/>
          <w:i/>
          <w:sz w:val="22"/>
          <w:szCs w:val="22"/>
        </w:rPr>
        <w:t xml:space="preserve">Health </w:t>
      </w:r>
      <w:r w:rsidR="0064167D" w:rsidRPr="00B01A80">
        <w:rPr>
          <w:rFonts w:ascii="Arial Narrow" w:hAnsi="Arial Narrow" w:cs="Tahoma"/>
          <w:sz w:val="22"/>
          <w:szCs w:val="22"/>
        </w:rPr>
        <w:t>an increase in prices by 0.1% was recorded, due to higher prices in the group outpatient services by 2.8%.</w:t>
      </w:r>
    </w:p>
    <w:p w:rsidR="00E85626" w:rsidRPr="00B01A80" w:rsidRDefault="00E85626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64167D" w:rsidRPr="00B01A80" w:rsidRDefault="0064167D" w:rsidP="0064167D">
      <w:pPr>
        <w:jc w:val="both"/>
        <w:rPr>
          <w:rFonts w:ascii="Arial Narrow" w:hAnsi="Arial Narrow" w:cs="Tahoma"/>
          <w:sz w:val="22"/>
          <w:szCs w:val="22"/>
        </w:rPr>
      </w:pPr>
      <w:r w:rsidRPr="00B01A80">
        <w:rPr>
          <w:rFonts w:ascii="Arial Narrow" w:hAnsi="Arial Narrow" w:cs="Tahoma"/>
          <w:sz w:val="22"/>
          <w:szCs w:val="22"/>
        </w:rPr>
        <w:t xml:space="preserve">The highest decrease in prices at the annual level in April 2022 was recorded in the division </w:t>
      </w:r>
      <w:r w:rsidRPr="00B01A80">
        <w:rPr>
          <w:rFonts w:ascii="Arial Narrow" w:hAnsi="Arial Narrow" w:cs="Tahoma"/>
          <w:i/>
          <w:sz w:val="22"/>
          <w:szCs w:val="22"/>
        </w:rPr>
        <w:t>Clothing and footwear</w:t>
      </w:r>
      <w:r w:rsidRPr="00B01A80">
        <w:rPr>
          <w:rFonts w:ascii="Arial Narrow" w:hAnsi="Arial Narrow" w:cs="Tahoma"/>
          <w:sz w:val="22"/>
          <w:szCs w:val="22"/>
        </w:rPr>
        <w:t xml:space="preserve">, by 5.1%, due to seasonal discounts on ready-made clothing and footwear during the year. Lower prices were also recorded in the division </w:t>
      </w:r>
      <w:r w:rsidRPr="00B01A80">
        <w:rPr>
          <w:rFonts w:ascii="Arial Narrow" w:hAnsi="Arial Narrow" w:cs="Tahoma"/>
          <w:i/>
          <w:sz w:val="22"/>
          <w:szCs w:val="22"/>
        </w:rPr>
        <w:t>Education</w:t>
      </w:r>
      <w:r w:rsidRPr="00B01A80">
        <w:rPr>
          <w:rFonts w:ascii="Arial Narrow" w:hAnsi="Arial Narrow" w:cs="Tahoma"/>
          <w:sz w:val="22"/>
          <w:szCs w:val="22"/>
        </w:rPr>
        <w:t>, by 0.1%, due to lower prices in the group preschool education by 0.8%.</w:t>
      </w:r>
    </w:p>
    <w:p w:rsidR="00180B6F" w:rsidRPr="00B01A80" w:rsidRDefault="00180B6F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F36928" w:rsidRPr="00B01A80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B01A80" w:rsidRDefault="00754138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B01A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D6F48" wp14:editId="0F62FA25">
                <wp:simplePos x="0" y="0"/>
                <wp:positionH relativeFrom="margin">
                  <wp:posOffset>3593990</wp:posOffset>
                </wp:positionH>
                <wp:positionV relativeFrom="paragraph">
                  <wp:posOffset>1966264</wp:posOffset>
                </wp:positionV>
                <wp:extent cx="906145" cy="294199"/>
                <wp:effectExtent l="0" t="0" r="825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138" w:rsidRDefault="00754138" w:rsidP="0075413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D6F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3pt;margin-top:154.8pt;width:71.3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" fillcolor="window" stroked="f" strokeweight=".5pt">
                <v:textbox>
                  <w:txbxContent>
                    <w:p w:rsidR="00754138" w:rsidRDefault="00754138" w:rsidP="0075413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1A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D6F48" wp14:editId="0F62FA25">
                <wp:simplePos x="0" y="0"/>
                <wp:positionH relativeFrom="margin">
                  <wp:posOffset>2353889</wp:posOffset>
                </wp:positionH>
                <wp:positionV relativeFrom="paragraph">
                  <wp:posOffset>1958506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138" w:rsidRDefault="00754138" w:rsidP="0075413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6F48" id="Text Box 28" o:spid="_x0000_s1027" type="#_x0000_t202" style="position:absolute;left:0;text-align:left;margin-left:185.35pt;margin-top:154.2pt;width:71.35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" fillcolor="window" stroked="f" strokeweight=".5pt">
                <v:textbox>
                  <w:txbxContent>
                    <w:p w:rsidR="00754138" w:rsidRDefault="00754138" w:rsidP="0075413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A5E" w:rsidRPr="00B01A80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B01A80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B01A80" w:rsidRDefault="00754138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B01A80">
        <w:rPr>
          <w:rFonts w:ascii="Arial Narrow" w:hAnsi="Arial Narrow" w:cs="Tahoma"/>
          <w:sz w:val="16"/>
          <w:szCs w:val="16"/>
        </w:rPr>
        <w:t>Graph</w:t>
      </w:r>
      <w:r w:rsidR="00B50951" w:rsidRPr="00B01A80">
        <w:rPr>
          <w:rFonts w:ascii="Arial Narrow" w:hAnsi="Arial Narrow" w:cs="Tahoma"/>
          <w:sz w:val="16"/>
          <w:szCs w:val="16"/>
        </w:rPr>
        <w:t xml:space="preserve"> </w:t>
      </w:r>
      <w:r w:rsidR="001D7B2C" w:rsidRPr="00B01A80">
        <w:rPr>
          <w:rFonts w:ascii="Arial Narrow" w:hAnsi="Arial Narrow" w:cs="Tahoma"/>
          <w:sz w:val="16"/>
          <w:szCs w:val="16"/>
        </w:rPr>
        <w:t>2</w:t>
      </w:r>
      <w:r w:rsidR="00B50951" w:rsidRPr="00B01A80">
        <w:rPr>
          <w:rFonts w:ascii="Arial Narrow" w:hAnsi="Arial Narrow" w:cs="Tahoma"/>
          <w:sz w:val="16"/>
          <w:szCs w:val="16"/>
        </w:rPr>
        <w:t xml:space="preserve">. </w:t>
      </w:r>
      <w:r w:rsidRPr="00B01A80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B01A80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B01A80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42784" w:rsidRPr="00B01A80" w:rsidRDefault="0064167D" w:rsidP="00B4278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B01A80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B42784" w:rsidRPr="00B01A80">
        <w:rPr>
          <w:rFonts w:ascii="Arial Narrow" w:hAnsi="Arial Narrow" w:cs="Tahoma"/>
          <w:b/>
          <w:sz w:val="28"/>
          <w:szCs w:val="30"/>
        </w:rPr>
        <w:t>(</w:t>
      </w:r>
      <w:r w:rsidRPr="00B01A80">
        <w:rPr>
          <w:rFonts w:ascii="Arial Narrow" w:hAnsi="Arial Narrow" w:cs="Tahoma"/>
          <w:b/>
          <w:sz w:val="28"/>
          <w:szCs w:val="30"/>
        </w:rPr>
        <w:t>April</w:t>
      </w:r>
      <w:r w:rsidR="00B42784" w:rsidRPr="00B01A80">
        <w:rPr>
          <w:rFonts w:ascii="Arial Narrow" w:hAnsi="Arial Narrow" w:cs="Tahoma"/>
          <w:b/>
          <w:sz w:val="28"/>
          <w:szCs w:val="30"/>
        </w:rPr>
        <w:t xml:space="preserve"> 2022</w:t>
      </w:r>
      <w:r w:rsidRPr="00B01A80">
        <w:rPr>
          <w:rFonts w:ascii="Arial Narrow" w:hAnsi="Arial Narrow" w:cs="Tahoma"/>
          <w:b/>
          <w:sz w:val="28"/>
          <w:szCs w:val="30"/>
        </w:rPr>
        <w:t>/April</w:t>
      </w:r>
      <w:r w:rsidR="00B42784" w:rsidRPr="00B01A80">
        <w:rPr>
          <w:rFonts w:ascii="Arial Narrow" w:hAnsi="Arial Narrow" w:cs="Tahoma"/>
          <w:b/>
          <w:sz w:val="28"/>
          <w:szCs w:val="30"/>
        </w:rPr>
        <w:t xml:space="preserve"> </w:t>
      </w:r>
      <w:r w:rsidR="00B42784" w:rsidRPr="00B01A80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B01A80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B42784" w:rsidRPr="00B01A80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224184" w:rsidRPr="00B01A80">
        <w:rPr>
          <w:rFonts w:ascii="Arial Narrow" w:hAnsi="Arial Narrow" w:cs="Tahoma"/>
          <w:b/>
          <w:bCs/>
          <w:sz w:val="28"/>
          <w:szCs w:val="30"/>
        </w:rPr>
        <w:t>10</w:t>
      </w:r>
      <w:r w:rsidRPr="00B01A80">
        <w:rPr>
          <w:rFonts w:ascii="Arial Narrow" w:hAnsi="Arial Narrow" w:cs="Tahoma"/>
          <w:b/>
          <w:bCs/>
          <w:sz w:val="28"/>
          <w:szCs w:val="30"/>
        </w:rPr>
        <w:t>.</w:t>
      </w:r>
      <w:r w:rsidR="00224184" w:rsidRPr="00B01A80">
        <w:rPr>
          <w:rFonts w:ascii="Arial Narrow" w:hAnsi="Arial Narrow" w:cs="Tahoma"/>
          <w:b/>
          <w:bCs/>
          <w:sz w:val="28"/>
          <w:szCs w:val="30"/>
        </w:rPr>
        <w:t>0</w:t>
      </w:r>
      <w:r w:rsidR="00B42784" w:rsidRPr="00B01A80">
        <w:rPr>
          <w:rFonts w:ascii="Arial Narrow" w:hAnsi="Arial Narrow" w:cs="Tahoma"/>
          <w:b/>
          <w:bCs/>
          <w:sz w:val="28"/>
          <w:szCs w:val="30"/>
        </w:rPr>
        <w:t>%</w:t>
      </w:r>
    </w:p>
    <w:p w:rsidR="00A4644E" w:rsidRPr="00B01A80" w:rsidRDefault="0064167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B01A80">
        <w:rPr>
          <w:rFonts w:ascii="Arial Narrow" w:hAnsi="Arial Narrow" w:cs="Tahoma"/>
          <w:b/>
          <w:bCs/>
          <w:sz w:val="28"/>
          <w:szCs w:val="30"/>
        </w:rPr>
        <w:t>Seasonally adjusted industrial production</w:t>
      </w:r>
      <w:r w:rsidR="00A4644E" w:rsidRPr="00B01A80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A4644E" w:rsidRPr="00B01A80">
        <w:rPr>
          <w:rFonts w:ascii="Arial Narrow" w:hAnsi="Arial Narrow" w:cs="Tahoma"/>
          <w:b/>
          <w:sz w:val="28"/>
          <w:szCs w:val="30"/>
        </w:rPr>
        <w:t>(</w:t>
      </w:r>
      <w:r w:rsidRPr="00B01A80">
        <w:rPr>
          <w:rFonts w:ascii="Arial Narrow" w:hAnsi="Arial Narrow" w:cs="Tahoma"/>
          <w:b/>
          <w:sz w:val="28"/>
          <w:szCs w:val="30"/>
        </w:rPr>
        <w:t>April</w:t>
      </w:r>
      <w:r w:rsidR="00A4644E" w:rsidRPr="00B01A80">
        <w:rPr>
          <w:rFonts w:ascii="Arial Narrow" w:hAnsi="Arial Narrow" w:cs="Tahoma"/>
          <w:b/>
          <w:sz w:val="28"/>
          <w:szCs w:val="30"/>
        </w:rPr>
        <w:t xml:space="preserve"> 2022</w:t>
      </w:r>
      <w:r w:rsidRPr="00B01A80">
        <w:rPr>
          <w:rFonts w:ascii="Arial Narrow" w:hAnsi="Arial Narrow" w:cs="Tahoma"/>
          <w:b/>
          <w:sz w:val="28"/>
          <w:szCs w:val="30"/>
        </w:rPr>
        <w:t>/March</w:t>
      </w:r>
      <w:r w:rsidR="00A4644E" w:rsidRPr="00B01A80">
        <w:rPr>
          <w:rFonts w:ascii="Arial Narrow" w:hAnsi="Arial Narrow" w:cs="Tahoma"/>
          <w:b/>
          <w:sz w:val="28"/>
          <w:szCs w:val="30"/>
        </w:rPr>
        <w:t xml:space="preserve"> </w:t>
      </w:r>
      <w:r w:rsidR="00A4644E" w:rsidRPr="00B01A80">
        <w:rPr>
          <w:rFonts w:ascii="Arial Narrow" w:hAnsi="Arial Narrow" w:cs="Tahoma"/>
          <w:b/>
          <w:bCs/>
          <w:sz w:val="28"/>
          <w:szCs w:val="30"/>
        </w:rPr>
        <w:t>202</w:t>
      </w:r>
      <w:r w:rsidR="002C4A64" w:rsidRPr="00B01A80">
        <w:rPr>
          <w:rFonts w:ascii="Arial Narrow" w:hAnsi="Arial Narrow" w:cs="Tahoma"/>
          <w:b/>
          <w:bCs/>
          <w:sz w:val="28"/>
          <w:szCs w:val="30"/>
        </w:rPr>
        <w:t>2</w:t>
      </w:r>
      <w:r w:rsidR="00A4644E" w:rsidRPr="00B01A80">
        <w:rPr>
          <w:rFonts w:ascii="Arial Narrow" w:hAnsi="Arial Narrow" w:cs="Tahoma"/>
          <w:b/>
          <w:bCs/>
          <w:sz w:val="28"/>
          <w:szCs w:val="30"/>
        </w:rPr>
        <w:t>)</w:t>
      </w:r>
      <w:r w:rsidRPr="00B01A80">
        <w:rPr>
          <w:rFonts w:ascii="Arial Narrow" w:hAnsi="Arial Narrow" w:cs="Tahoma"/>
          <w:b/>
          <w:bCs/>
          <w:sz w:val="28"/>
          <w:szCs w:val="30"/>
        </w:rPr>
        <w:t xml:space="preserve"> increased by</w:t>
      </w:r>
      <w:r w:rsidR="00A4644E" w:rsidRPr="00B01A80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224184" w:rsidRPr="00B01A80">
        <w:rPr>
          <w:rFonts w:ascii="Arial Narrow" w:hAnsi="Arial Narrow" w:cs="Tahoma"/>
          <w:b/>
          <w:bCs/>
          <w:sz w:val="28"/>
          <w:szCs w:val="30"/>
        </w:rPr>
        <w:t>2</w:t>
      </w:r>
      <w:r w:rsidRPr="00B01A80">
        <w:rPr>
          <w:rFonts w:ascii="Arial Narrow" w:hAnsi="Arial Narrow" w:cs="Tahoma"/>
          <w:b/>
          <w:bCs/>
          <w:sz w:val="28"/>
          <w:szCs w:val="30"/>
        </w:rPr>
        <w:t>.</w:t>
      </w:r>
      <w:r w:rsidR="00224184" w:rsidRPr="00B01A80">
        <w:rPr>
          <w:rFonts w:ascii="Arial Narrow" w:hAnsi="Arial Narrow" w:cs="Tahoma"/>
          <w:b/>
          <w:bCs/>
          <w:sz w:val="28"/>
          <w:szCs w:val="30"/>
        </w:rPr>
        <w:t>4</w:t>
      </w:r>
      <w:r w:rsidR="00A4644E" w:rsidRPr="00B01A80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B01A80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B42784" w:rsidRPr="00B01A80" w:rsidRDefault="003D71C2" w:rsidP="00B42784">
      <w:pPr>
        <w:jc w:val="both"/>
        <w:rPr>
          <w:rFonts w:ascii="Arial Narrow" w:hAnsi="Arial Narrow" w:cs="Tahoma"/>
          <w:sz w:val="22"/>
        </w:rPr>
      </w:pPr>
      <w:r w:rsidRPr="00B01A80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B01A80">
        <w:rPr>
          <w:rFonts w:ascii="Arial Narrow" w:hAnsi="Arial Narrow" w:cs="Tahoma"/>
          <w:sz w:val="22"/>
        </w:rPr>
        <w:t xml:space="preserve">in April 2022, compared to April 2021, increased by 10.0%. </w:t>
      </w:r>
    </w:p>
    <w:p w:rsidR="00A4644E" w:rsidRPr="00B01A80" w:rsidRDefault="003D71C2" w:rsidP="00A4644E">
      <w:pPr>
        <w:jc w:val="both"/>
        <w:rPr>
          <w:rFonts w:ascii="Arial Narrow" w:hAnsi="Arial Narrow" w:cs="Tahoma"/>
          <w:sz w:val="22"/>
        </w:rPr>
      </w:pPr>
      <w:r w:rsidRPr="00B01A80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B01A80">
        <w:rPr>
          <w:rFonts w:ascii="Arial Narrow" w:hAnsi="Arial Narrow" w:cs="Tahoma"/>
          <w:sz w:val="22"/>
        </w:rPr>
        <w:t>in Republika Srpska in April 2022, compared to March 2022, increased by 2.4%</w:t>
      </w:r>
      <w:r w:rsidR="009D0D6F" w:rsidRPr="00B01A80">
        <w:rPr>
          <w:rFonts w:ascii="Arial Narrow" w:hAnsi="Arial Narrow" w:cs="Tahoma"/>
          <w:sz w:val="22"/>
        </w:rPr>
        <w:t>.</w:t>
      </w:r>
      <w:r w:rsidR="00A4644E" w:rsidRPr="00B01A80">
        <w:rPr>
          <w:rFonts w:ascii="Arial Narrow" w:hAnsi="Arial Narrow" w:cs="Tahoma"/>
          <w:sz w:val="22"/>
        </w:rPr>
        <w:t xml:space="preserve"> </w:t>
      </w:r>
    </w:p>
    <w:p w:rsidR="003D71C2" w:rsidRPr="00B01A80" w:rsidRDefault="003D71C2" w:rsidP="00A4644E">
      <w:pPr>
        <w:jc w:val="both"/>
        <w:rPr>
          <w:rFonts w:ascii="Arial Narrow" w:hAnsi="Arial Narrow" w:cs="Tahoma"/>
          <w:sz w:val="22"/>
        </w:rPr>
      </w:pPr>
      <w:r w:rsidRPr="00B01A80">
        <w:rPr>
          <w:rFonts w:ascii="Arial Narrow" w:hAnsi="Arial Narrow" w:cs="Tahoma"/>
          <w:sz w:val="22"/>
        </w:rPr>
        <w:t xml:space="preserve">Industrial production in Republika Srpska in the period January – April 2022, compared to the same period of 2021, increased by 2.7%. During the same period, in the section </w:t>
      </w:r>
      <w:r w:rsidRPr="00B01A80">
        <w:rPr>
          <w:rFonts w:ascii="Arial Narrow" w:hAnsi="Arial Narrow" w:cs="Tahoma"/>
          <w:i/>
          <w:sz w:val="22"/>
        </w:rPr>
        <w:t>Mining and quarrying</w:t>
      </w:r>
      <w:r w:rsidRPr="00B01A80">
        <w:rPr>
          <w:rFonts w:ascii="Arial Narrow" w:hAnsi="Arial Narrow" w:cs="Tahoma"/>
          <w:sz w:val="22"/>
        </w:rPr>
        <w:t xml:space="preserve"> an increase by 13.2% was recorded and in the section </w:t>
      </w:r>
      <w:r w:rsidRPr="00B01A80">
        <w:rPr>
          <w:rFonts w:ascii="Arial Narrow" w:hAnsi="Arial Narrow" w:cs="Tahoma"/>
          <w:i/>
          <w:sz w:val="22"/>
        </w:rPr>
        <w:t>Manufacturing</w:t>
      </w:r>
      <w:r w:rsidR="001334FC" w:rsidRPr="00B01A80">
        <w:rPr>
          <w:rFonts w:ascii="Arial Narrow" w:hAnsi="Arial Narrow" w:cs="Tahoma"/>
          <w:sz w:val="22"/>
        </w:rPr>
        <w:t xml:space="preserve"> an increase by 5.6</w:t>
      </w:r>
      <w:r w:rsidRPr="00B01A80">
        <w:rPr>
          <w:rFonts w:ascii="Arial Narrow" w:hAnsi="Arial Narrow" w:cs="Tahoma"/>
          <w:sz w:val="22"/>
        </w:rPr>
        <w:t xml:space="preserve">%, while in the section </w:t>
      </w:r>
      <w:r w:rsidRPr="00B01A80">
        <w:rPr>
          <w:rFonts w:ascii="Arial Narrow" w:hAnsi="Arial Narrow" w:cs="Tahoma"/>
          <w:i/>
          <w:sz w:val="22"/>
        </w:rPr>
        <w:t>Electricity, gas, steam and air-conditioning supply</w:t>
      </w:r>
      <w:r w:rsidRPr="00B01A80">
        <w:rPr>
          <w:rFonts w:ascii="Arial Narrow" w:hAnsi="Arial Narrow" w:cs="Tahoma"/>
          <w:sz w:val="22"/>
        </w:rPr>
        <w:t xml:space="preserve"> a decrease by </w:t>
      </w:r>
      <w:r w:rsidR="001334FC" w:rsidRPr="00B01A80">
        <w:rPr>
          <w:rFonts w:ascii="Arial Narrow" w:hAnsi="Arial Narrow" w:cs="Tahoma"/>
          <w:sz w:val="22"/>
        </w:rPr>
        <w:t>4.8</w:t>
      </w:r>
      <w:r w:rsidRPr="00B01A80">
        <w:rPr>
          <w:rFonts w:ascii="Arial Narrow" w:hAnsi="Arial Narrow" w:cs="Tahoma"/>
          <w:sz w:val="22"/>
        </w:rPr>
        <w:t>% was recorded.</w:t>
      </w:r>
    </w:p>
    <w:p w:rsidR="0012404A" w:rsidRPr="00B01A80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63032F" w:rsidRPr="00B01A80" w:rsidRDefault="00064863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B01A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D6311" wp14:editId="3EEE7A89">
                <wp:simplePos x="0" y="0"/>
                <wp:positionH relativeFrom="margin">
                  <wp:posOffset>3816626</wp:posOffset>
                </wp:positionH>
                <wp:positionV relativeFrom="paragraph">
                  <wp:posOffset>2508774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863" w:rsidRDefault="00064863" w:rsidP="0006486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6311" id="Text Box 27" o:spid="_x0000_s1029" type="#_x0000_t202" style="position:absolute;left:0;text-align:left;margin-left:300.5pt;margin-top:197.55pt;width:1in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PG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N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" fillcolor="window" stroked="f" strokeweight=".5pt">
                <v:textbox>
                  <w:txbxContent>
                    <w:p w:rsidR="00064863" w:rsidRDefault="00064863" w:rsidP="0006486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1A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81C97" wp14:editId="0ABD90F8">
                <wp:simplePos x="0" y="0"/>
                <wp:positionH relativeFrom="margin">
                  <wp:posOffset>2297374</wp:posOffset>
                </wp:positionH>
                <wp:positionV relativeFrom="paragraph">
                  <wp:posOffset>2505655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863" w:rsidRDefault="00064863" w:rsidP="0006486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1C97" id="Text Box 26" o:spid="_x0000_s1030" type="#_x0000_t202" style="position:absolute;left:0;text-align:left;margin-left:180.9pt;margin-top:197.3pt;width:98.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" fillcolor="window" stroked="f" strokeweight=".5pt">
                <v:textbox>
                  <w:txbxContent>
                    <w:p w:rsidR="00064863" w:rsidRDefault="00064863" w:rsidP="0006486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B01A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564608" w:rsidRPr="00B01A80">
        <w:rPr>
          <w:noProof/>
        </w:rPr>
        <w:drawing>
          <wp:inline distT="0" distB="0" distL="0" distR="0" wp14:anchorId="2DFFC241" wp14:editId="47CBF56E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B01A80" w:rsidRDefault="00064863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B01A80">
        <w:rPr>
          <w:rFonts w:ascii="Arial Narrow" w:hAnsi="Arial Narrow" w:cs="Tahoma"/>
          <w:sz w:val="16"/>
          <w:szCs w:val="16"/>
        </w:rPr>
        <w:t>Graph</w:t>
      </w:r>
      <w:r w:rsidR="00E15D41" w:rsidRPr="00B01A80">
        <w:rPr>
          <w:rFonts w:ascii="Arial Narrow" w:hAnsi="Arial Narrow" w:cs="Tahoma"/>
          <w:sz w:val="16"/>
          <w:szCs w:val="16"/>
        </w:rPr>
        <w:t xml:space="preserve"> 3. </w:t>
      </w:r>
      <w:r w:rsidRPr="00B01A80">
        <w:rPr>
          <w:rFonts w:ascii="Arial Narrow" w:hAnsi="Arial Narrow" w:cs="Tahoma"/>
          <w:sz w:val="16"/>
          <w:szCs w:val="16"/>
        </w:rPr>
        <w:t>Indices of industrial production,</w:t>
      </w:r>
      <w:r w:rsidR="00DF3E33" w:rsidRPr="00B01A80">
        <w:rPr>
          <w:rFonts w:ascii="Arial Narrow" w:hAnsi="Arial Narrow" w:cs="Tahoma"/>
          <w:sz w:val="16"/>
          <w:szCs w:val="16"/>
        </w:rPr>
        <w:t xml:space="preserve"> </w:t>
      </w:r>
      <w:r w:rsidRPr="00B01A80">
        <w:rPr>
          <w:rFonts w:ascii="Arial Narrow" w:hAnsi="Arial Narrow" w:cs="Tahoma"/>
          <w:sz w:val="16"/>
          <w:szCs w:val="16"/>
        </w:rPr>
        <w:t>April</w:t>
      </w:r>
      <w:r w:rsidR="00E15D41" w:rsidRPr="00B01A80">
        <w:rPr>
          <w:rFonts w:ascii="Arial Narrow" w:hAnsi="Arial Narrow" w:cs="Tahoma"/>
          <w:sz w:val="16"/>
          <w:szCs w:val="16"/>
        </w:rPr>
        <w:t xml:space="preserve"> 201</w:t>
      </w:r>
      <w:r w:rsidR="00230603" w:rsidRPr="00B01A80">
        <w:rPr>
          <w:rFonts w:ascii="Arial Narrow" w:hAnsi="Arial Narrow" w:cs="Tahoma"/>
          <w:sz w:val="16"/>
          <w:szCs w:val="16"/>
        </w:rPr>
        <w:t>8</w:t>
      </w:r>
      <w:r w:rsidR="00E15D41" w:rsidRPr="00B01A80">
        <w:rPr>
          <w:rFonts w:ascii="Arial Narrow" w:hAnsi="Arial Narrow" w:cs="Tahoma"/>
          <w:sz w:val="16"/>
          <w:szCs w:val="16"/>
        </w:rPr>
        <w:t xml:space="preserve"> – </w:t>
      </w:r>
      <w:r w:rsidRPr="00B01A80">
        <w:rPr>
          <w:rFonts w:ascii="Arial Narrow" w:hAnsi="Arial Narrow" w:cs="Tahoma"/>
          <w:sz w:val="16"/>
          <w:szCs w:val="16"/>
        </w:rPr>
        <w:t>April</w:t>
      </w:r>
      <w:r w:rsidR="00214FDD" w:rsidRPr="00B01A80">
        <w:rPr>
          <w:rFonts w:ascii="Arial Narrow" w:hAnsi="Arial Narrow" w:cs="Tahoma"/>
          <w:sz w:val="16"/>
          <w:szCs w:val="16"/>
        </w:rPr>
        <w:t xml:space="preserve"> </w:t>
      </w:r>
      <w:r w:rsidR="00E15D41" w:rsidRPr="00B01A80">
        <w:rPr>
          <w:rFonts w:ascii="Arial Narrow" w:hAnsi="Arial Narrow" w:cs="Tahoma"/>
          <w:sz w:val="16"/>
          <w:szCs w:val="16"/>
        </w:rPr>
        <w:t>202</w:t>
      </w:r>
      <w:r w:rsidR="00230603" w:rsidRPr="00B01A80">
        <w:rPr>
          <w:rFonts w:ascii="Arial Narrow" w:hAnsi="Arial Narrow" w:cs="Tahoma"/>
          <w:sz w:val="16"/>
          <w:szCs w:val="16"/>
        </w:rPr>
        <w:t>2</w:t>
      </w:r>
      <w:r w:rsidR="00E15D41" w:rsidRPr="00B01A80">
        <w:rPr>
          <w:rFonts w:ascii="Arial Narrow" w:hAnsi="Arial Narrow" w:cs="Tahoma"/>
          <w:sz w:val="16"/>
          <w:szCs w:val="16"/>
        </w:rPr>
        <w:t xml:space="preserve"> (</w:t>
      </w:r>
      <w:r w:rsidR="00E15D41" w:rsidRPr="00B01A80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B01A80">
        <w:rPr>
          <w:rFonts w:ascii="Arial Narrow" w:hAnsi="Arial Narrow" w:cs="Tahoma"/>
          <w:sz w:val="16"/>
          <w:szCs w:val="16"/>
        </w:rPr>
        <w:t>2015=100)</w:t>
      </w:r>
    </w:p>
    <w:p w:rsidR="00C520F2" w:rsidRPr="00B01A80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B01A80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B01A80" w:rsidRDefault="00217CE0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B01A80">
        <w:rPr>
          <w:rFonts w:ascii="Arial Narrow" w:hAnsi="Arial Narrow" w:cs="Tahoma"/>
          <w:b/>
          <w:sz w:val="28"/>
        </w:rPr>
        <w:t xml:space="preserve">Number of employees in industry </w:t>
      </w:r>
      <w:r w:rsidR="00A22D9B" w:rsidRPr="00B01A80">
        <w:rPr>
          <w:rFonts w:ascii="Arial Narrow" w:hAnsi="Arial Narrow" w:cs="Tahoma"/>
          <w:b/>
          <w:sz w:val="28"/>
        </w:rPr>
        <w:t>(</w:t>
      </w:r>
      <w:r w:rsidRPr="00B01A80">
        <w:rPr>
          <w:rFonts w:ascii="Arial Narrow" w:hAnsi="Arial Narrow" w:cs="Tahoma"/>
          <w:b/>
          <w:sz w:val="28"/>
          <w:szCs w:val="30"/>
        </w:rPr>
        <w:t>April</w:t>
      </w:r>
      <w:r w:rsidR="00A22D9B" w:rsidRPr="00B01A80">
        <w:rPr>
          <w:rFonts w:ascii="Arial Narrow" w:hAnsi="Arial Narrow" w:cs="Tahoma"/>
          <w:b/>
          <w:sz w:val="28"/>
          <w:szCs w:val="30"/>
        </w:rPr>
        <w:t xml:space="preserve"> 2022/</w:t>
      </w:r>
      <w:r w:rsidRPr="00B01A80">
        <w:rPr>
          <w:rFonts w:ascii="Arial Narrow" w:hAnsi="Arial Narrow" w:cs="Tahoma"/>
          <w:b/>
          <w:sz w:val="28"/>
          <w:szCs w:val="30"/>
        </w:rPr>
        <w:t>April</w:t>
      </w:r>
      <w:r w:rsidR="00A22D9B" w:rsidRPr="00B01A80">
        <w:rPr>
          <w:rFonts w:ascii="Arial Narrow" w:hAnsi="Arial Narrow" w:cs="Tahoma"/>
          <w:b/>
          <w:sz w:val="28"/>
          <w:szCs w:val="30"/>
        </w:rPr>
        <w:t xml:space="preserve"> </w:t>
      </w:r>
      <w:r w:rsidR="00A22D9B" w:rsidRPr="00B01A80">
        <w:rPr>
          <w:rFonts w:ascii="Arial Narrow" w:hAnsi="Arial Narrow" w:cs="Tahoma"/>
          <w:b/>
          <w:bCs/>
          <w:sz w:val="28"/>
          <w:szCs w:val="30"/>
        </w:rPr>
        <w:t>2021</w:t>
      </w:r>
      <w:r w:rsidR="00A22D9B" w:rsidRPr="00B01A80">
        <w:rPr>
          <w:rFonts w:ascii="Arial Narrow" w:hAnsi="Arial Narrow" w:cs="Tahoma"/>
          <w:b/>
          <w:sz w:val="28"/>
        </w:rPr>
        <w:t xml:space="preserve">) </w:t>
      </w:r>
      <w:r w:rsidRPr="00B01A80">
        <w:rPr>
          <w:rFonts w:ascii="Arial Narrow" w:hAnsi="Arial Narrow" w:cs="Tahoma"/>
          <w:b/>
          <w:sz w:val="28"/>
        </w:rPr>
        <w:t>increased by 1.</w:t>
      </w:r>
      <w:r w:rsidR="001C5543" w:rsidRPr="00B01A80">
        <w:rPr>
          <w:rFonts w:ascii="Arial Narrow" w:hAnsi="Arial Narrow" w:cs="Tahoma"/>
          <w:b/>
          <w:sz w:val="28"/>
        </w:rPr>
        <w:t>2</w:t>
      </w:r>
      <w:r w:rsidR="00A22D9B" w:rsidRPr="00B01A80">
        <w:rPr>
          <w:rFonts w:ascii="Arial Narrow" w:hAnsi="Arial Narrow" w:cs="Tahoma"/>
          <w:b/>
          <w:sz w:val="28"/>
        </w:rPr>
        <w:t>%</w:t>
      </w:r>
    </w:p>
    <w:p w:rsidR="0097485C" w:rsidRPr="00B01A80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217CE0" w:rsidRPr="00B01A80" w:rsidRDefault="00217CE0" w:rsidP="00217CE0">
      <w:pPr>
        <w:ind w:right="68"/>
        <w:jc w:val="both"/>
        <w:rPr>
          <w:rFonts w:ascii="Arial Narrow" w:hAnsi="Arial Narrow" w:cs="Tahoma"/>
          <w:b/>
          <w:bCs/>
          <w:sz w:val="22"/>
          <w:lang w:eastAsia="x-none"/>
        </w:rPr>
      </w:pPr>
      <w:r w:rsidRPr="00B01A80">
        <w:rPr>
          <w:rFonts w:ascii="Arial Narrow" w:hAnsi="Arial Narrow" w:cs="Tahoma"/>
          <w:b/>
          <w:bCs/>
          <w:sz w:val="22"/>
          <w:lang w:eastAsia="x-none"/>
        </w:rPr>
        <w:t>Number of employees in industry</w:t>
      </w:r>
      <w:r w:rsidRPr="00B01A80">
        <w:rPr>
          <w:rFonts w:ascii="Arial Narrow" w:hAnsi="Arial Narrow" w:cs="Tahoma"/>
          <w:bCs/>
          <w:sz w:val="22"/>
          <w:lang w:eastAsia="x-none"/>
        </w:rPr>
        <w:t xml:space="preserve"> in April 2022, compared to the same month of the previous year, was 1.2% higher, while compared to the 2021 average it was 0.6% higher.</w:t>
      </w:r>
    </w:p>
    <w:p w:rsidR="00217CE0" w:rsidRPr="00B01A80" w:rsidRDefault="00217CE0" w:rsidP="00217CE0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b/>
          <w:sz w:val="22"/>
          <w:lang w:val="en-US"/>
        </w:rPr>
      </w:pPr>
      <w:r w:rsidRPr="00B01A80">
        <w:rPr>
          <w:rFonts w:ascii="Arial Narrow" w:hAnsi="Arial Narrow" w:cs="Tahoma"/>
          <w:sz w:val="22"/>
          <w:lang w:val="en-US"/>
        </w:rPr>
        <w:t>Number of employees in industry in the period January – April 2022, compared to the same period of the previous year, was 1.3% higher.</w:t>
      </w:r>
    </w:p>
    <w:p w:rsidR="0097485C" w:rsidRPr="00B01A80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B01A80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B1451F" w:rsidRPr="00B01A80" w:rsidRDefault="00217CE0" w:rsidP="00B1451F">
      <w:pPr>
        <w:rPr>
          <w:rFonts w:ascii="Arial Narrow" w:hAnsi="Arial Narrow" w:cs="Tahoma"/>
          <w:b/>
          <w:sz w:val="30"/>
          <w:szCs w:val="30"/>
        </w:rPr>
      </w:pPr>
      <w:r w:rsidRPr="00B01A80">
        <w:rPr>
          <w:rFonts w:ascii="Arial Narrow" w:hAnsi="Arial Narrow" w:cs="Tahoma"/>
          <w:b/>
          <w:sz w:val="30"/>
          <w:szCs w:val="30"/>
        </w:rPr>
        <w:t>Coverage of import with export</w:t>
      </w:r>
      <w:r w:rsidR="00B1451F" w:rsidRPr="00B01A80">
        <w:rPr>
          <w:rFonts w:ascii="Arial Narrow" w:hAnsi="Arial Narrow" w:cs="Tahoma"/>
          <w:b/>
          <w:sz w:val="30"/>
          <w:szCs w:val="30"/>
        </w:rPr>
        <w:t xml:space="preserve"> </w:t>
      </w:r>
      <w:r w:rsidR="0087754C" w:rsidRPr="00B01A80">
        <w:rPr>
          <w:rFonts w:ascii="Arial Narrow" w:hAnsi="Arial Narrow" w:cs="Tahoma"/>
          <w:b/>
          <w:sz w:val="30"/>
          <w:szCs w:val="30"/>
        </w:rPr>
        <w:t>8</w:t>
      </w:r>
      <w:r w:rsidR="003037D3" w:rsidRPr="00B01A80">
        <w:rPr>
          <w:rFonts w:ascii="Arial Narrow" w:hAnsi="Arial Narrow" w:cs="Tahoma"/>
          <w:b/>
          <w:sz w:val="30"/>
          <w:szCs w:val="30"/>
        </w:rPr>
        <w:t>0</w:t>
      </w:r>
      <w:r w:rsidRPr="00B01A80">
        <w:rPr>
          <w:rFonts w:ascii="Arial Narrow" w:hAnsi="Arial Narrow" w:cs="Tahoma"/>
          <w:b/>
          <w:sz w:val="30"/>
          <w:szCs w:val="30"/>
        </w:rPr>
        <w:t>.</w:t>
      </w:r>
      <w:r w:rsidR="003037D3" w:rsidRPr="00B01A80">
        <w:rPr>
          <w:rFonts w:ascii="Arial Narrow" w:hAnsi="Arial Narrow" w:cs="Tahoma"/>
          <w:b/>
          <w:sz w:val="30"/>
          <w:szCs w:val="30"/>
        </w:rPr>
        <w:t>1</w:t>
      </w:r>
      <w:r w:rsidR="00B1451F" w:rsidRPr="00B01A80">
        <w:rPr>
          <w:rFonts w:ascii="Arial Narrow" w:hAnsi="Arial Narrow" w:cs="Tahoma"/>
          <w:b/>
          <w:sz w:val="30"/>
          <w:szCs w:val="30"/>
        </w:rPr>
        <w:t>%</w:t>
      </w:r>
    </w:p>
    <w:p w:rsidR="00B1451F" w:rsidRPr="00B01A80" w:rsidRDefault="00B1451F" w:rsidP="00B1451F">
      <w:pPr>
        <w:jc w:val="both"/>
        <w:rPr>
          <w:rFonts w:ascii="Arial Narrow" w:hAnsi="Arial Narrow" w:cs="Tahoma"/>
          <w:sz w:val="22"/>
        </w:rPr>
      </w:pPr>
    </w:p>
    <w:p w:rsidR="005D5B43" w:rsidRPr="00B01A80" w:rsidRDefault="005D5B43" w:rsidP="00B1451F">
      <w:pPr>
        <w:jc w:val="both"/>
        <w:rPr>
          <w:rFonts w:ascii="Arial Narrow" w:hAnsi="Arial Narrow" w:cs="Tahoma"/>
          <w:sz w:val="22"/>
        </w:rPr>
      </w:pPr>
      <w:r w:rsidRPr="00B01A80">
        <w:rPr>
          <w:rFonts w:ascii="Arial Narrow" w:hAnsi="Arial Narrow" w:cs="Tahoma"/>
          <w:sz w:val="22"/>
        </w:rPr>
        <w:t>In the period January – April 2022, the value of export was one billion and 753 million KM, which represented an increase by 34.3% compared to the period January- April 2021, while the value of import was two billion and 188 million KM, which represented an increase by 37.2% compared to the period January-April 2021. The percentage of coverage of import with export amounted to 80.1%.</w:t>
      </w:r>
    </w:p>
    <w:p w:rsidR="00B1451F" w:rsidRPr="00B01A80" w:rsidRDefault="00B1451F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3626CB" w:rsidRPr="00B01A80" w:rsidRDefault="003626CB" w:rsidP="003626CB">
      <w:pPr>
        <w:jc w:val="both"/>
        <w:rPr>
          <w:rFonts w:ascii="Arial Narrow" w:hAnsi="Arial Narrow" w:cs="Tahoma"/>
          <w:sz w:val="22"/>
        </w:rPr>
      </w:pPr>
      <w:r w:rsidRPr="00B01A80">
        <w:rPr>
          <w:rFonts w:ascii="Arial Narrow" w:hAnsi="Arial Narrow" w:cs="Tahoma"/>
          <w:sz w:val="22"/>
        </w:rPr>
        <w:t xml:space="preserve">In April 2022, the value of export was 469 million KM, which represented an increase by 33.1% compared to the same month of 2021, while the value of import was 608 million KM, which represented an increase by 33.2% compared to April 2021. </w:t>
      </w:r>
    </w:p>
    <w:p w:rsidR="003626CB" w:rsidRPr="00B01A80" w:rsidRDefault="003626CB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3626CB" w:rsidRPr="00B01A80" w:rsidRDefault="003626CB" w:rsidP="003626CB">
      <w:pPr>
        <w:jc w:val="both"/>
        <w:rPr>
          <w:rFonts w:ascii="Arial Narrow" w:hAnsi="Arial Narrow" w:cs="Tahoma"/>
          <w:sz w:val="22"/>
        </w:rPr>
      </w:pPr>
      <w:r w:rsidRPr="00B01A80">
        <w:rPr>
          <w:rFonts w:ascii="Arial Narrow" w:hAnsi="Arial Narrow" w:cs="Tahoma"/>
          <w:sz w:val="22"/>
        </w:rPr>
        <w:t>In terms of the geographical distribution of external trade of Republika Srpska, in the period January – April 2022, the highest value of export was that of export to Serbia, with 305 million KM or 17.4%, followed by Croatia, with 246 million KM or 14.0% of the total realised export. During the same period, the highest value of import was that of import form Serbia, with 382 million KM or 17.5%, followed by Italy, with 338 million KM or 15.5% of the total realised import.</w:t>
      </w:r>
    </w:p>
    <w:p w:rsidR="003037D3" w:rsidRPr="00B01A80" w:rsidRDefault="003037D3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3626CB" w:rsidRPr="00B01A80" w:rsidRDefault="003626CB" w:rsidP="003626CB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B01A80">
        <w:rPr>
          <w:rFonts w:ascii="Arial Narrow" w:hAnsi="Arial Narrow" w:cs="Tahoma"/>
          <w:sz w:val="22"/>
        </w:rPr>
        <w:t xml:space="preserve">By group of products, in the period January - April 2022, the highest share in export was that of electricity, with the total value of 194 million KM, which was 11.1% of the total export, while the highest share in import was that of petroleum oils and oils obtained from bituminous minerals (other than crude), with the total value of </w:t>
      </w:r>
      <w:r w:rsidR="00187F62" w:rsidRPr="00B01A80">
        <w:rPr>
          <w:rFonts w:ascii="Arial Narrow" w:hAnsi="Arial Narrow" w:cs="Tahoma"/>
          <w:sz w:val="22"/>
        </w:rPr>
        <w:t>167 million KM, which was 7.7</w:t>
      </w:r>
      <w:r w:rsidRPr="00B01A80">
        <w:rPr>
          <w:rFonts w:ascii="Arial Narrow" w:hAnsi="Arial Narrow" w:cs="Tahoma"/>
          <w:sz w:val="22"/>
        </w:rPr>
        <w:t>% of the total import</w:t>
      </w:r>
      <w:r w:rsidRPr="00B01A80">
        <w:rPr>
          <w:rFonts w:ascii="Arial Narrow" w:hAnsi="Arial Narrow" w:cs="Tahoma"/>
          <w:sz w:val="22"/>
          <w:szCs w:val="22"/>
        </w:rPr>
        <w:t>.</w:t>
      </w:r>
      <w:r w:rsidRPr="00B01A80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3626CB" w:rsidRPr="00B01A80" w:rsidRDefault="003626CB" w:rsidP="003626C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754F0D" w:rsidRPr="00B01A80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B01A8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B01A80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5665F" w:rsidRPr="00B01A80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B01A80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B01A80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B01A80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B01A80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B01A80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B01A80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B01A80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B01A80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B01A80" w:rsidRDefault="0053290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B01A80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1453667</wp:posOffset>
                </wp:positionH>
                <wp:positionV relativeFrom="paragraph">
                  <wp:posOffset>29222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064863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2" type="#_x0000_t202" style="position:absolute;left:0;text-align:left;margin-left:114.45pt;margin-top:2.3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A5SgOeAAAAAIAQAADwAAAGRycy9k&#10;b3ducmV2LnhtbEyPvU7DQBCEeyTe4bRIdOSMIcExPkeRpQgJQZGQhm7t29gW92N8l8Tw9CwVdDua&#10;0ew3xWqyRpxoDL13Cm5nCQhyjde9axXs3zY3GYgQ0Wk03pGCLwqwKi8vCsy1P7stnXaxFVziQo4K&#10;uhiHXMrQdGQxzPxAjr2DHy1GlmMr9YhnLrdGpkmykBZ7xx86HKjqqPnYHa2C52rzits6tdm3qZ5e&#10;Duvhc/8+V+r6alo/gog0xb8w/OIzOpTMVPuj00EYBWmaLTmq4H4Bgv27+ZKPmvVDBrIs5P8B5Q8A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A5SgOeAAAAAI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064863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B01A80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B01A80" w:rsidRDefault="00064863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B01A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02630C" wp14:editId="4C9EB374">
                <wp:simplePos x="0" y="0"/>
                <wp:positionH relativeFrom="margin">
                  <wp:posOffset>5128536</wp:posOffset>
                </wp:positionH>
                <wp:positionV relativeFrom="paragraph">
                  <wp:posOffset>1102029</wp:posOffset>
                </wp:positionV>
                <wp:extent cx="533400" cy="210388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863" w:rsidRDefault="00064863" w:rsidP="0006486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630C" id="Text Box 29" o:spid="_x0000_s1033" type="#_x0000_t202" style="position:absolute;left:0;text-align:left;margin-left:403.8pt;margin-top:86.75pt;width:42pt;height:16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" fillcolor="window" stroked="f" strokeweight=".5pt">
                <v:textbox>
                  <w:txbxContent>
                    <w:p w:rsidR="00064863" w:rsidRDefault="00064863" w:rsidP="0006486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1A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0FAB3" wp14:editId="6DAE87A1">
                <wp:simplePos x="0" y="0"/>
                <wp:positionH relativeFrom="margin">
                  <wp:posOffset>5104738</wp:posOffset>
                </wp:positionH>
                <wp:positionV relativeFrom="paragraph">
                  <wp:posOffset>744275</wp:posOffset>
                </wp:positionV>
                <wp:extent cx="533400" cy="21038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863" w:rsidRDefault="00064863" w:rsidP="0006486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0FAB3" id="Text Box 25" o:spid="_x0000_s1034" type="#_x0000_t202" style="position:absolute;left:0;text-align:left;margin-left:401.95pt;margin-top:58.6pt;width:42pt;height:16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" fillcolor="window" stroked="f" strokeweight=".5pt">
                <v:textbox>
                  <w:txbxContent>
                    <w:p w:rsidR="00064863" w:rsidRDefault="00064863" w:rsidP="0006486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D60" w:rsidRPr="00B01A80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5D60" w:rsidRPr="00B01A80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B01A80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B01A8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6350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32.85pt;margin-top:.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B01A8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B01A80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B01A80" w:rsidRDefault="00064863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B01A80">
        <w:rPr>
          <w:rFonts w:ascii="Arial Narrow" w:hAnsi="Arial Narrow" w:cs="Tahoma"/>
          <w:sz w:val="16"/>
          <w:szCs w:val="22"/>
        </w:rPr>
        <w:t>Graph</w:t>
      </w:r>
      <w:r w:rsidR="0031264C" w:rsidRPr="00B01A80">
        <w:rPr>
          <w:rFonts w:ascii="Arial Narrow" w:hAnsi="Arial Narrow" w:cs="Tahoma"/>
          <w:sz w:val="16"/>
          <w:szCs w:val="22"/>
        </w:rPr>
        <w:t xml:space="preserve"> 4. </w:t>
      </w:r>
      <w:r w:rsidRPr="00B01A80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B01A8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B01A8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B01A8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B01A80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B01A80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01A8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01A8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B01A80" w:rsidRDefault="00AE0432" w:rsidP="00214F71">
      <w:pPr>
        <w:tabs>
          <w:tab w:val="left" w:pos="2535"/>
        </w:tabs>
        <w:rPr>
          <w:rFonts w:ascii="Arial Narrow" w:hAnsi="Arial Narrow" w:cs="Tahoma"/>
          <w:b/>
          <w:sz w:val="30"/>
          <w:szCs w:val="30"/>
        </w:rPr>
      </w:pPr>
    </w:p>
    <w:p w:rsidR="006A1425" w:rsidRPr="00B01A80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B01A80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01A80" w:rsidRDefault="00754138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B01A80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B01A80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B01A80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B01A80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B01A80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B01A80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B01A80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B01A80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B01A80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B01A80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B01A80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B01A80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54138" w:rsidRPr="00B01A80" w:rsidRDefault="00754138" w:rsidP="00754138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754138" w:rsidRPr="00B01A80" w:rsidRDefault="00754138" w:rsidP="0075413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B01A80" w:rsidRDefault="00AA5F94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B01A8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B01A8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B01A80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54138" w:rsidRPr="00B01A80" w:rsidRDefault="00754138" w:rsidP="00754138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754138" w:rsidRPr="00B01A80" w:rsidRDefault="00754138" w:rsidP="0075413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B01A80" w:rsidRDefault="00AA5F94" w:rsidP="00EA721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EA7213" w:rsidRPr="00B01A8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zeljka.draskovic@rzs.rs.ba</w:t>
              </w:r>
            </w:hyperlink>
          </w:p>
        </w:tc>
      </w:tr>
      <w:tr w:rsidR="006D1F0C" w:rsidRPr="00B01A80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54138" w:rsidRPr="00B01A80" w:rsidRDefault="00754138" w:rsidP="00754138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754138" w:rsidRPr="00B01A80" w:rsidRDefault="00754138" w:rsidP="0075413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B01A80" w:rsidRDefault="00AA5F94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62CB9" w:rsidRPr="00B01A80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B01A80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B01A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94E88" w:rsidRPr="00B01A80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54138" w:rsidRPr="00B01A80" w:rsidRDefault="00754138" w:rsidP="00754138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754138" w:rsidRPr="00B01A80" w:rsidRDefault="00754138" w:rsidP="0075413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B01A80" w:rsidRDefault="00AA5F94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7B6B0E" w:rsidRPr="00B01A80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B01A80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B01A80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B01A8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B01A8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B01A80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B01A8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01A8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01A8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01A8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01A8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01A8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01A8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01A8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01A8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B01A80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B01A80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B01A80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B01A80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B01A80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B01A80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B01A80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B01A80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657A3" w:rsidRPr="00B01A80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B0192" w:rsidRPr="00B01A80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B01A80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01A8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B01A80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B01A80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B01A80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B01A80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B01A80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B01A80" w:rsidRDefault="00754138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01A80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B01A80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138" w:rsidRPr="00B01A80" w:rsidRDefault="00754138" w:rsidP="007541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Darko Milunović, Acting Director, Editor in Chief</w:t>
            </w:r>
          </w:p>
          <w:p w:rsidR="00754138" w:rsidRPr="00B01A80" w:rsidRDefault="00754138" w:rsidP="007541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754138" w:rsidRPr="00B01A80" w:rsidRDefault="00754138" w:rsidP="007541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754138" w:rsidRPr="00B01A80" w:rsidRDefault="00754138" w:rsidP="007541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754138" w:rsidRPr="00B01A80" w:rsidRDefault="00754138" w:rsidP="007541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B01A80" w:rsidRDefault="00754138" w:rsidP="007541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01A80">
              <w:rPr>
                <w:rFonts w:ascii="Arial Narrow" w:hAnsi="Arial Narrow" w:cs="Tahoma"/>
                <w:sz w:val="18"/>
                <w:szCs w:val="18"/>
              </w:rPr>
              <w:t>Telephone: +387 51 332 700; E-mail</w:t>
            </w:r>
            <w:r w:rsidR="002B3E94" w:rsidRPr="00B01A80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B01A8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B01A80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B01A80" w:rsidRDefault="00754138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B01A80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B01A80" w:rsidRDefault="004F6953" w:rsidP="009E2A9A">
      <w:pPr>
        <w:rPr>
          <w:rFonts w:ascii="Tahoma" w:hAnsi="Tahoma" w:cs="Tahoma"/>
        </w:rPr>
      </w:pPr>
      <w:r w:rsidRPr="00B01A8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B01A80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A5F9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A5F94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A5F9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A5F9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754138" w:rsidRDefault="00754138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754138" w:rsidRDefault="00754138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13AB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13AB9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="00754138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May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754138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72A1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F13AB9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58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87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63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4FC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87F62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5CDD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71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CE0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6C8E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6C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1C2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48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5B43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167D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138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3D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5F94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58BA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A80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279B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26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7E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8769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2021</c:v>
                  </c:pt>
                  <c:pt idx="9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978</c:v>
                </c:pt>
                <c:pt idx="1">
                  <c:v>981</c:v>
                </c:pt>
                <c:pt idx="2">
                  <c:v>994</c:v>
                </c:pt>
                <c:pt idx="3">
                  <c:v>1019</c:v>
                </c:pt>
                <c:pt idx="4">
                  <c:v>1025</c:v>
                </c:pt>
                <c:pt idx="5">
                  <c:v>1026</c:v>
                </c:pt>
                <c:pt idx="6">
                  <c:v>1027</c:v>
                </c:pt>
                <c:pt idx="7">
                  <c:v>1030</c:v>
                </c:pt>
                <c:pt idx="8">
                  <c:v>1038</c:v>
                </c:pt>
                <c:pt idx="9">
                  <c:v>1042</c:v>
                </c:pt>
                <c:pt idx="10">
                  <c:v>1091</c:v>
                </c:pt>
                <c:pt idx="11">
                  <c:v>1091</c:v>
                </c:pt>
                <c:pt idx="12">
                  <c:v>1094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09272"/>
        <c:axId val="2909656"/>
      </c:lineChart>
      <c:catAx>
        <c:axId val="290927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909656"/>
        <c:crosses val="autoZero"/>
        <c:auto val="1"/>
        <c:lblAlgn val="ctr"/>
        <c:lblOffset val="100"/>
        <c:noMultiLvlLbl val="0"/>
      </c:catAx>
      <c:valAx>
        <c:axId val="2909656"/>
        <c:scaling>
          <c:orientation val="minMax"/>
          <c:min val="6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2909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 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2021</c:v>
                  </c:pt>
                  <c:pt idx="9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-0.7</c:v>
                </c:pt>
                <c:pt idx="1">
                  <c:v>0.2</c:v>
                </c:pt>
                <c:pt idx="2">
                  <c:v>0</c:v>
                </c:pt>
                <c:pt idx="3">
                  <c:v>-0.1</c:v>
                </c:pt>
                <c:pt idx="4">
                  <c:v>0.2</c:v>
                </c:pt>
                <c:pt idx="5">
                  <c:v>0.6</c:v>
                </c:pt>
                <c:pt idx="6">
                  <c:v>2.2999999999999998</c:v>
                </c:pt>
                <c:pt idx="7">
                  <c:v>1.2</c:v>
                </c:pt>
                <c:pt idx="8">
                  <c:v>0.5</c:v>
                </c:pt>
                <c:pt idx="9">
                  <c:v>0.8</c:v>
                </c:pt>
                <c:pt idx="10">
                  <c:v>1.3</c:v>
                </c:pt>
                <c:pt idx="11">
                  <c:v>2.6</c:v>
                </c:pt>
                <c:pt idx="12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 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2021</c:v>
                  </c:pt>
                  <c:pt idx="9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0.6</c:v>
                </c:pt>
                <c:pt idx="1">
                  <c:v>1.5</c:v>
                </c:pt>
                <c:pt idx="2">
                  <c:v>1.4</c:v>
                </c:pt>
                <c:pt idx="3">
                  <c:v>1.7</c:v>
                </c:pt>
                <c:pt idx="4">
                  <c:v>2.1</c:v>
                </c:pt>
                <c:pt idx="5">
                  <c:v>2.6</c:v>
                </c:pt>
                <c:pt idx="6">
                  <c:v>4</c:v>
                </c:pt>
                <c:pt idx="7">
                  <c:v>5.2</c:v>
                </c:pt>
                <c:pt idx="8">
                  <c:v>5.9</c:v>
                </c:pt>
                <c:pt idx="9">
                  <c:v>6.2</c:v>
                </c:pt>
                <c:pt idx="10">
                  <c:v>7.2</c:v>
                </c:pt>
                <c:pt idx="11">
                  <c:v>9.1</c:v>
                </c:pt>
                <c:pt idx="12">
                  <c:v>11.7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 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2021</c:v>
                  </c:pt>
                  <c:pt idx="9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0552304"/>
        <c:axId val="120552688"/>
      </c:lineChart>
      <c:catAx>
        <c:axId val="12055230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205526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055268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2055230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2018</c:v>
                  </c:pt>
                  <c:pt idx="9">
                    <c:v>2019</c:v>
                  </c:pt>
                  <c:pt idx="21">
                    <c:v>2020</c:v>
                  </c:pt>
                  <c:pt idx="33">
                    <c:v>2021</c:v>
                  </c:pt>
                  <c:pt idx="45">
                    <c:v>2022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119.20131709754801</c:v>
                </c:pt>
                <c:pt idx="1">
                  <c:v>122.44720566274614</c:v>
                </c:pt>
                <c:pt idx="2">
                  <c:v>113.16616923422818</c:v>
                </c:pt>
                <c:pt idx="3">
                  <c:v>114.62253476532668</c:v>
                </c:pt>
                <c:pt idx="4">
                  <c:v>106.60358202172816</c:v>
                </c:pt>
                <c:pt idx="5">
                  <c:v>111.66698476843649</c:v>
                </c:pt>
                <c:pt idx="6">
                  <c:v>113.5297088940118</c:v>
                </c:pt>
                <c:pt idx="7">
                  <c:v>108.548255565982</c:v>
                </c:pt>
                <c:pt idx="8">
                  <c:v>104.57668221990674</c:v>
                </c:pt>
                <c:pt idx="9">
                  <c:v>99.605361103312731</c:v>
                </c:pt>
                <c:pt idx="10">
                  <c:v>101.659521496485</c:v>
                </c:pt>
                <c:pt idx="11">
                  <c:v>98.05413176339782</c:v>
                </c:pt>
                <c:pt idx="12">
                  <c:v>96.562719037780823</c:v>
                </c:pt>
                <c:pt idx="13">
                  <c:v>100.78991030589626</c:v>
                </c:pt>
                <c:pt idx="14">
                  <c:v>102.60263509863495</c:v>
                </c:pt>
                <c:pt idx="15">
                  <c:v>107.11978670785417</c:v>
                </c:pt>
                <c:pt idx="16">
                  <c:v>106.19540370392119</c:v>
                </c:pt>
                <c:pt idx="17">
                  <c:v>102.25294990582995</c:v>
                </c:pt>
                <c:pt idx="18">
                  <c:v>95.938484588288318</c:v>
                </c:pt>
                <c:pt idx="19">
                  <c:v>98.033560086113013</c:v>
                </c:pt>
                <c:pt idx="20">
                  <c:v>97.948898500509458</c:v>
                </c:pt>
                <c:pt idx="21">
                  <c:v>100.71168235113547</c:v>
                </c:pt>
                <c:pt idx="22">
                  <c:v>93.434999849709669</c:v>
                </c:pt>
                <c:pt idx="23">
                  <c:v>93.163372217897106</c:v>
                </c:pt>
                <c:pt idx="24">
                  <c:v>87.477538278900525</c:v>
                </c:pt>
                <c:pt idx="25">
                  <c:v>87.515289735861515</c:v>
                </c:pt>
                <c:pt idx="26">
                  <c:v>87.579164376153003</c:v>
                </c:pt>
                <c:pt idx="27">
                  <c:v>93.27661883201867</c:v>
                </c:pt>
                <c:pt idx="28">
                  <c:v>95.201149141799817</c:v>
                </c:pt>
                <c:pt idx="29">
                  <c:v>93.77298027869989</c:v>
                </c:pt>
                <c:pt idx="30">
                  <c:v>95.659134370583701</c:v>
                </c:pt>
                <c:pt idx="31">
                  <c:v>96.55869877384437</c:v>
                </c:pt>
                <c:pt idx="32">
                  <c:v>100.69042921057331</c:v>
                </c:pt>
                <c:pt idx="33">
                  <c:v>102.42733716354121</c:v>
                </c:pt>
                <c:pt idx="34">
                  <c:v>107.3848038607388</c:v>
                </c:pt>
                <c:pt idx="35">
                  <c:v>104.39277258290849</c:v>
                </c:pt>
                <c:pt idx="36">
                  <c:v>104.37750959362486</c:v>
                </c:pt>
                <c:pt idx="37">
                  <c:v>101.47304270391015</c:v>
                </c:pt>
                <c:pt idx="38">
                  <c:v>103.41189666982287</c:v>
                </c:pt>
                <c:pt idx="39">
                  <c:v>99.500083425904634</c:v>
                </c:pt>
                <c:pt idx="40">
                  <c:v>100.49584733296317</c:v>
                </c:pt>
                <c:pt idx="41">
                  <c:v>99.178727294799828</c:v>
                </c:pt>
                <c:pt idx="42">
                  <c:v>100.51708794365503</c:v>
                </c:pt>
                <c:pt idx="43">
                  <c:v>105.95277858646293</c:v>
                </c:pt>
                <c:pt idx="44">
                  <c:v>107.26414269106051</c:v>
                </c:pt>
                <c:pt idx="45">
                  <c:v>105.28004012052877</c:v>
                </c:pt>
                <c:pt idx="46">
                  <c:v>106.40958839524296</c:v>
                </c:pt>
                <c:pt idx="47">
                  <c:v>111.628688510294</c:v>
                </c:pt>
                <c:pt idx="48">
                  <c:v>114.33651260591468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BE-4B82-AFC3-2FDC05459C7C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2018</c:v>
                  </c:pt>
                  <c:pt idx="9">
                    <c:v>2019</c:v>
                  </c:pt>
                  <c:pt idx="21">
                    <c:v>2020</c:v>
                  </c:pt>
                  <c:pt idx="33">
                    <c:v>2021</c:v>
                  </c:pt>
                  <c:pt idx="45">
                    <c:v>2022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119.32261144057193</c:v>
                </c:pt>
                <c:pt idx="1">
                  <c:v>118.55986393199144</c:v>
                </c:pt>
                <c:pt idx="2">
                  <c:v>115.67292749521556</c:v>
                </c:pt>
                <c:pt idx="3">
                  <c:v>112.53332127823407</c:v>
                </c:pt>
                <c:pt idx="4">
                  <c:v>110.52521888932313</c:v>
                </c:pt>
                <c:pt idx="5">
                  <c:v>110.79950526913183</c:v>
                </c:pt>
                <c:pt idx="6">
                  <c:v>110.9439502309265</c:v>
                </c:pt>
                <c:pt idx="7">
                  <c:v>108.36064490523241</c:v>
                </c:pt>
                <c:pt idx="8">
                  <c:v>104.5727232572757</c:v>
                </c:pt>
                <c:pt idx="9">
                  <c:v>101.76879620605587</c:v>
                </c:pt>
                <c:pt idx="10">
                  <c:v>100.2959619051212</c:v>
                </c:pt>
                <c:pt idx="11">
                  <c:v>98.934204717688942</c:v>
                </c:pt>
                <c:pt idx="12">
                  <c:v>98.651115872811189</c:v>
                </c:pt>
                <c:pt idx="13">
                  <c:v>100.43810942612963</c:v>
                </c:pt>
                <c:pt idx="14">
                  <c:v>103.05853418534743</c:v>
                </c:pt>
                <c:pt idx="15">
                  <c:v>105.02164930425474</c:v>
                </c:pt>
                <c:pt idx="16">
                  <c:v>104.62147573464424</c:v>
                </c:pt>
                <c:pt idx="17">
                  <c:v>101.61945541263525</c:v>
                </c:pt>
                <c:pt idx="18">
                  <c:v>98.692338850564582</c:v>
                </c:pt>
                <c:pt idx="19">
                  <c:v>97.901974846400464</c:v>
                </c:pt>
                <c:pt idx="20">
                  <c:v>98.332693895886592</c:v>
                </c:pt>
                <c:pt idx="21">
                  <c:v>97.60574074809125</c:v>
                </c:pt>
                <c:pt idx="22">
                  <c:v>95.012564384985566</c:v>
                </c:pt>
                <c:pt idx="23">
                  <c:v>91.955207264914421</c:v>
                </c:pt>
                <c:pt idx="24">
                  <c:v>89.381959559516417</c:v>
                </c:pt>
                <c:pt idx="25">
                  <c:v>88.284843937832733</c:v>
                </c:pt>
                <c:pt idx="26">
                  <c:v>89.458323322203171</c:v>
                </c:pt>
                <c:pt idx="27">
                  <c:v>92.10338392772006</c:v>
                </c:pt>
                <c:pt idx="28">
                  <c:v>94.02654950451813</c:v>
                </c:pt>
                <c:pt idx="29">
                  <c:v>94.733203503869476</c:v>
                </c:pt>
                <c:pt idx="30">
                  <c:v>95.720935881526756</c:v>
                </c:pt>
                <c:pt idx="31">
                  <c:v>97.589611002983588</c:v>
                </c:pt>
                <c:pt idx="32">
                  <c:v>100.15109645729956</c:v>
                </c:pt>
                <c:pt idx="33">
                  <c:v>102.93335451311403</c:v>
                </c:pt>
                <c:pt idx="34">
                  <c:v>104.81074347921511</c:v>
                </c:pt>
                <c:pt idx="35">
                  <c:v>104.81033337321755</c:v>
                </c:pt>
                <c:pt idx="36">
                  <c:v>103.71229659067876</c:v>
                </c:pt>
                <c:pt idx="37">
                  <c:v>102.74441463148865</c:v>
                </c:pt>
                <c:pt idx="38">
                  <c:v>101.90500548538289</c:v>
                </c:pt>
                <c:pt idx="39">
                  <c:v>100.86489854520929</c:v>
                </c:pt>
                <c:pt idx="40">
                  <c:v>100.19849888697256</c:v>
                </c:pt>
                <c:pt idx="41">
                  <c:v>100.31986817402435</c:v>
                </c:pt>
                <c:pt idx="42">
                  <c:v>101.87562663771931</c:v>
                </c:pt>
                <c:pt idx="43">
                  <c:v>104.54913057556928</c:v>
                </c:pt>
                <c:pt idx="44">
                  <c:v>106.08401447012869</c:v>
                </c:pt>
                <c:pt idx="45">
                  <c:v>106.41753393912377</c:v>
                </c:pt>
                <c:pt idx="46">
                  <c:v>107.8555806325505</c:v>
                </c:pt>
                <c:pt idx="47">
                  <c:v>110.73624922461451</c:v>
                </c:pt>
                <c:pt idx="48">
                  <c:v>112.9082469970247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BE-4B82-AFC3-2FDC05459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821040"/>
        <c:axId val="137821600"/>
      </c:lineChart>
      <c:catAx>
        <c:axId val="13782104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37821600"/>
        <c:crosses val="autoZero"/>
        <c:auto val="1"/>
        <c:lblAlgn val="ctr"/>
        <c:lblOffset val="100"/>
        <c:noMultiLvlLbl val="0"/>
      </c:catAx>
      <c:valAx>
        <c:axId val="13782160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3782104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'April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'April 2022'!$B$1:$N$1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 2022'!$B$2:$N$2</c:f>
              <c:numCache>
                <c:formatCode>0</c:formatCode>
                <c:ptCount val="13"/>
                <c:pt idx="0">
                  <c:v>456355</c:v>
                </c:pt>
                <c:pt idx="1">
                  <c:v>452639</c:v>
                </c:pt>
                <c:pt idx="2">
                  <c:v>484230</c:v>
                </c:pt>
                <c:pt idx="3">
                  <c:v>499695</c:v>
                </c:pt>
                <c:pt idx="4">
                  <c:v>426113</c:v>
                </c:pt>
                <c:pt idx="5">
                  <c:v>528067</c:v>
                </c:pt>
                <c:pt idx="6">
                  <c:v>528062</c:v>
                </c:pt>
                <c:pt idx="7">
                  <c:v>543193</c:v>
                </c:pt>
                <c:pt idx="8">
                  <c:v>523742</c:v>
                </c:pt>
                <c:pt idx="9">
                  <c:v>393727</c:v>
                </c:pt>
                <c:pt idx="10">
                  <c:v>519057</c:v>
                </c:pt>
                <c:pt idx="11">
                  <c:v>667405</c:v>
                </c:pt>
                <c:pt idx="12">
                  <c:v>607811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'April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'April 2022'!$B$1:$N$1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 2022'!$B$3:$N$3</c:f>
              <c:numCache>
                <c:formatCode>0</c:formatCode>
                <c:ptCount val="13"/>
                <c:pt idx="0">
                  <c:v>352479</c:v>
                </c:pt>
                <c:pt idx="1">
                  <c:v>334439</c:v>
                </c:pt>
                <c:pt idx="2">
                  <c:v>391886</c:v>
                </c:pt>
                <c:pt idx="3">
                  <c:v>394360</c:v>
                </c:pt>
                <c:pt idx="4">
                  <c:v>326403</c:v>
                </c:pt>
                <c:pt idx="5">
                  <c:v>425424</c:v>
                </c:pt>
                <c:pt idx="6">
                  <c:v>401813</c:v>
                </c:pt>
                <c:pt idx="7">
                  <c:v>448585</c:v>
                </c:pt>
                <c:pt idx="8">
                  <c:v>399988</c:v>
                </c:pt>
                <c:pt idx="9">
                  <c:v>372945</c:v>
                </c:pt>
                <c:pt idx="10">
                  <c:v>431684</c:v>
                </c:pt>
                <c:pt idx="11">
                  <c:v>479267</c:v>
                </c:pt>
                <c:pt idx="12">
                  <c:v>469127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280856"/>
        <c:axId val="118606776"/>
      </c:lineChart>
      <c:catAx>
        <c:axId val="11928085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18606776"/>
        <c:crosses val="autoZero"/>
        <c:auto val="1"/>
        <c:lblAlgn val="ctr"/>
        <c:lblOffset val="100"/>
        <c:noMultiLvlLbl val="0"/>
      </c:catAx>
      <c:valAx>
        <c:axId val="11860677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19280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2900337457817769"/>
          <c:w val="0.14079288737556453"/>
          <c:h val="0.373738282714660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0F8B-9779-4FAF-AB97-69605AA7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4035</TotalTime>
  <Pages>5</Pages>
  <Words>1145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RZSRS</Company>
  <LinksUpToDate>false</LinksUpToDate>
  <CharactersWithSpaces>7916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RZSRS</dc:creator>
  <cp:keywords/>
  <cp:lastModifiedBy>РЗС РС</cp:lastModifiedBy>
  <cp:revision>875</cp:revision>
  <cp:lastPrinted>2020-06-17T08:46:00Z</cp:lastPrinted>
  <dcterms:created xsi:type="dcterms:W3CDTF">2018-06-21T10:44:00Z</dcterms:created>
  <dcterms:modified xsi:type="dcterms:W3CDTF">2022-05-23T07:33:00Z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