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651799" w:rsidRDefault="00B94BFB"/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651799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651799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651799">
              <w:rPr>
                <w:rFonts w:ascii="Tahoma" w:hAnsi="Tahoma" w:cs="Tahoma"/>
              </w:rPr>
              <w:br w:type="column"/>
            </w:r>
            <w:r w:rsidRPr="00651799">
              <w:rPr>
                <w:rFonts w:ascii="Tahoma" w:hAnsi="Tahoma" w:cs="Tahoma"/>
              </w:rPr>
              <w:br w:type="column"/>
            </w:r>
            <w:r w:rsidRPr="00651799">
              <w:rPr>
                <w:rFonts w:ascii="Tahoma" w:hAnsi="Tahoma" w:cs="Tahoma"/>
              </w:rPr>
              <w:br w:type="page"/>
            </w:r>
            <w:r w:rsidRPr="00651799">
              <w:rPr>
                <w:rFonts w:ascii="Tahoma" w:hAnsi="Tahoma" w:cs="Tahoma"/>
              </w:rPr>
              <w:br w:type="page"/>
            </w:r>
            <w:r w:rsidR="004F6953" w:rsidRPr="00651799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651799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65179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65179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65179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E72BD4" w:rsidRPr="00651799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651799">
              <w:rPr>
                <w:rFonts w:ascii="Tahoma" w:hAnsi="Tahoma" w:cs="Tahoma"/>
                <w:sz w:val="16"/>
              </w:rPr>
              <w:t xml:space="preserve">  </w:t>
            </w:r>
          </w:p>
          <w:p w:rsidR="005D5311" w:rsidRPr="00651799" w:rsidRDefault="004551B9" w:rsidP="00FE38A1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</w:pPr>
            <w:r w:rsidRPr="00651799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9062FA" w:rsidRPr="00651799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651799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651799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="00431915" w:rsidRPr="00651799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B4D98" w:rsidRPr="00651799">
              <w:rPr>
                <w:rFonts w:ascii="Arial Narrow" w:hAnsi="Arial Narrow" w:cs="Tahoma"/>
                <w:color w:val="44546A" w:themeColor="text2"/>
                <w:sz w:val="16"/>
              </w:rPr>
              <w:t xml:space="preserve">2 July </w:t>
            </w:r>
            <w:r w:rsidR="00431915" w:rsidRPr="0065179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20</w:t>
            </w:r>
            <w:r w:rsidR="00B2367E" w:rsidRPr="0065179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B14AF3" w:rsidRPr="0065179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2</w:t>
            </w:r>
            <w:r w:rsidR="00FB4D98" w:rsidRPr="0065179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, No</w:t>
            </w:r>
            <w:r w:rsidR="00431915" w:rsidRPr="00651799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FE38A1" w:rsidRPr="0065179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</w:rPr>
              <w:t xml:space="preserve"> 229</w:t>
            </w:r>
            <w:r w:rsidR="00431915" w:rsidRPr="00651799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/</w:t>
            </w:r>
            <w:r w:rsidR="001013F2" w:rsidRPr="00651799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BE412C" w:rsidRPr="00651799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</w:rPr>
              <w:t>2</w:t>
            </w:r>
            <w:r w:rsidR="00F6075A" w:rsidRPr="00651799">
              <w:rPr>
                <w:rFonts w:ascii="Tahoma" w:hAnsi="Tahoma" w:cs="Tahoma"/>
                <w:color w:val="44546A" w:themeColor="text2"/>
                <w:sz w:val="18"/>
              </w:rPr>
              <w:t xml:space="preserve"> </w:t>
            </w:r>
          </w:p>
        </w:tc>
      </w:tr>
      <w:tr w:rsidR="004C20B5" w:rsidRPr="00651799" w:rsidTr="005074F6">
        <w:trPr>
          <w:cantSplit/>
        </w:trPr>
        <w:tc>
          <w:tcPr>
            <w:tcW w:w="5251" w:type="dxa"/>
            <w:vAlign w:val="center"/>
          </w:tcPr>
          <w:p w:rsidR="005D5311" w:rsidRPr="0065179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651799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</w:rPr>
            </w:pPr>
          </w:p>
        </w:tc>
      </w:tr>
    </w:tbl>
    <w:p w:rsidR="000971CB" w:rsidRPr="00651799" w:rsidRDefault="000971CB" w:rsidP="00094E6E">
      <w:pPr>
        <w:jc w:val="both"/>
        <w:rPr>
          <w:rFonts w:ascii="Tahoma" w:hAnsi="Tahoma" w:cs="Tahoma"/>
          <w:i/>
          <w:sz w:val="16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651799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651799" w:rsidRDefault="00FB4D98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</w:rPr>
            </w:pPr>
            <w:r w:rsidRPr="00651799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</w:rPr>
              <w:t>PRESS RELEASE</w:t>
            </w:r>
            <w:r w:rsidR="00353834" w:rsidRPr="0065179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651799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651799" w:rsidRDefault="00FB4D98" w:rsidP="00FE38A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</w:rPr>
            </w:pPr>
            <w:r w:rsidRPr="0065179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July</w:t>
            </w:r>
            <w:r w:rsidR="00353834" w:rsidRPr="0065179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20</w:t>
            </w:r>
            <w:r w:rsidR="00B2367E" w:rsidRPr="0065179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  <w:r w:rsidR="002A5A87" w:rsidRPr="00651799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>2</w:t>
            </w:r>
          </w:p>
        </w:tc>
      </w:tr>
    </w:tbl>
    <w:p w:rsidR="000F689B" w:rsidRPr="00651799" w:rsidRDefault="000F689B" w:rsidP="000F689B">
      <w:pPr>
        <w:jc w:val="both"/>
        <w:rPr>
          <w:rFonts w:ascii="Arial Narrow" w:hAnsi="Arial Narrow"/>
          <w:spacing w:val="-2"/>
          <w:sz w:val="22"/>
          <w:szCs w:val="24"/>
        </w:rPr>
      </w:pPr>
    </w:p>
    <w:p w:rsidR="00E33D13" w:rsidRPr="00651799" w:rsidRDefault="008D2D6A" w:rsidP="002B516D">
      <w:pPr>
        <w:jc w:val="both"/>
        <w:rPr>
          <w:rFonts w:ascii="Arial Narrow" w:hAnsi="Arial Narrow" w:cs="Tahoma"/>
          <w:b/>
          <w:sz w:val="30"/>
          <w:szCs w:val="30"/>
        </w:rPr>
      </w:pPr>
      <w:r w:rsidRPr="00651799">
        <w:rPr>
          <w:rFonts w:ascii="Arial Narrow" w:hAnsi="Arial Narrow" w:cs="Tahoma"/>
          <w:b/>
          <w:bCs/>
          <w:sz w:val="30"/>
          <w:szCs w:val="30"/>
          <w:lang w:eastAsia="sr-Latn-BA"/>
        </w:rPr>
        <w:t>Average net wage in June</w:t>
      </w:r>
      <w:r w:rsidR="004D737B" w:rsidRPr="00651799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</w:t>
      </w:r>
      <w:r w:rsidR="00D11D67" w:rsidRPr="00651799">
        <w:rPr>
          <w:rFonts w:ascii="Arial Narrow" w:hAnsi="Arial Narrow" w:cs="Tahoma"/>
          <w:b/>
          <w:bCs/>
          <w:sz w:val="30"/>
          <w:szCs w:val="30"/>
          <w:lang w:eastAsia="sr-Latn-BA"/>
        </w:rPr>
        <w:t>1</w:t>
      </w:r>
      <w:r w:rsidRPr="00651799">
        <w:rPr>
          <w:rFonts w:ascii="Arial Narrow" w:hAnsi="Arial Narrow" w:cs="Tahoma"/>
          <w:b/>
          <w:bCs/>
          <w:sz w:val="30"/>
          <w:szCs w:val="30"/>
          <w:lang w:eastAsia="sr-Latn-BA"/>
        </w:rPr>
        <w:t>,</w:t>
      </w:r>
      <w:r w:rsidR="008130F5" w:rsidRPr="00651799">
        <w:rPr>
          <w:rFonts w:ascii="Arial Narrow" w:hAnsi="Arial Narrow" w:cs="Tahoma"/>
          <w:b/>
          <w:bCs/>
          <w:sz w:val="30"/>
          <w:szCs w:val="30"/>
          <w:lang w:eastAsia="sr-Latn-BA"/>
        </w:rPr>
        <w:t>15</w:t>
      </w:r>
      <w:r w:rsidR="00CE6D13" w:rsidRPr="00651799">
        <w:rPr>
          <w:rFonts w:ascii="Arial Narrow" w:hAnsi="Arial Narrow" w:cs="Tahoma"/>
          <w:b/>
          <w:bCs/>
          <w:sz w:val="30"/>
          <w:szCs w:val="30"/>
          <w:lang w:eastAsia="sr-Latn-BA"/>
        </w:rPr>
        <w:t>7</w:t>
      </w:r>
      <w:r w:rsidR="00E33D13" w:rsidRPr="00651799">
        <w:rPr>
          <w:rFonts w:ascii="Arial Narrow" w:hAnsi="Arial Narrow" w:cs="Tahoma"/>
          <w:b/>
          <w:bCs/>
          <w:sz w:val="30"/>
          <w:szCs w:val="30"/>
          <w:lang w:eastAsia="sr-Latn-BA"/>
        </w:rPr>
        <w:t xml:space="preserve"> КМ</w:t>
      </w:r>
    </w:p>
    <w:p w:rsidR="008D2D6A" w:rsidRPr="00651799" w:rsidRDefault="00651799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</w:rPr>
      </w:pPr>
      <w:r>
        <w:rPr>
          <w:rFonts w:ascii="Arial Narrow" w:hAnsi="Arial Narrow" w:cs="Tahoma"/>
          <w:b/>
          <w:sz w:val="28"/>
          <w:szCs w:val="22"/>
        </w:rPr>
        <w:t>N</w:t>
      </w:r>
      <w:r w:rsidR="008D2D6A" w:rsidRPr="00651799">
        <w:rPr>
          <w:rFonts w:ascii="Arial Narrow" w:hAnsi="Arial Narrow" w:cs="Tahoma"/>
          <w:b/>
          <w:sz w:val="28"/>
          <w:szCs w:val="22"/>
        </w:rPr>
        <w:t>ominal increase in net wages recorded in all 19 sections (June 2022/June 2021</w:t>
      </w:r>
      <w:r w:rsidR="004707B2" w:rsidRPr="00651799">
        <w:rPr>
          <w:rFonts w:ascii="Arial Narrow" w:hAnsi="Arial Narrow" w:cs="Tahoma"/>
          <w:b/>
          <w:sz w:val="28"/>
          <w:szCs w:val="22"/>
        </w:rPr>
        <w:t>)</w:t>
      </w:r>
    </w:p>
    <w:p w:rsidR="00E33D13" w:rsidRPr="00651799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</w:rPr>
      </w:pPr>
      <w:r w:rsidRPr="00651799">
        <w:rPr>
          <w:rFonts w:ascii="Tahoma" w:hAnsi="Tahoma" w:cs="Tahoma"/>
          <w:b/>
          <w:sz w:val="24"/>
        </w:rPr>
        <w:tab/>
      </w:r>
      <w:r w:rsidRPr="00651799">
        <w:rPr>
          <w:rFonts w:ascii="Tahoma" w:hAnsi="Tahoma" w:cs="Tahoma"/>
          <w:b/>
          <w:sz w:val="24"/>
        </w:rPr>
        <w:tab/>
      </w:r>
    </w:p>
    <w:p w:rsidR="008D2D6A" w:rsidRPr="00651799" w:rsidRDefault="008D2D6A" w:rsidP="008D2D6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Average monthly net wage in Republika Srpska paid in </w:t>
      </w:r>
      <w:r w:rsidRPr="00651799">
        <w:rPr>
          <w:rFonts w:ascii="Arial Narrow" w:hAnsi="Arial Narrow" w:cs="Tahoma"/>
          <w:sz w:val="22"/>
        </w:rPr>
        <w:t>June 2022 amounted to 1,157</w:t>
      </w:r>
      <w:r w:rsidRPr="00651799">
        <w:rPr>
          <w:rFonts w:ascii="Arial Narrow" w:hAnsi="Arial Narrow" w:cs="Tahoma"/>
          <w:sz w:val="22"/>
        </w:rPr>
        <w:t xml:space="preserve"> KM</w:t>
      </w:r>
      <w:r w:rsidR="00807F1A" w:rsidRPr="00651799">
        <w:rPr>
          <w:rFonts w:ascii="Arial Narrow" w:hAnsi="Arial Narrow" w:cs="Tahoma"/>
          <w:sz w:val="22"/>
        </w:rPr>
        <w:t>,</w:t>
      </w:r>
      <w:r w:rsidRPr="00651799">
        <w:rPr>
          <w:rFonts w:ascii="Arial Narrow" w:hAnsi="Arial Narrow" w:cs="Tahoma"/>
          <w:sz w:val="22"/>
        </w:rPr>
        <w:t xml:space="preserve"> and it was nominally </w:t>
      </w:r>
      <w:r w:rsidRPr="00651799">
        <w:rPr>
          <w:rFonts w:ascii="Arial Narrow" w:hAnsi="Arial Narrow" w:cs="Tahoma"/>
          <w:sz w:val="22"/>
        </w:rPr>
        <w:t>16.4</w:t>
      </w:r>
      <w:r w:rsidRPr="00651799">
        <w:rPr>
          <w:rFonts w:ascii="Arial Narrow" w:hAnsi="Arial Narrow" w:cs="Tahoma"/>
          <w:sz w:val="22"/>
        </w:rPr>
        <w:t xml:space="preserve">% higher and really </w:t>
      </w:r>
      <w:r w:rsidRPr="00651799">
        <w:rPr>
          <w:rFonts w:ascii="Arial Narrow" w:hAnsi="Arial Narrow" w:cs="Tahoma"/>
          <w:sz w:val="22"/>
        </w:rPr>
        <w:t>1.8</w:t>
      </w:r>
      <w:r w:rsidRPr="00651799">
        <w:rPr>
          <w:rFonts w:ascii="Arial Narrow" w:hAnsi="Arial Narrow" w:cs="Tahoma"/>
          <w:sz w:val="22"/>
        </w:rPr>
        <w:t xml:space="preserve">% </w:t>
      </w:r>
      <w:r w:rsidRPr="00651799">
        <w:rPr>
          <w:rFonts w:ascii="Arial Narrow" w:hAnsi="Arial Narrow" w:cs="Tahoma"/>
          <w:sz w:val="22"/>
        </w:rPr>
        <w:t>higher</w:t>
      </w:r>
      <w:r w:rsidRPr="00651799">
        <w:rPr>
          <w:rFonts w:ascii="Arial Narrow" w:hAnsi="Arial Narrow" w:cs="Tahoma"/>
          <w:sz w:val="22"/>
        </w:rPr>
        <w:t xml:space="preserve"> compared to the same month of the previous year. Compared to </w:t>
      </w:r>
      <w:r w:rsidRPr="00651799">
        <w:rPr>
          <w:rFonts w:ascii="Arial Narrow" w:hAnsi="Arial Narrow" w:cs="Tahoma"/>
          <w:sz w:val="22"/>
        </w:rPr>
        <w:t>May</w:t>
      </w:r>
      <w:r w:rsidRPr="00651799">
        <w:rPr>
          <w:rFonts w:ascii="Arial Narrow" w:hAnsi="Arial Narrow" w:cs="Tahoma"/>
          <w:sz w:val="22"/>
        </w:rPr>
        <w:t xml:space="preserve"> 2022, nominally it was </w:t>
      </w:r>
      <w:r w:rsidRPr="00651799">
        <w:rPr>
          <w:rFonts w:ascii="Arial Narrow" w:hAnsi="Arial Narrow" w:cs="Tahoma"/>
          <w:sz w:val="22"/>
        </w:rPr>
        <w:t>4.7% higher and really 3.6% higher</w:t>
      </w:r>
      <w:r w:rsidRPr="00651799">
        <w:rPr>
          <w:rFonts w:ascii="Arial Narrow" w:hAnsi="Arial Narrow" w:cs="Tahoma"/>
          <w:sz w:val="22"/>
        </w:rPr>
        <w:t>. Average monthly gross wage amounted to 1,</w:t>
      </w:r>
      <w:r w:rsidRPr="00651799">
        <w:rPr>
          <w:rFonts w:ascii="Arial Narrow" w:hAnsi="Arial Narrow" w:cs="Tahoma"/>
          <w:sz w:val="22"/>
        </w:rPr>
        <w:t>749</w:t>
      </w:r>
      <w:r w:rsidRPr="00651799">
        <w:rPr>
          <w:rFonts w:ascii="Arial Narrow" w:hAnsi="Arial Narrow" w:cs="Tahoma"/>
          <w:sz w:val="22"/>
        </w:rPr>
        <w:t xml:space="preserve"> KM.</w:t>
      </w:r>
    </w:p>
    <w:p w:rsidR="008D2D6A" w:rsidRPr="00651799" w:rsidRDefault="008D2D6A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807F1A" w:rsidRPr="00651799" w:rsidRDefault="00807F1A" w:rsidP="00807F1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In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the highest average net wage, by section of economic activities, was paid in the section </w:t>
      </w:r>
      <w:r w:rsidRPr="00651799">
        <w:rPr>
          <w:rFonts w:ascii="Arial Narrow" w:hAnsi="Arial Narrow" w:cs="Tahoma"/>
          <w:i/>
          <w:sz w:val="22"/>
        </w:rPr>
        <w:t>Information and communication</w:t>
      </w:r>
      <w:r w:rsidRPr="00651799">
        <w:rPr>
          <w:rFonts w:ascii="Arial Narrow" w:hAnsi="Arial Narrow" w:cs="Tahoma"/>
          <w:sz w:val="22"/>
        </w:rPr>
        <w:t xml:space="preserve"> and it amounted to 1,541</w:t>
      </w:r>
      <w:r w:rsidRPr="00651799">
        <w:rPr>
          <w:rFonts w:ascii="Arial Narrow" w:hAnsi="Arial Narrow" w:cs="Tahoma"/>
          <w:sz w:val="22"/>
        </w:rPr>
        <w:t xml:space="preserve"> KM. On the other hand, the lowest average net wage in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 was the one paid in the section </w:t>
      </w:r>
      <w:r w:rsidRPr="00651799">
        <w:rPr>
          <w:rFonts w:ascii="Arial Narrow" w:hAnsi="Arial Narrow" w:cs="Tahoma"/>
          <w:i/>
          <w:sz w:val="22"/>
        </w:rPr>
        <w:t>Construction</w:t>
      </w:r>
      <w:r w:rsidRPr="00651799">
        <w:rPr>
          <w:rFonts w:ascii="Arial Narrow" w:hAnsi="Arial Narrow" w:cs="Tahoma"/>
          <w:sz w:val="22"/>
        </w:rPr>
        <w:t xml:space="preserve">, </w:t>
      </w:r>
      <w:r w:rsidRPr="00651799">
        <w:rPr>
          <w:rFonts w:ascii="Arial Narrow" w:hAnsi="Arial Narrow" w:cs="Tahoma"/>
          <w:sz w:val="22"/>
        </w:rPr>
        <w:t>844</w:t>
      </w:r>
      <w:r w:rsidRPr="00651799">
        <w:rPr>
          <w:rFonts w:ascii="Arial Narrow" w:hAnsi="Arial Narrow" w:cs="Tahoma"/>
          <w:sz w:val="22"/>
        </w:rPr>
        <w:t xml:space="preserve"> KM.</w:t>
      </w:r>
    </w:p>
    <w:p w:rsidR="003B028E" w:rsidRPr="00651799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</w:p>
    <w:p w:rsidR="00807F1A" w:rsidRPr="00651799" w:rsidRDefault="00807F1A" w:rsidP="00807F1A">
      <w:pPr>
        <w:tabs>
          <w:tab w:val="left" w:pos="1134"/>
        </w:tabs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In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compared to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2021, a nominal increase in net wages was recorded in all 19 sections of economic activities, with the highest increase being recorded in the section </w:t>
      </w:r>
      <w:r w:rsidRPr="00651799">
        <w:rPr>
          <w:rFonts w:ascii="Arial Narrow" w:hAnsi="Arial Narrow" w:cs="Tahoma"/>
          <w:i/>
          <w:sz w:val="22"/>
        </w:rPr>
        <w:t>Administrative and support service activities</w:t>
      </w:r>
      <w:r w:rsidRPr="00651799">
        <w:rPr>
          <w:rFonts w:ascii="Arial Narrow" w:hAnsi="Arial Narrow" w:cs="Tahoma"/>
          <w:sz w:val="22"/>
        </w:rPr>
        <w:t xml:space="preserve"> </w:t>
      </w:r>
      <w:r w:rsidR="009F23F9" w:rsidRPr="00651799">
        <w:rPr>
          <w:rFonts w:ascii="Arial Narrow" w:hAnsi="Arial Narrow" w:cs="Tahoma"/>
          <w:sz w:val="22"/>
        </w:rPr>
        <w:t>27.9</w:t>
      </w:r>
      <w:r w:rsidRPr="00651799">
        <w:rPr>
          <w:rFonts w:ascii="Arial Narrow" w:hAnsi="Arial Narrow" w:cs="Tahoma"/>
          <w:sz w:val="22"/>
        </w:rPr>
        <w:t xml:space="preserve">%, followed by </w:t>
      </w:r>
      <w:r w:rsidRPr="00651799">
        <w:rPr>
          <w:rFonts w:ascii="Arial Narrow" w:hAnsi="Arial Narrow" w:cs="Tahoma"/>
          <w:i/>
          <w:sz w:val="22"/>
        </w:rPr>
        <w:t>Accommodation and food service activities</w:t>
      </w:r>
      <w:r w:rsidR="009F23F9" w:rsidRPr="00651799">
        <w:rPr>
          <w:rFonts w:ascii="Arial Narrow" w:hAnsi="Arial Narrow" w:cs="Tahoma"/>
          <w:sz w:val="22"/>
        </w:rPr>
        <w:t xml:space="preserve"> 25.8</w:t>
      </w:r>
      <w:r w:rsidRPr="00651799">
        <w:rPr>
          <w:rFonts w:ascii="Arial Narrow" w:hAnsi="Arial Narrow" w:cs="Tahoma"/>
          <w:sz w:val="22"/>
        </w:rPr>
        <w:t xml:space="preserve">% and </w:t>
      </w:r>
      <w:r w:rsidR="009F23F9" w:rsidRPr="00651799">
        <w:rPr>
          <w:rFonts w:ascii="Arial Narrow" w:hAnsi="Arial Narrow" w:cs="Tahoma"/>
          <w:i/>
          <w:sz w:val="22"/>
        </w:rPr>
        <w:t>Real estate activities</w:t>
      </w:r>
      <w:r w:rsidRPr="00651799">
        <w:rPr>
          <w:rFonts w:ascii="Arial Narrow" w:hAnsi="Arial Narrow" w:cs="Tahoma"/>
          <w:sz w:val="22"/>
        </w:rPr>
        <w:t xml:space="preserve"> </w:t>
      </w:r>
      <w:r w:rsidR="009F23F9" w:rsidRPr="00651799">
        <w:rPr>
          <w:rFonts w:ascii="Arial Narrow" w:hAnsi="Arial Narrow" w:cs="Tahoma"/>
          <w:sz w:val="22"/>
        </w:rPr>
        <w:t>22.2</w:t>
      </w:r>
      <w:r w:rsidRPr="00651799">
        <w:rPr>
          <w:rFonts w:ascii="Arial Narrow" w:hAnsi="Arial Narrow" w:cs="Tahoma"/>
          <w:sz w:val="22"/>
        </w:rPr>
        <w:t>%.</w:t>
      </w:r>
    </w:p>
    <w:p w:rsidR="00E33D13" w:rsidRPr="00651799" w:rsidRDefault="00E33D13" w:rsidP="00E33D13">
      <w:pPr>
        <w:jc w:val="both"/>
        <w:rPr>
          <w:rFonts w:ascii="Arial Narrow" w:hAnsi="Arial Narrow" w:cs="Tahoma"/>
          <w:sz w:val="22"/>
        </w:rPr>
      </w:pPr>
    </w:p>
    <w:p w:rsidR="00F207B3" w:rsidRPr="00651799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</w:rPr>
      </w:pPr>
      <w:r w:rsidRPr="00651799">
        <w:rPr>
          <w:rFonts w:ascii="Arial Narrow" w:hAnsi="Arial Narrow" w:cs="Tahoma"/>
          <w:sz w:val="22"/>
          <w:szCs w:val="22"/>
        </w:rPr>
        <w:tab/>
      </w:r>
    </w:p>
    <w:p w:rsidR="00694584" w:rsidRPr="00651799" w:rsidRDefault="00694584" w:rsidP="001D461A">
      <w:pPr>
        <w:jc w:val="both"/>
        <w:rPr>
          <w:rFonts w:ascii="Arial Narrow" w:hAnsi="Arial Narrow" w:cs="Tahoma"/>
          <w:sz w:val="22"/>
          <w:szCs w:val="22"/>
        </w:rPr>
      </w:pPr>
    </w:p>
    <w:p w:rsidR="00E33D13" w:rsidRPr="00651799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51799">
        <w:rPr>
          <w:rFonts w:ascii="Tahoma" w:hAnsi="Tahoma" w:cs="Tahoma"/>
          <w:i/>
          <w:sz w:val="14"/>
        </w:rPr>
        <w:t xml:space="preserve"> </w:t>
      </w:r>
      <w:r w:rsidRPr="00651799">
        <w:rPr>
          <w:rFonts w:ascii="Tahoma" w:hAnsi="Tahoma" w:cs="Tahoma"/>
          <w:sz w:val="14"/>
        </w:rPr>
        <w:t xml:space="preserve">   </w:t>
      </w:r>
      <w:r w:rsidRPr="00651799">
        <w:rPr>
          <w:rFonts w:ascii="Tahoma" w:hAnsi="Tahoma" w:cs="Tahoma"/>
          <w:sz w:val="14"/>
        </w:rPr>
        <w:tab/>
      </w:r>
      <w:r w:rsidRPr="00651799">
        <w:rPr>
          <w:rFonts w:ascii="Tahoma" w:hAnsi="Tahoma" w:cs="Tahoma"/>
          <w:sz w:val="14"/>
        </w:rPr>
        <w:tab/>
        <w:t xml:space="preserve">            </w:t>
      </w:r>
      <w:r w:rsidR="00F85AAC" w:rsidRPr="00651799">
        <w:rPr>
          <w:rFonts w:ascii="Tahoma" w:hAnsi="Tahoma" w:cs="Tahoma"/>
          <w:sz w:val="14"/>
        </w:rPr>
        <w:t xml:space="preserve">  </w:t>
      </w:r>
      <w:r w:rsidR="0062701E" w:rsidRPr="00651799">
        <w:rPr>
          <w:rFonts w:ascii="Tahoma" w:hAnsi="Tahoma" w:cs="Tahoma"/>
          <w:sz w:val="14"/>
        </w:rPr>
        <w:t xml:space="preserve"> </w:t>
      </w:r>
      <w:r w:rsidR="00F85AAC" w:rsidRPr="00651799">
        <w:rPr>
          <w:rFonts w:ascii="Tahoma" w:hAnsi="Tahoma" w:cs="Tahoma"/>
          <w:sz w:val="14"/>
        </w:rPr>
        <w:t xml:space="preserve"> </w:t>
      </w:r>
      <w:r w:rsidR="00DE7AB2" w:rsidRPr="00651799">
        <w:rPr>
          <w:rFonts w:ascii="Arial Narrow" w:hAnsi="Arial Narrow" w:cs="Tahoma"/>
          <w:sz w:val="16"/>
          <w:szCs w:val="22"/>
        </w:rPr>
        <w:t>KM</w:t>
      </w:r>
    </w:p>
    <w:p w:rsidR="00E33D13" w:rsidRPr="00651799" w:rsidRDefault="00425891" w:rsidP="00E33D13">
      <w:pPr>
        <w:jc w:val="center"/>
        <w:rPr>
          <w:rFonts w:ascii="Tahoma" w:hAnsi="Tahoma" w:cs="Tahoma"/>
        </w:rPr>
      </w:pPr>
      <w:r w:rsidRPr="00651799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651799">
        <w:rPr>
          <w:noProof/>
        </w:rPr>
        <w:t xml:space="preserve"> </w:t>
      </w:r>
      <w:r w:rsidR="00E33D13" w:rsidRPr="00651799">
        <w:rPr>
          <w:rFonts w:ascii="Tahoma" w:hAnsi="Tahoma" w:cs="Tahoma"/>
          <w:szCs w:val="18"/>
        </w:rPr>
        <w:t xml:space="preserve"> </w:t>
      </w:r>
      <w:r w:rsidR="00820BC0" w:rsidRPr="00651799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51799" w:rsidRDefault="00E33D13" w:rsidP="00E33D13">
      <w:pPr>
        <w:jc w:val="center"/>
        <w:rPr>
          <w:rFonts w:ascii="Tahoma" w:hAnsi="Tahoma" w:cs="Tahoma"/>
          <w:sz w:val="18"/>
          <w:szCs w:val="18"/>
        </w:rPr>
      </w:pPr>
    </w:p>
    <w:p w:rsidR="00E33D13" w:rsidRPr="00651799" w:rsidRDefault="00FB4D98" w:rsidP="00E33D13">
      <w:pPr>
        <w:jc w:val="center"/>
        <w:outlineLvl w:val="0"/>
        <w:rPr>
          <w:rFonts w:ascii="Arial Narrow" w:hAnsi="Arial Narrow" w:cs="Tahoma"/>
          <w:sz w:val="16"/>
          <w:szCs w:val="22"/>
        </w:rPr>
      </w:pPr>
      <w:r w:rsidRPr="00651799">
        <w:rPr>
          <w:rFonts w:ascii="Arial Narrow" w:hAnsi="Arial Narrow" w:cs="Tahoma"/>
          <w:sz w:val="16"/>
          <w:szCs w:val="22"/>
        </w:rPr>
        <w:t>Graph</w:t>
      </w:r>
      <w:r w:rsidR="00E33D13" w:rsidRPr="00651799">
        <w:rPr>
          <w:rFonts w:ascii="Arial Narrow" w:hAnsi="Arial Narrow" w:cs="Tahoma"/>
          <w:sz w:val="16"/>
          <w:szCs w:val="22"/>
        </w:rPr>
        <w:t xml:space="preserve"> </w:t>
      </w:r>
      <w:r w:rsidR="0066022A" w:rsidRPr="00651799">
        <w:rPr>
          <w:rFonts w:ascii="Arial Narrow" w:hAnsi="Arial Narrow" w:cs="Tahoma"/>
          <w:sz w:val="16"/>
          <w:szCs w:val="22"/>
        </w:rPr>
        <w:t>1</w:t>
      </w:r>
      <w:r w:rsidR="00E33D13" w:rsidRPr="00651799">
        <w:rPr>
          <w:rFonts w:ascii="Arial Narrow" w:hAnsi="Arial Narrow" w:cs="Tahoma"/>
          <w:sz w:val="16"/>
          <w:szCs w:val="22"/>
        </w:rPr>
        <w:t xml:space="preserve">. </w:t>
      </w:r>
      <w:r w:rsidRPr="00651799">
        <w:rPr>
          <w:rFonts w:ascii="Arial Narrow" w:hAnsi="Arial Narrow" w:cs="Tahoma"/>
          <w:sz w:val="16"/>
          <w:szCs w:val="22"/>
        </w:rPr>
        <w:t>Average net wage by month</w:t>
      </w:r>
    </w:p>
    <w:p w:rsidR="00B0137B" w:rsidRPr="00651799" w:rsidRDefault="00B0137B" w:rsidP="00B50951">
      <w:pPr>
        <w:rPr>
          <w:rFonts w:ascii="Arial Narrow" w:hAnsi="Arial Narrow" w:cs="Tahoma"/>
          <w:b/>
          <w:sz w:val="28"/>
          <w:szCs w:val="24"/>
        </w:rPr>
      </w:pPr>
    </w:p>
    <w:p w:rsidR="00B50951" w:rsidRPr="00651799" w:rsidRDefault="007C0D2C" w:rsidP="00B50951">
      <w:pPr>
        <w:rPr>
          <w:rFonts w:ascii="Arial Narrow" w:hAnsi="Arial Narrow" w:cs="Tahoma"/>
          <w:sz w:val="28"/>
          <w:szCs w:val="24"/>
        </w:rPr>
      </w:pPr>
      <w:r w:rsidRPr="00651799">
        <w:rPr>
          <w:rFonts w:ascii="Arial Narrow" w:hAnsi="Arial Narrow" w:cs="Tahoma"/>
          <w:b/>
          <w:sz w:val="28"/>
          <w:szCs w:val="24"/>
        </w:rPr>
        <w:t>Monthly inflation</w:t>
      </w:r>
      <w:r w:rsidR="00B50951" w:rsidRPr="00651799">
        <w:rPr>
          <w:rFonts w:ascii="Arial Narrow" w:hAnsi="Arial Narrow" w:cs="Tahoma"/>
          <w:b/>
          <w:sz w:val="28"/>
          <w:szCs w:val="24"/>
        </w:rPr>
        <w:t xml:space="preserve"> </w:t>
      </w:r>
      <w:r w:rsidR="00180B6F" w:rsidRPr="00651799">
        <w:rPr>
          <w:rFonts w:ascii="Arial Narrow" w:hAnsi="Arial Narrow" w:cs="Tahoma"/>
          <w:b/>
          <w:sz w:val="28"/>
          <w:szCs w:val="24"/>
        </w:rPr>
        <w:t>1</w:t>
      </w:r>
      <w:r w:rsidRPr="00651799">
        <w:rPr>
          <w:rFonts w:ascii="Arial Narrow" w:hAnsi="Arial Narrow" w:cs="Tahoma"/>
          <w:b/>
          <w:sz w:val="28"/>
          <w:szCs w:val="24"/>
        </w:rPr>
        <w:t>.</w:t>
      </w:r>
      <w:r w:rsidR="00A32928" w:rsidRPr="00651799">
        <w:rPr>
          <w:rFonts w:ascii="Arial Narrow" w:hAnsi="Arial Narrow" w:cs="Tahoma"/>
          <w:b/>
          <w:sz w:val="28"/>
          <w:szCs w:val="24"/>
        </w:rPr>
        <w:t>1</w:t>
      </w:r>
      <w:r w:rsidR="00B50951" w:rsidRPr="00651799">
        <w:rPr>
          <w:rFonts w:ascii="Arial Narrow" w:hAnsi="Arial Narrow" w:cs="Tahoma"/>
          <w:b/>
          <w:sz w:val="28"/>
          <w:szCs w:val="24"/>
        </w:rPr>
        <w:t>%</w:t>
      </w:r>
      <w:r w:rsidRPr="00651799">
        <w:rPr>
          <w:rFonts w:ascii="Arial Narrow" w:hAnsi="Arial Narrow" w:cs="Tahoma"/>
          <w:b/>
          <w:sz w:val="28"/>
          <w:szCs w:val="24"/>
        </w:rPr>
        <w:t xml:space="preserve"> in June 2022</w:t>
      </w:r>
    </w:p>
    <w:p w:rsidR="00B50951" w:rsidRPr="00651799" w:rsidRDefault="007C0D2C" w:rsidP="00B50951">
      <w:pPr>
        <w:rPr>
          <w:rFonts w:ascii="Arial Narrow" w:hAnsi="Arial Narrow" w:cs="Tahoma"/>
          <w:b/>
          <w:sz w:val="28"/>
          <w:szCs w:val="24"/>
        </w:rPr>
      </w:pPr>
      <w:r w:rsidRPr="00651799">
        <w:rPr>
          <w:rFonts w:ascii="Arial Narrow" w:hAnsi="Arial Narrow" w:cs="Tahoma"/>
          <w:b/>
          <w:sz w:val="28"/>
          <w:szCs w:val="24"/>
        </w:rPr>
        <w:t>Annual inflation</w:t>
      </w:r>
      <w:r w:rsidR="00B50951" w:rsidRPr="00651799">
        <w:rPr>
          <w:rFonts w:ascii="Arial Narrow" w:hAnsi="Arial Narrow" w:cs="Tahoma"/>
          <w:b/>
          <w:sz w:val="28"/>
          <w:szCs w:val="24"/>
        </w:rPr>
        <w:t xml:space="preserve"> (</w:t>
      </w:r>
      <w:r w:rsidRPr="00651799">
        <w:rPr>
          <w:rFonts w:ascii="Arial Narrow" w:hAnsi="Arial Narrow" w:cs="Tahoma"/>
          <w:b/>
          <w:sz w:val="28"/>
          <w:szCs w:val="24"/>
        </w:rPr>
        <w:t>June</w:t>
      </w:r>
      <w:r w:rsidR="00B0137B" w:rsidRPr="00651799">
        <w:rPr>
          <w:rFonts w:ascii="Arial Narrow" w:hAnsi="Arial Narrow" w:cs="Tahoma"/>
          <w:b/>
          <w:sz w:val="28"/>
          <w:szCs w:val="24"/>
        </w:rPr>
        <w:t xml:space="preserve"> 2022</w:t>
      </w:r>
      <w:r w:rsidR="00B50951" w:rsidRPr="00651799">
        <w:rPr>
          <w:rFonts w:ascii="Arial Narrow" w:hAnsi="Arial Narrow" w:cs="Tahoma"/>
          <w:b/>
          <w:sz w:val="28"/>
          <w:szCs w:val="24"/>
        </w:rPr>
        <w:t>/</w:t>
      </w:r>
      <w:r w:rsidRPr="00651799">
        <w:rPr>
          <w:rFonts w:ascii="Arial Narrow" w:hAnsi="Arial Narrow" w:cs="Tahoma"/>
          <w:b/>
          <w:sz w:val="28"/>
          <w:szCs w:val="24"/>
        </w:rPr>
        <w:t>June</w:t>
      </w:r>
      <w:r w:rsidR="00B0137B" w:rsidRPr="00651799">
        <w:rPr>
          <w:rFonts w:ascii="Arial Narrow" w:hAnsi="Arial Narrow" w:cs="Tahoma"/>
          <w:b/>
          <w:sz w:val="28"/>
          <w:szCs w:val="24"/>
        </w:rPr>
        <w:t xml:space="preserve"> 2021</w:t>
      </w:r>
      <w:r w:rsidR="00C679AA" w:rsidRPr="00651799">
        <w:rPr>
          <w:rFonts w:ascii="Arial Narrow" w:hAnsi="Arial Narrow" w:cs="Tahoma"/>
          <w:b/>
          <w:sz w:val="28"/>
          <w:szCs w:val="24"/>
        </w:rPr>
        <w:t xml:space="preserve">) </w:t>
      </w:r>
      <w:r w:rsidR="00A32928" w:rsidRPr="00651799">
        <w:rPr>
          <w:rFonts w:ascii="Arial Narrow" w:hAnsi="Arial Narrow" w:cs="Tahoma"/>
          <w:b/>
          <w:sz w:val="28"/>
          <w:szCs w:val="24"/>
        </w:rPr>
        <w:t>14</w:t>
      </w:r>
      <w:r w:rsidRPr="00651799">
        <w:rPr>
          <w:rFonts w:ascii="Arial Narrow" w:hAnsi="Arial Narrow" w:cs="Tahoma"/>
          <w:b/>
          <w:sz w:val="28"/>
          <w:szCs w:val="24"/>
        </w:rPr>
        <w:t>.</w:t>
      </w:r>
      <w:r w:rsidR="00A32928" w:rsidRPr="00651799">
        <w:rPr>
          <w:rFonts w:ascii="Arial Narrow" w:hAnsi="Arial Narrow" w:cs="Tahoma"/>
          <w:b/>
          <w:sz w:val="28"/>
          <w:szCs w:val="24"/>
        </w:rPr>
        <w:t>3</w:t>
      </w:r>
      <w:r w:rsidR="00B50951" w:rsidRPr="00651799">
        <w:rPr>
          <w:rFonts w:ascii="Arial Narrow" w:hAnsi="Arial Narrow" w:cs="Tahoma"/>
          <w:b/>
          <w:sz w:val="28"/>
          <w:szCs w:val="24"/>
        </w:rPr>
        <w:t>%</w:t>
      </w:r>
    </w:p>
    <w:p w:rsidR="00B50951" w:rsidRPr="00651799" w:rsidRDefault="00B50951" w:rsidP="00B50951">
      <w:pPr>
        <w:rPr>
          <w:rFonts w:ascii="Arial Narrow" w:hAnsi="Arial Narrow" w:cs="Tahoma"/>
          <w:b/>
          <w:sz w:val="28"/>
          <w:szCs w:val="24"/>
        </w:rPr>
      </w:pPr>
    </w:p>
    <w:p w:rsidR="00D44570" w:rsidRPr="00651799" w:rsidRDefault="00D44570" w:rsidP="00D44570">
      <w:pPr>
        <w:jc w:val="both"/>
        <w:rPr>
          <w:rFonts w:ascii="Arial Narrow" w:hAnsi="Arial Narrow" w:cs="Tahoma"/>
          <w:sz w:val="22"/>
          <w:szCs w:val="22"/>
        </w:rPr>
      </w:pPr>
      <w:r w:rsidRPr="00651799">
        <w:rPr>
          <w:rFonts w:ascii="Arial Narrow" w:hAnsi="Arial Narrow" w:cs="Tahoma"/>
          <w:sz w:val="22"/>
          <w:szCs w:val="22"/>
        </w:rPr>
        <w:t xml:space="preserve">Prices of products and services used for personal consumption in Republika Srpska, measured with the consumer price index, in </w:t>
      </w:r>
      <w:r w:rsidRPr="00651799">
        <w:rPr>
          <w:rFonts w:ascii="Arial Narrow" w:hAnsi="Arial Narrow" w:cs="Tahoma"/>
          <w:sz w:val="22"/>
          <w:szCs w:val="22"/>
        </w:rPr>
        <w:t>June</w:t>
      </w:r>
      <w:r w:rsidRPr="00651799">
        <w:rPr>
          <w:rFonts w:ascii="Arial Narrow" w:hAnsi="Arial Narrow" w:cs="Tahoma"/>
          <w:sz w:val="22"/>
          <w:szCs w:val="22"/>
        </w:rPr>
        <w:t xml:space="preserve"> 2022, compared to the pre</w:t>
      </w:r>
      <w:r w:rsidRPr="00651799">
        <w:rPr>
          <w:rFonts w:ascii="Arial Narrow" w:hAnsi="Arial Narrow" w:cs="Tahoma"/>
          <w:sz w:val="22"/>
          <w:szCs w:val="22"/>
        </w:rPr>
        <w:t>vious month, were on average 1.1</w:t>
      </w:r>
      <w:r w:rsidRPr="00651799">
        <w:rPr>
          <w:rFonts w:ascii="Arial Narrow" w:hAnsi="Arial Narrow" w:cs="Tahoma"/>
          <w:sz w:val="22"/>
          <w:szCs w:val="22"/>
        </w:rPr>
        <w:t xml:space="preserve">% higher, while compared to the same month of the previous year they were on average </w:t>
      </w:r>
      <w:r w:rsidRPr="00651799">
        <w:rPr>
          <w:rFonts w:ascii="Arial Narrow" w:hAnsi="Arial Narrow" w:cs="Tahoma"/>
          <w:sz w:val="22"/>
          <w:szCs w:val="22"/>
        </w:rPr>
        <w:t>14.3</w:t>
      </w:r>
      <w:r w:rsidRPr="00651799">
        <w:rPr>
          <w:rFonts w:ascii="Arial Narrow" w:hAnsi="Arial Narrow" w:cs="Tahoma"/>
          <w:sz w:val="22"/>
          <w:szCs w:val="22"/>
        </w:rPr>
        <w:t>% higher.</w:t>
      </w:r>
    </w:p>
    <w:p w:rsidR="00D44570" w:rsidRPr="00651799" w:rsidRDefault="00D44570" w:rsidP="00C679AA">
      <w:pPr>
        <w:jc w:val="both"/>
        <w:rPr>
          <w:rFonts w:ascii="Arial Narrow" w:hAnsi="Arial Narrow" w:cs="Tahoma"/>
          <w:sz w:val="22"/>
          <w:szCs w:val="22"/>
        </w:rPr>
      </w:pPr>
    </w:p>
    <w:p w:rsidR="00D8278D" w:rsidRPr="00651799" w:rsidRDefault="00D50075" w:rsidP="00D8278D">
      <w:pPr>
        <w:jc w:val="both"/>
        <w:rPr>
          <w:rFonts w:ascii="Arial Narrow" w:hAnsi="Arial Narrow" w:cs="Tahoma"/>
          <w:sz w:val="22"/>
          <w:szCs w:val="22"/>
        </w:rPr>
      </w:pPr>
      <w:r w:rsidRPr="00651799">
        <w:rPr>
          <w:rFonts w:ascii="Arial Narrow" w:hAnsi="Arial Narrow" w:cs="Tahoma"/>
          <w:sz w:val="22"/>
          <w:szCs w:val="22"/>
        </w:rPr>
        <w:t xml:space="preserve">Of the 12 main divisions of products and services, an increase in prices </w:t>
      </w:r>
      <w:r w:rsidRPr="00651799">
        <w:rPr>
          <w:rFonts w:ascii="Arial Narrow" w:hAnsi="Arial Narrow" w:cs="Tahoma"/>
          <w:sz w:val="22"/>
          <w:szCs w:val="22"/>
        </w:rPr>
        <w:t xml:space="preserve">at the annual level </w:t>
      </w:r>
      <w:r w:rsidRPr="00651799">
        <w:rPr>
          <w:rFonts w:ascii="Arial Narrow" w:hAnsi="Arial Narrow" w:cs="Tahoma"/>
          <w:sz w:val="22"/>
          <w:szCs w:val="22"/>
        </w:rPr>
        <w:t>was recorded in eleven divisions, while a decrease was recorded in one division</w:t>
      </w:r>
      <w:r w:rsidRPr="00651799">
        <w:rPr>
          <w:rFonts w:ascii="Arial Narrow" w:hAnsi="Arial Narrow" w:cs="Tahoma"/>
          <w:sz w:val="22"/>
          <w:szCs w:val="22"/>
        </w:rPr>
        <w:t>.</w:t>
      </w:r>
    </w:p>
    <w:p w:rsidR="00176EDE" w:rsidRPr="00651799" w:rsidRDefault="00176EDE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624777" w:rsidRPr="00651799" w:rsidRDefault="00B5055F" w:rsidP="00B5055F">
      <w:pPr>
        <w:jc w:val="both"/>
        <w:rPr>
          <w:rFonts w:ascii="Arial Narrow" w:hAnsi="Arial Narrow" w:cs="Tahoma"/>
          <w:sz w:val="22"/>
          <w:szCs w:val="22"/>
        </w:rPr>
      </w:pPr>
      <w:r w:rsidRPr="00651799">
        <w:rPr>
          <w:rFonts w:ascii="Arial Narrow" w:hAnsi="Arial Narrow" w:cs="Tahoma"/>
          <w:sz w:val="22"/>
          <w:szCs w:val="22"/>
        </w:rPr>
        <w:t xml:space="preserve">The highest annual increase in prices in </w:t>
      </w:r>
      <w:r w:rsidRPr="00651799">
        <w:rPr>
          <w:rFonts w:ascii="Arial Narrow" w:hAnsi="Arial Narrow" w:cs="Tahoma"/>
          <w:sz w:val="22"/>
          <w:szCs w:val="22"/>
        </w:rPr>
        <w:t>June</w:t>
      </w:r>
      <w:r w:rsidRPr="00651799">
        <w:rPr>
          <w:rFonts w:ascii="Arial Narrow" w:hAnsi="Arial Narrow" w:cs="Tahoma"/>
          <w:sz w:val="22"/>
          <w:szCs w:val="22"/>
        </w:rPr>
        <w:t xml:space="preserve"> 2022 was recorded in the section </w:t>
      </w:r>
      <w:r w:rsidRPr="00651799">
        <w:rPr>
          <w:rFonts w:ascii="Arial Narrow" w:hAnsi="Arial Narrow" w:cs="Tahoma"/>
          <w:i/>
          <w:sz w:val="22"/>
          <w:szCs w:val="22"/>
        </w:rPr>
        <w:t xml:space="preserve">Transport, </w:t>
      </w:r>
      <w:r w:rsidRPr="00651799">
        <w:rPr>
          <w:rFonts w:ascii="Arial Narrow" w:hAnsi="Arial Narrow" w:cs="Tahoma"/>
          <w:sz w:val="22"/>
          <w:szCs w:val="22"/>
        </w:rPr>
        <w:t xml:space="preserve">namely by </w:t>
      </w:r>
      <w:r w:rsidRPr="00651799">
        <w:rPr>
          <w:rFonts w:ascii="Arial Narrow" w:hAnsi="Arial Narrow" w:cs="Tahoma"/>
          <w:sz w:val="22"/>
          <w:szCs w:val="22"/>
        </w:rPr>
        <w:t>34.6</w:t>
      </w:r>
      <w:r w:rsidRPr="00651799">
        <w:rPr>
          <w:rFonts w:ascii="Arial Narrow" w:hAnsi="Arial Narrow" w:cs="Tahoma"/>
          <w:sz w:val="22"/>
          <w:szCs w:val="22"/>
        </w:rPr>
        <w:t>%, due to higher prices in the group fuels and lubri</w:t>
      </w:r>
      <w:r w:rsidRPr="00651799">
        <w:rPr>
          <w:rFonts w:ascii="Arial Narrow" w:hAnsi="Arial Narrow" w:cs="Tahoma"/>
          <w:sz w:val="22"/>
          <w:szCs w:val="22"/>
        </w:rPr>
        <w:t>cants for passenger cars by 55.7</w:t>
      </w:r>
      <w:r w:rsidRPr="00651799">
        <w:rPr>
          <w:rFonts w:ascii="Arial Narrow" w:hAnsi="Arial Narrow" w:cs="Tahoma"/>
          <w:sz w:val="22"/>
          <w:szCs w:val="22"/>
        </w:rPr>
        <w:t xml:space="preserve">%. An increase in prices was also recorded in the division </w:t>
      </w:r>
      <w:r w:rsidRPr="00651799">
        <w:rPr>
          <w:rFonts w:ascii="Arial Narrow" w:hAnsi="Arial Narrow" w:cs="Tahoma"/>
          <w:i/>
          <w:sz w:val="22"/>
          <w:szCs w:val="22"/>
        </w:rPr>
        <w:t>Food and non-alcoholic beverages</w:t>
      </w:r>
      <w:r w:rsidRPr="00651799">
        <w:rPr>
          <w:rFonts w:ascii="Arial Narrow" w:hAnsi="Arial Narrow" w:cs="Tahoma"/>
          <w:sz w:val="22"/>
          <w:szCs w:val="22"/>
        </w:rPr>
        <w:t xml:space="preserve">, by </w:t>
      </w:r>
      <w:r w:rsidRPr="00651799">
        <w:rPr>
          <w:rFonts w:ascii="Arial Narrow" w:hAnsi="Arial Narrow" w:cs="Tahoma"/>
          <w:sz w:val="22"/>
          <w:szCs w:val="22"/>
        </w:rPr>
        <w:t>22.6</w:t>
      </w:r>
      <w:r w:rsidRPr="00651799">
        <w:rPr>
          <w:rFonts w:ascii="Arial Narrow" w:hAnsi="Arial Narrow" w:cs="Tahoma"/>
          <w:sz w:val="22"/>
          <w:szCs w:val="22"/>
        </w:rPr>
        <w:t xml:space="preserve">%, due to higher prices in </w:t>
      </w:r>
      <w:r w:rsidRPr="00651799">
        <w:rPr>
          <w:rFonts w:ascii="Arial Narrow" w:hAnsi="Arial Narrow" w:cs="Tahoma"/>
          <w:sz w:val="22"/>
          <w:szCs w:val="22"/>
        </w:rPr>
        <w:t>the groups oils and fats by 66.8</w:t>
      </w:r>
      <w:r w:rsidRPr="00651799">
        <w:rPr>
          <w:rFonts w:ascii="Arial Narrow" w:hAnsi="Arial Narrow" w:cs="Tahoma"/>
          <w:sz w:val="22"/>
          <w:szCs w:val="22"/>
        </w:rPr>
        <w:t xml:space="preserve">% and </w:t>
      </w:r>
      <w:r w:rsidRPr="00651799">
        <w:rPr>
          <w:rFonts w:ascii="Arial Narrow" w:hAnsi="Arial Narrow" w:cs="Tahoma"/>
          <w:sz w:val="22"/>
          <w:szCs w:val="22"/>
        </w:rPr>
        <w:t>bread and cereals</w:t>
      </w:r>
      <w:r w:rsidRPr="00651799">
        <w:rPr>
          <w:rFonts w:ascii="Arial Narrow" w:hAnsi="Arial Narrow" w:cs="Tahoma"/>
          <w:sz w:val="22"/>
          <w:szCs w:val="22"/>
        </w:rPr>
        <w:t xml:space="preserve"> by </w:t>
      </w:r>
      <w:r w:rsidRPr="00651799">
        <w:rPr>
          <w:rFonts w:ascii="Arial Narrow" w:hAnsi="Arial Narrow" w:cs="Tahoma"/>
          <w:sz w:val="22"/>
          <w:szCs w:val="22"/>
        </w:rPr>
        <w:t>27.2</w:t>
      </w:r>
      <w:r w:rsidRPr="00651799">
        <w:rPr>
          <w:rFonts w:ascii="Arial Narrow" w:hAnsi="Arial Narrow" w:cs="Tahoma"/>
          <w:sz w:val="22"/>
          <w:szCs w:val="22"/>
        </w:rPr>
        <w:t xml:space="preserve">%. Higher prices were also recorded in the division </w:t>
      </w:r>
      <w:r w:rsidRPr="00651799">
        <w:rPr>
          <w:rFonts w:ascii="Arial Narrow" w:hAnsi="Arial Narrow" w:cs="Tahoma"/>
          <w:i/>
          <w:sz w:val="22"/>
          <w:szCs w:val="22"/>
        </w:rPr>
        <w:t xml:space="preserve">Restaurants and hotels, </w:t>
      </w:r>
      <w:r w:rsidRPr="00651799">
        <w:rPr>
          <w:rFonts w:ascii="Arial Narrow" w:hAnsi="Arial Narrow" w:cs="Tahoma"/>
          <w:sz w:val="22"/>
          <w:szCs w:val="22"/>
        </w:rPr>
        <w:t xml:space="preserve">by </w:t>
      </w:r>
      <w:r w:rsidR="00873180" w:rsidRPr="00651799">
        <w:rPr>
          <w:rFonts w:ascii="Arial Narrow" w:hAnsi="Arial Narrow" w:cs="Tahoma"/>
          <w:sz w:val="22"/>
          <w:szCs w:val="22"/>
        </w:rPr>
        <w:t>10.6</w:t>
      </w:r>
      <w:r w:rsidRPr="00651799">
        <w:rPr>
          <w:rFonts w:ascii="Arial Narrow" w:hAnsi="Arial Narrow" w:cs="Tahoma"/>
          <w:sz w:val="22"/>
          <w:szCs w:val="22"/>
        </w:rPr>
        <w:t xml:space="preserve">%, due to higher prices in the group restaurant and café services by </w:t>
      </w:r>
      <w:r w:rsidR="00873180" w:rsidRPr="00651799">
        <w:rPr>
          <w:rFonts w:ascii="Arial Narrow" w:hAnsi="Arial Narrow" w:cs="Tahoma"/>
          <w:sz w:val="22"/>
          <w:szCs w:val="22"/>
        </w:rPr>
        <w:t>12.8</w:t>
      </w:r>
      <w:r w:rsidRPr="00651799">
        <w:rPr>
          <w:rFonts w:ascii="Arial Narrow" w:hAnsi="Arial Narrow" w:cs="Tahoma"/>
          <w:sz w:val="22"/>
          <w:szCs w:val="22"/>
        </w:rPr>
        <w:t>%.</w:t>
      </w:r>
      <w:r w:rsidRPr="00651799">
        <w:t xml:space="preserve"> </w:t>
      </w:r>
      <w:r w:rsidRPr="00651799">
        <w:rPr>
          <w:rFonts w:ascii="Arial Narrow" w:hAnsi="Arial Narrow" w:cs="Tahoma"/>
          <w:sz w:val="22"/>
          <w:szCs w:val="22"/>
        </w:rPr>
        <w:t xml:space="preserve">An increase in prices was recorded in the following divisions as well: </w:t>
      </w:r>
      <w:r w:rsidRPr="00651799">
        <w:rPr>
          <w:rFonts w:ascii="Arial Narrow" w:hAnsi="Arial Narrow" w:cs="Tahoma"/>
          <w:i/>
          <w:sz w:val="22"/>
          <w:szCs w:val="22"/>
        </w:rPr>
        <w:t xml:space="preserve">Furnishings and household equipment, </w:t>
      </w:r>
      <w:r w:rsidRPr="00651799">
        <w:rPr>
          <w:rFonts w:ascii="Arial Narrow" w:hAnsi="Arial Narrow" w:cs="Tahoma"/>
          <w:sz w:val="22"/>
          <w:szCs w:val="22"/>
        </w:rPr>
        <w:t xml:space="preserve">by </w:t>
      </w:r>
      <w:r w:rsidR="00CA33A3" w:rsidRPr="00651799">
        <w:rPr>
          <w:rFonts w:ascii="Arial Narrow" w:hAnsi="Arial Narrow" w:cs="Tahoma"/>
          <w:sz w:val="22"/>
          <w:szCs w:val="22"/>
        </w:rPr>
        <w:t>8.5</w:t>
      </w:r>
      <w:r w:rsidRPr="00651799">
        <w:rPr>
          <w:rFonts w:ascii="Arial Narrow" w:hAnsi="Arial Narrow" w:cs="Tahoma"/>
          <w:sz w:val="22"/>
          <w:szCs w:val="22"/>
        </w:rPr>
        <w:t xml:space="preserve">%, due to higher prices in the group </w:t>
      </w:r>
      <w:r w:rsidR="00CA33A3" w:rsidRPr="00651799">
        <w:rPr>
          <w:rFonts w:ascii="Arial Narrow" w:hAnsi="Arial Narrow" w:cs="Tahoma"/>
          <w:sz w:val="22"/>
          <w:szCs w:val="22"/>
        </w:rPr>
        <w:t>carpets and other textile floor coverings</w:t>
      </w:r>
      <w:r w:rsidRPr="00651799">
        <w:rPr>
          <w:rFonts w:ascii="Arial Narrow" w:hAnsi="Arial Narrow" w:cs="Tahoma"/>
          <w:sz w:val="22"/>
          <w:szCs w:val="22"/>
        </w:rPr>
        <w:t xml:space="preserve"> by </w:t>
      </w:r>
      <w:r w:rsidR="00CA33A3" w:rsidRPr="00651799">
        <w:rPr>
          <w:rFonts w:ascii="Arial Narrow" w:hAnsi="Arial Narrow" w:cs="Tahoma"/>
          <w:sz w:val="22"/>
          <w:szCs w:val="22"/>
        </w:rPr>
        <w:t>16.2</w:t>
      </w:r>
      <w:r w:rsidRPr="00651799">
        <w:rPr>
          <w:rFonts w:ascii="Arial Narrow" w:hAnsi="Arial Narrow" w:cs="Tahoma"/>
          <w:sz w:val="22"/>
          <w:szCs w:val="22"/>
        </w:rPr>
        <w:t xml:space="preserve">%; </w:t>
      </w:r>
      <w:r w:rsidRPr="00651799">
        <w:rPr>
          <w:rFonts w:ascii="Arial Narrow" w:hAnsi="Arial Narrow" w:cs="Tahoma"/>
          <w:i/>
          <w:sz w:val="22"/>
          <w:szCs w:val="22"/>
        </w:rPr>
        <w:t xml:space="preserve">Recreation and culture, </w:t>
      </w:r>
      <w:r w:rsidRPr="00651799">
        <w:rPr>
          <w:rFonts w:ascii="Arial Narrow" w:hAnsi="Arial Narrow" w:cs="Tahoma"/>
          <w:sz w:val="22"/>
          <w:szCs w:val="22"/>
        </w:rPr>
        <w:t xml:space="preserve">by </w:t>
      </w:r>
      <w:r w:rsidR="00B75263" w:rsidRPr="00651799">
        <w:rPr>
          <w:rFonts w:ascii="Arial Narrow" w:hAnsi="Arial Narrow" w:cs="Tahoma"/>
          <w:sz w:val="22"/>
          <w:szCs w:val="22"/>
        </w:rPr>
        <w:t>8</w:t>
      </w:r>
      <w:r w:rsidRPr="00651799">
        <w:rPr>
          <w:rFonts w:ascii="Arial Narrow" w:hAnsi="Arial Narrow" w:cs="Tahoma"/>
          <w:sz w:val="22"/>
          <w:szCs w:val="22"/>
        </w:rPr>
        <w:t xml:space="preserve">.3%, due to higher prices in the group </w:t>
      </w:r>
      <w:r w:rsidR="00B75263" w:rsidRPr="00651799">
        <w:rPr>
          <w:rFonts w:ascii="Arial Narrow" w:hAnsi="Arial Narrow" w:cs="Tahoma"/>
          <w:sz w:val="22"/>
          <w:szCs w:val="22"/>
        </w:rPr>
        <w:t>newspapers and magazines by 25.9</w:t>
      </w:r>
      <w:r w:rsidRPr="00651799">
        <w:rPr>
          <w:rFonts w:ascii="Arial Narrow" w:hAnsi="Arial Narrow" w:cs="Tahoma"/>
          <w:sz w:val="22"/>
          <w:szCs w:val="22"/>
        </w:rPr>
        <w:t xml:space="preserve">%; </w:t>
      </w:r>
      <w:r w:rsidRPr="00651799">
        <w:rPr>
          <w:rFonts w:ascii="Arial Narrow" w:hAnsi="Arial Narrow" w:cs="Tahoma"/>
          <w:i/>
          <w:sz w:val="22"/>
          <w:szCs w:val="22"/>
        </w:rPr>
        <w:t xml:space="preserve">Housing, </w:t>
      </w:r>
      <w:r w:rsidRPr="00651799">
        <w:rPr>
          <w:rFonts w:ascii="Arial Narrow" w:hAnsi="Arial Narrow" w:cs="Tahoma"/>
          <w:sz w:val="22"/>
          <w:szCs w:val="22"/>
        </w:rPr>
        <w:t xml:space="preserve">by </w:t>
      </w:r>
      <w:r w:rsidR="00B75263" w:rsidRPr="00651799">
        <w:rPr>
          <w:rFonts w:ascii="Arial Narrow" w:hAnsi="Arial Narrow" w:cs="Tahoma"/>
          <w:sz w:val="22"/>
          <w:szCs w:val="22"/>
        </w:rPr>
        <w:t>7.3</w:t>
      </w:r>
      <w:r w:rsidRPr="00651799">
        <w:rPr>
          <w:rFonts w:ascii="Arial Narrow" w:hAnsi="Arial Narrow" w:cs="Tahoma"/>
          <w:sz w:val="22"/>
          <w:szCs w:val="22"/>
        </w:rPr>
        <w:t xml:space="preserve">%, due to higher prices in the groups liquid fuels by </w:t>
      </w:r>
      <w:r w:rsidR="00B75263" w:rsidRPr="00651799">
        <w:rPr>
          <w:rFonts w:ascii="Arial Narrow" w:hAnsi="Arial Narrow" w:cs="Tahoma"/>
          <w:sz w:val="22"/>
          <w:szCs w:val="22"/>
        </w:rPr>
        <w:t>66.7</w:t>
      </w:r>
      <w:r w:rsidRPr="00651799">
        <w:rPr>
          <w:rFonts w:ascii="Arial Narrow" w:hAnsi="Arial Narrow" w:cs="Tahoma"/>
          <w:sz w:val="22"/>
          <w:szCs w:val="22"/>
        </w:rPr>
        <w:t>%</w:t>
      </w:r>
      <w:r w:rsidR="00B75263" w:rsidRPr="00651799">
        <w:rPr>
          <w:rFonts w:ascii="Arial Narrow" w:hAnsi="Arial Narrow" w:cs="Tahoma"/>
          <w:sz w:val="22"/>
          <w:szCs w:val="22"/>
        </w:rPr>
        <w:t>, gas by 54.7</w:t>
      </w:r>
      <w:r w:rsidRPr="00651799">
        <w:rPr>
          <w:rFonts w:ascii="Arial Narrow" w:hAnsi="Arial Narrow" w:cs="Tahoma"/>
          <w:sz w:val="22"/>
          <w:szCs w:val="22"/>
        </w:rPr>
        <w:t>%</w:t>
      </w:r>
      <w:r w:rsidR="00B75263" w:rsidRPr="00651799">
        <w:rPr>
          <w:rFonts w:ascii="Arial Narrow" w:hAnsi="Arial Narrow" w:cs="Tahoma"/>
          <w:sz w:val="22"/>
          <w:szCs w:val="22"/>
        </w:rPr>
        <w:t xml:space="preserve"> and materials for maintenance and repair of the dwelling by 21.5%</w:t>
      </w:r>
      <w:r w:rsidRPr="00651799">
        <w:rPr>
          <w:rFonts w:ascii="Arial Narrow" w:hAnsi="Arial Narrow" w:cs="Tahoma"/>
          <w:sz w:val="22"/>
          <w:szCs w:val="22"/>
        </w:rPr>
        <w:t xml:space="preserve">; </w:t>
      </w:r>
      <w:r w:rsidRPr="00651799">
        <w:rPr>
          <w:rFonts w:ascii="Arial Narrow" w:hAnsi="Arial Narrow" w:cs="Tahoma"/>
          <w:i/>
          <w:sz w:val="22"/>
          <w:szCs w:val="22"/>
        </w:rPr>
        <w:t>Other goods and services</w:t>
      </w:r>
      <w:r w:rsidRPr="00651799">
        <w:rPr>
          <w:rFonts w:ascii="Arial Narrow" w:hAnsi="Arial Narrow" w:cs="Tahoma"/>
          <w:sz w:val="22"/>
          <w:szCs w:val="22"/>
        </w:rPr>
        <w:t xml:space="preserve">, by </w:t>
      </w:r>
      <w:r w:rsidR="00423186" w:rsidRPr="00651799">
        <w:rPr>
          <w:rFonts w:ascii="Arial Narrow" w:hAnsi="Arial Narrow" w:cs="Tahoma"/>
          <w:sz w:val="22"/>
          <w:szCs w:val="22"/>
        </w:rPr>
        <w:t>5.4</w:t>
      </w:r>
      <w:r w:rsidRPr="00651799">
        <w:rPr>
          <w:rFonts w:ascii="Arial Narrow" w:hAnsi="Arial Narrow" w:cs="Tahoma"/>
          <w:sz w:val="22"/>
          <w:szCs w:val="22"/>
        </w:rPr>
        <w:t>%, due to higher prices in the group</w:t>
      </w:r>
      <w:r w:rsidR="00423186" w:rsidRPr="00651799">
        <w:rPr>
          <w:rFonts w:ascii="Arial Narrow" w:hAnsi="Arial Narrow" w:cs="Tahoma"/>
          <w:sz w:val="22"/>
          <w:szCs w:val="22"/>
        </w:rPr>
        <w:t xml:space="preserve"> </w:t>
      </w:r>
      <w:r w:rsidRPr="00651799">
        <w:rPr>
          <w:rFonts w:ascii="Arial Narrow" w:hAnsi="Arial Narrow" w:cs="Tahoma"/>
          <w:sz w:val="22"/>
          <w:szCs w:val="22"/>
        </w:rPr>
        <w:t xml:space="preserve">hair salon services by </w:t>
      </w:r>
      <w:r w:rsidR="00423186" w:rsidRPr="00651799">
        <w:rPr>
          <w:rFonts w:ascii="Arial Narrow" w:hAnsi="Arial Narrow" w:cs="Tahoma"/>
          <w:sz w:val="22"/>
          <w:szCs w:val="22"/>
        </w:rPr>
        <w:t>11.5</w:t>
      </w:r>
      <w:r w:rsidR="00624777" w:rsidRPr="00651799">
        <w:rPr>
          <w:rFonts w:ascii="Arial Narrow" w:hAnsi="Arial Narrow" w:cs="Tahoma"/>
          <w:sz w:val="22"/>
          <w:szCs w:val="22"/>
        </w:rPr>
        <w:t xml:space="preserve">%. An increase in prices by 2.1% recorded in the division </w:t>
      </w:r>
      <w:r w:rsidR="00624777" w:rsidRPr="00651799">
        <w:rPr>
          <w:rFonts w:ascii="Arial Narrow" w:hAnsi="Arial Narrow" w:cs="Tahoma"/>
          <w:i/>
          <w:sz w:val="22"/>
          <w:szCs w:val="22"/>
        </w:rPr>
        <w:t xml:space="preserve">Alcoholic beverages and tobacco </w:t>
      </w:r>
      <w:r w:rsidR="00624777" w:rsidRPr="00651799">
        <w:rPr>
          <w:rFonts w:ascii="Arial Narrow" w:hAnsi="Arial Narrow" w:cs="Tahoma"/>
          <w:sz w:val="22"/>
          <w:szCs w:val="22"/>
        </w:rPr>
        <w:t xml:space="preserve">occurred due to higher prices in the group wine by 7.1%, while an increase in prices by 1.0% recorded in the division </w:t>
      </w:r>
      <w:r w:rsidR="00624777" w:rsidRPr="00651799">
        <w:rPr>
          <w:rFonts w:ascii="Arial Narrow" w:hAnsi="Arial Narrow" w:cs="Tahoma"/>
          <w:i/>
          <w:sz w:val="22"/>
          <w:szCs w:val="22"/>
        </w:rPr>
        <w:t xml:space="preserve">Communication </w:t>
      </w:r>
      <w:r w:rsidR="00624777" w:rsidRPr="00651799">
        <w:rPr>
          <w:rFonts w:ascii="Arial Narrow" w:hAnsi="Arial Narrow" w:cs="Tahoma"/>
          <w:sz w:val="22"/>
          <w:szCs w:val="22"/>
        </w:rPr>
        <w:t xml:space="preserve">occurred due to higher prices in the group telephone and telefax services by 1.2%. </w:t>
      </w:r>
    </w:p>
    <w:p w:rsidR="00B5055F" w:rsidRPr="00651799" w:rsidRDefault="00B5055F" w:rsidP="00B5055F">
      <w:pPr>
        <w:jc w:val="both"/>
        <w:rPr>
          <w:rFonts w:ascii="Arial Narrow" w:hAnsi="Arial Narrow" w:cs="Tahoma"/>
          <w:sz w:val="22"/>
          <w:szCs w:val="22"/>
        </w:rPr>
      </w:pPr>
      <w:r w:rsidRPr="00651799">
        <w:rPr>
          <w:rFonts w:ascii="Arial Narrow" w:hAnsi="Arial Narrow" w:cs="Tahoma"/>
          <w:sz w:val="22"/>
          <w:szCs w:val="22"/>
        </w:rPr>
        <w:t xml:space="preserve">In the division </w:t>
      </w:r>
      <w:r w:rsidRPr="00651799">
        <w:rPr>
          <w:rFonts w:ascii="Arial Narrow" w:hAnsi="Arial Narrow" w:cs="Tahoma"/>
          <w:i/>
          <w:sz w:val="22"/>
          <w:szCs w:val="22"/>
        </w:rPr>
        <w:t xml:space="preserve">Health </w:t>
      </w:r>
      <w:r w:rsidRPr="00651799">
        <w:rPr>
          <w:rFonts w:ascii="Arial Narrow" w:hAnsi="Arial Narrow" w:cs="Tahoma"/>
          <w:sz w:val="22"/>
          <w:szCs w:val="22"/>
        </w:rPr>
        <w:t xml:space="preserve">an increase </w:t>
      </w:r>
      <w:r w:rsidR="00624777" w:rsidRPr="00651799">
        <w:rPr>
          <w:rFonts w:ascii="Arial Narrow" w:hAnsi="Arial Narrow" w:cs="Tahoma"/>
          <w:sz w:val="22"/>
          <w:szCs w:val="22"/>
        </w:rPr>
        <w:t>in prices by 0.6</w:t>
      </w:r>
      <w:r w:rsidRPr="00651799">
        <w:rPr>
          <w:rFonts w:ascii="Arial Narrow" w:hAnsi="Arial Narrow" w:cs="Tahoma"/>
          <w:sz w:val="22"/>
          <w:szCs w:val="22"/>
        </w:rPr>
        <w:t>% was recorded, due to higher prices in the groups outpatient services by</w:t>
      </w:r>
      <w:r w:rsidR="00624777" w:rsidRPr="00651799">
        <w:rPr>
          <w:rFonts w:ascii="Arial Narrow" w:hAnsi="Arial Narrow" w:cs="Tahoma"/>
          <w:sz w:val="22"/>
          <w:szCs w:val="22"/>
        </w:rPr>
        <w:t xml:space="preserve"> 2.8% and dental services by 2.6</w:t>
      </w:r>
      <w:r w:rsidRPr="00651799">
        <w:rPr>
          <w:rFonts w:ascii="Arial Narrow" w:hAnsi="Arial Narrow" w:cs="Tahoma"/>
          <w:sz w:val="22"/>
          <w:szCs w:val="22"/>
        </w:rPr>
        <w:t xml:space="preserve">%. An increase in prices by 0.1% recorded in the division </w:t>
      </w:r>
      <w:r w:rsidRPr="00651799">
        <w:rPr>
          <w:rFonts w:ascii="Arial Narrow" w:hAnsi="Arial Narrow" w:cs="Tahoma"/>
          <w:i/>
          <w:sz w:val="22"/>
          <w:szCs w:val="22"/>
        </w:rPr>
        <w:t>Education</w:t>
      </w:r>
      <w:r w:rsidRPr="00651799">
        <w:rPr>
          <w:rFonts w:ascii="Arial Narrow" w:hAnsi="Arial Narrow" w:cs="Tahoma"/>
          <w:sz w:val="22"/>
          <w:szCs w:val="22"/>
        </w:rPr>
        <w:t xml:space="preserve"> occurred due to higher prices in the group preschool education by 0.8%. </w:t>
      </w:r>
    </w:p>
    <w:p w:rsidR="00B5055F" w:rsidRPr="00651799" w:rsidRDefault="00B5055F" w:rsidP="00176EDE">
      <w:pPr>
        <w:jc w:val="both"/>
        <w:rPr>
          <w:rFonts w:ascii="Arial Narrow" w:hAnsi="Arial Narrow" w:cs="Tahoma"/>
          <w:sz w:val="22"/>
          <w:szCs w:val="22"/>
        </w:rPr>
      </w:pPr>
    </w:p>
    <w:p w:rsidR="00A32928" w:rsidRPr="00651799" w:rsidRDefault="00624777" w:rsidP="00624777">
      <w:pPr>
        <w:jc w:val="both"/>
        <w:rPr>
          <w:rFonts w:ascii="Arial Narrow" w:hAnsi="Arial Narrow" w:cs="Tahoma"/>
          <w:sz w:val="22"/>
          <w:szCs w:val="22"/>
        </w:rPr>
      </w:pPr>
      <w:r w:rsidRPr="00651799">
        <w:rPr>
          <w:rFonts w:ascii="Arial Narrow" w:hAnsi="Arial Narrow" w:cs="Tahoma"/>
          <w:sz w:val="22"/>
          <w:szCs w:val="22"/>
        </w:rPr>
        <w:lastRenderedPageBreak/>
        <w:t xml:space="preserve">A decrease </w:t>
      </w:r>
      <w:r w:rsidRPr="00651799">
        <w:rPr>
          <w:rFonts w:ascii="Arial Narrow" w:hAnsi="Arial Narrow" w:cs="Tahoma"/>
          <w:sz w:val="22"/>
          <w:szCs w:val="22"/>
        </w:rPr>
        <w:t xml:space="preserve">in prices at the annual level in </w:t>
      </w:r>
      <w:r w:rsidRPr="00651799">
        <w:rPr>
          <w:rFonts w:ascii="Arial Narrow" w:hAnsi="Arial Narrow" w:cs="Tahoma"/>
          <w:sz w:val="22"/>
          <w:szCs w:val="22"/>
        </w:rPr>
        <w:t>June</w:t>
      </w:r>
      <w:r w:rsidRPr="00651799">
        <w:rPr>
          <w:rFonts w:ascii="Arial Narrow" w:hAnsi="Arial Narrow" w:cs="Tahoma"/>
          <w:sz w:val="22"/>
          <w:szCs w:val="22"/>
        </w:rPr>
        <w:t xml:space="preserve"> 2020 was recorded in the division</w:t>
      </w:r>
      <w:r w:rsidRPr="00651799">
        <w:rPr>
          <w:rFonts w:ascii="Arial Narrow" w:hAnsi="Arial Narrow" w:cs="Tahoma"/>
          <w:i/>
          <w:sz w:val="22"/>
          <w:szCs w:val="22"/>
        </w:rPr>
        <w:t xml:space="preserve"> Clothing and footwear</w:t>
      </w:r>
      <w:r w:rsidRPr="00651799">
        <w:rPr>
          <w:rFonts w:ascii="Arial Narrow" w:hAnsi="Arial Narrow" w:cs="Tahoma"/>
          <w:sz w:val="22"/>
          <w:szCs w:val="22"/>
        </w:rPr>
        <w:t xml:space="preserve">, by </w:t>
      </w:r>
      <w:r w:rsidRPr="00651799">
        <w:rPr>
          <w:rFonts w:ascii="Arial Narrow" w:hAnsi="Arial Narrow" w:cs="Tahoma"/>
          <w:sz w:val="22"/>
          <w:szCs w:val="22"/>
        </w:rPr>
        <w:t>4.9</w:t>
      </w:r>
      <w:r w:rsidRPr="00651799">
        <w:rPr>
          <w:rFonts w:ascii="Arial Narrow" w:hAnsi="Arial Narrow" w:cs="Tahoma"/>
          <w:sz w:val="22"/>
          <w:szCs w:val="22"/>
        </w:rPr>
        <w:t>%, due to seasonal discounts on ready-made clothing and footwear during the year</w:t>
      </w:r>
      <w:r w:rsidR="00A32928" w:rsidRPr="00651799">
        <w:rPr>
          <w:rFonts w:ascii="Arial Narrow" w:hAnsi="Arial Narrow" w:cs="Tahoma"/>
          <w:sz w:val="22"/>
          <w:szCs w:val="22"/>
        </w:rPr>
        <w:t>.</w:t>
      </w:r>
    </w:p>
    <w:p w:rsidR="00F36928" w:rsidRPr="00651799" w:rsidRDefault="00F36928" w:rsidP="00180B6F">
      <w:pPr>
        <w:jc w:val="both"/>
        <w:rPr>
          <w:rFonts w:ascii="Arial Narrow" w:hAnsi="Arial Narrow" w:cs="Tahoma"/>
          <w:sz w:val="22"/>
          <w:szCs w:val="22"/>
        </w:rPr>
      </w:pPr>
    </w:p>
    <w:p w:rsidR="00B50951" w:rsidRPr="00651799" w:rsidRDefault="00FB4D98" w:rsidP="00B50951">
      <w:pPr>
        <w:jc w:val="center"/>
        <w:rPr>
          <w:rFonts w:ascii="Arial Narrow" w:hAnsi="Arial Narrow" w:cs="Tahoma"/>
          <w:sz w:val="16"/>
          <w:szCs w:val="16"/>
        </w:rPr>
      </w:pPr>
      <w:r w:rsidRPr="006517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004AF" wp14:editId="60C06A0A">
                <wp:simplePos x="0" y="0"/>
                <wp:positionH relativeFrom="margin">
                  <wp:posOffset>3657600</wp:posOffset>
                </wp:positionH>
                <wp:positionV relativeFrom="paragraph">
                  <wp:posOffset>2657221</wp:posOffset>
                </wp:positionV>
                <wp:extent cx="906145" cy="294199"/>
                <wp:effectExtent l="0" t="0" r="825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D98" w:rsidRDefault="00FB4D98" w:rsidP="00FB4D9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Annual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004A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in;margin-top:209.25pt;width:71.35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" fillcolor="window" stroked="f" strokeweight=".5pt">
                <v:textbox>
                  <w:txbxContent>
                    <w:p w:rsidR="00FB4D98" w:rsidRDefault="00FB4D98" w:rsidP="00FB4D9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Annual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7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004AF" wp14:editId="60C06A0A">
                <wp:simplePos x="0" y="0"/>
                <wp:positionH relativeFrom="margin">
                  <wp:posOffset>2282343</wp:posOffset>
                </wp:positionH>
                <wp:positionV relativeFrom="paragraph">
                  <wp:posOffset>2664536</wp:posOffset>
                </wp:positionV>
                <wp:extent cx="906145" cy="294199"/>
                <wp:effectExtent l="0" t="0" r="825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145" cy="2941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D98" w:rsidRDefault="00FB4D98" w:rsidP="00FB4D9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Monthly inflation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04AF" id="Text Box 28" o:spid="_x0000_s1027" type="#_x0000_t202" style="position:absolute;left:0;text-align:left;margin-left:179.7pt;margin-top:209.8pt;width:71.35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" fillcolor="window" stroked="f" strokeweight=".5pt">
                <v:textbox>
                  <w:txbxContent>
                    <w:p w:rsidR="00FB4D98" w:rsidRDefault="00FB4D98" w:rsidP="00FB4D9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Monthly inflation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4C0" w:rsidRPr="0065179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8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722A5E" w:rsidRPr="00651799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1941558</wp:posOffset>
                </wp:positionH>
                <wp:positionV relativeFrom="paragraph">
                  <wp:posOffset>2848743</wp:posOffset>
                </wp:positionV>
                <wp:extent cx="2637692" cy="321010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2" cy="32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52.9pt;margin-top:224.3pt;width:207.7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B50951" w:rsidRPr="00651799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651799" w:rsidRDefault="00651799" w:rsidP="00B50951">
      <w:pPr>
        <w:jc w:val="center"/>
        <w:rPr>
          <w:rFonts w:ascii="Arial Narrow" w:hAnsi="Arial Narrow" w:cs="Tahoma"/>
          <w:sz w:val="16"/>
          <w:szCs w:val="16"/>
        </w:rPr>
      </w:pPr>
      <w:r>
        <w:rPr>
          <w:rFonts w:ascii="Arial Narrow" w:hAnsi="Arial Narrow" w:cs="Tahoma"/>
          <w:sz w:val="16"/>
          <w:szCs w:val="16"/>
        </w:rPr>
        <w:t>Graph</w:t>
      </w:r>
      <w:bookmarkStart w:id="0" w:name="_GoBack"/>
      <w:bookmarkEnd w:id="0"/>
      <w:r w:rsidR="00B50951" w:rsidRPr="00651799">
        <w:rPr>
          <w:rFonts w:ascii="Arial Narrow" w:hAnsi="Arial Narrow" w:cs="Tahoma"/>
          <w:sz w:val="16"/>
          <w:szCs w:val="16"/>
        </w:rPr>
        <w:t xml:space="preserve"> </w:t>
      </w:r>
      <w:r w:rsidR="001D7B2C" w:rsidRPr="00651799">
        <w:rPr>
          <w:rFonts w:ascii="Arial Narrow" w:hAnsi="Arial Narrow" w:cs="Tahoma"/>
          <w:sz w:val="16"/>
          <w:szCs w:val="16"/>
        </w:rPr>
        <w:t>2</w:t>
      </w:r>
      <w:r w:rsidR="00B50951" w:rsidRPr="00651799">
        <w:rPr>
          <w:rFonts w:ascii="Arial Narrow" w:hAnsi="Arial Narrow" w:cs="Tahoma"/>
          <w:sz w:val="16"/>
          <w:szCs w:val="16"/>
        </w:rPr>
        <w:t xml:space="preserve">. </w:t>
      </w:r>
      <w:r w:rsidR="00FB4D98" w:rsidRPr="00651799">
        <w:rPr>
          <w:rFonts w:ascii="Arial Narrow" w:hAnsi="Arial Narrow" w:cs="Tahoma"/>
          <w:sz w:val="16"/>
          <w:szCs w:val="16"/>
        </w:rPr>
        <w:t>Monthly and annual inflation</w:t>
      </w:r>
    </w:p>
    <w:p w:rsidR="009C3C6C" w:rsidRPr="00651799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651799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42784" w:rsidRPr="00651799" w:rsidRDefault="00F27394" w:rsidP="00B4278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651799">
        <w:rPr>
          <w:rFonts w:ascii="Arial Narrow" w:hAnsi="Arial Narrow" w:cs="Tahoma"/>
          <w:b/>
          <w:bCs/>
          <w:sz w:val="28"/>
          <w:szCs w:val="30"/>
        </w:rPr>
        <w:t xml:space="preserve">Working-day adjusted industrial production </w:t>
      </w:r>
      <w:r w:rsidR="00B42784" w:rsidRPr="00651799">
        <w:rPr>
          <w:rFonts w:ascii="Arial Narrow" w:hAnsi="Arial Narrow" w:cs="Tahoma"/>
          <w:b/>
          <w:sz w:val="28"/>
          <w:szCs w:val="30"/>
        </w:rPr>
        <w:t>(</w:t>
      </w:r>
      <w:r w:rsidRPr="00651799">
        <w:rPr>
          <w:rFonts w:ascii="Arial Narrow" w:hAnsi="Arial Narrow" w:cs="Tahoma"/>
          <w:b/>
          <w:sz w:val="28"/>
          <w:szCs w:val="30"/>
        </w:rPr>
        <w:t>June</w:t>
      </w:r>
      <w:r w:rsidR="00B42784" w:rsidRPr="00651799">
        <w:rPr>
          <w:rFonts w:ascii="Arial Narrow" w:hAnsi="Arial Narrow" w:cs="Tahoma"/>
          <w:b/>
          <w:sz w:val="28"/>
          <w:szCs w:val="30"/>
        </w:rPr>
        <w:t xml:space="preserve"> 2022</w:t>
      </w:r>
      <w:r w:rsidR="00B90C70" w:rsidRPr="00651799">
        <w:rPr>
          <w:rFonts w:ascii="Arial Narrow" w:hAnsi="Arial Narrow" w:cs="Tahoma"/>
          <w:b/>
          <w:sz w:val="28"/>
          <w:szCs w:val="30"/>
        </w:rPr>
        <w:t>/</w:t>
      </w:r>
      <w:r w:rsidRPr="00651799">
        <w:rPr>
          <w:rFonts w:ascii="Arial Narrow" w:hAnsi="Arial Narrow" w:cs="Tahoma"/>
          <w:b/>
          <w:sz w:val="28"/>
          <w:szCs w:val="30"/>
        </w:rPr>
        <w:t>June</w:t>
      </w:r>
      <w:r w:rsidR="00B42784" w:rsidRPr="00651799">
        <w:rPr>
          <w:rFonts w:ascii="Arial Narrow" w:hAnsi="Arial Narrow" w:cs="Tahoma"/>
          <w:b/>
          <w:sz w:val="28"/>
          <w:szCs w:val="30"/>
        </w:rPr>
        <w:t xml:space="preserve"> </w:t>
      </w:r>
      <w:r w:rsidR="00B42784" w:rsidRPr="00651799">
        <w:rPr>
          <w:rFonts w:ascii="Arial Narrow" w:hAnsi="Arial Narrow" w:cs="Tahoma"/>
          <w:b/>
          <w:bCs/>
          <w:sz w:val="28"/>
          <w:szCs w:val="30"/>
        </w:rPr>
        <w:t xml:space="preserve">2021) </w:t>
      </w:r>
      <w:r w:rsidRPr="00651799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B42784" w:rsidRPr="00651799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224184" w:rsidRPr="00651799">
        <w:rPr>
          <w:rFonts w:ascii="Arial Narrow" w:hAnsi="Arial Narrow" w:cs="Tahoma"/>
          <w:b/>
          <w:bCs/>
          <w:sz w:val="28"/>
          <w:szCs w:val="30"/>
        </w:rPr>
        <w:t>1</w:t>
      </w:r>
      <w:r w:rsidRPr="00651799">
        <w:rPr>
          <w:rFonts w:ascii="Arial Narrow" w:hAnsi="Arial Narrow" w:cs="Tahoma"/>
          <w:b/>
          <w:bCs/>
          <w:sz w:val="28"/>
          <w:szCs w:val="30"/>
        </w:rPr>
        <w:t>.</w:t>
      </w:r>
      <w:r w:rsidR="001E03F0" w:rsidRPr="00651799">
        <w:rPr>
          <w:rFonts w:ascii="Arial Narrow" w:hAnsi="Arial Narrow" w:cs="Tahoma"/>
          <w:b/>
          <w:bCs/>
          <w:sz w:val="28"/>
          <w:szCs w:val="30"/>
        </w:rPr>
        <w:t>6</w:t>
      </w:r>
      <w:r w:rsidR="00B42784" w:rsidRPr="00651799">
        <w:rPr>
          <w:rFonts w:ascii="Arial Narrow" w:hAnsi="Arial Narrow" w:cs="Tahoma"/>
          <w:b/>
          <w:bCs/>
          <w:sz w:val="28"/>
          <w:szCs w:val="30"/>
        </w:rPr>
        <w:t>%</w:t>
      </w:r>
    </w:p>
    <w:p w:rsidR="00A4644E" w:rsidRPr="00651799" w:rsidRDefault="00F27394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</w:rPr>
      </w:pPr>
      <w:r w:rsidRPr="00651799">
        <w:rPr>
          <w:rFonts w:ascii="Arial Narrow" w:hAnsi="Arial Narrow" w:cs="Tahoma"/>
          <w:b/>
          <w:bCs/>
          <w:sz w:val="28"/>
          <w:szCs w:val="30"/>
        </w:rPr>
        <w:t>Industrial production</w:t>
      </w:r>
      <w:r w:rsidR="00A4644E" w:rsidRPr="00651799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A4644E" w:rsidRPr="00651799">
        <w:rPr>
          <w:rFonts w:ascii="Arial Narrow" w:hAnsi="Arial Narrow" w:cs="Tahoma"/>
          <w:b/>
          <w:sz w:val="28"/>
          <w:szCs w:val="30"/>
        </w:rPr>
        <w:t>(</w:t>
      </w:r>
      <w:r w:rsidRPr="00651799">
        <w:rPr>
          <w:rFonts w:ascii="Arial Narrow" w:hAnsi="Arial Narrow" w:cs="Tahoma"/>
          <w:b/>
          <w:sz w:val="28"/>
          <w:szCs w:val="30"/>
        </w:rPr>
        <w:t>January-June</w:t>
      </w:r>
      <w:r w:rsidR="00A4644E" w:rsidRPr="00651799">
        <w:rPr>
          <w:rFonts w:ascii="Arial Narrow" w:hAnsi="Arial Narrow" w:cs="Tahoma"/>
          <w:b/>
          <w:sz w:val="28"/>
          <w:szCs w:val="30"/>
        </w:rPr>
        <w:t xml:space="preserve"> 2022/</w:t>
      </w:r>
      <w:r w:rsidRPr="00651799">
        <w:rPr>
          <w:rFonts w:ascii="Arial Narrow" w:hAnsi="Arial Narrow" w:cs="Tahoma"/>
          <w:b/>
          <w:sz w:val="28"/>
          <w:szCs w:val="30"/>
        </w:rPr>
        <w:t>January</w:t>
      </w:r>
      <w:r w:rsidR="00171E24" w:rsidRPr="00651799">
        <w:rPr>
          <w:rFonts w:ascii="Arial Narrow" w:hAnsi="Arial Narrow" w:cs="Tahoma"/>
          <w:b/>
          <w:sz w:val="28"/>
          <w:szCs w:val="30"/>
        </w:rPr>
        <w:t>-</w:t>
      </w:r>
      <w:r w:rsidRPr="00651799">
        <w:rPr>
          <w:rFonts w:ascii="Arial Narrow" w:hAnsi="Arial Narrow" w:cs="Tahoma"/>
          <w:b/>
          <w:sz w:val="28"/>
          <w:szCs w:val="30"/>
        </w:rPr>
        <w:t>June</w:t>
      </w:r>
      <w:r w:rsidR="00A4644E" w:rsidRPr="00651799">
        <w:rPr>
          <w:rFonts w:ascii="Arial Narrow" w:hAnsi="Arial Narrow" w:cs="Tahoma"/>
          <w:b/>
          <w:sz w:val="28"/>
          <w:szCs w:val="30"/>
        </w:rPr>
        <w:t xml:space="preserve"> </w:t>
      </w:r>
      <w:r w:rsidR="00A4644E" w:rsidRPr="00651799">
        <w:rPr>
          <w:rFonts w:ascii="Arial Narrow" w:hAnsi="Arial Narrow" w:cs="Tahoma"/>
          <w:b/>
          <w:bCs/>
          <w:sz w:val="28"/>
          <w:szCs w:val="30"/>
        </w:rPr>
        <w:t>202</w:t>
      </w:r>
      <w:r w:rsidR="00171E24" w:rsidRPr="00651799">
        <w:rPr>
          <w:rFonts w:ascii="Arial Narrow" w:hAnsi="Arial Narrow" w:cs="Tahoma"/>
          <w:b/>
          <w:bCs/>
          <w:sz w:val="28"/>
          <w:szCs w:val="30"/>
        </w:rPr>
        <w:t>1</w:t>
      </w:r>
      <w:r w:rsidR="00A4644E" w:rsidRPr="00651799">
        <w:rPr>
          <w:rFonts w:ascii="Arial Narrow" w:hAnsi="Arial Narrow" w:cs="Tahoma"/>
          <w:b/>
          <w:bCs/>
          <w:sz w:val="28"/>
          <w:szCs w:val="30"/>
        </w:rPr>
        <w:t xml:space="preserve">) </w:t>
      </w:r>
      <w:r w:rsidRPr="00651799">
        <w:rPr>
          <w:rFonts w:ascii="Arial Narrow" w:hAnsi="Arial Narrow" w:cs="Tahoma"/>
          <w:b/>
          <w:bCs/>
          <w:sz w:val="28"/>
          <w:szCs w:val="30"/>
        </w:rPr>
        <w:t>increased by</w:t>
      </w:r>
      <w:r w:rsidR="00A4644E" w:rsidRPr="00651799">
        <w:rPr>
          <w:rFonts w:ascii="Arial Narrow" w:hAnsi="Arial Narrow" w:cs="Tahoma"/>
          <w:b/>
          <w:bCs/>
          <w:sz w:val="28"/>
          <w:szCs w:val="30"/>
        </w:rPr>
        <w:t xml:space="preserve"> </w:t>
      </w:r>
      <w:r w:rsidR="00171E24" w:rsidRPr="00651799">
        <w:rPr>
          <w:rFonts w:ascii="Arial Narrow" w:hAnsi="Arial Narrow" w:cs="Tahoma"/>
          <w:b/>
          <w:bCs/>
          <w:sz w:val="28"/>
          <w:szCs w:val="30"/>
        </w:rPr>
        <w:t>3</w:t>
      </w:r>
      <w:r w:rsidRPr="00651799">
        <w:rPr>
          <w:rFonts w:ascii="Arial Narrow" w:hAnsi="Arial Narrow" w:cs="Tahoma"/>
          <w:b/>
          <w:bCs/>
          <w:sz w:val="28"/>
          <w:szCs w:val="30"/>
        </w:rPr>
        <w:t>.</w:t>
      </w:r>
      <w:r w:rsidR="00395724" w:rsidRPr="00651799">
        <w:rPr>
          <w:rFonts w:ascii="Arial Narrow" w:hAnsi="Arial Narrow" w:cs="Tahoma"/>
          <w:b/>
          <w:bCs/>
          <w:sz w:val="28"/>
          <w:szCs w:val="30"/>
        </w:rPr>
        <w:t>0</w:t>
      </w:r>
      <w:r w:rsidR="00A4644E" w:rsidRPr="00651799">
        <w:rPr>
          <w:rFonts w:ascii="Arial Narrow" w:hAnsi="Arial Narrow" w:cs="Tahoma"/>
          <w:b/>
          <w:bCs/>
          <w:sz w:val="28"/>
          <w:szCs w:val="30"/>
        </w:rPr>
        <w:t>%</w:t>
      </w:r>
    </w:p>
    <w:p w:rsidR="00214FDD" w:rsidRPr="00651799" w:rsidRDefault="00214FDD" w:rsidP="00214FDD">
      <w:pPr>
        <w:jc w:val="both"/>
        <w:rPr>
          <w:rFonts w:ascii="Arial Narrow" w:hAnsi="Arial Narrow" w:cs="Tahoma"/>
          <w:sz w:val="22"/>
        </w:rPr>
      </w:pPr>
    </w:p>
    <w:p w:rsidR="00090207" w:rsidRPr="00651799" w:rsidRDefault="00090207" w:rsidP="00090207">
      <w:pPr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Working day-adjusted industrial production in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compared to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2021, increased by </w:t>
      </w:r>
      <w:r w:rsidRPr="00651799">
        <w:rPr>
          <w:rFonts w:ascii="Arial Narrow" w:hAnsi="Arial Narrow" w:cs="Tahoma"/>
          <w:sz w:val="22"/>
        </w:rPr>
        <w:t>1.6</w:t>
      </w:r>
      <w:r w:rsidRPr="00651799">
        <w:rPr>
          <w:rFonts w:ascii="Arial Narrow" w:hAnsi="Arial Narrow" w:cs="Tahoma"/>
          <w:sz w:val="22"/>
        </w:rPr>
        <w:t>%.</w:t>
      </w:r>
    </w:p>
    <w:p w:rsidR="00090207" w:rsidRPr="00651799" w:rsidRDefault="00090207" w:rsidP="00090207">
      <w:pPr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Seasonally adjusted industrial production in Republika Srpska in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compared to </w:t>
      </w:r>
      <w:r w:rsidRPr="00651799">
        <w:rPr>
          <w:rFonts w:ascii="Arial Narrow" w:hAnsi="Arial Narrow" w:cs="Tahoma"/>
          <w:sz w:val="22"/>
        </w:rPr>
        <w:t>May</w:t>
      </w:r>
      <w:r w:rsidRPr="00651799">
        <w:rPr>
          <w:rFonts w:ascii="Arial Narrow" w:hAnsi="Arial Narrow" w:cs="Tahoma"/>
          <w:sz w:val="22"/>
        </w:rPr>
        <w:t xml:space="preserve"> 2022, decreased by </w:t>
      </w:r>
      <w:r w:rsidRPr="00651799">
        <w:rPr>
          <w:rFonts w:ascii="Arial Narrow" w:hAnsi="Arial Narrow" w:cs="Tahoma"/>
          <w:sz w:val="22"/>
        </w:rPr>
        <w:t>3.0</w:t>
      </w:r>
      <w:r w:rsidRPr="00651799">
        <w:rPr>
          <w:rFonts w:ascii="Arial Narrow" w:hAnsi="Arial Narrow" w:cs="Tahoma"/>
          <w:sz w:val="22"/>
        </w:rPr>
        <w:t>%.</w:t>
      </w:r>
    </w:p>
    <w:p w:rsidR="00090207" w:rsidRPr="00651799" w:rsidRDefault="00090207" w:rsidP="00A4644E">
      <w:pPr>
        <w:jc w:val="both"/>
        <w:rPr>
          <w:rFonts w:ascii="Arial Narrow" w:hAnsi="Arial Narrow" w:cs="Tahoma"/>
          <w:sz w:val="22"/>
        </w:rPr>
      </w:pPr>
    </w:p>
    <w:p w:rsidR="00090207" w:rsidRPr="00651799" w:rsidRDefault="00090207" w:rsidP="00090207">
      <w:pPr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Industrial production in Republika Srpska in the period January –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compared to the same period of 2021,</w:t>
      </w:r>
      <w:r w:rsidRPr="00651799">
        <w:rPr>
          <w:rFonts w:ascii="Arial Narrow" w:hAnsi="Arial Narrow" w:cs="Tahoma"/>
          <w:sz w:val="22"/>
        </w:rPr>
        <w:t xml:space="preserve"> increased by 3.0</w:t>
      </w:r>
      <w:r w:rsidRPr="00651799">
        <w:rPr>
          <w:rFonts w:ascii="Arial Narrow" w:hAnsi="Arial Narrow" w:cs="Tahoma"/>
          <w:sz w:val="22"/>
        </w:rPr>
        <w:t xml:space="preserve">%. During the same period, in the section </w:t>
      </w:r>
      <w:r w:rsidRPr="00651799">
        <w:rPr>
          <w:rFonts w:ascii="Arial Narrow" w:hAnsi="Arial Narrow" w:cs="Tahoma"/>
          <w:i/>
          <w:sz w:val="22"/>
        </w:rPr>
        <w:t>Mining and quarrying</w:t>
      </w:r>
      <w:r w:rsidRPr="00651799">
        <w:rPr>
          <w:rFonts w:ascii="Arial Narrow" w:hAnsi="Arial Narrow" w:cs="Tahoma"/>
          <w:sz w:val="22"/>
        </w:rPr>
        <w:t xml:space="preserve"> an increase by </w:t>
      </w:r>
      <w:r w:rsidRPr="00651799">
        <w:rPr>
          <w:rFonts w:ascii="Arial Narrow" w:hAnsi="Arial Narrow" w:cs="Tahoma"/>
          <w:sz w:val="22"/>
        </w:rPr>
        <w:t>12.3</w:t>
      </w:r>
      <w:r w:rsidRPr="00651799">
        <w:rPr>
          <w:rFonts w:ascii="Arial Narrow" w:hAnsi="Arial Narrow" w:cs="Tahoma"/>
          <w:sz w:val="22"/>
        </w:rPr>
        <w:t xml:space="preserve">% was recorded and in the section </w:t>
      </w:r>
      <w:r w:rsidRPr="00651799">
        <w:rPr>
          <w:rFonts w:ascii="Arial Narrow" w:hAnsi="Arial Narrow" w:cs="Tahoma"/>
          <w:i/>
          <w:sz w:val="22"/>
        </w:rPr>
        <w:t>Manufacturing</w:t>
      </w:r>
      <w:r w:rsidRPr="00651799">
        <w:rPr>
          <w:rFonts w:ascii="Arial Narrow" w:hAnsi="Arial Narrow" w:cs="Tahoma"/>
          <w:sz w:val="22"/>
        </w:rPr>
        <w:t xml:space="preserve"> an increase by </w:t>
      </w:r>
      <w:r w:rsidRPr="00651799">
        <w:rPr>
          <w:rFonts w:ascii="Arial Narrow" w:hAnsi="Arial Narrow" w:cs="Tahoma"/>
          <w:sz w:val="22"/>
        </w:rPr>
        <w:t>4.3</w:t>
      </w:r>
      <w:r w:rsidRPr="00651799">
        <w:rPr>
          <w:rFonts w:ascii="Arial Narrow" w:hAnsi="Arial Narrow" w:cs="Tahoma"/>
          <w:sz w:val="22"/>
        </w:rPr>
        <w:t xml:space="preserve">%, while in the section </w:t>
      </w:r>
      <w:r w:rsidRPr="00651799">
        <w:rPr>
          <w:rFonts w:ascii="Arial Narrow" w:hAnsi="Arial Narrow" w:cs="Tahoma"/>
          <w:i/>
          <w:sz w:val="22"/>
        </w:rPr>
        <w:t>Electricity, gas, steam and air-conditioning supply</w:t>
      </w:r>
      <w:r w:rsidRPr="00651799">
        <w:rPr>
          <w:rFonts w:ascii="Arial Narrow" w:hAnsi="Arial Narrow" w:cs="Tahoma"/>
          <w:sz w:val="22"/>
        </w:rPr>
        <w:t xml:space="preserve"> a decrease by </w:t>
      </w:r>
      <w:r w:rsidRPr="00651799">
        <w:rPr>
          <w:rFonts w:ascii="Arial Narrow" w:hAnsi="Arial Narrow" w:cs="Tahoma"/>
          <w:sz w:val="22"/>
        </w:rPr>
        <w:t>2.5</w:t>
      </w:r>
      <w:r w:rsidRPr="00651799">
        <w:rPr>
          <w:rFonts w:ascii="Arial Narrow" w:hAnsi="Arial Narrow" w:cs="Tahoma"/>
          <w:sz w:val="22"/>
        </w:rPr>
        <w:t>% was recorded.</w:t>
      </w:r>
    </w:p>
    <w:p w:rsidR="00DF25CA" w:rsidRPr="00651799" w:rsidRDefault="00DF25CA" w:rsidP="00A4644E">
      <w:pPr>
        <w:jc w:val="both"/>
        <w:rPr>
          <w:rFonts w:ascii="Arial Narrow" w:hAnsi="Arial Narrow" w:cs="Tahoma"/>
          <w:sz w:val="22"/>
        </w:rPr>
      </w:pPr>
    </w:p>
    <w:p w:rsidR="0012404A" w:rsidRPr="00651799" w:rsidRDefault="0012404A" w:rsidP="009C3C6C">
      <w:pPr>
        <w:jc w:val="center"/>
        <w:rPr>
          <w:rFonts w:ascii="Tahoma" w:hAnsi="Tahoma" w:cs="Tahoma"/>
          <w:bCs/>
          <w:i/>
          <w:spacing w:val="-3"/>
          <w:sz w:val="16"/>
          <w:szCs w:val="16"/>
        </w:rPr>
      </w:pPr>
    </w:p>
    <w:p w:rsidR="00C411FF" w:rsidRPr="00651799" w:rsidRDefault="00FB4D98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651799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E777C3" wp14:editId="4DEA67AE">
                <wp:simplePos x="0" y="0"/>
                <wp:positionH relativeFrom="margin">
                  <wp:posOffset>3774643</wp:posOffset>
                </wp:positionH>
                <wp:positionV relativeFrom="paragraph">
                  <wp:posOffset>2575077</wp:posOffset>
                </wp:positionV>
                <wp:extent cx="914400" cy="27622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D98" w:rsidRDefault="00FB4D98" w:rsidP="00FB4D9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Trend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77C3" id="Text Box 27" o:spid="_x0000_s1030" type="#_x0000_t202" style="position:absolute;left:0;text-align:left;margin-left:297.2pt;margin-top:202.75pt;width:1in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" fillcolor="window" stroked="f" strokeweight=".5pt">
                <v:textbox>
                  <w:txbxContent>
                    <w:p w:rsidR="00FB4D98" w:rsidRDefault="00FB4D98" w:rsidP="00FB4D9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Trend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7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B7C9B7" wp14:editId="75C2222E">
                <wp:simplePos x="0" y="0"/>
                <wp:positionH relativeFrom="margin">
                  <wp:posOffset>2291994</wp:posOffset>
                </wp:positionH>
                <wp:positionV relativeFrom="paragraph">
                  <wp:posOffset>2569566</wp:posOffset>
                </wp:positionV>
                <wp:extent cx="1248354" cy="27622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4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4D98" w:rsidRDefault="00FB4D98" w:rsidP="00FB4D98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Seasonally adjusted indices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C9B7" id="Text Box 26" o:spid="_x0000_s1031" type="#_x0000_t202" style="position:absolute;left:0;text-align:left;margin-left:180.45pt;margin-top:202.35pt;width:98.3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" fillcolor="window" stroked="f" strokeweight=".5pt">
                <v:textbox>
                  <w:txbxContent>
                    <w:p w:rsidR="00FB4D98" w:rsidRDefault="00FB4D98" w:rsidP="00FB4D98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Seasonally adjusted indices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B68" w:rsidRPr="0065179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2742397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178.05pt;margin-top:215.95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  <w:r w:rsidR="00C411FF" w:rsidRPr="00651799">
        <w:rPr>
          <w:noProof/>
        </w:rPr>
        <w:drawing>
          <wp:inline distT="0" distB="0" distL="0" distR="0" wp14:anchorId="5E483B50" wp14:editId="14185F74">
            <wp:extent cx="6624955" cy="2967990"/>
            <wp:effectExtent l="0" t="0" r="4445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651799" w:rsidRDefault="00FB4D98" w:rsidP="00E15D41">
      <w:pPr>
        <w:jc w:val="center"/>
        <w:rPr>
          <w:rFonts w:ascii="Arial Narrow" w:hAnsi="Arial Narrow" w:cs="Tahoma"/>
          <w:sz w:val="16"/>
          <w:szCs w:val="16"/>
        </w:rPr>
      </w:pPr>
      <w:r w:rsidRPr="00651799">
        <w:rPr>
          <w:rFonts w:ascii="Arial Narrow" w:hAnsi="Arial Narrow" w:cs="Tahoma"/>
          <w:sz w:val="16"/>
          <w:szCs w:val="16"/>
        </w:rPr>
        <w:t>Graph</w:t>
      </w:r>
      <w:r w:rsidR="00E15D41" w:rsidRPr="00651799">
        <w:rPr>
          <w:rFonts w:ascii="Arial Narrow" w:hAnsi="Arial Narrow" w:cs="Tahoma"/>
          <w:sz w:val="16"/>
          <w:szCs w:val="16"/>
        </w:rPr>
        <w:t xml:space="preserve"> 3. </w:t>
      </w:r>
      <w:r w:rsidRPr="00651799">
        <w:rPr>
          <w:rFonts w:ascii="Arial Narrow" w:hAnsi="Arial Narrow" w:cs="Tahoma"/>
          <w:sz w:val="16"/>
          <w:szCs w:val="16"/>
        </w:rPr>
        <w:t>Indices of industrial production,</w:t>
      </w:r>
      <w:r w:rsidR="00C411FF" w:rsidRPr="00651799">
        <w:rPr>
          <w:rFonts w:ascii="Arial Narrow" w:hAnsi="Arial Narrow" w:cs="Tahoma"/>
          <w:sz w:val="16"/>
          <w:szCs w:val="16"/>
        </w:rPr>
        <w:t xml:space="preserve"> </w:t>
      </w:r>
      <w:r w:rsidRPr="00651799">
        <w:rPr>
          <w:rFonts w:ascii="Arial Narrow" w:hAnsi="Arial Narrow" w:cs="Tahoma"/>
          <w:sz w:val="16"/>
          <w:szCs w:val="16"/>
        </w:rPr>
        <w:t>June</w:t>
      </w:r>
      <w:r w:rsidR="00C411FF" w:rsidRPr="00651799">
        <w:rPr>
          <w:rFonts w:ascii="Arial Narrow" w:hAnsi="Arial Narrow" w:cs="Tahoma"/>
          <w:sz w:val="16"/>
          <w:szCs w:val="16"/>
        </w:rPr>
        <w:t xml:space="preserve"> 2018 – </w:t>
      </w:r>
      <w:r w:rsidRPr="00651799">
        <w:rPr>
          <w:rFonts w:ascii="Arial Narrow" w:hAnsi="Arial Narrow" w:cs="Tahoma"/>
          <w:sz w:val="16"/>
          <w:szCs w:val="16"/>
        </w:rPr>
        <w:t>June</w:t>
      </w:r>
      <w:r w:rsidR="00C411FF" w:rsidRPr="00651799">
        <w:rPr>
          <w:rFonts w:ascii="Arial Narrow" w:hAnsi="Arial Narrow" w:cs="Tahoma"/>
          <w:sz w:val="16"/>
          <w:szCs w:val="16"/>
        </w:rPr>
        <w:t xml:space="preserve"> </w:t>
      </w:r>
      <w:r w:rsidRPr="00651799">
        <w:rPr>
          <w:rFonts w:ascii="Arial Narrow" w:hAnsi="Arial Narrow" w:cs="Tahoma"/>
          <w:sz w:val="16"/>
          <w:szCs w:val="16"/>
        </w:rPr>
        <w:t>2022</w:t>
      </w:r>
      <w:r w:rsidR="00C411FF" w:rsidRPr="00651799">
        <w:rPr>
          <w:rFonts w:ascii="Arial Narrow" w:hAnsi="Arial Narrow" w:cs="Tahoma"/>
          <w:sz w:val="16"/>
          <w:szCs w:val="16"/>
        </w:rPr>
        <w:t xml:space="preserve"> (</w:t>
      </w:r>
      <w:r w:rsidR="00C411FF" w:rsidRPr="00651799">
        <w:rPr>
          <w:rFonts w:ascii="Arial Narrow" w:hAnsi="Arial Narrow" w:cs="Tahoma"/>
          <w:sz w:val="16"/>
          <w:szCs w:val="16"/>
        </w:rPr>
        <w:sym w:font="Symbol" w:char="F0C6"/>
      </w:r>
      <w:r w:rsidR="00C411FF" w:rsidRPr="00651799">
        <w:rPr>
          <w:rFonts w:ascii="Arial Narrow" w:hAnsi="Arial Narrow" w:cs="Tahoma"/>
          <w:sz w:val="16"/>
          <w:szCs w:val="16"/>
        </w:rPr>
        <w:t>2015=100)</w:t>
      </w:r>
    </w:p>
    <w:p w:rsidR="00C520F2" w:rsidRPr="00651799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651799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</w:p>
    <w:p w:rsidR="00A22D9B" w:rsidRPr="00651799" w:rsidRDefault="00BC4E8F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</w:rPr>
      </w:pPr>
      <w:r w:rsidRPr="00651799">
        <w:rPr>
          <w:rFonts w:ascii="Arial Narrow" w:hAnsi="Arial Narrow" w:cs="Tahoma"/>
          <w:b/>
          <w:sz w:val="28"/>
        </w:rPr>
        <w:t>Number of employees in industry (Jan</w:t>
      </w:r>
      <w:r w:rsidRPr="00651799">
        <w:rPr>
          <w:rFonts w:ascii="Arial Narrow" w:hAnsi="Arial Narrow" w:cs="Tahoma"/>
          <w:b/>
          <w:sz w:val="28"/>
        </w:rPr>
        <w:t xml:space="preserve">uary </w:t>
      </w:r>
      <w:r w:rsidR="00171E24" w:rsidRPr="00651799">
        <w:rPr>
          <w:rFonts w:ascii="Arial Narrow" w:hAnsi="Arial Narrow" w:cs="Tahoma"/>
          <w:b/>
          <w:sz w:val="28"/>
        </w:rPr>
        <w:t>-</w:t>
      </w:r>
      <w:r w:rsidRPr="00651799">
        <w:rPr>
          <w:rFonts w:ascii="Arial Narrow" w:hAnsi="Arial Narrow" w:cs="Tahoma"/>
          <w:b/>
          <w:sz w:val="28"/>
          <w:szCs w:val="30"/>
        </w:rPr>
        <w:t>June</w:t>
      </w:r>
      <w:r w:rsidR="00A22D9B" w:rsidRPr="00651799">
        <w:rPr>
          <w:rFonts w:ascii="Arial Narrow" w:hAnsi="Arial Narrow" w:cs="Tahoma"/>
          <w:b/>
          <w:sz w:val="28"/>
          <w:szCs w:val="30"/>
        </w:rPr>
        <w:t xml:space="preserve"> 2022</w:t>
      </w:r>
      <w:r w:rsidR="006E282D" w:rsidRPr="00651799">
        <w:rPr>
          <w:rFonts w:ascii="Arial Narrow" w:hAnsi="Arial Narrow" w:cs="Tahoma"/>
          <w:b/>
          <w:sz w:val="28"/>
          <w:szCs w:val="30"/>
        </w:rPr>
        <w:t>/</w:t>
      </w:r>
      <w:r w:rsidRPr="00651799">
        <w:rPr>
          <w:rFonts w:ascii="Arial Narrow" w:hAnsi="Arial Narrow" w:cs="Tahoma"/>
          <w:b/>
          <w:sz w:val="28"/>
        </w:rPr>
        <w:t>January</w:t>
      </w:r>
      <w:r w:rsidR="00171E24" w:rsidRPr="00651799">
        <w:rPr>
          <w:rFonts w:ascii="Arial Narrow" w:hAnsi="Arial Narrow" w:cs="Tahoma"/>
          <w:b/>
          <w:sz w:val="28"/>
        </w:rPr>
        <w:t>-</w:t>
      </w:r>
      <w:r w:rsidRPr="00651799">
        <w:rPr>
          <w:rFonts w:ascii="Arial Narrow" w:hAnsi="Arial Narrow" w:cs="Tahoma"/>
          <w:b/>
          <w:sz w:val="28"/>
          <w:szCs w:val="30"/>
        </w:rPr>
        <w:t>June</w:t>
      </w:r>
      <w:r w:rsidR="00A22D9B" w:rsidRPr="00651799">
        <w:rPr>
          <w:rFonts w:ascii="Arial Narrow" w:hAnsi="Arial Narrow" w:cs="Tahoma"/>
          <w:b/>
          <w:sz w:val="28"/>
          <w:szCs w:val="30"/>
        </w:rPr>
        <w:t xml:space="preserve"> </w:t>
      </w:r>
      <w:r w:rsidR="00A22D9B" w:rsidRPr="00651799">
        <w:rPr>
          <w:rFonts w:ascii="Arial Narrow" w:hAnsi="Arial Narrow" w:cs="Tahoma"/>
          <w:b/>
          <w:bCs/>
          <w:sz w:val="28"/>
          <w:szCs w:val="30"/>
        </w:rPr>
        <w:t>2021</w:t>
      </w:r>
      <w:r w:rsidR="00A22D9B" w:rsidRPr="00651799">
        <w:rPr>
          <w:rFonts w:ascii="Arial Narrow" w:hAnsi="Arial Narrow" w:cs="Tahoma"/>
          <w:b/>
          <w:sz w:val="28"/>
        </w:rPr>
        <w:t xml:space="preserve">) </w:t>
      </w:r>
      <w:r w:rsidRPr="00651799">
        <w:rPr>
          <w:rFonts w:ascii="Arial Narrow" w:hAnsi="Arial Narrow" w:cs="Tahoma"/>
          <w:b/>
          <w:sz w:val="28"/>
        </w:rPr>
        <w:t>increased by 1.</w:t>
      </w:r>
      <w:r w:rsidR="00171E24" w:rsidRPr="00651799">
        <w:rPr>
          <w:rFonts w:ascii="Arial Narrow" w:hAnsi="Arial Narrow" w:cs="Tahoma"/>
          <w:b/>
          <w:sz w:val="28"/>
        </w:rPr>
        <w:t>2</w:t>
      </w:r>
      <w:r w:rsidR="00A22D9B" w:rsidRPr="00651799">
        <w:rPr>
          <w:rFonts w:ascii="Arial Narrow" w:hAnsi="Arial Narrow" w:cs="Tahoma"/>
          <w:b/>
          <w:sz w:val="28"/>
        </w:rPr>
        <w:t>%</w:t>
      </w:r>
    </w:p>
    <w:p w:rsidR="0097485C" w:rsidRPr="00651799" w:rsidRDefault="0097485C" w:rsidP="0097485C">
      <w:pPr>
        <w:jc w:val="both"/>
        <w:rPr>
          <w:rFonts w:ascii="Arial Narrow" w:hAnsi="Arial Narrow" w:cs="Tahoma"/>
          <w:sz w:val="22"/>
        </w:rPr>
      </w:pPr>
    </w:p>
    <w:p w:rsidR="00D5598B" w:rsidRPr="00651799" w:rsidRDefault="00D5598B" w:rsidP="00D5598B">
      <w:pPr>
        <w:ind w:right="68"/>
        <w:jc w:val="both"/>
        <w:rPr>
          <w:rFonts w:ascii="Arial Narrow" w:hAnsi="Arial Narrow" w:cs="Tahoma"/>
          <w:bCs/>
          <w:sz w:val="22"/>
          <w:lang w:eastAsia="x-none"/>
        </w:rPr>
      </w:pPr>
      <w:r w:rsidRPr="00651799">
        <w:rPr>
          <w:rFonts w:ascii="Arial Narrow" w:hAnsi="Arial Narrow" w:cs="Tahoma"/>
          <w:bCs/>
          <w:sz w:val="22"/>
          <w:lang w:eastAsia="x-none"/>
        </w:rPr>
        <w:t xml:space="preserve">Number of employees in industry in </w:t>
      </w:r>
      <w:r w:rsidRPr="00651799">
        <w:rPr>
          <w:rFonts w:ascii="Arial Narrow" w:hAnsi="Arial Narrow" w:cs="Tahoma"/>
          <w:bCs/>
          <w:sz w:val="22"/>
          <w:lang w:eastAsia="x-none"/>
        </w:rPr>
        <w:t>June</w:t>
      </w:r>
      <w:r w:rsidRPr="00651799">
        <w:rPr>
          <w:rFonts w:ascii="Arial Narrow" w:hAnsi="Arial Narrow" w:cs="Tahoma"/>
          <w:bCs/>
          <w:sz w:val="22"/>
          <w:lang w:eastAsia="x-none"/>
        </w:rPr>
        <w:t xml:space="preserve"> 2022, compared to the </w:t>
      </w:r>
      <w:r w:rsidRPr="00651799">
        <w:rPr>
          <w:rFonts w:ascii="Arial Narrow" w:hAnsi="Arial Narrow" w:cs="Tahoma"/>
          <w:bCs/>
          <w:sz w:val="22"/>
          <w:lang w:eastAsia="x-none"/>
        </w:rPr>
        <w:t>2021 average, was 1.2</w:t>
      </w:r>
      <w:r w:rsidRPr="00651799">
        <w:rPr>
          <w:rFonts w:ascii="Arial Narrow" w:hAnsi="Arial Narrow" w:cs="Tahoma"/>
          <w:bCs/>
          <w:sz w:val="22"/>
          <w:lang w:eastAsia="x-none"/>
        </w:rPr>
        <w:t xml:space="preserve">% higher, while compared to the </w:t>
      </w:r>
      <w:r w:rsidRPr="00651799">
        <w:rPr>
          <w:rFonts w:ascii="Arial Narrow" w:hAnsi="Arial Narrow" w:cs="Tahoma"/>
          <w:bCs/>
          <w:sz w:val="22"/>
          <w:lang w:eastAsia="x-none"/>
        </w:rPr>
        <w:t>same month of the previous year</w:t>
      </w:r>
      <w:r w:rsidRPr="00651799">
        <w:rPr>
          <w:rFonts w:ascii="Arial Narrow" w:hAnsi="Arial Narrow" w:cs="Tahoma"/>
          <w:bCs/>
          <w:sz w:val="22"/>
          <w:lang w:eastAsia="x-none"/>
        </w:rPr>
        <w:t xml:space="preserve"> it was </w:t>
      </w:r>
      <w:r w:rsidRPr="00651799">
        <w:rPr>
          <w:rFonts w:ascii="Arial Narrow" w:hAnsi="Arial Narrow" w:cs="Tahoma"/>
          <w:bCs/>
          <w:sz w:val="22"/>
          <w:lang w:eastAsia="x-none"/>
        </w:rPr>
        <w:t>1.0</w:t>
      </w:r>
      <w:r w:rsidRPr="00651799">
        <w:rPr>
          <w:rFonts w:ascii="Arial Narrow" w:hAnsi="Arial Narrow" w:cs="Tahoma"/>
          <w:bCs/>
          <w:sz w:val="22"/>
          <w:lang w:eastAsia="x-none"/>
        </w:rPr>
        <w:t>% higher.</w:t>
      </w:r>
    </w:p>
    <w:p w:rsidR="00D5598B" w:rsidRPr="00651799" w:rsidRDefault="00D5598B" w:rsidP="00D5598B">
      <w:pPr>
        <w:ind w:right="68"/>
        <w:jc w:val="both"/>
        <w:rPr>
          <w:rFonts w:ascii="Arial Narrow" w:hAnsi="Arial Narrow" w:cs="Tahoma"/>
          <w:b/>
          <w:bCs/>
          <w:sz w:val="22"/>
          <w:lang w:eastAsia="x-none"/>
        </w:rPr>
      </w:pPr>
    </w:p>
    <w:p w:rsidR="00D5598B" w:rsidRPr="00651799" w:rsidRDefault="00D5598B" w:rsidP="00D5598B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b/>
          <w:sz w:val="22"/>
          <w:lang w:val="en-US"/>
        </w:rPr>
      </w:pPr>
      <w:r w:rsidRPr="00651799">
        <w:rPr>
          <w:rFonts w:ascii="Arial Narrow" w:hAnsi="Arial Narrow" w:cs="Tahoma"/>
          <w:sz w:val="22"/>
          <w:lang w:val="en-US"/>
        </w:rPr>
        <w:t xml:space="preserve">Number of employees in industry in the period January – </w:t>
      </w:r>
      <w:r w:rsidRPr="00651799">
        <w:rPr>
          <w:rFonts w:ascii="Arial Narrow" w:hAnsi="Arial Narrow" w:cs="Tahoma"/>
          <w:sz w:val="22"/>
          <w:lang w:val="en-US"/>
        </w:rPr>
        <w:t>June</w:t>
      </w:r>
      <w:r w:rsidRPr="00651799">
        <w:rPr>
          <w:rFonts w:ascii="Arial Narrow" w:hAnsi="Arial Narrow" w:cs="Tahoma"/>
          <w:sz w:val="22"/>
          <w:lang w:val="en-US"/>
        </w:rPr>
        <w:t xml:space="preserve"> 2022, compared to the same period of the previous year, was 1.2% higher.</w:t>
      </w:r>
    </w:p>
    <w:p w:rsidR="0097485C" w:rsidRPr="00651799" w:rsidRDefault="0097485C" w:rsidP="0097485C">
      <w:pPr>
        <w:jc w:val="both"/>
        <w:rPr>
          <w:rFonts w:ascii="Arial Narrow" w:hAnsi="Arial Narrow" w:cs="Tahoma"/>
          <w:sz w:val="22"/>
          <w:szCs w:val="22"/>
        </w:rPr>
      </w:pPr>
    </w:p>
    <w:p w:rsidR="0097485C" w:rsidRPr="00651799" w:rsidRDefault="0097485C" w:rsidP="006D1F0C">
      <w:pPr>
        <w:jc w:val="both"/>
        <w:rPr>
          <w:rFonts w:ascii="Arial Narrow" w:hAnsi="Arial Narrow" w:cs="Tahoma"/>
          <w:sz w:val="16"/>
          <w:szCs w:val="16"/>
        </w:rPr>
      </w:pPr>
    </w:p>
    <w:p w:rsidR="00D5598B" w:rsidRPr="00651799" w:rsidRDefault="00D5598B" w:rsidP="00D5598B">
      <w:pPr>
        <w:rPr>
          <w:rFonts w:ascii="Arial Narrow" w:hAnsi="Arial Narrow" w:cs="Tahoma"/>
          <w:b/>
          <w:sz w:val="30"/>
          <w:szCs w:val="30"/>
        </w:rPr>
      </w:pPr>
      <w:r w:rsidRPr="00651799">
        <w:rPr>
          <w:rFonts w:ascii="Arial Narrow" w:hAnsi="Arial Narrow" w:cs="Tahoma"/>
          <w:b/>
          <w:sz w:val="30"/>
          <w:szCs w:val="30"/>
        </w:rPr>
        <w:t xml:space="preserve">Record value of monthly exports recorded in </w:t>
      </w:r>
      <w:r w:rsidRPr="00651799">
        <w:rPr>
          <w:rFonts w:ascii="Arial Narrow" w:hAnsi="Arial Narrow" w:cs="Tahoma"/>
          <w:b/>
          <w:sz w:val="30"/>
          <w:szCs w:val="30"/>
        </w:rPr>
        <w:t>June</w:t>
      </w:r>
      <w:r w:rsidRPr="00651799">
        <w:rPr>
          <w:rFonts w:ascii="Arial Narrow" w:hAnsi="Arial Narrow" w:cs="Tahoma"/>
          <w:b/>
          <w:sz w:val="30"/>
          <w:szCs w:val="30"/>
        </w:rPr>
        <w:t xml:space="preserve"> 2022</w:t>
      </w:r>
    </w:p>
    <w:p w:rsidR="00D11151" w:rsidRPr="00651799" w:rsidRDefault="00D11151" w:rsidP="00B1451F">
      <w:pPr>
        <w:jc w:val="both"/>
        <w:rPr>
          <w:rFonts w:ascii="Arial Narrow" w:hAnsi="Arial Narrow" w:cs="Tahoma"/>
          <w:sz w:val="22"/>
        </w:rPr>
      </w:pPr>
    </w:p>
    <w:p w:rsidR="00E42BA4" w:rsidRPr="00651799" w:rsidRDefault="00E42BA4" w:rsidP="00D11151">
      <w:pPr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In </w:t>
      </w:r>
      <w:r w:rsidR="001E0B63"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the value of export was </w:t>
      </w:r>
      <w:r w:rsidR="001E0B63" w:rsidRPr="00651799">
        <w:rPr>
          <w:rFonts w:ascii="Arial Narrow" w:hAnsi="Arial Narrow" w:cs="Tahoma"/>
          <w:sz w:val="22"/>
        </w:rPr>
        <w:t>514</w:t>
      </w:r>
      <w:r w:rsidRPr="00651799">
        <w:rPr>
          <w:rFonts w:ascii="Arial Narrow" w:hAnsi="Arial Narrow" w:cs="Tahoma"/>
          <w:sz w:val="22"/>
        </w:rPr>
        <w:t xml:space="preserve"> million KM, which represented an increase by </w:t>
      </w:r>
      <w:r w:rsidR="001E0B63" w:rsidRPr="00651799">
        <w:rPr>
          <w:rFonts w:ascii="Arial Narrow" w:hAnsi="Arial Narrow" w:cs="Tahoma"/>
          <w:sz w:val="22"/>
        </w:rPr>
        <w:t>31.2</w:t>
      </w:r>
      <w:r w:rsidRPr="00651799">
        <w:rPr>
          <w:rFonts w:ascii="Arial Narrow" w:hAnsi="Arial Narrow" w:cs="Tahoma"/>
          <w:sz w:val="22"/>
        </w:rPr>
        <w:t xml:space="preserve">% compared to the same month of 2021, while the value of import was </w:t>
      </w:r>
      <w:r w:rsidR="001E0B63" w:rsidRPr="00651799">
        <w:rPr>
          <w:rFonts w:ascii="Arial Narrow" w:hAnsi="Arial Narrow" w:cs="Tahoma"/>
          <w:sz w:val="22"/>
        </w:rPr>
        <w:t>644</w:t>
      </w:r>
      <w:r w:rsidRPr="00651799">
        <w:rPr>
          <w:rFonts w:ascii="Arial Narrow" w:hAnsi="Arial Narrow" w:cs="Tahoma"/>
          <w:sz w:val="22"/>
        </w:rPr>
        <w:t xml:space="preserve"> million KM, which represented an increase by </w:t>
      </w:r>
      <w:r w:rsidR="001E0B63" w:rsidRPr="00651799">
        <w:rPr>
          <w:rFonts w:ascii="Arial Narrow" w:hAnsi="Arial Narrow" w:cs="Tahoma"/>
          <w:sz w:val="22"/>
        </w:rPr>
        <w:t>33.0</w:t>
      </w:r>
      <w:r w:rsidRPr="00651799">
        <w:rPr>
          <w:rFonts w:ascii="Arial Narrow" w:hAnsi="Arial Narrow" w:cs="Tahoma"/>
          <w:sz w:val="22"/>
        </w:rPr>
        <w:t xml:space="preserve">% compared to </w:t>
      </w:r>
      <w:r w:rsidR="001E0B63"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2021. The value of export of Republika Srpska in </w:t>
      </w:r>
      <w:r w:rsidR="001554E7"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 was the highest value recorded since export is observed by month</w:t>
      </w:r>
      <w:r w:rsidR="001E0B63" w:rsidRPr="00651799">
        <w:rPr>
          <w:rFonts w:ascii="Arial Narrow" w:hAnsi="Arial Narrow" w:cs="Tahoma"/>
          <w:sz w:val="22"/>
        </w:rPr>
        <w:t>.</w:t>
      </w:r>
    </w:p>
    <w:p w:rsidR="001E0B63" w:rsidRPr="00651799" w:rsidRDefault="001E0B63" w:rsidP="00D11151">
      <w:pPr>
        <w:jc w:val="both"/>
        <w:rPr>
          <w:rFonts w:ascii="Arial Narrow" w:hAnsi="Arial Narrow" w:cs="Tahoma"/>
          <w:sz w:val="22"/>
          <w:szCs w:val="22"/>
        </w:rPr>
      </w:pPr>
    </w:p>
    <w:p w:rsidR="001554E7" w:rsidRPr="00651799" w:rsidRDefault="001554E7" w:rsidP="001554E7">
      <w:pPr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In the period January –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the value of export was two billion and </w:t>
      </w:r>
      <w:r w:rsidRPr="00651799">
        <w:rPr>
          <w:rFonts w:ascii="Arial Narrow" w:hAnsi="Arial Narrow" w:cs="Tahoma"/>
          <w:sz w:val="22"/>
        </w:rPr>
        <w:t>762</w:t>
      </w:r>
      <w:r w:rsidRPr="00651799">
        <w:rPr>
          <w:rFonts w:ascii="Arial Narrow" w:hAnsi="Arial Narrow" w:cs="Tahoma"/>
          <w:sz w:val="22"/>
        </w:rPr>
        <w:t xml:space="preserve"> million KM, which</w:t>
      </w:r>
      <w:r w:rsidRPr="00651799">
        <w:rPr>
          <w:rFonts w:ascii="Arial Narrow" w:hAnsi="Arial Narrow" w:cs="Tahoma"/>
          <w:sz w:val="22"/>
        </w:rPr>
        <w:t xml:space="preserve"> represented an increase by 36.0</w:t>
      </w:r>
      <w:r w:rsidRPr="00651799">
        <w:rPr>
          <w:rFonts w:ascii="Arial Narrow" w:hAnsi="Arial Narrow" w:cs="Tahoma"/>
          <w:sz w:val="22"/>
        </w:rPr>
        <w:t xml:space="preserve">% compared to the period January-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2021, while the value of import was </w:t>
      </w:r>
      <w:r w:rsidRPr="00651799">
        <w:rPr>
          <w:rFonts w:ascii="Arial Narrow" w:hAnsi="Arial Narrow" w:cs="Tahoma"/>
          <w:sz w:val="22"/>
        </w:rPr>
        <w:t>three</w:t>
      </w:r>
      <w:r w:rsidRPr="00651799">
        <w:rPr>
          <w:rFonts w:ascii="Arial Narrow" w:hAnsi="Arial Narrow" w:cs="Tahoma"/>
          <w:sz w:val="22"/>
        </w:rPr>
        <w:t xml:space="preserve"> billion and </w:t>
      </w:r>
      <w:r w:rsidRPr="00651799">
        <w:rPr>
          <w:rFonts w:ascii="Arial Narrow" w:hAnsi="Arial Narrow" w:cs="Tahoma"/>
          <w:sz w:val="22"/>
        </w:rPr>
        <w:t>432</w:t>
      </w:r>
      <w:r w:rsidRPr="00651799">
        <w:rPr>
          <w:rFonts w:ascii="Arial Narrow" w:hAnsi="Arial Narrow" w:cs="Tahoma"/>
          <w:sz w:val="22"/>
        </w:rPr>
        <w:t xml:space="preserve"> million KM, which</w:t>
      </w:r>
      <w:r w:rsidRPr="00651799">
        <w:rPr>
          <w:rFonts w:ascii="Arial Narrow" w:hAnsi="Arial Narrow" w:cs="Tahoma"/>
          <w:sz w:val="22"/>
        </w:rPr>
        <w:t xml:space="preserve"> represented an increase by 35.6</w:t>
      </w:r>
      <w:r w:rsidRPr="00651799">
        <w:rPr>
          <w:rFonts w:ascii="Arial Narrow" w:hAnsi="Arial Narrow" w:cs="Tahoma"/>
          <w:sz w:val="22"/>
        </w:rPr>
        <w:t>% compared to the period January-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2021. The percentage of coverage of imp</w:t>
      </w:r>
      <w:r w:rsidRPr="00651799">
        <w:rPr>
          <w:rFonts w:ascii="Arial Narrow" w:hAnsi="Arial Narrow" w:cs="Tahoma"/>
          <w:sz w:val="22"/>
        </w:rPr>
        <w:t>ort with export amounted to 80.5</w:t>
      </w:r>
      <w:r w:rsidRPr="00651799">
        <w:rPr>
          <w:rFonts w:ascii="Arial Narrow" w:hAnsi="Arial Narrow" w:cs="Tahoma"/>
          <w:sz w:val="22"/>
        </w:rPr>
        <w:t>%.</w:t>
      </w:r>
    </w:p>
    <w:p w:rsidR="00D11151" w:rsidRPr="00651799" w:rsidRDefault="00D11151" w:rsidP="00B1451F">
      <w:pPr>
        <w:jc w:val="both"/>
        <w:rPr>
          <w:rFonts w:ascii="Arial Narrow" w:hAnsi="Arial Narrow" w:cs="Tahoma"/>
          <w:sz w:val="22"/>
        </w:rPr>
      </w:pPr>
    </w:p>
    <w:p w:rsidR="004B6E0E" w:rsidRPr="00651799" w:rsidRDefault="004B6E0E" w:rsidP="004B6E0E">
      <w:pPr>
        <w:jc w:val="both"/>
        <w:rPr>
          <w:rFonts w:ascii="Arial Narrow" w:hAnsi="Arial Narrow" w:cs="Tahoma"/>
          <w:sz w:val="22"/>
        </w:rPr>
      </w:pPr>
      <w:r w:rsidRPr="00651799">
        <w:rPr>
          <w:rFonts w:ascii="Arial Narrow" w:hAnsi="Arial Narrow" w:cs="Tahoma"/>
          <w:sz w:val="22"/>
        </w:rPr>
        <w:t xml:space="preserve">In terms of the geographical distribution of external trade of Republika Srpska, in the period January –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the highest value of export was that of export to Serbia, with </w:t>
      </w:r>
      <w:r w:rsidRPr="00651799">
        <w:rPr>
          <w:rFonts w:ascii="Arial Narrow" w:hAnsi="Arial Narrow" w:cs="Tahoma"/>
          <w:sz w:val="22"/>
        </w:rPr>
        <w:t>503</w:t>
      </w:r>
      <w:r w:rsidRPr="00651799">
        <w:rPr>
          <w:rFonts w:ascii="Arial Narrow" w:hAnsi="Arial Narrow" w:cs="Tahoma"/>
          <w:sz w:val="22"/>
        </w:rPr>
        <w:t xml:space="preserve"> million KM or </w:t>
      </w:r>
      <w:r w:rsidRPr="00651799">
        <w:rPr>
          <w:rFonts w:ascii="Arial Narrow" w:hAnsi="Arial Narrow" w:cs="Tahoma"/>
          <w:sz w:val="22"/>
        </w:rPr>
        <w:t>18.2</w:t>
      </w:r>
      <w:r w:rsidRPr="00651799">
        <w:rPr>
          <w:rFonts w:ascii="Arial Narrow" w:hAnsi="Arial Narrow" w:cs="Tahoma"/>
          <w:sz w:val="22"/>
        </w:rPr>
        <w:t xml:space="preserve">%, followed by Croatia, with </w:t>
      </w:r>
      <w:r w:rsidRPr="00651799">
        <w:rPr>
          <w:rFonts w:ascii="Arial Narrow" w:hAnsi="Arial Narrow" w:cs="Tahoma"/>
          <w:sz w:val="22"/>
        </w:rPr>
        <w:t>382 million KM or 13.8</w:t>
      </w:r>
      <w:r w:rsidRPr="00651799">
        <w:rPr>
          <w:rFonts w:ascii="Arial Narrow" w:hAnsi="Arial Narrow" w:cs="Tahoma"/>
          <w:sz w:val="22"/>
        </w:rPr>
        <w:t xml:space="preserve">% of the total realised export. During the same period, the highest value of import was that of import form Serbia, with </w:t>
      </w:r>
      <w:r w:rsidRPr="00651799">
        <w:rPr>
          <w:rFonts w:ascii="Arial Narrow" w:hAnsi="Arial Narrow" w:cs="Tahoma"/>
          <w:sz w:val="22"/>
        </w:rPr>
        <w:t>608 million KM or 17.7</w:t>
      </w:r>
      <w:r w:rsidRPr="00651799">
        <w:rPr>
          <w:rFonts w:ascii="Arial Narrow" w:hAnsi="Arial Narrow" w:cs="Tahoma"/>
          <w:sz w:val="22"/>
        </w:rPr>
        <w:t xml:space="preserve">%, followed by Italy, with </w:t>
      </w:r>
      <w:r w:rsidRPr="00651799">
        <w:rPr>
          <w:rFonts w:ascii="Arial Narrow" w:hAnsi="Arial Narrow" w:cs="Tahoma"/>
          <w:sz w:val="22"/>
        </w:rPr>
        <w:t>558 million KM or 16.3</w:t>
      </w:r>
      <w:r w:rsidRPr="00651799">
        <w:rPr>
          <w:rFonts w:ascii="Arial Narrow" w:hAnsi="Arial Narrow" w:cs="Tahoma"/>
          <w:sz w:val="22"/>
        </w:rPr>
        <w:t>% of the total realised import.</w:t>
      </w:r>
    </w:p>
    <w:p w:rsidR="00B1451F" w:rsidRPr="00651799" w:rsidRDefault="00B1451F" w:rsidP="00B1451F">
      <w:pPr>
        <w:jc w:val="both"/>
        <w:rPr>
          <w:rFonts w:ascii="Arial Narrow" w:hAnsi="Arial Narrow" w:cs="Tahoma"/>
          <w:sz w:val="22"/>
          <w:szCs w:val="22"/>
        </w:rPr>
      </w:pPr>
    </w:p>
    <w:p w:rsidR="00B1451F" w:rsidRPr="00651799" w:rsidRDefault="004B6E0E" w:rsidP="004B6E0E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</w:rPr>
      </w:pPr>
      <w:r w:rsidRPr="00651799">
        <w:rPr>
          <w:rFonts w:ascii="Arial Narrow" w:hAnsi="Arial Narrow" w:cs="Tahoma"/>
          <w:sz w:val="22"/>
        </w:rPr>
        <w:t xml:space="preserve">By group of products, in the period January - </w:t>
      </w:r>
      <w:r w:rsidRPr="00651799">
        <w:rPr>
          <w:rFonts w:ascii="Arial Narrow" w:hAnsi="Arial Narrow" w:cs="Tahoma"/>
          <w:sz w:val="22"/>
        </w:rPr>
        <w:t>June</w:t>
      </w:r>
      <w:r w:rsidRPr="00651799">
        <w:rPr>
          <w:rFonts w:ascii="Arial Narrow" w:hAnsi="Arial Narrow" w:cs="Tahoma"/>
          <w:sz w:val="22"/>
        </w:rPr>
        <w:t xml:space="preserve"> 2022, the highest share in export was that of electricity, with the total value of </w:t>
      </w:r>
      <w:r w:rsidRPr="00651799">
        <w:rPr>
          <w:rFonts w:ascii="Arial Narrow" w:hAnsi="Arial Narrow" w:cs="Tahoma"/>
          <w:sz w:val="22"/>
        </w:rPr>
        <w:t>312 million KM, which was 11.3</w:t>
      </w:r>
      <w:r w:rsidRPr="00651799">
        <w:rPr>
          <w:rFonts w:ascii="Arial Narrow" w:hAnsi="Arial Narrow" w:cs="Tahoma"/>
          <w:sz w:val="22"/>
        </w:rPr>
        <w:t xml:space="preserve">% of the total export, while the highest share in import was that of petroleum oils and oils obtained from bituminous minerals (other than crude), with the total value of </w:t>
      </w:r>
      <w:r w:rsidRPr="00651799">
        <w:rPr>
          <w:rFonts w:ascii="Arial Narrow" w:hAnsi="Arial Narrow" w:cs="Tahoma"/>
          <w:sz w:val="22"/>
        </w:rPr>
        <w:t>285</w:t>
      </w:r>
      <w:r w:rsidRPr="00651799">
        <w:rPr>
          <w:rFonts w:ascii="Arial Narrow" w:hAnsi="Arial Narrow" w:cs="Tahoma"/>
          <w:sz w:val="22"/>
        </w:rPr>
        <w:t xml:space="preserve"> million KM, which was </w:t>
      </w:r>
      <w:r w:rsidRPr="00651799">
        <w:rPr>
          <w:rFonts w:ascii="Arial Narrow" w:hAnsi="Arial Narrow" w:cs="Tahoma"/>
          <w:sz w:val="22"/>
        </w:rPr>
        <w:t>8.3</w:t>
      </w:r>
      <w:r w:rsidRPr="00651799">
        <w:rPr>
          <w:rFonts w:ascii="Arial Narrow" w:hAnsi="Arial Narrow" w:cs="Tahoma"/>
          <w:sz w:val="22"/>
        </w:rPr>
        <w:t>% of the total import</w:t>
      </w:r>
      <w:r w:rsidR="00B1451F" w:rsidRPr="00651799">
        <w:rPr>
          <w:rFonts w:ascii="Arial Narrow" w:hAnsi="Arial Narrow" w:cs="Tahoma"/>
          <w:sz w:val="22"/>
          <w:szCs w:val="22"/>
        </w:rPr>
        <w:t>.</w:t>
      </w:r>
      <w:r w:rsidR="00B1451F" w:rsidRPr="00651799">
        <w:rPr>
          <w:rFonts w:ascii="Arial Narrow" w:eastAsia="+mn-ea" w:hAnsi="Arial Narrow" w:cs="Tahoma"/>
          <w:kern w:val="24"/>
          <w:sz w:val="22"/>
          <w:szCs w:val="22"/>
        </w:rPr>
        <w:t xml:space="preserve"> </w:t>
      </w:r>
    </w:p>
    <w:p w:rsidR="00754F0D" w:rsidRPr="00651799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</w:rPr>
      </w:pPr>
    </w:p>
    <w:p w:rsidR="003206D9" w:rsidRPr="00651799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FC731C" w:rsidRPr="00651799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D5665F" w:rsidRPr="00651799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651799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651799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651799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7C5D60" w:rsidRPr="00651799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F5D6D" w:rsidRPr="00651799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121F22" w:rsidRPr="00651799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623EAB" w:rsidRPr="00651799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  <w:r w:rsidRPr="00651799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DF3BD1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thous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 xml:space="preserve">. </w:t>
                            </w:r>
                            <w:r w:rsidR="008D67D5"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3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DF3BD1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thous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 xml:space="preserve">. </w:t>
                      </w:r>
                      <w:r w:rsidR="008D67D5"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651799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</w:rPr>
      </w:pPr>
    </w:p>
    <w:p w:rsidR="005A6276" w:rsidRPr="00651799" w:rsidRDefault="00DF3BD1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  <w:r w:rsidRPr="006517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9E90C" wp14:editId="55FE4FC5">
                <wp:simplePos x="0" y="0"/>
                <wp:positionH relativeFrom="margin">
                  <wp:posOffset>5142585</wp:posOffset>
                </wp:positionH>
                <wp:positionV relativeFrom="paragraph">
                  <wp:posOffset>1004545</wp:posOffset>
                </wp:positionV>
                <wp:extent cx="533400" cy="21038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3BD1" w:rsidRDefault="00DF3BD1" w:rsidP="00DF3BD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Ex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E90C" id="Text Box 30" o:spid="_x0000_s1034" type="#_x0000_t202" style="position:absolute;left:0;text-align:left;margin-left:404.95pt;margin-top:79.1pt;width:42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" fillcolor="window" stroked="f" strokeweight=".5pt">
                <v:textbox>
                  <w:txbxContent>
                    <w:p w:rsidR="00DF3BD1" w:rsidRDefault="00DF3BD1" w:rsidP="00DF3BD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Ex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7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9E90C" wp14:editId="55FE4FC5">
                <wp:simplePos x="0" y="0"/>
                <wp:positionH relativeFrom="margin">
                  <wp:posOffset>5135271</wp:posOffset>
                </wp:positionH>
                <wp:positionV relativeFrom="paragraph">
                  <wp:posOffset>813512</wp:posOffset>
                </wp:positionV>
                <wp:extent cx="533400" cy="21038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103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3BD1" w:rsidRDefault="00DF3BD1" w:rsidP="00DF3BD1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E90C" id="Text Box 29" o:spid="_x0000_s1035" type="#_x0000_t202" style="position:absolute;left:0;text-align:left;margin-left:404.35pt;margin-top:64.05pt;width:42pt;height:16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" fillcolor="window" stroked="f" strokeweight=".5pt">
                <v:textbox>
                  <w:txbxContent>
                    <w:p w:rsidR="00DF3BD1" w:rsidRDefault="00DF3BD1" w:rsidP="00DF3BD1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Import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60" w:rsidRPr="00651799">
        <w:rPr>
          <w:noProof/>
        </w:rPr>
        <w:drawing>
          <wp:inline distT="0" distB="0" distL="0" distR="0" wp14:anchorId="76E82BB6" wp14:editId="327B9DC0">
            <wp:extent cx="4664074" cy="2000250"/>
            <wp:effectExtent l="0" t="0" r="381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5D60" w:rsidRPr="00651799">
        <w:rPr>
          <w:rFonts w:ascii="Tahoma" w:hAnsi="Tahoma" w:cs="Tahoma"/>
          <w:iCs/>
          <w:noProof/>
          <w:sz w:val="18"/>
          <w:szCs w:val="18"/>
        </w:rPr>
        <w:t xml:space="preserve"> </w:t>
      </w:r>
    </w:p>
    <w:p w:rsidR="003A0D2D" w:rsidRPr="00651799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  <w:r w:rsidRPr="00651799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6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651799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7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DcqPxo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651799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651799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761CE" w:rsidRPr="00651799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</w:rPr>
      </w:pPr>
    </w:p>
    <w:p w:rsidR="0031264C" w:rsidRPr="00651799" w:rsidRDefault="00DF3BD1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</w:rPr>
      </w:pPr>
      <w:r w:rsidRPr="00651799">
        <w:rPr>
          <w:rFonts w:ascii="Arial Narrow" w:hAnsi="Arial Narrow" w:cs="Tahoma"/>
          <w:sz w:val="16"/>
          <w:szCs w:val="22"/>
        </w:rPr>
        <w:t>Graph</w:t>
      </w:r>
      <w:r w:rsidR="0031264C" w:rsidRPr="00651799">
        <w:rPr>
          <w:rFonts w:ascii="Arial Narrow" w:hAnsi="Arial Narrow" w:cs="Tahoma"/>
          <w:sz w:val="16"/>
          <w:szCs w:val="22"/>
        </w:rPr>
        <w:t xml:space="preserve"> 4. </w:t>
      </w:r>
      <w:r w:rsidRPr="00651799">
        <w:rPr>
          <w:rFonts w:ascii="Arial Narrow" w:hAnsi="Arial Narrow" w:cs="Tahoma"/>
          <w:iCs/>
          <w:sz w:val="16"/>
          <w:szCs w:val="22"/>
        </w:rPr>
        <w:t>Export and import by month</w:t>
      </w:r>
    </w:p>
    <w:p w:rsidR="005A6276" w:rsidRPr="0065179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FF0000"/>
          <w:sz w:val="18"/>
          <w:szCs w:val="18"/>
        </w:rPr>
      </w:pPr>
    </w:p>
    <w:p w:rsidR="005A6276" w:rsidRPr="0065179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51799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AE0432" w:rsidRPr="00651799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651799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82B55" w:rsidRPr="00651799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121F22" w:rsidRPr="00651799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AE0432" w:rsidRPr="00651799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</w:rPr>
      </w:pPr>
    </w:p>
    <w:p w:rsidR="006A1425" w:rsidRPr="00651799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651799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651799" w:rsidRDefault="00DF3BD1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651799">
              <w:rPr>
                <w:rFonts w:ascii="Arial Narrow" w:hAnsi="Arial Narrow" w:cs="Tahoma"/>
                <w:b/>
                <w:sz w:val="22"/>
              </w:rPr>
              <w:t>DATA PREPARED BY</w:t>
            </w:r>
            <w:r w:rsidR="009E2A9A" w:rsidRPr="00651799">
              <w:rPr>
                <w:rFonts w:ascii="Arial Narrow" w:hAnsi="Arial Narrow" w:cs="Tahoma"/>
                <w:b/>
                <w:sz w:val="22"/>
              </w:rPr>
              <w:t xml:space="preserve">: </w:t>
            </w:r>
          </w:p>
          <w:p w:rsidR="006806FE" w:rsidRPr="00651799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1799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1799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651799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65179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5179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5179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5179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  <w:p w:rsidR="009E2A9A" w:rsidRPr="00651799" w:rsidRDefault="009E2A9A" w:rsidP="009E2A9A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8F4ED5" w:rsidRPr="00651799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F3BD1" w:rsidRPr="00651799" w:rsidRDefault="00DF3BD1" w:rsidP="00DF3BD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b/>
                <w:sz w:val="18"/>
                <w:szCs w:val="18"/>
              </w:rPr>
              <w:t>Labour statistics</w:t>
            </w:r>
          </w:p>
          <w:p w:rsidR="00DF3BD1" w:rsidRPr="00651799" w:rsidRDefault="00DF3BD1" w:rsidP="00DF3BD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Biljana Glušac</w:t>
            </w:r>
          </w:p>
          <w:p w:rsidR="00E31BF3" w:rsidRPr="00651799" w:rsidRDefault="00651799" w:rsidP="00C531C9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4" w:history="1">
              <w:r w:rsidR="00C531C9" w:rsidRPr="0065179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biljana.glusac@rzs.rs.ba</w:t>
              </w:r>
            </w:hyperlink>
            <w:r w:rsidR="0066022A" w:rsidRPr="00651799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651799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F3BD1" w:rsidRPr="00651799" w:rsidRDefault="00DF3BD1" w:rsidP="00DF3BD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b/>
                <w:sz w:val="18"/>
                <w:szCs w:val="18"/>
              </w:rPr>
              <w:t>Prices statistics</w:t>
            </w:r>
          </w:p>
          <w:p w:rsidR="00DF3BD1" w:rsidRPr="00651799" w:rsidRDefault="00DF3BD1" w:rsidP="00DF3BD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Željka Drašković</w:t>
            </w:r>
          </w:p>
          <w:p w:rsidR="0066022A" w:rsidRPr="00651799" w:rsidRDefault="00651799" w:rsidP="00EA7213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hyperlink r:id="rId15" w:history="1">
              <w:r w:rsidR="00EA7213" w:rsidRPr="0065179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zeljka.draskovic@rzs.rs.ba</w:t>
              </w:r>
            </w:hyperlink>
          </w:p>
        </w:tc>
      </w:tr>
      <w:tr w:rsidR="006D1F0C" w:rsidRPr="00651799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F3BD1" w:rsidRPr="00651799" w:rsidRDefault="00DF3BD1" w:rsidP="00DF3BD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b/>
                <w:sz w:val="18"/>
                <w:szCs w:val="18"/>
              </w:rPr>
              <w:t>Industry and mining statistics</w:t>
            </w:r>
          </w:p>
          <w:p w:rsidR="00DF3BD1" w:rsidRPr="00651799" w:rsidRDefault="00DF3BD1" w:rsidP="00DF3BD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Biljana Jeličić</w:t>
            </w:r>
          </w:p>
          <w:p w:rsidR="000F5C7E" w:rsidRPr="00651799" w:rsidRDefault="00651799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6" w:history="1">
              <w:r w:rsidR="00A62CB9" w:rsidRPr="00651799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biljana.jelicic@rzs.rs.ba</w:t>
              </w:r>
            </w:hyperlink>
            <w:r w:rsidR="00FA0863" w:rsidRPr="00651799">
              <w:rPr>
                <w:rFonts w:ascii="Arial Narrow" w:hAnsi="Arial Narrow"/>
                <w:sz w:val="18"/>
                <w:szCs w:val="18"/>
              </w:rPr>
              <w:t>;</w:t>
            </w:r>
            <w:r w:rsidR="000F58AB" w:rsidRPr="0065179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94E88" w:rsidRPr="00651799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DF3BD1" w:rsidRPr="00651799" w:rsidRDefault="00DF3BD1" w:rsidP="00DF3BD1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b/>
                <w:sz w:val="18"/>
                <w:szCs w:val="18"/>
              </w:rPr>
              <w:t>External trade statistics</w:t>
            </w:r>
          </w:p>
          <w:p w:rsidR="00DF3BD1" w:rsidRPr="00651799" w:rsidRDefault="00DF3BD1" w:rsidP="00DF3BD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Sanja Stojčević Uvalić, MSc</w:t>
            </w:r>
          </w:p>
          <w:p w:rsidR="0066022A" w:rsidRPr="00651799" w:rsidRDefault="00651799" w:rsidP="009E2A9A">
            <w:pPr>
              <w:jc w:val="both"/>
              <w:rPr>
                <w:rStyle w:val="Hyperlink"/>
                <w:color w:val="auto"/>
              </w:rPr>
            </w:pPr>
            <w:hyperlink r:id="rId17" w:history="1">
              <w:r w:rsidR="007B6B0E" w:rsidRPr="00651799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65179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651799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66022A" w:rsidRPr="0065179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  <w:p w:rsidR="0066022A" w:rsidRPr="00651799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:rsidR="009E2A9A" w:rsidRPr="00651799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2D2D" w:rsidRPr="00651799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FC731C" w:rsidRPr="00651799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5179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5179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5179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5179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5179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5179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5179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6657A3" w:rsidRPr="00651799" w:rsidRDefault="006657A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AB0192" w:rsidRPr="00651799" w:rsidRDefault="00AB019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77E0E" w:rsidRPr="00651799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3619D4" w:rsidRPr="00651799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Pr="00651799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9E2A9A" w:rsidRPr="00651799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  <w:r w:rsidRPr="00651799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651799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651799" w:rsidRDefault="002B3E94" w:rsidP="00382EF3">
            <w:pPr>
              <w:jc w:val="both"/>
              <w:rPr>
                <w:rFonts w:ascii="Tahoma" w:hAnsi="Tahoma" w:cs="Tahoma"/>
                <w:sz w:val="16"/>
              </w:rPr>
            </w:pPr>
          </w:p>
        </w:tc>
      </w:tr>
      <w:tr w:rsidR="002B3E94" w:rsidRPr="00651799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651799" w:rsidRDefault="00DF3BD1" w:rsidP="00382EF3">
            <w:pPr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651799">
              <w:rPr>
                <w:rFonts w:ascii="Arial Narrow" w:hAnsi="Arial Narrow" w:cs="Tahoma"/>
                <w:sz w:val="18"/>
              </w:rPr>
              <w:t>The Release prepared by the Division for Publications, Public Relations and Statistical Data Confidentiality</w:t>
            </w:r>
          </w:p>
        </w:tc>
      </w:tr>
      <w:tr w:rsidR="002B3E94" w:rsidRPr="00651799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BD1" w:rsidRPr="00651799" w:rsidRDefault="00DF3BD1" w:rsidP="00DF3B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Darko Milunović, Acting Director, Editor in Chief</w:t>
            </w:r>
          </w:p>
          <w:p w:rsidR="00DF3BD1" w:rsidRPr="00651799" w:rsidRDefault="00DF3BD1" w:rsidP="00DF3B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Vladan Sibinović, Head of the Division</w:t>
            </w:r>
          </w:p>
          <w:p w:rsidR="00DF3BD1" w:rsidRPr="00651799" w:rsidRDefault="00DF3BD1" w:rsidP="00DF3B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Republika Srpska, Banja Luka, Veljka Mlađenovića 12d</w:t>
            </w:r>
          </w:p>
          <w:p w:rsidR="00DF3BD1" w:rsidRPr="00651799" w:rsidRDefault="00DF3BD1" w:rsidP="00DF3B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Published by the Republika Srpska Institute of Statistics</w:t>
            </w:r>
          </w:p>
          <w:p w:rsidR="00DF3BD1" w:rsidRPr="00651799" w:rsidRDefault="00DF3BD1" w:rsidP="00DF3B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The Release is published online, at: www.rzs.rs.ba</w:t>
            </w:r>
          </w:p>
          <w:p w:rsidR="002B3E94" w:rsidRPr="00651799" w:rsidRDefault="00DF3BD1" w:rsidP="00DF3B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651799">
              <w:rPr>
                <w:rFonts w:ascii="Arial Narrow" w:hAnsi="Arial Narrow" w:cs="Tahoma"/>
                <w:sz w:val="18"/>
                <w:szCs w:val="18"/>
              </w:rPr>
              <w:t>Telephone: +387 51 332 700; E-mail</w:t>
            </w:r>
            <w:r w:rsidR="002B3E94" w:rsidRPr="00651799"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hyperlink r:id="rId18" w:history="1">
              <w:r w:rsidR="002B3E94" w:rsidRPr="00651799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stat@rzs.rs.ba</w:t>
              </w:r>
            </w:hyperlink>
          </w:p>
          <w:p w:rsidR="002B3E94" w:rsidRPr="00651799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2B3E94" w:rsidRPr="00651799" w:rsidRDefault="00DF3BD1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</w:rPr>
            </w:pPr>
            <w:r w:rsidRPr="00651799">
              <w:rPr>
                <w:rFonts w:ascii="Arial Narrow" w:hAnsi="Arial Narrow" w:cs="Tahoma"/>
                <w:b/>
                <w:bCs/>
                <w:sz w:val="18"/>
              </w:rPr>
              <w:t>Data may be used provided the source is acknowledged</w:t>
            </w:r>
          </w:p>
        </w:tc>
      </w:tr>
    </w:tbl>
    <w:p w:rsidR="009E2A9A" w:rsidRPr="00651799" w:rsidRDefault="004F6953" w:rsidP="009E2A9A">
      <w:pPr>
        <w:rPr>
          <w:rFonts w:ascii="Tahoma" w:hAnsi="Tahoma" w:cs="Tahoma"/>
        </w:rPr>
      </w:pPr>
      <w:r w:rsidRPr="0065179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651799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5179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8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51799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651799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3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4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651799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FB4D98" w:rsidRDefault="00FB4D98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</w:rPr>
          </w:pPr>
          <w:r>
            <w:rPr>
              <w:rFonts w:ascii="Arial Narrow" w:hAnsi="Arial Narrow" w:cs="Tahoma"/>
              <w:b/>
              <w:color w:val="FFFFFF"/>
              <w:sz w:val="18"/>
              <w:szCs w:val="16"/>
            </w:rPr>
            <w:t>Republika Srpska Institute of Statistics</w:t>
          </w:r>
        </w:p>
        <w:p w:rsidR="00F257E5" w:rsidRPr="00FB4D98" w:rsidRDefault="00FB4D98" w:rsidP="00E34FA2">
          <w:pPr>
            <w:pStyle w:val="Head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 w:cs="Tahoma"/>
              <w:b/>
              <w:color w:val="FFFFFF"/>
              <w:sz w:val="22"/>
            </w:rPr>
            <w:t>PRESS RELEASE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B4D98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B6601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="00FB4D98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July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FB4D98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, No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</w:rPr>
            <w:t>229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7587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07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ED7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4E7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B63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1E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3186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E0E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CE4"/>
    <w:rsid w:val="004D4DD2"/>
    <w:rsid w:val="004D5060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B13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77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799"/>
    <w:rsid w:val="00651824"/>
    <w:rsid w:val="00651D4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137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145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0D2C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07F1A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8F2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180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D6A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03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3F9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55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263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4E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3A3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70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75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98B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BFB"/>
    <w:rsid w:val="00D80D6A"/>
    <w:rsid w:val="00D80E52"/>
    <w:rsid w:val="00D813C0"/>
    <w:rsid w:val="00D81596"/>
    <w:rsid w:val="00D81E93"/>
    <w:rsid w:val="00D81EC9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BD1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BA4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3E40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94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4D98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5873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3F7DB9E9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rajina\Statisticka%20saopstenja\Industrija\Indeksi%20industrijske%20proizvodnje\Podaci%20za%20grafikon%20za%20JUN%202022.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994</c:v>
                </c:pt>
                <c:pt idx="1">
                  <c:v>1019</c:v>
                </c:pt>
                <c:pt idx="2">
                  <c:v>1025</c:v>
                </c:pt>
                <c:pt idx="3">
                  <c:v>1026</c:v>
                </c:pt>
                <c:pt idx="4">
                  <c:v>1027</c:v>
                </c:pt>
                <c:pt idx="5">
                  <c:v>1030</c:v>
                </c:pt>
                <c:pt idx="6">
                  <c:v>1038</c:v>
                </c:pt>
                <c:pt idx="7">
                  <c:v>1042</c:v>
                </c:pt>
                <c:pt idx="8">
                  <c:v>1091</c:v>
                </c:pt>
                <c:pt idx="9">
                  <c:v>1091</c:v>
                </c:pt>
                <c:pt idx="10">
                  <c:v>1094</c:v>
                </c:pt>
                <c:pt idx="11">
                  <c:v>1105</c:v>
                </c:pt>
                <c:pt idx="12">
                  <c:v>1157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8792760"/>
        <c:axId val="98793144"/>
      </c:lineChart>
      <c:catAx>
        <c:axId val="9879276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98793144"/>
        <c:crosses val="autoZero"/>
        <c:auto val="1"/>
        <c:lblAlgn val="ctr"/>
        <c:lblOffset val="100"/>
        <c:noMultiLvlLbl val="0"/>
      </c:catAx>
      <c:valAx>
        <c:axId val="98793144"/>
        <c:scaling>
          <c:orientation val="minMax"/>
          <c:min val="700"/>
        </c:scaling>
        <c:delete val="0"/>
        <c:axPos val="l"/>
        <c:majorGridlines/>
        <c:minorGridlines/>
        <c:numFmt formatCode="#,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98792760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 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</c:v>
                </c:pt>
                <c:pt idx="1">
                  <c:v>-0.1</c:v>
                </c:pt>
                <c:pt idx="2">
                  <c:v>0.2</c:v>
                </c:pt>
                <c:pt idx="3">
                  <c:v>0.6</c:v>
                </c:pt>
                <c:pt idx="4">
                  <c:v>2.2999999999999998</c:v>
                </c:pt>
                <c:pt idx="5">
                  <c:v>1.2</c:v>
                </c:pt>
                <c:pt idx="6">
                  <c:v>0.5</c:v>
                </c:pt>
                <c:pt idx="7">
                  <c:v>0.8</c:v>
                </c:pt>
                <c:pt idx="8">
                  <c:v>1.3</c:v>
                </c:pt>
                <c:pt idx="9">
                  <c:v>2.6</c:v>
                </c:pt>
                <c:pt idx="10">
                  <c:v>1.6</c:v>
                </c:pt>
                <c:pt idx="11">
                  <c:v>1.5</c:v>
                </c:pt>
                <c:pt idx="1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 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1.4</c:v>
                </c:pt>
                <c:pt idx="1">
                  <c:v>1.7</c:v>
                </c:pt>
                <c:pt idx="2">
                  <c:v>2.1</c:v>
                </c:pt>
                <c:pt idx="3">
                  <c:v>2.6</c:v>
                </c:pt>
                <c:pt idx="4">
                  <c:v>4</c:v>
                </c:pt>
                <c:pt idx="5">
                  <c:v>5.2</c:v>
                </c:pt>
                <c:pt idx="6">
                  <c:v>5.9</c:v>
                </c:pt>
                <c:pt idx="7">
                  <c:v>6.2</c:v>
                </c:pt>
                <c:pt idx="8">
                  <c:v>7.2</c:v>
                </c:pt>
                <c:pt idx="9">
                  <c:v>9.1</c:v>
                </c:pt>
                <c:pt idx="10">
                  <c:v>11.7</c:v>
                </c:pt>
                <c:pt idx="11">
                  <c:v>13.2</c:v>
                </c:pt>
                <c:pt idx="12">
                  <c:v>14.3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 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1">
                    <c:v>2021</c:v>
                  </c:pt>
                  <c:pt idx="7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695320"/>
        <c:axId val="155303608"/>
      </c:lineChart>
      <c:catAx>
        <c:axId val="15569532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53036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53036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569532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>
              <a:solidFill>
                <a:srgbClr val="44546A"/>
              </a:solidFill>
            </a:ln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2018</c:v>
                  </c:pt>
                  <c:pt idx="7">
                    <c:v>2019</c:v>
                  </c:pt>
                  <c:pt idx="19">
                    <c:v>2020</c:v>
                  </c:pt>
                  <c:pt idx="31">
                    <c:v>2021</c:v>
                  </c:pt>
                  <c:pt idx="43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113.47188502601854</c:v>
                </c:pt>
                <c:pt idx="1">
                  <c:v>114.78933593912015</c:v>
                </c:pt>
                <c:pt idx="2">
                  <c:v>106.70931037664121</c:v>
                </c:pt>
                <c:pt idx="3">
                  <c:v>111.72689681284523</c:v>
                </c:pt>
                <c:pt idx="4">
                  <c:v>113.54451612169137</c:v>
                </c:pt>
                <c:pt idx="5">
                  <c:v>108.51556850053893</c:v>
                </c:pt>
                <c:pt idx="6">
                  <c:v>104.51017025723466</c:v>
                </c:pt>
                <c:pt idx="7">
                  <c:v>99.49726175815492</c:v>
                </c:pt>
                <c:pt idx="8">
                  <c:v>101.52771516921661</c:v>
                </c:pt>
                <c:pt idx="9">
                  <c:v>97.856907443730748</c:v>
                </c:pt>
                <c:pt idx="10">
                  <c:v>96.379642948086399</c:v>
                </c:pt>
                <c:pt idx="11">
                  <c:v>100.77142918045777</c:v>
                </c:pt>
                <c:pt idx="12">
                  <c:v>102.97667649688637</c:v>
                </c:pt>
                <c:pt idx="13">
                  <c:v>107.33070993345703</c:v>
                </c:pt>
                <c:pt idx="14">
                  <c:v>106.33832179826879</c:v>
                </c:pt>
                <c:pt idx="15">
                  <c:v>102.32795346650985</c:v>
                </c:pt>
                <c:pt idx="16">
                  <c:v>95.956453932747749</c:v>
                </c:pt>
                <c:pt idx="17">
                  <c:v>97.995014484837327</c:v>
                </c:pt>
                <c:pt idx="18">
                  <c:v>97.866249900807347</c:v>
                </c:pt>
                <c:pt idx="19">
                  <c:v>100.56580433288559</c:v>
                </c:pt>
                <c:pt idx="20">
                  <c:v>93.2731556699962</c:v>
                </c:pt>
                <c:pt idx="21">
                  <c:v>92.912547896566537</c:v>
                </c:pt>
                <c:pt idx="22">
                  <c:v>87.255625923728275</c:v>
                </c:pt>
                <c:pt idx="23">
                  <c:v>87.494742283297157</c:v>
                </c:pt>
                <c:pt idx="24">
                  <c:v>88.009748597364222</c:v>
                </c:pt>
                <c:pt idx="25">
                  <c:v>93.524771606089402</c:v>
                </c:pt>
                <c:pt idx="26">
                  <c:v>95.374595624464689</c:v>
                </c:pt>
                <c:pt idx="27">
                  <c:v>93.866608227413039</c:v>
                </c:pt>
                <c:pt idx="28">
                  <c:v>95.684341872603184</c:v>
                </c:pt>
                <c:pt idx="29">
                  <c:v>96.508805037816856</c:v>
                </c:pt>
                <c:pt idx="30">
                  <c:v>100.57729372829945</c:v>
                </c:pt>
                <c:pt idx="31">
                  <c:v>102.22908131658016</c:v>
                </c:pt>
                <c:pt idx="32">
                  <c:v>107.13578505858753</c:v>
                </c:pt>
                <c:pt idx="33">
                  <c:v>104.01646277914941</c:v>
                </c:pt>
                <c:pt idx="34">
                  <c:v>104.02239592319839</c:v>
                </c:pt>
                <c:pt idx="35">
                  <c:v>101.44292006097231</c:v>
                </c:pt>
                <c:pt idx="36">
                  <c:v>104.09607317413038</c:v>
                </c:pt>
                <c:pt idx="37">
                  <c:v>99.859424652580813</c:v>
                </c:pt>
                <c:pt idx="38">
                  <c:v>100.73978410449919</c:v>
                </c:pt>
                <c:pt idx="39">
                  <c:v>99.318988574597313</c:v>
                </c:pt>
                <c:pt idx="40">
                  <c:v>100.5437300427331</c:v>
                </c:pt>
                <c:pt idx="41">
                  <c:v>105.89856408437268</c:v>
                </c:pt>
                <c:pt idx="42">
                  <c:v>107.07213430501422</c:v>
                </c:pt>
                <c:pt idx="43">
                  <c:v>105.05923242419661</c:v>
                </c:pt>
                <c:pt idx="44">
                  <c:v>105.99001080121911</c:v>
                </c:pt>
                <c:pt idx="45">
                  <c:v>111.3925135696615</c:v>
                </c:pt>
                <c:pt idx="46">
                  <c:v>113.65093892665362</c:v>
                </c:pt>
                <c:pt idx="47">
                  <c:v>111.04782942811747</c:v>
                </c:pt>
                <c:pt idx="48">
                  <c:v>107.69134194226552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07-461E-8C8E-923EAF1CFB7D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2018</c:v>
                  </c:pt>
                  <c:pt idx="7">
                    <c:v>2019</c:v>
                  </c:pt>
                  <c:pt idx="19">
                    <c:v>2020</c:v>
                  </c:pt>
                  <c:pt idx="31">
                    <c:v>2021</c:v>
                  </c:pt>
                  <c:pt idx="43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115.82860755563752</c:v>
                </c:pt>
                <c:pt idx="1">
                  <c:v>112.69677975540976</c:v>
                </c:pt>
                <c:pt idx="2">
                  <c:v>110.63386978981165</c:v>
                </c:pt>
                <c:pt idx="3">
                  <c:v>110.85912579747655</c:v>
                </c:pt>
                <c:pt idx="4">
                  <c:v>110.95665037847209</c:v>
                </c:pt>
                <c:pt idx="5">
                  <c:v>108.32951014679166</c:v>
                </c:pt>
                <c:pt idx="6">
                  <c:v>104.50237524556248</c:v>
                </c:pt>
                <c:pt idx="7">
                  <c:v>101.66324920962752</c:v>
                </c:pt>
                <c:pt idx="8">
                  <c:v>100.1562047044918</c:v>
                </c:pt>
                <c:pt idx="9">
                  <c:v>98.774536095908473</c:v>
                </c:pt>
                <c:pt idx="10">
                  <c:v>98.534665141880851</c:v>
                </c:pt>
                <c:pt idx="11">
                  <c:v>100.47045827664708</c:v>
                </c:pt>
                <c:pt idx="12">
                  <c:v>103.24626851765818</c:v>
                </c:pt>
                <c:pt idx="13">
                  <c:v>105.22804270530261</c:v>
                </c:pt>
                <c:pt idx="14">
                  <c:v>104.76102478138388</c:v>
                </c:pt>
                <c:pt idx="15">
                  <c:v>101.69419001357885</c:v>
                </c:pt>
                <c:pt idx="16">
                  <c:v>98.70868880537445</c:v>
                </c:pt>
                <c:pt idx="17">
                  <c:v>97.865279384731693</c:v>
                </c:pt>
                <c:pt idx="18">
                  <c:v>98.244851741308253</c:v>
                </c:pt>
                <c:pt idx="19">
                  <c:v>97.470705629400655</c:v>
                </c:pt>
                <c:pt idx="20">
                  <c:v>94.835617803455435</c:v>
                </c:pt>
                <c:pt idx="21">
                  <c:v>91.756741548391872</c:v>
                </c:pt>
                <c:pt idx="22">
                  <c:v>89.241143277473171</c:v>
                </c:pt>
                <c:pt idx="23">
                  <c:v>88.324102413421471</c:v>
                </c:pt>
                <c:pt idx="24">
                  <c:v>89.678551576173874</c:v>
                </c:pt>
                <c:pt idx="25">
                  <c:v>92.347930239353317</c:v>
                </c:pt>
                <c:pt idx="26">
                  <c:v>94.196337105358239</c:v>
                </c:pt>
                <c:pt idx="27">
                  <c:v>94.82801323867595</c:v>
                </c:pt>
                <c:pt idx="28">
                  <c:v>95.743379834037952</c:v>
                </c:pt>
                <c:pt idx="29">
                  <c:v>97.541551860671831</c:v>
                </c:pt>
                <c:pt idx="30">
                  <c:v>100.03193956186983</c:v>
                </c:pt>
                <c:pt idx="31">
                  <c:v>102.74304200589862</c:v>
                </c:pt>
                <c:pt idx="32">
                  <c:v>104.54951804784979</c:v>
                </c:pt>
                <c:pt idx="33">
                  <c:v>104.50744178486171</c:v>
                </c:pt>
                <c:pt idx="34">
                  <c:v>103.49385188750654</c:v>
                </c:pt>
                <c:pt idx="35">
                  <c:v>102.80702217823077</c:v>
                </c:pt>
                <c:pt idx="36">
                  <c:v>102.24370659622103</c:v>
                </c:pt>
                <c:pt idx="37">
                  <c:v>101.22629234862664</c:v>
                </c:pt>
                <c:pt idx="38">
                  <c:v>100.44315423122998</c:v>
                </c:pt>
                <c:pt idx="39">
                  <c:v>100.45589167841162</c:v>
                </c:pt>
                <c:pt idx="40">
                  <c:v>101.90925351759925</c:v>
                </c:pt>
                <c:pt idx="41">
                  <c:v>104.480557282836</c:v>
                </c:pt>
                <c:pt idx="42">
                  <c:v>105.91647806846971</c:v>
                </c:pt>
                <c:pt idx="43">
                  <c:v>106.15261489339711</c:v>
                </c:pt>
                <c:pt idx="44">
                  <c:v>107.49824568809174</c:v>
                </c:pt>
                <c:pt idx="45">
                  <c:v>110.18704039501502</c:v>
                </c:pt>
                <c:pt idx="46">
                  <c:v>111.65977784299932</c:v>
                </c:pt>
                <c:pt idx="47">
                  <c:v>110.66281963430929</c:v>
                </c:pt>
                <c:pt idx="48">
                  <c:v>109.08915006511562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07-461E-8C8E-923EAF1CF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367056"/>
        <c:axId val="155367440"/>
      </c:lineChart>
      <c:catAx>
        <c:axId val="155367056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txPr>
          <a:bodyPr/>
          <a:lstStyle/>
          <a:p>
            <a:pPr>
              <a:defRPr sz="750"/>
            </a:pPr>
            <a:endParaRPr lang="en-US"/>
          </a:p>
        </c:txPr>
        <c:crossAx val="155367440"/>
        <c:crosses val="autoZero"/>
        <c:auto val="1"/>
        <c:lblAlgn val="ctr"/>
        <c:lblOffset val="100"/>
        <c:noMultiLvlLbl val="0"/>
      </c:catAx>
      <c:valAx>
        <c:axId val="15536744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9525">
            <a:solidFill>
              <a:sysClr val="window" lastClr="FFFFFF">
                <a:lumMod val="65000"/>
              </a:sysClr>
            </a:solidFill>
          </a:ln>
        </c:spPr>
        <c:crossAx val="155367056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'Jun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'Jun 2022'!$B$1:$N$1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'Jun 2022'!$B$2:$N$2</c:f>
              <c:numCache>
                <c:formatCode>0</c:formatCode>
                <c:ptCount val="13"/>
                <c:pt idx="0">
                  <c:v>484230</c:v>
                </c:pt>
                <c:pt idx="1">
                  <c:v>499695</c:v>
                </c:pt>
                <c:pt idx="2">
                  <c:v>426113</c:v>
                </c:pt>
                <c:pt idx="3">
                  <c:v>528067</c:v>
                </c:pt>
                <c:pt idx="4">
                  <c:v>528062</c:v>
                </c:pt>
                <c:pt idx="5">
                  <c:v>543193</c:v>
                </c:pt>
                <c:pt idx="6">
                  <c:v>523742</c:v>
                </c:pt>
                <c:pt idx="7">
                  <c:v>393727</c:v>
                </c:pt>
                <c:pt idx="8">
                  <c:v>519057</c:v>
                </c:pt>
                <c:pt idx="9">
                  <c:v>667445</c:v>
                </c:pt>
                <c:pt idx="10">
                  <c:v>607681</c:v>
                </c:pt>
                <c:pt idx="11">
                  <c:v>600045</c:v>
                </c:pt>
                <c:pt idx="12">
                  <c:v>643951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'Jun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'Jun 2022'!$B$1:$N$1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'Jun 2022'!$B$3:$N$3</c:f>
              <c:numCache>
                <c:formatCode>0</c:formatCode>
                <c:ptCount val="13"/>
                <c:pt idx="0">
                  <c:v>391886</c:v>
                </c:pt>
                <c:pt idx="1">
                  <c:v>394360</c:v>
                </c:pt>
                <c:pt idx="2">
                  <c:v>326403</c:v>
                </c:pt>
                <c:pt idx="3">
                  <c:v>425424</c:v>
                </c:pt>
                <c:pt idx="4">
                  <c:v>401813</c:v>
                </c:pt>
                <c:pt idx="5">
                  <c:v>448585</c:v>
                </c:pt>
                <c:pt idx="6">
                  <c:v>399988</c:v>
                </c:pt>
                <c:pt idx="7">
                  <c:v>372945</c:v>
                </c:pt>
                <c:pt idx="8">
                  <c:v>432056</c:v>
                </c:pt>
                <c:pt idx="9">
                  <c:v>478953</c:v>
                </c:pt>
                <c:pt idx="10">
                  <c:v>469090</c:v>
                </c:pt>
                <c:pt idx="11">
                  <c:v>495462</c:v>
                </c:pt>
                <c:pt idx="12">
                  <c:v>513972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385224"/>
        <c:axId val="155385616"/>
      </c:lineChart>
      <c:catAx>
        <c:axId val="15538522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5385616"/>
        <c:crosses val="autoZero"/>
        <c:auto val="1"/>
        <c:lblAlgn val="ctr"/>
        <c:lblOffset val="100"/>
        <c:noMultiLvlLbl val="0"/>
      </c:catAx>
      <c:valAx>
        <c:axId val="15538561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5385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EA01-66AC-46BB-A169-CED9F19A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5</Pages>
  <Words>1189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8156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Jelena Kadnic</cp:lastModifiedBy>
  <cp:revision>929</cp:revision>
  <cp:lastPrinted>2020-06-17T08:46:00Z</cp:lastPrinted>
  <dcterms:created xsi:type="dcterms:W3CDTF">2018-06-21T10:44:00Z</dcterms:created>
  <dcterms:modified xsi:type="dcterms:W3CDTF">2022-07-22T08:03:00Z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