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FA4BAE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A4BA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2367E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</w:t>
            </w:r>
            <w:r w:rsidR="00B2367E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Cyrl-BA"/>
              </w:rPr>
              <w:t>7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</w:t>
            </w:r>
            <w:r w:rsidR="001013F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Latn-BA"/>
              </w:rPr>
              <w:t>20</w:t>
            </w:r>
            <w:r w:rsidR="00FA4BAE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-1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FA4BAE">
        <w:trPr>
          <w:trHeight w:val="321"/>
          <w:jc w:val="center"/>
        </w:trPr>
        <w:tc>
          <w:tcPr>
            <w:tcW w:w="10319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FA4BAE">
        <w:trPr>
          <w:trHeight w:val="264"/>
          <w:jc w:val="center"/>
        </w:trPr>
        <w:tc>
          <w:tcPr>
            <w:tcW w:w="10319" w:type="dxa"/>
            <w:shd w:val="clear" w:color="auto" w:fill="336699"/>
          </w:tcPr>
          <w:p w:rsidR="00193339" w:rsidRPr="003B2D34" w:rsidRDefault="00B2367E" w:rsidP="00B2367E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Default="001858E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  <w:r>
        <w:rPr>
          <w:rFonts w:ascii="Arial Narrow" w:hAnsi="Arial Narrow" w:cs="Tahoma"/>
          <w:b/>
          <w:bCs/>
          <w:color w:val="003366"/>
          <w:sz w:val="18"/>
          <w:szCs w:val="18"/>
          <w:lang w:val="sr-Cyrl-BA"/>
        </w:rPr>
        <w:t>ИСПРАВЉЕНО САОПШТЕЊЕ</w:t>
      </w:r>
    </w:p>
    <w:p w:rsidR="00FA4BAE" w:rsidRPr="001D54B6" w:rsidRDefault="00FA4BAE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FA4BAE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6C1526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6C1526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14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  <w:r w:rsidR="00FA4B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*</w:t>
      </w:r>
    </w:p>
    <w:p w:rsidR="00E33D13" w:rsidRPr="004F48D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F48DD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4F48DD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4F48DD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F48DD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4F48DD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FB7481" w:rsidRPr="004F48DD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6C1526" w:rsidRPr="004F48DD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F48DD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F48DD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F48DD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4F48DD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4F48DD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4F48DD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FB7481" w:rsidRPr="004F48DD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6C1526" w:rsidRPr="004F48DD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4F48DD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F48D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F48DD">
        <w:rPr>
          <w:rFonts w:ascii="Tahoma" w:hAnsi="Tahoma" w:cs="Tahoma"/>
          <w:b/>
          <w:lang w:val="sr-Cyrl-CS"/>
        </w:rPr>
        <w:tab/>
      </w:r>
      <w:r w:rsidRPr="004F48DD">
        <w:rPr>
          <w:rFonts w:ascii="Tahoma" w:hAnsi="Tahoma" w:cs="Tahoma"/>
          <w:b/>
          <w:lang w:val="sr-Cyrl-CS"/>
        </w:rPr>
        <w:tab/>
      </w:r>
    </w:p>
    <w:p w:rsidR="00B82005" w:rsidRPr="004F48D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lang w:val="sr-Cyrl-BA"/>
        </w:rPr>
        <w:t>П</w:t>
      </w:r>
      <w:r w:rsidRPr="004F48DD">
        <w:rPr>
          <w:rFonts w:ascii="Arial Narrow" w:hAnsi="Arial Narrow" w:cs="Tahoma"/>
          <w:sz w:val="22"/>
          <w:lang w:val="sr-Cyrl-CS"/>
        </w:rPr>
        <w:t>росјечна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4F48D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F48DD">
        <w:rPr>
          <w:rFonts w:ascii="Arial Narrow" w:hAnsi="Arial Narrow" w:cs="Tahoma"/>
          <w:b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F48DD">
        <w:rPr>
          <w:rFonts w:ascii="Arial Narrow" w:hAnsi="Arial Narrow" w:cs="Tahoma"/>
          <w:sz w:val="22"/>
          <w:lang w:val="sr-Cyrl-BA"/>
        </w:rPr>
        <w:t>ла је</w:t>
      </w:r>
      <w:r w:rsidRPr="004F48D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4F48DD">
        <w:rPr>
          <w:rFonts w:ascii="Arial Narrow" w:hAnsi="Arial Narrow" w:cs="Tahoma"/>
          <w:sz w:val="22"/>
          <w:lang w:val="sr-Cyrl-CS"/>
        </w:rPr>
        <w:t>9</w:t>
      </w:r>
      <w:r w:rsidR="006C1526" w:rsidRPr="004F48DD">
        <w:rPr>
          <w:rFonts w:ascii="Arial Narrow" w:hAnsi="Arial Narrow" w:cs="Tahoma"/>
          <w:sz w:val="22"/>
          <w:lang w:val="sr-Cyrl-CS"/>
        </w:rPr>
        <w:t>14</w:t>
      </w:r>
      <w:r w:rsidRPr="004F48DD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4F48DD">
        <w:rPr>
          <w:rFonts w:ascii="Arial Narrow" w:hAnsi="Arial Narrow" w:cs="Tahoma"/>
          <w:sz w:val="22"/>
          <w:lang w:val="sr-Cyrl-BA"/>
        </w:rPr>
        <w:t>, док је п</w:t>
      </w:r>
      <w:r w:rsidR="002526F2" w:rsidRPr="004F48DD">
        <w:rPr>
          <w:rFonts w:ascii="Arial Narrow" w:hAnsi="Arial Narrow" w:cs="Tahoma"/>
          <w:sz w:val="22"/>
          <w:lang w:val="sr-Cyrl-CS"/>
        </w:rPr>
        <w:t>росјечна</w:t>
      </w:r>
      <w:r w:rsidR="002526F2"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4F48DD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4F48DD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4F48DD">
        <w:rPr>
          <w:rFonts w:ascii="Arial Narrow" w:hAnsi="Arial Narrow" w:cs="Tahoma"/>
          <w:sz w:val="22"/>
          <w:lang w:val="sr-Cyrl-CS"/>
        </w:rPr>
        <w:t>4</w:t>
      </w:r>
      <w:r w:rsidR="006C1526" w:rsidRPr="004F48DD">
        <w:rPr>
          <w:rFonts w:ascii="Arial Narrow" w:hAnsi="Arial Narrow" w:cs="Tahoma"/>
          <w:sz w:val="22"/>
          <w:lang w:val="sr-Cyrl-CS"/>
        </w:rPr>
        <w:t>2</w:t>
      </w:r>
      <w:r w:rsidR="00FB7481" w:rsidRPr="004F48DD">
        <w:rPr>
          <w:rFonts w:ascii="Arial Narrow" w:hAnsi="Arial Narrow" w:cs="Tahoma"/>
          <w:sz w:val="22"/>
          <w:lang w:val="sr-Cyrl-CS"/>
        </w:rPr>
        <w:t>1</w:t>
      </w:r>
      <w:r w:rsidR="00F0781C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КМ.</w:t>
      </w:r>
      <w:r w:rsidR="00B82005" w:rsidRPr="004F48DD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4F48D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544D17" w:rsidRPr="00544D17" w:rsidRDefault="00544D17" w:rsidP="00544D17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44D17">
        <w:rPr>
          <w:rFonts w:ascii="Arial Narrow" w:hAnsi="Arial Narrow" w:cs="Tahoma"/>
          <w:sz w:val="22"/>
          <w:lang w:val="sr-Cyrl-CS"/>
        </w:rPr>
        <w:t>Просјечна плата након опорезивања исплаћена у јануару 2020.</w:t>
      </w:r>
      <w:r w:rsidRPr="00544D17">
        <w:rPr>
          <w:rFonts w:ascii="Arial Narrow" w:hAnsi="Arial Narrow" w:cs="Tahoma"/>
          <w:sz w:val="22"/>
          <w:lang w:val="sr-Latn-BA"/>
        </w:rPr>
        <w:t xml:space="preserve"> </w:t>
      </w:r>
      <w:r w:rsidRPr="00544D17">
        <w:rPr>
          <w:rFonts w:ascii="Arial Narrow" w:hAnsi="Arial Narrow" w:cs="Tahoma"/>
          <w:sz w:val="22"/>
          <w:lang w:val="sr-Cyrl-BA"/>
        </w:rPr>
        <w:t>у односу на исти мјесец претходне године номинално је већа за 3,1%, а реално за 2,</w:t>
      </w:r>
      <w:r w:rsidRPr="00544D17">
        <w:rPr>
          <w:rFonts w:ascii="Arial Narrow" w:hAnsi="Arial Narrow" w:cs="Tahoma"/>
          <w:sz w:val="22"/>
          <w:lang w:val="sr-Latn-BA"/>
        </w:rPr>
        <w:t>5</w:t>
      </w:r>
      <w:r w:rsidRPr="00544D17">
        <w:rPr>
          <w:rFonts w:ascii="Arial Narrow" w:hAnsi="Arial Narrow" w:cs="Tahoma"/>
          <w:sz w:val="22"/>
          <w:lang w:val="sr-Cyrl-BA"/>
        </w:rPr>
        <w:t>%,</w:t>
      </w:r>
      <w:r w:rsidRPr="00544D17">
        <w:rPr>
          <w:rFonts w:ascii="Arial Narrow" w:hAnsi="Arial Narrow" w:cs="Tahoma"/>
          <w:sz w:val="22"/>
          <w:lang w:val="sr-Latn-BA"/>
        </w:rPr>
        <w:t xml:space="preserve"> </w:t>
      </w:r>
      <w:r w:rsidRPr="00544D17">
        <w:rPr>
          <w:rFonts w:ascii="Arial Narrow" w:hAnsi="Arial Narrow" w:cs="Tahoma"/>
          <w:sz w:val="22"/>
          <w:lang w:val="sr-Cyrl-BA"/>
        </w:rPr>
        <w:t>док је у односу на децембар 2019. номинално мања за 2,6%</w:t>
      </w:r>
      <w:r>
        <w:rPr>
          <w:rFonts w:ascii="Arial Narrow" w:hAnsi="Arial Narrow" w:cs="Tahoma"/>
          <w:sz w:val="22"/>
          <w:lang w:val="sr-Latn-BA"/>
        </w:rPr>
        <w:t>,</w:t>
      </w:r>
      <w:r w:rsidRPr="00544D17">
        <w:rPr>
          <w:rFonts w:ascii="Arial Narrow" w:hAnsi="Arial Narrow" w:cs="Tahoma"/>
          <w:sz w:val="22"/>
          <w:lang w:val="sr-Cyrl-BA"/>
        </w:rPr>
        <w:t xml:space="preserve"> а реално за 3,0%.</w:t>
      </w:r>
    </w:p>
    <w:p w:rsidR="003B028E" w:rsidRPr="004F48D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F48D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F48D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F48D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4F48DD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F48DD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F48DD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F48DD">
        <w:rPr>
          <w:rFonts w:ascii="Arial Narrow" w:hAnsi="Arial Narrow" w:cs="Tahoma"/>
          <w:sz w:val="22"/>
          <w:lang w:val="sr-Cyrl-CS"/>
        </w:rPr>
        <w:t>ла је</w:t>
      </w:r>
      <w:r w:rsidRPr="004F48DD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4F48DD">
        <w:rPr>
          <w:rFonts w:ascii="Arial Narrow" w:hAnsi="Arial Narrow" w:cs="Tahoma"/>
          <w:sz w:val="22"/>
          <w:lang w:val="sr-Cyrl-CS"/>
        </w:rPr>
        <w:t>4</w:t>
      </w:r>
      <w:r w:rsidR="00FB7481" w:rsidRPr="004F48DD">
        <w:rPr>
          <w:rFonts w:ascii="Arial Narrow" w:hAnsi="Arial Narrow" w:cs="Tahoma"/>
          <w:sz w:val="22"/>
          <w:lang w:val="sr-Cyrl-CS"/>
        </w:rPr>
        <w:t>3</w:t>
      </w:r>
      <w:r w:rsidR="006C1526" w:rsidRPr="004F48DD">
        <w:rPr>
          <w:rFonts w:ascii="Arial Narrow" w:hAnsi="Arial Narrow" w:cs="Tahoma"/>
          <w:sz w:val="22"/>
          <w:lang w:val="sr-Cyrl-CS"/>
        </w:rPr>
        <w:t>0</w:t>
      </w:r>
      <w:r w:rsidRPr="004F48DD">
        <w:rPr>
          <w:rFonts w:ascii="Arial Narrow" w:hAnsi="Arial Narrow" w:cs="Tahoma"/>
          <w:sz w:val="22"/>
          <w:lang w:val="sr-Cyrl-CS"/>
        </w:rPr>
        <w:t xml:space="preserve"> КМ</w:t>
      </w:r>
      <w:r w:rsidR="004F48DD">
        <w:rPr>
          <w:rFonts w:ascii="Arial Narrow" w:hAnsi="Arial Narrow" w:cs="Tahoma"/>
          <w:sz w:val="22"/>
          <w:lang w:val="sr-Cyrl-CS"/>
        </w:rPr>
        <w:t xml:space="preserve">, док је </w:t>
      </w:r>
      <w:r w:rsidRPr="004F48DD">
        <w:rPr>
          <w:rFonts w:ascii="Arial Narrow" w:hAnsi="Arial Narrow" w:cs="Tahoma"/>
          <w:sz w:val="22"/>
          <w:lang w:val="sr-Cyrl-CS"/>
        </w:rPr>
        <w:t xml:space="preserve">најнижа </w:t>
      </w:r>
      <w:r w:rsidR="00B2374C" w:rsidRPr="004F48DD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4F48DD">
        <w:rPr>
          <w:rFonts w:ascii="Arial Narrow" w:hAnsi="Arial Narrow" w:cs="Tahoma"/>
          <w:sz w:val="22"/>
          <w:lang w:val="sr-Cyrl-CS"/>
        </w:rPr>
        <w:t>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lang w:val="sr-Cyrl-CS"/>
        </w:rPr>
        <w:t xml:space="preserve">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F48DD">
        <w:rPr>
          <w:rFonts w:ascii="Arial Narrow" w:hAnsi="Arial Narrow" w:cs="Tahoma"/>
          <w:sz w:val="22"/>
          <w:lang w:val="sr-Cyrl-CS"/>
        </w:rPr>
        <w:t>у</w:t>
      </w:r>
      <w:r w:rsidR="00BC5673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4F48DD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4F48DD">
        <w:rPr>
          <w:rFonts w:ascii="Arial Narrow" w:hAnsi="Arial Narrow" w:cs="Tahoma"/>
          <w:sz w:val="22"/>
          <w:lang w:val="sr-Cyrl-BA"/>
        </w:rPr>
        <w:t>,</w:t>
      </w:r>
      <w:r w:rsidR="009B65CC" w:rsidRPr="004F48D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4F48DD">
        <w:rPr>
          <w:rFonts w:ascii="Arial Narrow" w:hAnsi="Arial Narrow" w:cs="Tahoma"/>
          <w:sz w:val="22"/>
          <w:lang w:val="sr-Cyrl-BA"/>
        </w:rPr>
        <w:t>6</w:t>
      </w:r>
      <w:r w:rsidR="00FB7481" w:rsidRPr="004F48DD">
        <w:rPr>
          <w:rFonts w:ascii="Arial Narrow" w:hAnsi="Arial Narrow" w:cs="Tahoma"/>
          <w:sz w:val="22"/>
          <w:lang w:val="sr-Cyrl-BA"/>
        </w:rPr>
        <w:t>4</w:t>
      </w:r>
      <w:r w:rsidR="006C1526" w:rsidRPr="004F48DD">
        <w:rPr>
          <w:rFonts w:ascii="Arial Narrow" w:hAnsi="Arial Narrow" w:cs="Tahoma"/>
          <w:sz w:val="22"/>
          <w:lang w:val="sr-Cyrl-BA"/>
        </w:rPr>
        <w:t>8</w:t>
      </w:r>
      <w:r w:rsidRPr="004F48DD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4F48D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4F48DD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20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9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4F48DD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4F48DD">
        <w:rPr>
          <w:rFonts w:ascii="Arial Narrow" w:hAnsi="Arial Narrow" w:cs="Tahoma"/>
          <w:sz w:val="22"/>
          <w:szCs w:val="22"/>
          <w:lang w:val="sr-Latn-CS"/>
        </w:rPr>
        <w:t>р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4F48DD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4F48DD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6C1526" w:rsidRPr="004F48DD">
        <w:rPr>
          <w:rFonts w:ascii="Arial Narrow" w:hAnsi="Arial Narrow" w:cs="Tahoma"/>
          <w:sz w:val="22"/>
          <w:lang w:val="sr-Cyrl-CS"/>
        </w:rPr>
        <w:t xml:space="preserve"> 12,3%,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C2125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4F48DD">
        <w:rPr>
          <w:rFonts w:ascii="Arial Narrow" w:hAnsi="Arial Narrow" w:cs="Tahoma"/>
          <w:sz w:val="22"/>
          <w:lang w:val="sr-Cyrl-CS"/>
        </w:rPr>
        <w:t>1</w:t>
      </w:r>
      <w:r w:rsidR="006C1526" w:rsidRPr="004F48DD">
        <w:rPr>
          <w:rFonts w:ascii="Arial Narrow" w:hAnsi="Arial Narrow" w:cs="Tahoma"/>
          <w:sz w:val="22"/>
          <w:lang w:val="sr-Cyrl-CS"/>
        </w:rPr>
        <w:t>1</w:t>
      </w:r>
      <w:r w:rsidR="005C2125" w:rsidRPr="004F48DD">
        <w:rPr>
          <w:rFonts w:ascii="Arial Narrow" w:hAnsi="Arial Narrow" w:cs="Tahoma"/>
          <w:sz w:val="22"/>
          <w:lang w:val="sr-Cyrl-CS"/>
        </w:rPr>
        <w:t>,</w:t>
      </w:r>
      <w:r w:rsidR="006C1526" w:rsidRPr="004F48DD">
        <w:rPr>
          <w:rFonts w:ascii="Arial Narrow" w:hAnsi="Arial Narrow" w:cs="Tahoma"/>
          <w:sz w:val="22"/>
          <w:lang w:val="sr-Cyrl-CS"/>
        </w:rPr>
        <w:t>9</w:t>
      </w:r>
      <w:r w:rsidR="005C2125" w:rsidRPr="004F48DD">
        <w:rPr>
          <w:rFonts w:ascii="Arial Narrow" w:hAnsi="Arial Narrow" w:cs="Tahoma"/>
          <w:sz w:val="22"/>
          <w:lang w:val="sr-Cyrl-CS"/>
        </w:rPr>
        <w:t xml:space="preserve">% </w:t>
      </w:r>
      <w:r w:rsidR="00701275" w:rsidRPr="004F48DD">
        <w:rPr>
          <w:rFonts w:ascii="Arial Narrow" w:hAnsi="Arial Narrow" w:cs="Tahoma"/>
          <w:sz w:val="22"/>
          <w:szCs w:val="22"/>
          <w:lang w:val="sr-Cyrl-BA"/>
        </w:rPr>
        <w:t>и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sz w:val="22"/>
          <w:lang w:val="sr-Cyrl-CS"/>
        </w:rPr>
        <w:t>9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>2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%</w:t>
      </w:r>
      <w:r w:rsidR="00701275" w:rsidRPr="004F48DD">
        <w:rPr>
          <w:rFonts w:ascii="Arial Narrow" w:hAnsi="Arial Narrow" w:cs="Tahoma"/>
          <w:sz w:val="22"/>
          <w:szCs w:val="22"/>
          <w:lang w:val="sr-Cyrl-BA"/>
        </w:rPr>
        <w:t>.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80592" w:rsidRPr="004F48DD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4F48DD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4F48DD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="00FA11BF"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E50CB" w:rsidRPr="004F48DD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E95949" w:rsidRPr="004F48DD">
        <w:rPr>
          <w:rFonts w:ascii="Arial Narrow" w:hAnsi="Arial Narrow" w:cs="Tahoma"/>
          <w:sz w:val="22"/>
          <w:szCs w:val="22"/>
          <w:lang w:val="sr-Cyrl-CS"/>
        </w:rPr>
        <w:t>има</w:t>
      </w:r>
      <w:r w:rsidR="00177E4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18,5%,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C6EBC">
        <w:rPr>
          <w:rFonts w:ascii="Arial Narrow" w:hAnsi="Arial Narrow" w:cs="Tahoma"/>
          <w:sz w:val="22"/>
          <w:szCs w:val="22"/>
          <w:lang w:val="sr-Latn-BA"/>
        </w:rPr>
        <w:t>4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EC6EBC">
        <w:rPr>
          <w:rFonts w:ascii="Arial Narrow" w:hAnsi="Arial Narrow" w:cs="Tahoma"/>
          <w:sz w:val="22"/>
          <w:szCs w:val="22"/>
          <w:lang w:val="sr-Latn-BA"/>
        </w:rPr>
        <w:t>9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6C1526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="00E95949" w:rsidRPr="004F48DD">
        <w:rPr>
          <w:rFonts w:ascii="Arial Narrow" w:hAnsi="Arial Narrow" w:cs="Tahoma"/>
          <w:i/>
          <w:sz w:val="22"/>
          <w:szCs w:val="22"/>
          <w:lang w:val="sr-Cyrl-CS"/>
        </w:rPr>
        <w:t>Стручне, научне и техничке дјелатности</w:t>
      </w:r>
      <w:r w:rsidR="00E95949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1</w:t>
      </w:r>
      <w:r w:rsidR="003B028E" w:rsidRPr="004F48DD">
        <w:rPr>
          <w:rFonts w:ascii="Arial Narrow" w:hAnsi="Arial Narrow" w:cs="Tahoma"/>
          <w:sz w:val="22"/>
          <w:szCs w:val="22"/>
          <w:lang w:val="sr-Cyrl-CS"/>
        </w:rPr>
        <w:t>,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7</w:t>
      </w:r>
      <w:r w:rsidR="003B028E" w:rsidRPr="004F48DD">
        <w:rPr>
          <w:rFonts w:ascii="Arial Narrow" w:hAnsi="Arial Narrow" w:cs="Tahoma"/>
          <w:sz w:val="22"/>
          <w:szCs w:val="22"/>
          <w:lang w:val="sr-Cyrl-CS"/>
        </w:rPr>
        <w:t>%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FF3EA0" w:rsidRPr="004F48DD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4F48DD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F48DD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Tahoma" w:hAnsi="Tahoma" w:cs="Tahoma"/>
          <w:i/>
          <w:sz w:val="14"/>
          <w:lang w:val="sr-Cyrl-CS"/>
        </w:rPr>
        <w:t xml:space="preserve"> </w:t>
      </w:r>
      <w:r w:rsidRPr="004F48DD">
        <w:rPr>
          <w:rFonts w:ascii="Tahoma" w:hAnsi="Tahoma" w:cs="Tahoma"/>
          <w:sz w:val="14"/>
          <w:lang w:val="sr-Cyrl-CS"/>
        </w:rPr>
        <w:t xml:space="preserve">   </w:t>
      </w:r>
      <w:r w:rsidRPr="004F48DD">
        <w:rPr>
          <w:rFonts w:ascii="Tahoma" w:hAnsi="Tahoma" w:cs="Tahoma"/>
          <w:sz w:val="14"/>
          <w:lang w:val="sr-Latn-CS"/>
        </w:rPr>
        <w:tab/>
      </w:r>
      <w:r w:rsidRPr="004F48DD">
        <w:rPr>
          <w:rFonts w:ascii="Tahoma" w:hAnsi="Tahoma" w:cs="Tahoma"/>
          <w:sz w:val="14"/>
          <w:lang w:val="sr-Latn-CS"/>
        </w:rPr>
        <w:tab/>
      </w:r>
      <w:r w:rsidRPr="004F48D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F48DD">
        <w:rPr>
          <w:rFonts w:ascii="Tahoma" w:hAnsi="Tahoma" w:cs="Tahoma"/>
          <w:sz w:val="14"/>
          <w:lang w:val="sr-Cyrl-BA"/>
        </w:rPr>
        <w:t xml:space="preserve">  </w:t>
      </w:r>
      <w:r w:rsidR="0062701E" w:rsidRPr="004F48DD">
        <w:rPr>
          <w:rFonts w:ascii="Tahoma" w:hAnsi="Tahoma" w:cs="Tahoma"/>
          <w:sz w:val="14"/>
          <w:lang w:val="sr-Cyrl-BA"/>
        </w:rPr>
        <w:t xml:space="preserve"> </w:t>
      </w:r>
      <w:r w:rsidR="00F85AAC" w:rsidRPr="004F48DD">
        <w:rPr>
          <w:rFonts w:ascii="Tahoma" w:hAnsi="Tahoma" w:cs="Tahoma"/>
          <w:sz w:val="14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4F48DD" w:rsidRDefault="00425891" w:rsidP="00E33D13">
      <w:pPr>
        <w:jc w:val="center"/>
        <w:rPr>
          <w:rFonts w:ascii="Tahoma" w:hAnsi="Tahoma" w:cs="Tahoma"/>
          <w:lang w:val="sr-Cyrl-BA"/>
        </w:rPr>
      </w:pPr>
      <w:r w:rsidRPr="004F48D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1057910</wp:posOffset>
            </wp:positionH>
            <wp:positionV relativeFrom="paragraph">
              <wp:posOffset>2063445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F48DD">
        <w:rPr>
          <w:noProof/>
        </w:rPr>
        <w:t xml:space="preserve"> </w:t>
      </w:r>
      <w:r w:rsidR="00E33D13" w:rsidRPr="004F48DD">
        <w:rPr>
          <w:rFonts w:ascii="Tahoma" w:hAnsi="Tahoma" w:cs="Tahoma"/>
          <w:szCs w:val="18"/>
          <w:lang w:val="sr-Cyrl-BA"/>
        </w:rPr>
        <w:t xml:space="preserve"> </w:t>
      </w:r>
      <w:r w:rsidR="006C1526" w:rsidRPr="004F48DD">
        <w:rPr>
          <w:noProof/>
        </w:rPr>
        <w:drawing>
          <wp:inline distT="0" distB="0" distL="0" distR="0" wp14:anchorId="4ED4A09E" wp14:editId="24F4C420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F48D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F48D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F48D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F48DD">
        <w:rPr>
          <w:rFonts w:ascii="Arial Narrow" w:hAnsi="Arial Narrow" w:cs="Tahoma"/>
          <w:sz w:val="16"/>
          <w:szCs w:val="22"/>
          <w:lang w:val="sr-Latn-BA"/>
        </w:rPr>
        <w:t>1</w:t>
      </w:r>
      <w:r w:rsidRPr="004F48DD">
        <w:rPr>
          <w:rFonts w:ascii="Arial Narrow" w:hAnsi="Arial Narrow" w:cs="Tahoma"/>
          <w:sz w:val="16"/>
          <w:szCs w:val="22"/>
          <w:lang w:val="sr-Cyrl-CS"/>
        </w:rPr>
        <w:t>.</w:t>
      </w:r>
      <w:r w:rsidRPr="004F48D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16"/>
          <w:szCs w:val="22"/>
          <w:lang w:val="sr-Cyrl-CS"/>
        </w:rPr>
        <w:t>П</w:t>
      </w:r>
      <w:r w:rsidRPr="004F48DD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F48DD">
        <w:rPr>
          <w:rFonts w:ascii="Arial Narrow" w:hAnsi="Arial Narrow" w:cs="Tahoma"/>
          <w:sz w:val="16"/>
          <w:szCs w:val="22"/>
        </w:rPr>
        <w:t>e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4F48DD">
        <w:rPr>
          <w:rFonts w:ascii="Arial Narrow" w:hAnsi="Arial Narrow" w:cs="Tahoma"/>
          <w:sz w:val="16"/>
          <w:szCs w:val="22"/>
        </w:rPr>
        <w:t>e</w:t>
      </w:r>
      <w:r w:rsidR="00667CDB" w:rsidRPr="004F48DD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4F48DD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1858AE" w:rsidRPr="004F48DD" w:rsidRDefault="001858AE" w:rsidP="001858AE">
      <w:pPr>
        <w:rPr>
          <w:rFonts w:ascii="Arial Narrow" w:hAnsi="Arial Narrow" w:cs="Tahoma"/>
          <w:sz w:val="28"/>
          <w:szCs w:val="24"/>
          <w:lang w:val="sr-Cyrl-BA"/>
        </w:rPr>
      </w:pPr>
      <w:r w:rsidRPr="004F48DD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CS"/>
        </w:rPr>
        <w:t>јануа</w:t>
      </w:r>
      <w:r w:rsidRPr="004F48DD">
        <w:rPr>
          <w:rFonts w:ascii="Arial Narrow" w:hAnsi="Arial Narrow" w:cs="Tahoma"/>
          <w:b/>
          <w:sz w:val="28"/>
          <w:szCs w:val="24"/>
          <w:lang w:val="sr-Cyrl-CS"/>
        </w:rPr>
        <w:t>ру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2020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CS"/>
        </w:rPr>
        <w:t>0,</w:t>
      </w:r>
      <w:r w:rsidR="005B4638">
        <w:rPr>
          <w:rFonts w:ascii="Arial Narrow" w:hAnsi="Arial Narrow" w:cs="Tahoma"/>
          <w:b/>
          <w:sz w:val="28"/>
          <w:szCs w:val="24"/>
          <w:lang w:val="sr-Cyrl-CS"/>
        </w:rPr>
        <w:t>5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%</w:t>
      </w:r>
      <w:r w:rsidR="00FA4BAE">
        <w:rPr>
          <w:rFonts w:ascii="Arial Narrow" w:hAnsi="Arial Narrow" w:cs="Tahoma"/>
          <w:b/>
          <w:sz w:val="28"/>
          <w:szCs w:val="24"/>
          <w:lang w:val="sr-Cyrl-BA"/>
        </w:rPr>
        <w:t>*</w:t>
      </w:r>
    </w:p>
    <w:p w:rsidR="001858AE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58AE" w:rsidRPr="004F48DD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2020</w:t>
      </w:r>
      <w:r w:rsidR="001858AE" w:rsidRPr="004F48DD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58AE" w:rsidRPr="004F48DD">
        <w:rPr>
          <w:rFonts w:ascii="Arial Narrow" w:hAnsi="Arial Narrow" w:cs="Tahoma"/>
          <w:b/>
          <w:sz w:val="28"/>
          <w:szCs w:val="24"/>
        </w:rPr>
        <w:t>I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="002C7B32">
        <w:rPr>
          <w:rFonts w:ascii="Arial Narrow" w:hAnsi="Arial Narrow" w:cs="Tahoma"/>
          <w:b/>
          <w:sz w:val="28"/>
          <w:szCs w:val="24"/>
          <w:lang w:val="sr-Latn-BA"/>
        </w:rPr>
        <w:t>9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) 0,8</w:t>
      </w:r>
      <w:r w:rsidR="001858AE" w:rsidRPr="004F48DD">
        <w:rPr>
          <w:rFonts w:ascii="Arial Narrow" w:hAnsi="Arial Narrow" w:cs="Tahoma"/>
          <w:b/>
          <w:sz w:val="28"/>
          <w:szCs w:val="24"/>
          <w:lang w:val="sr-Cyrl-BA"/>
        </w:rPr>
        <w:t>%</w:t>
      </w:r>
      <w:r w:rsidR="00FA4BAE">
        <w:rPr>
          <w:rFonts w:ascii="Arial Narrow" w:hAnsi="Arial Narrow" w:cs="Tahoma"/>
          <w:b/>
          <w:sz w:val="28"/>
          <w:szCs w:val="24"/>
          <w:lang w:val="sr-Cyrl-BA"/>
        </w:rPr>
        <w:t>*</w:t>
      </w:r>
    </w:p>
    <w:p w:rsidR="001858AE" w:rsidRPr="004F48DD" w:rsidRDefault="001858AE" w:rsidP="001858AE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5B4638" w:rsidRPr="005B4638" w:rsidRDefault="005B4638" w:rsidP="005B4638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463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јануа</w:t>
      </w:r>
      <w:r w:rsidRPr="005B4638">
        <w:rPr>
          <w:rFonts w:ascii="Arial Narrow" w:hAnsi="Arial Narrow" w:cs="Tahoma"/>
          <w:sz w:val="22"/>
          <w:szCs w:val="22"/>
          <w:lang w:val="sr-Cyrl-CS"/>
        </w:rPr>
        <w:t xml:space="preserve">ру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године у просјеку су више за 0,5</w:t>
      </w:r>
      <w:r>
        <w:rPr>
          <w:rFonts w:ascii="Arial Narrow" w:hAnsi="Arial Narrow" w:cs="Tahoma"/>
          <w:sz w:val="22"/>
          <w:szCs w:val="22"/>
          <w:lang w:val="sr-Cyrl-BA"/>
        </w:rPr>
        <w:t>%, док су на годишњем нивоу више за 0,8%.</w:t>
      </w: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седам, ниже цијене у четири, док су цијене у једном одјељку остале непромијењене. </w:t>
      </w: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4638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јануа</w:t>
      </w:r>
      <w:proofErr w:type="spellStart"/>
      <w:r w:rsidRPr="005B4638">
        <w:rPr>
          <w:rFonts w:ascii="Arial Narrow" w:hAnsi="Arial Narrow" w:cs="Tahoma"/>
          <w:sz w:val="22"/>
          <w:szCs w:val="22"/>
        </w:rPr>
        <w:t>ру</w:t>
      </w:r>
      <w:proofErr w:type="spellEnd"/>
      <w:r w:rsidRPr="005B4638">
        <w:rPr>
          <w:rFonts w:ascii="Arial Narrow" w:hAnsi="Arial Narrow" w:cs="Tahoma"/>
          <w:sz w:val="22"/>
          <w:szCs w:val="22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B4638">
        <w:rPr>
          <w:rFonts w:ascii="Arial Narrow" w:hAnsi="Arial Narrow"/>
          <w:sz w:val="22"/>
          <w:szCs w:val="22"/>
        </w:rPr>
        <w:t xml:space="preserve">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5,5% усљед виших цијена у групи Дуван од 7,0,%, затим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5B4638">
        <w:rPr>
          <w:rFonts w:ascii="Arial Narrow" w:hAnsi="Arial Narrow" w:cs="Tahoma"/>
          <w:sz w:val="22"/>
          <w:szCs w:val="22"/>
          <w:lang w:val="sr-Cyrl-CS"/>
        </w:rPr>
        <w:t>2,5%</w:t>
      </w:r>
      <w:r w:rsidRPr="005B4638">
        <w:rPr>
          <w:rFonts w:ascii="Arial Narrow" w:hAnsi="Arial Narrow" w:cs="Tahoma"/>
          <w:sz w:val="22"/>
          <w:szCs w:val="22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CS"/>
        </w:rPr>
        <w:t>због виших цијена у групама</w:t>
      </w:r>
      <w:r w:rsidRPr="005B4638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Путни аранжмани од 6,4%,</w:t>
      </w:r>
      <w:r w:rsidRPr="005B4638">
        <w:rPr>
          <w:rFonts w:ascii="Arial Narrow" w:hAnsi="Arial Narrow" w:cs="Tahoma"/>
          <w:sz w:val="22"/>
          <w:szCs w:val="22"/>
          <w:lang w:val="sr-Cyrl-CS"/>
        </w:rPr>
        <w:t xml:space="preserve"> Услуге рекреације и спорта од 5,8% и Већа трајна добра за рекреацију од 5,6%, затим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B4638">
        <w:rPr>
          <w:rFonts w:ascii="Arial Narrow" w:hAnsi="Arial Narrow" w:cs="Tahoma"/>
          <w:sz w:val="22"/>
          <w:szCs w:val="22"/>
        </w:rPr>
        <w:t>1,6%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групама Воће од 14,1%, Месо од 3,2% и Хљеб и житарице од 3,0%. Више цијене </w:t>
      </w:r>
      <w:proofErr w:type="spellStart"/>
      <w:r w:rsidRPr="005B4638">
        <w:rPr>
          <w:rFonts w:ascii="Arial Narrow" w:hAnsi="Arial Narrow" w:cs="Tahoma"/>
          <w:sz w:val="22"/>
          <w:szCs w:val="22"/>
          <w:lang w:val="en-GB"/>
        </w:rPr>
        <w:t>од</w:t>
      </w:r>
      <w:proofErr w:type="spellEnd"/>
      <w:r w:rsidRPr="005B4638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0,8</w:t>
      </w:r>
      <w:r w:rsidRPr="005B4638">
        <w:rPr>
          <w:rFonts w:ascii="Arial Narrow" w:hAnsi="Arial Narrow" w:cs="Tahoma"/>
          <w:sz w:val="22"/>
          <w:szCs w:val="22"/>
          <w:lang w:val="en-GB"/>
        </w:rPr>
        <w:t xml:space="preserve">%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на годишњем нивоу забиљежене су у одјељку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5B4638">
        <w:rPr>
          <w:rFonts w:ascii="Arial Narrow" w:hAnsi="Arial Narrow" w:cs="Tahoma"/>
          <w:i/>
          <w:sz w:val="22"/>
          <w:szCs w:val="22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групи Остали медицински производи од 2,4%, затим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0,7%, због виших цијена у групама Одвоз смећа од 9,7% и Водоснабдијевање од 5,0%, док се повећање од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по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0,5% односи на одјељке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4638" w:rsidRPr="005B4638" w:rsidRDefault="005B4638" w:rsidP="005B4638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5B4638">
        <w:rPr>
          <w:rFonts w:ascii="Arial Narrow" w:hAnsi="Arial Narrow" w:cs="Tahoma"/>
          <w:sz w:val="22"/>
          <w:szCs w:val="22"/>
          <w:lang w:val="sr-Cyrl-BA"/>
        </w:rPr>
        <w:t>Нај</w:t>
      </w:r>
      <w:r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>
        <w:rPr>
          <w:rFonts w:ascii="Arial Narrow" w:hAnsi="Arial Narrow" w:cs="Tahoma"/>
          <w:sz w:val="22"/>
          <w:szCs w:val="22"/>
          <w:lang w:val="sr-Cyrl-BA"/>
        </w:rPr>
        <w:t>а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 у јануару забиљежен 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5B4638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10,0% усљед сезонских снижења конфекције и обуће током године, затим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0,5% због нижих цијена у групи Већи алати и опрема од 4,9%.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 xml:space="preserve">забиљежене су ниже цијене од 0,5%, усљед снижења у групи Лични предмети од 3,5% и Производи за личну хигијену 1,8%, док су ниже цијене у одјељку </w:t>
      </w:r>
      <w:r w:rsidRPr="005B4638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5B4638">
        <w:rPr>
          <w:rFonts w:ascii="Arial Narrow" w:hAnsi="Arial Narrow" w:cs="Tahoma"/>
          <w:sz w:val="22"/>
          <w:szCs w:val="22"/>
          <w:lang w:val="sr-Cyrl-CS"/>
        </w:rPr>
        <w:t xml:space="preserve">од 0,2% забиљежене у </w:t>
      </w:r>
      <w:r w:rsidRPr="005B4638">
        <w:rPr>
          <w:rFonts w:ascii="Arial Narrow" w:hAnsi="Arial Narrow" w:cs="Tahoma"/>
          <w:sz w:val="22"/>
          <w:szCs w:val="22"/>
          <w:lang w:val="sr-Cyrl-BA"/>
        </w:rPr>
        <w:t>групи Бицикли од 3,8% и Ваздушни превоз путника од 2,8%.</w:t>
      </w:r>
    </w:p>
    <w:p w:rsidR="001858AE" w:rsidRPr="004F48DD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91A9F" w:rsidRPr="004F48DD" w:rsidRDefault="005B4638" w:rsidP="001858AE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2047875</wp:posOffset>
                </wp:positionV>
                <wp:extent cx="2044700" cy="177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4638" w:rsidRDefault="005B4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95pt;margin-top:161.25pt;width:161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" fillcolor="white [3201]" stroked="f" strokeweight=".5pt">
                <v:textbox>
                  <w:txbxContent>
                    <w:p w:rsidR="005B4638" w:rsidRDefault="005B4638"/>
                  </w:txbxContent>
                </v:textbox>
              </v:shape>
            </w:pict>
          </mc:Fallback>
        </mc:AlternateContent>
      </w:r>
      <w:r w:rsidRPr="00B2367E">
        <w:rPr>
          <w:rFonts w:ascii="Tahoma" w:hAnsi="Tahoma" w:cs="Tahoma"/>
          <w:b/>
          <w:noProof/>
        </w:rPr>
        <w:drawing>
          <wp:inline distT="0" distB="0" distL="0" distR="0" wp14:anchorId="272F22A0" wp14:editId="565020B4">
            <wp:extent cx="5629275" cy="2228850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4F48DD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F48DD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4F48DD">
        <w:rPr>
          <w:rFonts w:ascii="Arial Narrow" w:hAnsi="Arial Narrow" w:cs="Tahoma"/>
          <w:sz w:val="16"/>
          <w:szCs w:val="16"/>
          <w:lang w:val="sr-Latn-BA"/>
        </w:rPr>
        <w:t>2</w:t>
      </w:r>
      <w:r w:rsidRPr="004F48DD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4F48DD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4F48DD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AC7730" w:rsidRPr="004F48DD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4F48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4A5E15" w:rsidRPr="004F48DD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F48DD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F48DD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F48D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4F48D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4F48DD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4F48DD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FC731C" w:rsidRPr="004F48D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AE0AAD" w:rsidRPr="004F48DD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4F48DD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4F48DD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4F48DD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094054" w:rsidRPr="004F48DD">
        <w:rPr>
          <w:rFonts w:ascii="Arial Narrow" w:hAnsi="Arial Narrow" w:cs="Tahoma"/>
          <w:b/>
          <w:sz w:val="30"/>
          <w:szCs w:val="30"/>
          <w:lang w:val="sr-Latn-BA"/>
        </w:rPr>
        <w:t>83</w:t>
      </w:r>
      <w:r w:rsidRPr="004F48DD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094054" w:rsidRPr="004F48DD">
        <w:rPr>
          <w:rFonts w:ascii="Arial Narrow" w:hAnsi="Arial Narrow" w:cs="Tahoma"/>
          <w:b/>
          <w:sz w:val="30"/>
          <w:szCs w:val="30"/>
          <w:lang w:val="sr-Latn-BA"/>
        </w:rPr>
        <w:t>4</w:t>
      </w:r>
      <w:r w:rsidRPr="004F48DD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4F48DD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112E6C" w:rsidRPr="004F48DD" w:rsidRDefault="004A5E15" w:rsidP="00112E6C">
      <w:pPr>
        <w:jc w:val="both"/>
        <w:rPr>
          <w:rFonts w:ascii="Arial Narrow" w:hAnsi="Arial Narrow" w:cs="Tahoma"/>
          <w:sz w:val="22"/>
        </w:rPr>
      </w:pPr>
      <w:r w:rsidRPr="004F48DD">
        <w:rPr>
          <w:rFonts w:ascii="Arial Narrow" w:hAnsi="Arial Narrow" w:cs="Tahoma"/>
          <w:sz w:val="22"/>
          <w:lang w:val="ru-RU"/>
        </w:rPr>
        <w:t>У 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070C0A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ru-RU"/>
        </w:rPr>
        <w:t>20</w:t>
      </w:r>
      <w:r w:rsidR="00FC731C" w:rsidRPr="004F48DD">
        <w:rPr>
          <w:rFonts w:ascii="Arial Narrow" w:hAnsi="Arial Narrow" w:cs="Tahoma"/>
          <w:sz w:val="22"/>
          <w:lang w:val="ru-RU"/>
        </w:rPr>
        <w:t>20</w:t>
      </w:r>
      <w:r w:rsidRPr="004F48DD">
        <w:rPr>
          <w:rFonts w:ascii="Arial Narrow" w:hAnsi="Arial Narrow" w:cs="Tahoma"/>
          <w:sz w:val="22"/>
          <w:lang w:val="ru-RU"/>
        </w:rPr>
        <w:t xml:space="preserve">. </w:t>
      </w:r>
      <w:r w:rsidRPr="004F48DD">
        <w:rPr>
          <w:rFonts w:ascii="Arial Narrow" w:hAnsi="Arial Narrow" w:cs="Tahoma"/>
          <w:sz w:val="22"/>
          <w:lang w:val="sr-Cyrl-BA"/>
        </w:rPr>
        <w:t xml:space="preserve">године </w:t>
      </w:r>
      <w:r w:rsidRPr="004F48DD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094054" w:rsidRPr="004F48DD">
        <w:rPr>
          <w:rFonts w:ascii="Arial Narrow" w:hAnsi="Arial Narrow" w:cs="Tahoma"/>
          <w:sz w:val="22"/>
          <w:lang w:val="sr-Latn-BA"/>
        </w:rPr>
        <w:t>251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F48DD">
        <w:rPr>
          <w:rFonts w:ascii="Arial Narrow" w:hAnsi="Arial Narrow" w:cs="Tahoma"/>
          <w:sz w:val="22"/>
          <w:lang w:val="ru-RU"/>
        </w:rPr>
        <w:t>милион</w:t>
      </w:r>
      <w:r w:rsidR="00506032" w:rsidRPr="004F48DD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094054" w:rsidRPr="004F48DD">
        <w:rPr>
          <w:rFonts w:ascii="Arial Narrow" w:hAnsi="Arial Narrow" w:cs="Tahoma"/>
          <w:sz w:val="22"/>
          <w:lang w:val="sr-Latn-BA"/>
        </w:rPr>
        <w:t>7</w:t>
      </w:r>
      <w:r w:rsidRPr="004F48DD">
        <w:rPr>
          <w:rFonts w:ascii="Arial Narrow" w:hAnsi="Arial Narrow" w:cs="Tahoma"/>
          <w:sz w:val="22"/>
          <w:lang w:val="ru-RU"/>
        </w:rPr>
        <w:t>,</w:t>
      </w:r>
      <w:r w:rsidR="00094054" w:rsidRPr="004F48DD">
        <w:rPr>
          <w:rFonts w:ascii="Arial Narrow" w:hAnsi="Arial Narrow" w:cs="Tahoma"/>
          <w:sz w:val="22"/>
        </w:rPr>
        <w:t>0</w:t>
      </w:r>
      <w:r w:rsidRPr="004F48DD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4F48DD">
        <w:rPr>
          <w:rFonts w:ascii="Arial Narrow" w:hAnsi="Arial Narrow" w:cs="Tahoma"/>
          <w:sz w:val="22"/>
          <w:lang w:val="ru-RU"/>
        </w:rPr>
        <w:t>мање</w:t>
      </w:r>
      <w:r w:rsidRPr="004F48DD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094054" w:rsidRPr="004F48DD">
        <w:rPr>
          <w:rFonts w:ascii="Arial Narrow" w:hAnsi="Arial Narrow" w:cs="Tahoma"/>
          <w:sz w:val="22"/>
          <w:lang w:val="sr-Latn-BA"/>
        </w:rPr>
        <w:t>301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ru-RU"/>
        </w:rPr>
        <w:t>милион</w:t>
      </w:r>
      <w:r w:rsidR="00934903" w:rsidRPr="004F48DD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4F48DD">
        <w:rPr>
          <w:rFonts w:ascii="Arial Narrow" w:hAnsi="Arial Narrow" w:cs="Tahoma"/>
          <w:sz w:val="22"/>
          <w:lang w:val="ru-RU"/>
        </w:rPr>
        <w:t xml:space="preserve"> </w:t>
      </w:r>
      <w:r w:rsidR="00934903" w:rsidRPr="004F48DD">
        <w:rPr>
          <w:rFonts w:ascii="Arial Narrow" w:hAnsi="Arial Narrow" w:cs="Tahoma"/>
          <w:sz w:val="22"/>
          <w:lang w:val="ru-RU"/>
        </w:rPr>
        <w:t xml:space="preserve">за </w:t>
      </w:r>
      <w:r w:rsidR="00094054" w:rsidRPr="004F48DD">
        <w:rPr>
          <w:rFonts w:ascii="Arial Narrow" w:hAnsi="Arial Narrow" w:cs="Tahoma"/>
          <w:sz w:val="22"/>
          <w:lang w:val="sr-Latn-BA"/>
        </w:rPr>
        <w:t>1</w:t>
      </w:r>
      <w:r w:rsidRPr="004F48DD">
        <w:rPr>
          <w:rFonts w:ascii="Arial Narrow" w:hAnsi="Arial Narrow" w:cs="Tahoma"/>
          <w:sz w:val="22"/>
          <w:lang w:val="sr-Latn-CS"/>
        </w:rPr>
        <w:t>,</w:t>
      </w:r>
      <w:r w:rsidR="00094054" w:rsidRPr="004F48DD">
        <w:rPr>
          <w:rFonts w:ascii="Arial Narrow" w:hAnsi="Arial Narrow" w:cs="Tahoma"/>
          <w:sz w:val="22"/>
        </w:rPr>
        <w:t>1</w:t>
      </w:r>
      <w:r w:rsidRPr="004F48DD">
        <w:rPr>
          <w:rFonts w:ascii="Arial Narrow" w:hAnsi="Arial Narrow" w:cs="Tahoma"/>
          <w:sz w:val="22"/>
          <w:lang w:val="ru-RU"/>
        </w:rPr>
        <w:t xml:space="preserve">% </w:t>
      </w:r>
      <w:r w:rsidR="00094054" w:rsidRPr="004F48DD">
        <w:rPr>
          <w:rFonts w:ascii="Arial Narrow" w:hAnsi="Arial Narrow" w:cs="Tahoma"/>
          <w:sz w:val="22"/>
          <w:lang w:val="sr-Cyrl-RS"/>
        </w:rPr>
        <w:t>више</w:t>
      </w:r>
      <w:r w:rsidRPr="004F48DD">
        <w:rPr>
          <w:rFonts w:ascii="Arial Narrow" w:hAnsi="Arial Narrow" w:cs="Tahoma"/>
          <w:sz w:val="22"/>
          <w:lang w:val="ru-RU"/>
        </w:rPr>
        <w:t xml:space="preserve"> у односу н</w:t>
      </w:r>
      <w:r w:rsidR="00094054" w:rsidRPr="004F48DD">
        <w:rPr>
          <w:rFonts w:ascii="Arial Narrow" w:hAnsi="Arial Narrow" w:cs="Tahoma"/>
          <w:sz w:val="22"/>
          <w:lang w:val="ru-RU"/>
        </w:rPr>
        <w:t>а исти период претходне године.</w:t>
      </w:r>
    </w:p>
    <w:p w:rsidR="004A5E15" w:rsidRPr="004F48DD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365A4E" w:rsidRPr="004F48DD" w:rsidRDefault="00365A4E" w:rsidP="00365A4E">
      <w:pPr>
        <w:jc w:val="both"/>
        <w:rPr>
          <w:rFonts w:ascii="Arial Narrow" w:hAnsi="Arial Narrow" w:cs="Tahoma"/>
          <w:sz w:val="22"/>
          <w:lang w:val="sr-Cyrl-BA"/>
        </w:rPr>
      </w:pPr>
      <w:r w:rsidRPr="004F48DD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4F48DD">
        <w:rPr>
          <w:rFonts w:ascii="Arial Narrow" w:hAnsi="Arial Narrow" w:cs="Tahoma"/>
          <w:sz w:val="22"/>
          <w:lang w:val="bs-Cyrl-BA"/>
        </w:rPr>
        <w:t>е</w:t>
      </w:r>
      <w:r w:rsidRPr="004F48DD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4F48DD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4F48DD">
        <w:rPr>
          <w:rFonts w:ascii="Arial Narrow" w:hAnsi="Arial Narrow" w:cs="Tahoma"/>
          <w:sz w:val="22"/>
          <w:lang w:val="sr-Cyrl-BA"/>
        </w:rPr>
        <w:t xml:space="preserve">Српске са иностранством у јануару </w:t>
      </w:r>
      <w:r w:rsidRPr="004F48DD">
        <w:rPr>
          <w:rFonts w:ascii="Arial Narrow" w:hAnsi="Arial Narrow" w:cs="Tahoma"/>
          <w:sz w:val="22"/>
          <w:lang w:val="sr-Latn-BA"/>
        </w:rPr>
        <w:t>20</w:t>
      </w:r>
      <w:r w:rsidRPr="004F48DD">
        <w:rPr>
          <w:rFonts w:ascii="Arial Narrow" w:hAnsi="Arial Narrow" w:cs="Tahoma"/>
          <w:sz w:val="22"/>
          <w:lang w:val="sr-Cyrl-RS"/>
        </w:rPr>
        <w:t>20</w:t>
      </w:r>
      <w:r w:rsidRPr="004F48DD">
        <w:rPr>
          <w:rFonts w:ascii="Arial Narrow" w:hAnsi="Arial Narrow" w:cs="Tahoma"/>
          <w:sz w:val="22"/>
          <w:lang w:val="sr-Latn-BA"/>
        </w:rPr>
        <w:t>.</w:t>
      </w:r>
      <w:r w:rsidRPr="004F48DD">
        <w:rPr>
          <w:rFonts w:ascii="Arial Narrow" w:hAnsi="Arial Narrow" w:cs="Tahoma"/>
          <w:sz w:val="22"/>
          <w:lang w:val="sr-Cyrl-BA"/>
        </w:rPr>
        <w:t xml:space="preserve"> године, проценат покривености увоза извозом износио је </w:t>
      </w:r>
      <w:r w:rsidRPr="004F48DD">
        <w:rPr>
          <w:rFonts w:ascii="Arial Narrow" w:hAnsi="Arial Narrow" w:cs="Tahoma"/>
          <w:sz w:val="22"/>
          <w:lang w:val="sr-Latn-BA"/>
        </w:rPr>
        <w:t>83</w:t>
      </w:r>
      <w:r w:rsidRPr="004F48DD">
        <w:rPr>
          <w:rFonts w:ascii="Arial Narrow" w:hAnsi="Arial Narrow" w:cs="Tahoma"/>
          <w:sz w:val="22"/>
          <w:lang w:val="sr-Cyrl-BA"/>
        </w:rPr>
        <w:t>,</w:t>
      </w:r>
      <w:r w:rsidRPr="004F48DD">
        <w:rPr>
          <w:rFonts w:ascii="Arial Narrow" w:hAnsi="Arial Narrow" w:cs="Tahoma"/>
          <w:sz w:val="22"/>
          <w:lang w:val="sr-Latn-BA"/>
        </w:rPr>
        <w:t>4</w:t>
      </w:r>
      <w:r w:rsidRPr="004F48DD">
        <w:rPr>
          <w:rFonts w:ascii="Arial Narrow" w:hAnsi="Arial Narrow" w:cs="Tahoma"/>
          <w:sz w:val="22"/>
          <w:lang w:val="sr-Cyrl-BA"/>
        </w:rPr>
        <w:t xml:space="preserve">%. </w:t>
      </w:r>
    </w:p>
    <w:p w:rsidR="00365A4E" w:rsidRDefault="00365A4E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F61136" w:rsidRDefault="00F61136">
      <w:pPr>
        <w:rPr>
          <w:rFonts w:ascii="Arial Narrow" w:hAnsi="Arial Narrow" w:cs="Tahoma"/>
          <w:sz w:val="22"/>
          <w:lang w:val="ru-RU"/>
        </w:rPr>
      </w:pPr>
      <w:r>
        <w:rPr>
          <w:rFonts w:ascii="Arial Narrow" w:hAnsi="Arial Narrow" w:cs="Tahoma"/>
          <w:sz w:val="22"/>
          <w:lang w:val="ru-RU"/>
        </w:rPr>
        <w:br w:type="page"/>
      </w:r>
    </w:p>
    <w:p w:rsidR="00F61136" w:rsidRDefault="00F61136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F48DD">
        <w:rPr>
          <w:rFonts w:ascii="Arial Narrow" w:hAnsi="Arial Narrow" w:cs="Tahoma"/>
          <w:sz w:val="22"/>
        </w:rPr>
        <w:t>e</w:t>
      </w:r>
      <w:r w:rsidRPr="004F48DD">
        <w:rPr>
          <w:rFonts w:ascii="Arial Narrow" w:hAnsi="Arial Narrow" w:cs="Tahoma"/>
          <w:sz w:val="22"/>
          <w:lang w:val="ru-RU"/>
        </w:rPr>
        <w:t xml:space="preserve"> Српск</w:t>
      </w:r>
      <w:r w:rsidRPr="004F48DD">
        <w:rPr>
          <w:rFonts w:ascii="Arial Narrow" w:hAnsi="Arial Narrow" w:cs="Tahoma"/>
          <w:sz w:val="22"/>
        </w:rPr>
        <w:t>e</w:t>
      </w:r>
      <w:r w:rsidR="00FC731C" w:rsidRPr="004F48DD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Pr="004F48DD">
        <w:rPr>
          <w:rFonts w:ascii="Arial Narrow" w:hAnsi="Arial Narrow" w:cs="Tahoma"/>
          <w:sz w:val="22"/>
          <w:lang w:val="ru-RU"/>
        </w:rPr>
        <w:t>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A01D55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sr-Cyrl-CS"/>
        </w:rPr>
        <w:t>20</w:t>
      </w:r>
      <w:r w:rsidR="00FC731C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4F48DD">
        <w:rPr>
          <w:rFonts w:ascii="Arial Narrow" w:hAnsi="Arial Narrow" w:cs="Tahoma"/>
          <w:sz w:val="22"/>
          <w:lang w:val="sr-Cyrl-RS"/>
        </w:rPr>
        <w:t>Хрватску</w:t>
      </w:r>
      <w:r w:rsidRPr="004F48DD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41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4F48DD">
        <w:rPr>
          <w:rFonts w:ascii="Arial Narrow" w:hAnsi="Arial Narrow" w:cs="Tahoma"/>
          <w:sz w:val="22"/>
          <w:lang w:val="sr-Cyrl-CS"/>
        </w:rPr>
        <w:t>милион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6</w:t>
      </w:r>
      <w:r w:rsidR="00B16936"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C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>%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="00AE0AAD" w:rsidRPr="004F48DD">
        <w:rPr>
          <w:rFonts w:ascii="Arial Narrow" w:hAnsi="Arial Narrow" w:cs="Tahoma"/>
          <w:sz w:val="22"/>
          <w:lang w:val="sr-Cyrl-CS"/>
        </w:rPr>
        <w:t>и</w:t>
      </w:r>
      <w:r w:rsidRPr="004F48DD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4F48DD">
        <w:rPr>
          <w:rFonts w:ascii="Arial Narrow" w:hAnsi="Arial Narrow" w:cs="Tahoma"/>
          <w:sz w:val="22"/>
          <w:lang w:val="sr-Cyrl-CS"/>
        </w:rPr>
        <w:t>Италију</w:t>
      </w:r>
      <w:r w:rsidRPr="004F48DD">
        <w:rPr>
          <w:rFonts w:ascii="Arial Narrow" w:hAnsi="Arial Narrow" w:cs="Tahoma"/>
          <w:sz w:val="22"/>
          <w:lang w:val="sr-Cyrl-CS"/>
        </w:rPr>
        <w:br/>
      </w:r>
      <w:r w:rsidR="00FB1427" w:rsidRPr="004F48DD">
        <w:rPr>
          <w:rFonts w:ascii="Arial Narrow" w:hAnsi="Arial Narrow" w:cs="Tahoma"/>
          <w:sz w:val="22"/>
          <w:lang w:val="sr-Cyrl-RS"/>
        </w:rPr>
        <w:t>37</w:t>
      </w:r>
      <w:r w:rsidR="007876DE" w:rsidRPr="004F48DD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4F48DD">
        <w:rPr>
          <w:rFonts w:ascii="Arial Narrow" w:hAnsi="Arial Narrow" w:cs="Tahoma"/>
          <w:sz w:val="22"/>
          <w:lang w:val="sr-Cyrl-CS"/>
        </w:rPr>
        <w:t>а</w:t>
      </w:r>
      <w:r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4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2D1C9C" w:rsidRPr="004F48DD">
        <w:rPr>
          <w:rFonts w:ascii="Arial Narrow" w:hAnsi="Arial Narrow" w:cs="Tahoma"/>
          <w:sz w:val="22"/>
          <w:lang w:val="sr-Cyrl-RS"/>
        </w:rPr>
        <w:t>7</w:t>
      </w:r>
      <w:r w:rsidRPr="004F48DD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F48DD">
        <w:rPr>
          <w:rFonts w:ascii="Arial Narrow" w:hAnsi="Arial Narrow" w:cs="Tahoma"/>
          <w:sz w:val="22"/>
          <w:lang w:val="sr-Cyrl-BA"/>
        </w:rPr>
        <w:t>н</w:t>
      </w:r>
      <w:r w:rsidRPr="004F48DD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4F48DD">
        <w:rPr>
          <w:rFonts w:ascii="Arial Narrow" w:hAnsi="Arial Narrow" w:cs="Tahoma"/>
          <w:sz w:val="22"/>
          <w:lang w:val="sr-Cyrl-CS"/>
        </w:rPr>
        <w:t xml:space="preserve">Србије </w:t>
      </w:r>
      <w:r w:rsidRPr="004F48DD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50</w:t>
      </w:r>
      <w:r w:rsidR="00981884"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sr-Cyrl-CS"/>
        </w:rPr>
        <w:t>милион</w:t>
      </w:r>
      <w:r w:rsidR="002F4D27" w:rsidRPr="004F48DD">
        <w:rPr>
          <w:rFonts w:ascii="Arial Narrow" w:hAnsi="Arial Narrow" w:cs="Tahoma"/>
          <w:sz w:val="22"/>
        </w:rPr>
        <w:t>a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6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R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4F48DD">
        <w:rPr>
          <w:rFonts w:ascii="Arial Narrow" w:hAnsi="Arial Narrow" w:cs="Tahoma"/>
          <w:sz w:val="22"/>
          <w:lang w:val="sr-Cyrl-CS"/>
        </w:rPr>
        <w:t>Италије</w:t>
      </w:r>
      <w:r w:rsidRPr="004F48DD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47</w:t>
      </w:r>
      <w:r w:rsidR="00460542" w:rsidRPr="004F48DD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4F48DD">
        <w:rPr>
          <w:rFonts w:ascii="Arial Narrow" w:hAnsi="Arial Narrow" w:cs="Tahoma"/>
          <w:sz w:val="22"/>
          <w:lang w:val="sr-Cyrl-CS"/>
        </w:rPr>
        <w:t>а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RS"/>
        </w:rPr>
        <w:t>6</w:t>
      </w:r>
      <w:r w:rsidRPr="004F48DD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F48DD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4F48DD">
        <w:rPr>
          <w:rFonts w:ascii="Arial Narrow" w:hAnsi="Arial Narrow" w:cs="Tahoma"/>
          <w:sz w:val="22"/>
          <w:lang w:val="ru-RU"/>
        </w:rPr>
        <w:t>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070C0A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4F48DD">
        <w:rPr>
          <w:rFonts w:ascii="Arial Narrow" w:hAnsi="Arial Narrow" w:cs="Tahoma"/>
          <w:sz w:val="22"/>
          <w:szCs w:val="22"/>
          <w:lang w:val="sr-Cyrl-CS"/>
        </w:rPr>
        <w:t>20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25</w:t>
      </w:r>
      <w:r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4F48DD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4F48DD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4F48DD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623EAB" w:rsidRPr="004F48DD">
        <w:rPr>
          <w:rFonts w:ascii="Arial Narrow" w:hAnsi="Arial Narrow" w:cs="Tahoma"/>
          <w:sz w:val="22"/>
          <w:szCs w:val="22"/>
          <w:lang w:val="sr-Cyrl-CS"/>
        </w:rPr>
        <w:t>9</w:t>
      </w:r>
      <w:r w:rsidR="00B16936" w:rsidRPr="004F48DD">
        <w:rPr>
          <w:rFonts w:ascii="Arial Narrow" w:hAnsi="Arial Narrow" w:cs="Tahoma"/>
          <w:sz w:val="22"/>
          <w:szCs w:val="22"/>
          <w:lang w:val="sr-Latn-BA"/>
        </w:rPr>
        <w:t>,</w:t>
      </w:r>
      <w:r w:rsidR="00623EAB" w:rsidRPr="004F48DD">
        <w:rPr>
          <w:rFonts w:ascii="Arial Narrow" w:hAnsi="Arial Narrow" w:cs="Tahoma"/>
          <w:sz w:val="22"/>
          <w:szCs w:val="22"/>
          <w:lang w:val="sr-Cyrl-RS"/>
        </w:rPr>
        <w:t>9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4F48DD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51087" w:rsidRPr="004F48DD">
        <w:rPr>
          <w:rFonts w:ascii="Arial Narrow" w:hAnsi="Arial Narrow" w:cs="Tahoma"/>
          <w:sz w:val="22"/>
          <w:szCs w:val="22"/>
          <w:lang w:val="sr-Cyrl-RS"/>
        </w:rPr>
        <w:t>нафтна уља и уља добијена од битуменских минерала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20</w:t>
      </w:r>
      <w:r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F48DD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4F48DD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6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5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F48D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F48DD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F48DD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F48DD" w:rsidRDefault="00365A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F48D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4154170</wp:posOffset>
                </wp:positionH>
                <wp:positionV relativeFrom="paragraph">
                  <wp:posOffset>39141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27.1pt;margin-top:3.1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F48D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F48DD" w:rsidRDefault="0031264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F48DD">
        <w:rPr>
          <w:noProof/>
        </w:rPr>
        <w:drawing>
          <wp:inline distT="0" distB="0" distL="0" distR="0" wp14:anchorId="415CEA15" wp14:editId="514A4115">
            <wp:extent cx="4638675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264C" w:rsidRPr="004F48DD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F48D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365A4E">
        <w:rPr>
          <w:rFonts w:ascii="Arial Narrow" w:hAnsi="Arial Narrow" w:cs="Tahoma"/>
          <w:sz w:val="16"/>
          <w:szCs w:val="22"/>
          <w:lang w:val="sr-Cyrl-BA"/>
        </w:rPr>
        <w:t>3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F48D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F48D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F48D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F48D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4F48DD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A4BAE" w:rsidRPr="00E50033" w:rsidRDefault="00FA4BAE" w:rsidP="00FA4BAE">
      <w:pPr>
        <w:rPr>
          <w:rFonts w:ascii="Arial Narrow" w:hAnsi="Arial Narrow"/>
          <w:sz w:val="16"/>
          <w:szCs w:val="16"/>
        </w:rPr>
      </w:pPr>
      <w:r>
        <w:rPr>
          <w:lang w:val="sr-Cyrl-BA"/>
        </w:rPr>
        <w:t xml:space="preserve">             </w:t>
      </w:r>
      <w:r>
        <w:rPr>
          <w:rFonts w:ascii="Arial Narrow" w:hAnsi="Arial Narrow"/>
          <w:sz w:val="16"/>
          <w:szCs w:val="16"/>
          <w:lang w:val="sr-Cyrl-CS"/>
        </w:rPr>
        <w:t>ЗНАКОВИ</w:t>
      </w:r>
    </w:p>
    <w:p w:rsidR="00FA4BAE" w:rsidRDefault="00FA4BAE" w:rsidP="00FA4BAE">
      <w:pPr>
        <w:rPr>
          <w:rFonts w:ascii="Arial Narrow" w:hAnsi="Arial Narrow"/>
          <w:sz w:val="16"/>
          <w:szCs w:val="16"/>
          <w:lang w:val="sr-Cyrl-CS"/>
        </w:rPr>
      </w:pPr>
      <w:r>
        <w:rPr>
          <w:rFonts w:ascii="Arial Narrow" w:hAnsi="Arial Narrow"/>
          <w:sz w:val="16"/>
          <w:szCs w:val="16"/>
          <w:lang w:val="sr-Cyrl-BA"/>
        </w:rPr>
        <w:t xml:space="preserve">                 </w:t>
      </w:r>
      <w:r>
        <w:rPr>
          <w:rFonts w:ascii="Arial Narrow" w:hAnsi="Arial Narrow"/>
          <w:sz w:val="16"/>
          <w:szCs w:val="16"/>
          <w:lang w:val="sr-Cyrl-CS"/>
        </w:rPr>
        <w:t xml:space="preserve"> </w:t>
      </w:r>
    </w:p>
    <w:p w:rsidR="00FA4BAE" w:rsidRPr="00001D16" w:rsidRDefault="00FA4BAE" w:rsidP="00FA4BAE">
      <w:pPr>
        <w:rPr>
          <w:rFonts w:ascii="Arial Narrow" w:hAnsi="Arial Narrow"/>
          <w:sz w:val="16"/>
          <w:szCs w:val="16"/>
          <w:lang w:val="sr-Latn-BA"/>
        </w:rPr>
      </w:pPr>
      <w:r>
        <w:rPr>
          <w:rFonts w:ascii="Arial Narrow" w:hAnsi="Arial Narrow"/>
          <w:sz w:val="16"/>
          <w:szCs w:val="16"/>
          <w:lang w:val="sr-Latn-BA"/>
        </w:rPr>
        <w:t xml:space="preserve">                  * </w:t>
      </w:r>
      <w:r>
        <w:rPr>
          <w:rFonts w:ascii="Arial Narrow" w:hAnsi="Arial Narrow"/>
          <w:sz w:val="16"/>
          <w:szCs w:val="16"/>
          <w:lang w:val="sr-Cyrl-BA"/>
        </w:rPr>
        <w:t>исправљен податак</w:t>
      </w: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365A4E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365A4E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1858EB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365A4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1858EB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365A4E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1858EB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Pr="001D54B6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0" w:name="_GoBack"/>
      <w:bookmarkEnd w:id="0"/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858E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858EB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858E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858E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A4BA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A4BAE">
            <w:rPr>
              <w:rFonts w:ascii="Arial Narrow" w:hAnsi="Arial Narrow" w:cs="Tahoma"/>
              <w:color w:val="44546A" w:themeColor="text2"/>
              <w:sz w:val="16"/>
              <w:szCs w:val="16"/>
              <w:lang w:val="sr-Latn-BA"/>
            </w:rPr>
            <w:t>I</w:t>
          </w:r>
          <w:r w:rsidR="00BC5D3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DC3C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 w:rsidR="00FA4BA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-1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713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3F2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8EB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C7B32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A4E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31D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8DD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4D17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638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4CC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6EBC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36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4BAE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4814DA3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vladimir.lambeta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887</c:v>
                </c:pt>
                <c:pt idx="1">
                  <c:v>896</c:v>
                </c:pt>
                <c:pt idx="2">
                  <c:v>886</c:v>
                </c:pt>
                <c:pt idx="3">
                  <c:v>896</c:v>
                </c:pt>
                <c:pt idx="4">
                  <c:v>903</c:v>
                </c:pt>
                <c:pt idx="5">
                  <c:v>910</c:v>
                </c:pt>
                <c:pt idx="6">
                  <c:v>912</c:v>
                </c:pt>
                <c:pt idx="7">
                  <c:v>910</c:v>
                </c:pt>
                <c:pt idx="8">
                  <c:v>909</c:v>
                </c:pt>
                <c:pt idx="9">
                  <c:v>910</c:v>
                </c:pt>
                <c:pt idx="10">
                  <c:v>917</c:v>
                </c:pt>
                <c:pt idx="11">
                  <c:v>939</c:v>
                </c:pt>
                <c:pt idx="12">
                  <c:v>914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0E-4D13-861D-06B9AA46D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8511296"/>
        <c:axId val="248511688"/>
      </c:lineChart>
      <c:catAx>
        <c:axId val="2485112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48511688"/>
        <c:crosses val="autoZero"/>
        <c:auto val="1"/>
        <c:lblAlgn val="ctr"/>
        <c:lblOffset val="100"/>
        <c:noMultiLvlLbl val="0"/>
      </c:catAx>
      <c:valAx>
        <c:axId val="248511688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248511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205E-2"/>
          <c:y val="0.12790826094331514"/>
          <c:w val="0.95482761150457429"/>
          <c:h val="0.593878860678261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Sheet1!$C$1:$C$6</c:f>
              <c:strCache>
                <c:ptCount val="6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Sheet1!$C$7:$C$19</c:f>
              <c:numCache>
                <c:formatCode>General</c:formatCode>
                <c:ptCount val="13"/>
                <c:pt idx="0">
                  <c:v>0.2</c:v>
                </c:pt>
                <c:pt idx="1">
                  <c:v>0.5</c:v>
                </c:pt>
                <c:pt idx="2" formatCode="0.0">
                  <c:v>0.2</c:v>
                </c:pt>
                <c:pt idx="3" formatCode="0.0">
                  <c:v>-0.9</c:v>
                </c:pt>
                <c:pt idx="4">
                  <c:v>0.1</c:v>
                </c:pt>
                <c:pt idx="5" formatCode="0.0">
                  <c:v>-0.6</c:v>
                </c:pt>
                <c:pt idx="6" formatCode="0.0">
                  <c:v>-0.5</c:v>
                </c:pt>
                <c:pt idx="7" formatCode="0.0">
                  <c:v>-0.3</c:v>
                </c:pt>
                <c:pt idx="8" formatCode="0.0">
                  <c:v>0.6</c:v>
                </c:pt>
                <c:pt idx="9" formatCode="0.0">
                  <c:v>1.2</c:v>
                </c:pt>
                <c:pt idx="10" formatCode="0.0">
                  <c:v>-0.2</c:v>
                </c:pt>
                <c:pt idx="11" formatCode="0.0">
                  <c:v>0</c:v>
                </c:pt>
                <c:pt idx="12" formatCode="0.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BE-4347-B3A8-B3D892D588E7}"/>
            </c:ext>
          </c:extLst>
        </c:ser>
        <c:ser>
          <c:idx val="1"/>
          <c:order val="1"/>
          <c:tx>
            <c:strRef>
              <c:f>Sheet1!$D$1:$D$6</c:f>
              <c:strCache>
                <c:ptCount val="6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Sheet1!$D$7:$D$19</c:f>
              <c:numCache>
                <c:formatCode>General</c:formatCode>
                <c:ptCount val="13"/>
                <c:pt idx="0">
                  <c:v>1.4</c:v>
                </c:pt>
                <c:pt idx="1">
                  <c:v>0.8</c:v>
                </c:pt>
                <c:pt idx="2" formatCode="0.0">
                  <c:v>0.5</c:v>
                </c:pt>
                <c:pt idx="3" formatCode="0.0">
                  <c:v>0.7</c:v>
                </c:pt>
                <c:pt idx="4">
                  <c:v>0.6</c:v>
                </c:pt>
                <c:pt idx="5" formatCode="0.0">
                  <c:v>0.3</c:v>
                </c:pt>
                <c:pt idx="6" formatCode="0.0">
                  <c:v>0.3</c:v>
                </c:pt>
                <c:pt idx="7" formatCode="0.0">
                  <c:v>0.1</c:v>
                </c:pt>
                <c:pt idx="8" formatCode="0.0">
                  <c:v>0.4</c:v>
                </c:pt>
                <c:pt idx="9" formatCode="0.0">
                  <c:v>0.2</c:v>
                </c:pt>
                <c:pt idx="10" formatCode="0.0">
                  <c:v>0</c:v>
                </c:pt>
                <c:pt idx="11" formatCode="0.0">
                  <c:v>0.3</c:v>
                </c:pt>
                <c:pt idx="12" formatCode="0.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BE-4347-B3A8-B3D892D58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921624"/>
        <c:axId val="207922016"/>
      </c:lineChart>
      <c:catAx>
        <c:axId val="207921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7922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792201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79216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253"/>
          <c:w val="0.47139731021615866"/>
          <c:h val="0.1575434723218172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Word]Decembar2019'!$A$2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'[Chart in Microsoft Word]Decembar2019'!$B$1:$N$1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'[Chart in Microsoft Word]Decembar2019'!$B$2:$N$2</c:f>
              <c:numCache>
                <c:formatCode>0</c:formatCode>
                <c:ptCount val="13"/>
                <c:pt idx="0">
                  <c:v>297395.20878000121</c:v>
                </c:pt>
                <c:pt idx="1">
                  <c:v>374772.00590000238</c:v>
                </c:pt>
                <c:pt idx="2">
                  <c:v>446767.72138000285</c:v>
                </c:pt>
                <c:pt idx="3">
                  <c:v>419997.88780000038</c:v>
                </c:pt>
                <c:pt idx="4">
                  <c:v>412899.51606000058</c:v>
                </c:pt>
                <c:pt idx="5">
                  <c:v>395807.41688000044</c:v>
                </c:pt>
                <c:pt idx="6">
                  <c:v>435641.61210000189</c:v>
                </c:pt>
                <c:pt idx="7">
                  <c:v>373310.25345999817</c:v>
                </c:pt>
                <c:pt idx="8">
                  <c:v>398305.93908000021</c:v>
                </c:pt>
                <c:pt idx="9">
                  <c:v>430244.33815999882</c:v>
                </c:pt>
                <c:pt idx="10">
                  <c:v>402880.54239999782</c:v>
                </c:pt>
                <c:pt idx="11">
                  <c:v>392080.80258000328</c:v>
                </c:pt>
                <c:pt idx="12">
                  <c:v>300584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69-4A6F-BD5A-39E16044ECD8}"/>
            </c:ext>
          </c:extLst>
        </c:ser>
        <c:ser>
          <c:idx val="1"/>
          <c:order val="1"/>
          <c:tx>
            <c:strRef>
              <c:f>'[Chart in Microsoft Word]Decembar2019'!$A$3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'[Chart in Microsoft Word]Decembar2019'!$B$1:$N$1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'[Chart in Microsoft Word]Decembar2019'!$B$3:$N$3</c:f>
              <c:numCache>
                <c:formatCode>0</c:formatCode>
                <c:ptCount val="13"/>
                <c:pt idx="0">
                  <c:v>269795.38509000011</c:v>
                </c:pt>
                <c:pt idx="1">
                  <c:v>293778.36325000017</c:v>
                </c:pt>
                <c:pt idx="2">
                  <c:v>313872.62498999893</c:v>
                </c:pt>
                <c:pt idx="3">
                  <c:v>309650.38189000031</c:v>
                </c:pt>
                <c:pt idx="4">
                  <c:v>308814.45397999894</c:v>
                </c:pt>
                <c:pt idx="5">
                  <c:v>309564.82804000058</c:v>
                </c:pt>
                <c:pt idx="6">
                  <c:v>341982.36024999985</c:v>
                </c:pt>
                <c:pt idx="7">
                  <c:v>251948.06277999975</c:v>
                </c:pt>
                <c:pt idx="8">
                  <c:v>309173.86589999998</c:v>
                </c:pt>
                <c:pt idx="9">
                  <c:v>318340.65816000075</c:v>
                </c:pt>
                <c:pt idx="10">
                  <c:v>305453.39232000004</c:v>
                </c:pt>
                <c:pt idx="11">
                  <c:v>268498.88753000041</c:v>
                </c:pt>
                <c:pt idx="12">
                  <c:v>250796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69-4A6F-BD5A-39E16044E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BC4E-9D3B-45D0-BFC0-29367179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845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6275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4</cp:revision>
  <cp:lastPrinted>2018-12-21T13:27:00Z</cp:lastPrinted>
  <dcterms:created xsi:type="dcterms:W3CDTF">2020-03-02T11:22:00Z</dcterms:created>
  <dcterms:modified xsi:type="dcterms:W3CDTF">2020-03-02T13:06:00Z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