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443D15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43D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443D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I</w:t>
            </w:r>
            <w:r w:rsidR="00797731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6C418B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7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5A718D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3</w:t>
            </w:r>
            <w:r w:rsidR="00443D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3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6C418B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7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443D15" w:rsidP="006D71F8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фебруар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6D71F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7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785D42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85D4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2E75DE" w:rsidRPr="00785D4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јануару</w:t>
      </w:r>
      <w:r w:rsidRPr="00785D4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2E75DE" w:rsidRPr="00785D4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9E40AA" w:rsidRPr="00785D4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Pr="00785D4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785D4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785D42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785D4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785D42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785D42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5F6D3F" w:rsidRPr="00785D42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9E40AA" w:rsidRPr="00785D42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2E75DE" w:rsidRPr="00785D42">
        <w:rPr>
          <w:rFonts w:ascii="Arial Narrow" w:hAnsi="Arial Narrow" w:cs="Tahoma"/>
          <w:b/>
          <w:sz w:val="28"/>
          <w:szCs w:val="28"/>
          <w:lang w:val="ru-RU"/>
        </w:rPr>
        <w:t>8</w:t>
      </w:r>
      <w:r w:rsidRPr="00785D42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785D42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785D42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785D42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785D42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785D42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785D4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52176" w:rsidRPr="00785D42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652176" w:rsidRPr="00785D4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785D42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9E40AA" w:rsidRPr="00785D42">
        <w:rPr>
          <w:rFonts w:ascii="Arial Narrow" w:hAnsi="Arial Narrow" w:cs="Tahoma"/>
          <w:b/>
          <w:sz w:val="28"/>
          <w:szCs w:val="28"/>
          <w:lang w:val="sr-Cyrl-BA"/>
        </w:rPr>
        <w:t>2</w:t>
      </w:r>
      <w:r w:rsidR="002E75DE" w:rsidRPr="00785D42">
        <w:rPr>
          <w:rFonts w:ascii="Arial Narrow" w:hAnsi="Arial Narrow" w:cs="Tahoma"/>
          <w:b/>
          <w:sz w:val="28"/>
          <w:szCs w:val="28"/>
          <w:lang w:val="sr-Cyrl-BA"/>
        </w:rPr>
        <w:t>7</w:t>
      </w:r>
      <w:r w:rsidRPr="00785D42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785D4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785D42">
        <w:rPr>
          <w:rFonts w:ascii="Tahoma" w:hAnsi="Tahoma" w:cs="Tahoma"/>
          <w:b/>
          <w:lang w:val="sr-Cyrl-CS"/>
        </w:rPr>
        <w:tab/>
      </w:r>
      <w:r w:rsidRPr="00785D42">
        <w:rPr>
          <w:rFonts w:ascii="Tahoma" w:hAnsi="Tahoma" w:cs="Tahoma"/>
          <w:b/>
          <w:lang w:val="sr-Cyrl-CS"/>
        </w:rPr>
        <w:tab/>
      </w:r>
    </w:p>
    <w:p w:rsidR="00B82005" w:rsidRPr="00785D42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785D42">
        <w:rPr>
          <w:rFonts w:ascii="Arial Narrow" w:hAnsi="Arial Narrow" w:cs="Tahoma"/>
          <w:sz w:val="22"/>
          <w:lang w:val="sr-Cyrl-BA"/>
        </w:rPr>
        <w:t>П</w:t>
      </w:r>
      <w:r w:rsidRPr="00785D42">
        <w:rPr>
          <w:rFonts w:ascii="Arial Narrow" w:hAnsi="Arial Narrow" w:cs="Tahoma"/>
          <w:sz w:val="22"/>
          <w:lang w:val="sr-Cyrl-CS"/>
        </w:rPr>
        <w:t>росјечна</w:t>
      </w:r>
      <w:r w:rsidRPr="00785D42">
        <w:rPr>
          <w:rFonts w:ascii="Arial Narrow" w:hAnsi="Arial Narrow" w:cs="Tahoma"/>
          <w:sz w:val="22"/>
          <w:lang w:val="ru-RU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>мјесечна нето плата</w:t>
      </w:r>
      <w:r w:rsidRPr="00785D42">
        <w:rPr>
          <w:rFonts w:ascii="Arial Narrow" w:hAnsi="Arial Narrow" w:cs="Tahoma"/>
          <w:b/>
          <w:sz w:val="22"/>
          <w:lang w:val="ru-RU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785D42">
        <w:rPr>
          <w:rFonts w:ascii="Arial Narrow" w:hAnsi="Arial Narrow" w:cs="Tahoma"/>
          <w:b/>
          <w:sz w:val="22"/>
          <w:lang w:val="ru-RU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2E75DE" w:rsidRPr="00785D42">
        <w:rPr>
          <w:rFonts w:ascii="Arial Narrow" w:hAnsi="Arial Narrow" w:cs="Tahoma"/>
          <w:sz w:val="22"/>
          <w:lang w:val="sr-Cyrl-CS"/>
        </w:rPr>
        <w:t>јануару</w:t>
      </w:r>
      <w:r w:rsidRPr="00785D42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785D42">
        <w:rPr>
          <w:rFonts w:ascii="Arial Narrow" w:hAnsi="Arial Narrow" w:cs="Tahoma"/>
          <w:sz w:val="22"/>
          <w:lang w:val="sr-Cyrl-CS"/>
        </w:rPr>
        <w:t>7</w:t>
      </w:r>
      <w:r w:rsidRPr="00785D42">
        <w:rPr>
          <w:rFonts w:ascii="Arial Narrow" w:hAnsi="Arial Narrow" w:cs="Tahoma"/>
          <w:sz w:val="22"/>
          <w:lang w:val="sr-Cyrl-CS"/>
        </w:rPr>
        <w:t>.</w:t>
      </w:r>
      <w:r w:rsidRPr="00785D42">
        <w:rPr>
          <w:rFonts w:ascii="Arial Narrow" w:hAnsi="Arial Narrow" w:cs="Tahoma"/>
          <w:sz w:val="22"/>
          <w:lang w:val="ru-RU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785D42">
        <w:rPr>
          <w:rFonts w:ascii="Arial Narrow" w:hAnsi="Arial Narrow" w:cs="Tahoma"/>
          <w:sz w:val="22"/>
          <w:lang w:val="sr-Cyrl-BA"/>
        </w:rPr>
        <w:t>ла је</w:t>
      </w:r>
      <w:r w:rsidRPr="00785D42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>8</w:t>
      </w:r>
      <w:r w:rsidR="002E75DE" w:rsidRPr="00785D42">
        <w:rPr>
          <w:rFonts w:ascii="Arial Narrow" w:hAnsi="Arial Narrow" w:cs="Tahoma"/>
          <w:sz w:val="22"/>
          <w:lang w:val="sr-Cyrl-CS"/>
        </w:rPr>
        <w:t>1</w:t>
      </w:r>
      <w:r w:rsidR="009E40AA" w:rsidRPr="00785D42">
        <w:rPr>
          <w:rFonts w:ascii="Arial Narrow" w:hAnsi="Arial Narrow" w:cs="Tahoma"/>
          <w:sz w:val="22"/>
          <w:lang w:val="sr-Cyrl-CS"/>
        </w:rPr>
        <w:t>5</w:t>
      </w:r>
      <w:r w:rsidRPr="00785D42">
        <w:rPr>
          <w:rFonts w:ascii="Arial Narrow" w:hAnsi="Arial Narrow" w:cs="Tahoma"/>
          <w:sz w:val="22"/>
          <w:lang w:val="sr-Cyrl-CS"/>
        </w:rPr>
        <w:t xml:space="preserve"> КМ</w:t>
      </w:r>
      <w:r w:rsidRPr="00785D42">
        <w:rPr>
          <w:rFonts w:ascii="Arial Narrow" w:hAnsi="Arial Narrow" w:cs="Tahoma"/>
          <w:sz w:val="22"/>
          <w:lang w:val="hr-HR"/>
        </w:rPr>
        <w:t>,</w:t>
      </w:r>
      <w:r w:rsidRPr="00785D42">
        <w:rPr>
          <w:rFonts w:ascii="Arial Narrow" w:hAnsi="Arial Narrow" w:cs="Tahoma"/>
          <w:sz w:val="22"/>
          <w:lang w:val="ru-RU"/>
        </w:rPr>
        <w:t xml:space="preserve"> а п</w:t>
      </w:r>
      <w:r w:rsidRPr="00785D42">
        <w:rPr>
          <w:rFonts w:ascii="Arial Narrow" w:hAnsi="Arial Narrow" w:cs="Tahoma"/>
          <w:sz w:val="22"/>
          <w:lang w:val="sr-Cyrl-CS"/>
        </w:rPr>
        <w:t>росјечна</w:t>
      </w:r>
      <w:r w:rsidRPr="00785D42">
        <w:rPr>
          <w:rFonts w:ascii="Arial Narrow" w:hAnsi="Arial Narrow" w:cs="Tahoma"/>
          <w:sz w:val="22"/>
          <w:lang w:val="ru-RU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785D42">
        <w:rPr>
          <w:rFonts w:ascii="Arial Narrow" w:hAnsi="Arial Narrow" w:cs="Tahoma"/>
          <w:sz w:val="22"/>
          <w:lang w:val="ru-RU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>1 3</w:t>
      </w:r>
      <w:r w:rsidR="002E75DE" w:rsidRPr="00785D42">
        <w:rPr>
          <w:rFonts w:ascii="Arial Narrow" w:hAnsi="Arial Narrow" w:cs="Tahoma"/>
          <w:sz w:val="22"/>
          <w:lang w:val="sr-Cyrl-CS"/>
        </w:rPr>
        <w:t>0</w:t>
      </w:r>
      <w:r w:rsidR="000B278C" w:rsidRPr="00785D42">
        <w:rPr>
          <w:rFonts w:ascii="Arial Narrow" w:hAnsi="Arial Narrow" w:cs="Tahoma"/>
          <w:sz w:val="22"/>
          <w:lang w:val="sr-Cyrl-CS"/>
        </w:rPr>
        <w:t>4</w:t>
      </w:r>
      <w:r w:rsidR="00F0781C" w:rsidRPr="00785D42">
        <w:rPr>
          <w:rFonts w:ascii="Arial Narrow" w:hAnsi="Arial Narrow" w:cs="Tahoma"/>
          <w:sz w:val="22"/>
          <w:lang w:val="sr-Cyrl-CS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>КМ.</w:t>
      </w:r>
      <w:r w:rsidR="00B82005" w:rsidRPr="00785D42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785D42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785D42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785D42">
        <w:rPr>
          <w:rFonts w:ascii="Arial Narrow" w:hAnsi="Arial Narrow" w:cs="Tahoma"/>
          <w:sz w:val="22"/>
          <w:lang w:val="sr-Latn-CS"/>
        </w:rPr>
        <w:t xml:space="preserve">У </w:t>
      </w:r>
      <w:r w:rsidRPr="00785D42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2E75DE" w:rsidRPr="00785D42">
        <w:rPr>
          <w:rFonts w:ascii="Arial Narrow" w:hAnsi="Arial Narrow" w:cs="Tahoma"/>
          <w:sz w:val="22"/>
          <w:lang w:val="sr-Cyrl-CS"/>
        </w:rPr>
        <w:t>јануар</w:t>
      </w:r>
      <w:r w:rsidRPr="00785D42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785D42">
        <w:rPr>
          <w:rFonts w:ascii="Arial Narrow" w:hAnsi="Arial Narrow" w:cs="Tahoma"/>
          <w:sz w:val="22"/>
          <w:lang w:val="sr-Cyrl-CS"/>
        </w:rPr>
        <w:t>6</w:t>
      </w:r>
      <w:r w:rsidRPr="00785D42">
        <w:rPr>
          <w:rFonts w:ascii="Arial Narrow" w:hAnsi="Arial Narrow" w:cs="Tahoma"/>
          <w:sz w:val="22"/>
          <w:lang w:val="sr-Cyrl-CS"/>
        </w:rPr>
        <w:t xml:space="preserve">. </w:t>
      </w:r>
      <w:r w:rsidRPr="00785D42">
        <w:rPr>
          <w:rFonts w:ascii="Arial Narrow" w:hAnsi="Arial Narrow" w:cs="Tahoma"/>
          <w:sz w:val="22"/>
          <w:lang w:val="sr-Cyrl-BA"/>
        </w:rPr>
        <w:t>г</w:t>
      </w:r>
      <w:r w:rsidRPr="00785D42">
        <w:rPr>
          <w:rFonts w:ascii="Arial Narrow" w:hAnsi="Arial Narrow" w:cs="Tahoma"/>
          <w:sz w:val="22"/>
          <w:lang w:val="sr-Cyrl-CS"/>
        </w:rPr>
        <w:t>одине</w:t>
      </w:r>
      <w:r w:rsidRPr="00785D42">
        <w:rPr>
          <w:rFonts w:ascii="Arial Narrow" w:hAnsi="Arial Narrow" w:cs="Tahoma"/>
          <w:sz w:val="22"/>
          <w:lang w:val="sr-Latn-BA"/>
        </w:rPr>
        <w:t>,</w:t>
      </w:r>
      <w:r w:rsidRPr="00785D42">
        <w:rPr>
          <w:rFonts w:ascii="Arial Narrow" w:hAnsi="Arial Narrow" w:cs="Tahoma"/>
          <w:sz w:val="22"/>
          <w:lang w:val="sr-Cyrl-BA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2E75DE" w:rsidRPr="00785D42">
        <w:rPr>
          <w:rFonts w:ascii="Arial Narrow" w:hAnsi="Arial Narrow" w:cs="Tahoma"/>
          <w:sz w:val="22"/>
          <w:lang w:val="sr-Cyrl-CS"/>
        </w:rPr>
        <w:t>јануару</w:t>
      </w:r>
      <w:r w:rsidRPr="00785D42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785D42">
        <w:rPr>
          <w:rFonts w:ascii="Arial Narrow" w:hAnsi="Arial Narrow" w:cs="Tahoma"/>
          <w:sz w:val="22"/>
          <w:lang w:val="sr-Cyrl-CS"/>
        </w:rPr>
        <w:t>7</w:t>
      </w:r>
      <w:r w:rsidRPr="00785D42">
        <w:rPr>
          <w:rFonts w:ascii="Arial Narrow" w:hAnsi="Arial Narrow" w:cs="Tahoma"/>
          <w:sz w:val="22"/>
          <w:lang w:val="sr-Cyrl-CS"/>
        </w:rPr>
        <w:t xml:space="preserve">. реално је </w:t>
      </w:r>
      <w:r w:rsidR="002E75DE" w:rsidRPr="00785D42">
        <w:rPr>
          <w:rFonts w:ascii="Arial Narrow" w:hAnsi="Arial Narrow" w:cs="Tahoma"/>
          <w:sz w:val="22"/>
          <w:lang w:val="sr-Cyrl-CS"/>
        </w:rPr>
        <w:t>мања</w:t>
      </w:r>
      <w:r w:rsidRPr="00785D42">
        <w:rPr>
          <w:rFonts w:ascii="Arial Narrow" w:hAnsi="Arial Narrow" w:cs="Tahoma"/>
          <w:sz w:val="22"/>
          <w:lang w:val="sr-Cyrl-CS"/>
        </w:rPr>
        <w:t xml:space="preserve"> за </w:t>
      </w:r>
      <w:r w:rsidR="009E40AA" w:rsidRPr="00785D42">
        <w:rPr>
          <w:rFonts w:ascii="Arial Narrow" w:hAnsi="Arial Narrow" w:cs="Tahoma"/>
          <w:sz w:val="22"/>
          <w:lang w:val="sr-Cyrl-CS"/>
        </w:rPr>
        <w:t>0</w:t>
      </w:r>
      <w:r w:rsidRPr="00785D42">
        <w:rPr>
          <w:rFonts w:ascii="Arial Narrow" w:hAnsi="Arial Narrow" w:cs="Tahoma"/>
          <w:sz w:val="22"/>
          <w:lang w:val="sr-Cyrl-CS"/>
        </w:rPr>
        <w:t>,</w:t>
      </w:r>
      <w:r w:rsidR="002E75DE" w:rsidRPr="00785D42">
        <w:rPr>
          <w:rFonts w:ascii="Arial Narrow" w:hAnsi="Arial Narrow" w:cs="Tahoma"/>
          <w:sz w:val="22"/>
          <w:lang w:val="sr-Cyrl-CS"/>
        </w:rPr>
        <w:t>6</w:t>
      </w:r>
      <w:r w:rsidRPr="00785D42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2E75DE" w:rsidRPr="00785D42">
        <w:rPr>
          <w:rFonts w:ascii="Arial Narrow" w:hAnsi="Arial Narrow" w:cs="Tahoma"/>
          <w:sz w:val="22"/>
          <w:lang w:val="sr-Cyrl-CS"/>
        </w:rPr>
        <w:t>дец</w:t>
      </w:r>
      <w:r w:rsidR="009E40AA" w:rsidRPr="00785D42">
        <w:rPr>
          <w:rFonts w:ascii="Arial Narrow" w:hAnsi="Arial Narrow" w:cs="Tahoma"/>
          <w:sz w:val="22"/>
          <w:lang w:val="sr-Cyrl-CS"/>
        </w:rPr>
        <w:t>ем</w:t>
      </w:r>
      <w:r w:rsidR="003E5596" w:rsidRPr="00785D42">
        <w:rPr>
          <w:rFonts w:ascii="Arial Narrow" w:hAnsi="Arial Narrow" w:cs="Tahoma"/>
          <w:sz w:val="22"/>
          <w:lang w:val="sr-Cyrl-CS"/>
        </w:rPr>
        <w:t>бар</w:t>
      </w:r>
      <w:r w:rsidRPr="00785D42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785D42">
        <w:rPr>
          <w:rFonts w:ascii="Arial Narrow" w:hAnsi="Arial Narrow" w:cs="Tahoma"/>
          <w:sz w:val="22"/>
          <w:lang w:val="sr-Cyrl-CS"/>
        </w:rPr>
        <w:t>6</w:t>
      </w:r>
      <w:r w:rsidRPr="00785D42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9E40AA" w:rsidRPr="00785D42">
        <w:rPr>
          <w:rFonts w:ascii="Arial Narrow" w:hAnsi="Arial Narrow" w:cs="Tahoma"/>
          <w:sz w:val="22"/>
          <w:lang w:val="sr-Cyrl-CS"/>
        </w:rPr>
        <w:t>мања</w:t>
      </w:r>
      <w:r w:rsidR="00675807" w:rsidRPr="00785D42">
        <w:rPr>
          <w:rFonts w:ascii="Arial Narrow" w:hAnsi="Arial Narrow" w:cs="Tahoma"/>
          <w:sz w:val="22"/>
          <w:lang w:val="sr-Cyrl-CS"/>
        </w:rPr>
        <w:t xml:space="preserve"> за </w:t>
      </w:r>
      <w:r w:rsidR="002E75DE" w:rsidRPr="00785D42">
        <w:rPr>
          <w:rFonts w:ascii="Arial Narrow" w:hAnsi="Arial Narrow" w:cs="Tahoma"/>
          <w:sz w:val="22"/>
          <w:lang w:val="sr-Cyrl-CS"/>
        </w:rPr>
        <w:t>3</w:t>
      </w:r>
      <w:r w:rsidR="00675807" w:rsidRPr="00785D42">
        <w:rPr>
          <w:rFonts w:ascii="Arial Narrow" w:hAnsi="Arial Narrow" w:cs="Tahoma"/>
          <w:sz w:val="22"/>
          <w:lang w:val="sr-Cyrl-CS"/>
        </w:rPr>
        <w:t>,</w:t>
      </w:r>
      <w:r w:rsidR="009E40AA" w:rsidRPr="00785D42">
        <w:rPr>
          <w:rFonts w:ascii="Arial Narrow" w:hAnsi="Arial Narrow" w:cs="Tahoma"/>
          <w:sz w:val="22"/>
          <w:lang w:val="sr-Cyrl-CS"/>
        </w:rPr>
        <w:t>3</w:t>
      </w:r>
      <w:r w:rsidR="00675807" w:rsidRPr="00785D42">
        <w:rPr>
          <w:rFonts w:ascii="Arial Narrow" w:hAnsi="Arial Narrow" w:cs="Tahoma"/>
          <w:sz w:val="22"/>
          <w:lang w:val="sr-Cyrl-CS"/>
        </w:rPr>
        <w:t>%</w:t>
      </w:r>
      <w:r w:rsidRPr="00785D42">
        <w:rPr>
          <w:rFonts w:ascii="Arial Narrow" w:hAnsi="Arial Narrow" w:cs="Tahoma"/>
          <w:sz w:val="22"/>
          <w:lang w:val="sr-Cyrl-CS"/>
        </w:rPr>
        <w:t>.</w:t>
      </w:r>
    </w:p>
    <w:p w:rsidR="00443D15" w:rsidRPr="00785D42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43D15" w:rsidRPr="00785D42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785D42">
        <w:rPr>
          <w:rFonts w:ascii="Arial Narrow" w:hAnsi="Arial Narrow" w:cs="Tahoma"/>
          <w:sz w:val="22"/>
          <w:lang w:val="sr-Cyrl-BA"/>
        </w:rPr>
        <w:t>До смањења просјечне нето плате у јануару 201</w:t>
      </w:r>
      <w:r w:rsidR="00D8249E">
        <w:rPr>
          <w:rFonts w:ascii="Arial Narrow" w:hAnsi="Arial Narrow" w:cs="Tahoma"/>
          <w:sz w:val="22"/>
          <w:lang w:val="sr-Latn-BA"/>
        </w:rPr>
        <w:t>7</w:t>
      </w:r>
      <w:r w:rsidRPr="00785D42">
        <w:rPr>
          <w:rFonts w:ascii="Arial Narrow" w:hAnsi="Arial Narrow" w:cs="Tahoma"/>
          <w:sz w:val="22"/>
          <w:lang w:val="sr-Cyrl-BA"/>
        </w:rPr>
        <w:t>. године у односу на децембар 201</w:t>
      </w:r>
      <w:r w:rsidR="00D8249E">
        <w:rPr>
          <w:rFonts w:ascii="Arial Narrow" w:hAnsi="Arial Narrow" w:cs="Tahoma"/>
          <w:sz w:val="22"/>
          <w:lang w:val="sr-Latn-BA"/>
        </w:rPr>
        <w:t>6</w:t>
      </w:r>
      <w:r w:rsidRPr="00785D42">
        <w:rPr>
          <w:rFonts w:ascii="Arial Narrow" w:hAnsi="Arial Narrow" w:cs="Tahoma"/>
          <w:sz w:val="22"/>
          <w:lang w:val="sr-Cyrl-BA"/>
        </w:rPr>
        <w:t>. дошло је углавном због великог броја субјеката који у јануару нису имали исплату, а који имају висок просјек плате и запошљавају значајан број радника.</w:t>
      </w:r>
    </w:p>
    <w:p w:rsidR="00B747A8" w:rsidRPr="00785D42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E33D13" w:rsidRPr="00785D4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785D42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785D42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2E75DE" w:rsidRPr="00785D42">
        <w:rPr>
          <w:rFonts w:ascii="Arial Narrow" w:hAnsi="Arial Narrow" w:cs="Tahoma"/>
          <w:sz w:val="22"/>
          <w:lang w:val="sr-Cyrl-CS"/>
        </w:rPr>
        <w:t>јануару</w:t>
      </w:r>
      <w:r w:rsidRPr="00785D42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785D42">
        <w:rPr>
          <w:rFonts w:ascii="Arial Narrow" w:hAnsi="Arial Narrow" w:cs="Tahoma"/>
          <w:sz w:val="22"/>
          <w:lang w:val="sr-Cyrl-CS"/>
        </w:rPr>
        <w:t>7</w:t>
      </w:r>
      <w:r w:rsidRPr="00785D42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785D42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785D42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785D42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785D42">
        <w:rPr>
          <w:rFonts w:ascii="Arial Narrow" w:hAnsi="Arial Narrow" w:cs="Tahoma"/>
          <w:sz w:val="22"/>
          <w:lang w:val="sr-Cyrl-CS"/>
        </w:rPr>
        <w:t>ла је</w:t>
      </w:r>
      <w:r w:rsidRPr="00785D42">
        <w:rPr>
          <w:rFonts w:ascii="Arial Narrow" w:hAnsi="Arial Narrow" w:cs="Tahoma"/>
          <w:sz w:val="22"/>
          <w:lang w:val="sr-Cyrl-CS"/>
        </w:rPr>
        <w:t xml:space="preserve"> 1 </w:t>
      </w:r>
      <w:r w:rsidR="005F6D3F" w:rsidRPr="00785D42">
        <w:rPr>
          <w:rFonts w:ascii="Arial Narrow" w:hAnsi="Arial Narrow" w:cs="Tahoma"/>
          <w:sz w:val="22"/>
          <w:lang w:val="sr-Cyrl-CS"/>
        </w:rPr>
        <w:t>2</w:t>
      </w:r>
      <w:r w:rsidR="009E40AA" w:rsidRPr="00785D42">
        <w:rPr>
          <w:rFonts w:ascii="Arial Narrow" w:hAnsi="Arial Narrow" w:cs="Tahoma"/>
          <w:sz w:val="22"/>
          <w:lang w:val="sr-Cyrl-CS"/>
        </w:rPr>
        <w:t>3</w:t>
      </w:r>
      <w:r w:rsidR="002E75DE" w:rsidRPr="00785D42">
        <w:rPr>
          <w:rFonts w:ascii="Arial Narrow" w:hAnsi="Arial Narrow" w:cs="Tahoma"/>
          <w:sz w:val="22"/>
          <w:lang w:val="sr-Cyrl-CS"/>
        </w:rPr>
        <w:t>8</w:t>
      </w:r>
      <w:r w:rsidRPr="00785D42">
        <w:rPr>
          <w:rFonts w:ascii="Arial Narrow" w:hAnsi="Arial Narrow" w:cs="Tahoma"/>
          <w:sz w:val="22"/>
          <w:lang w:val="sr-Cyrl-CS"/>
        </w:rPr>
        <w:t xml:space="preserve"> КМ</w:t>
      </w:r>
      <w:r w:rsidRPr="00785D42">
        <w:rPr>
          <w:rFonts w:ascii="Arial Narrow" w:hAnsi="Arial Narrow" w:cs="Tahoma"/>
          <w:sz w:val="22"/>
          <w:lang w:val="sr-Latn-CS"/>
        </w:rPr>
        <w:t>. Са друге стране,</w:t>
      </w:r>
      <w:r w:rsidRPr="00785D42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785D42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785D42">
        <w:rPr>
          <w:rFonts w:ascii="Arial Narrow" w:hAnsi="Arial Narrow" w:cs="Tahoma"/>
          <w:sz w:val="22"/>
          <w:lang w:val="sr-Cyrl-BA"/>
        </w:rPr>
        <w:t>нето</w:t>
      </w:r>
      <w:r w:rsidR="00F54DF7" w:rsidRPr="00785D42">
        <w:rPr>
          <w:rFonts w:ascii="Arial Narrow" w:hAnsi="Arial Narrow" w:cs="Tahoma"/>
          <w:sz w:val="22"/>
          <w:lang w:val="sr-Latn-BA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 xml:space="preserve">плата у </w:t>
      </w:r>
      <w:r w:rsidR="002E75DE" w:rsidRPr="00785D42">
        <w:rPr>
          <w:rFonts w:ascii="Arial Narrow" w:hAnsi="Arial Narrow" w:cs="Tahoma"/>
          <w:sz w:val="22"/>
          <w:lang w:val="sr-Cyrl-CS"/>
        </w:rPr>
        <w:t>јануару</w:t>
      </w:r>
      <w:r w:rsidRPr="00785D42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785D42">
        <w:rPr>
          <w:rFonts w:ascii="Arial Narrow" w:hAnsi="Arial Narrow" w:cs="Tahoma"/>
          <w:sz w:val="22"/>
          <w:lang w:val="sr-Cyrl-CS"/>
        </w:rPr>
        <w:t>7</w:t>
      </w:r>
      <w:r w:rsidRPr="00785D42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785D42">
        <w:rPr>
          <w:rFonts w:ascii="Arial Narrow" w:hAnsi="Arial Narrow" w:cs="Tahoma"/>
          <w:sz w:val="22"/>
          <w:lang w:val="sr-Cyrl-CS"/>
        </w:rPr>
        <w:t>у</w:t>
      </w:r>
      <w:r w:rsidRPr="00785D42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652176"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785D42">
        <w:rPr>
          <w:rFonts w:ascii="Arial Narrow" w:hAnsi="Arial Narrow" w:cs="Tahoma"/>
          <w:sz w:val="22"/>
          <w:lang w:val="sr-Cyrl-BA"/>
        </w:rPr>
        <w:t>5</w:t>
      </w:r>
      <w:r w:rsidR="009E40AA" w:rsidRPr="00785D42">
        <w:rPr>
          <w:rFonts w:ascii="Arial Narrow" w:hAnsi="Arial Narrow" w:cs="Tahoma"/>
          <w:sz w:val="22"/>
          <w:lang w:val="sr-Cyrl-BA"/>
        </w:rPr>
        <w:t>2</w:t>
      </w:r>
      <w:r w:rsidR="002E75DE" w:rsidRPr="00785D42">
        <w:rPr>
          <w:rFonts w:ascii="Arial Narrow" w:hAnsi="Arial Narrow" w:cs="Tahoma"/>
          <w:sz w:val="22"/>
          <w:lang w:val="sr-Cyrl-BA"/>
        </w:rPr>
        <w:t>7</w:t>
      </w:r>
      <w:r w:rsidRPr="00785D42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785D42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785D42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785D42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2E75DE" w:rsidRPr="00785D42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="000F053E" w:rsidRPr="00785D4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85D42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785D42">
        <w:rPr>
          <w:rFonts w:ascii="Arial Narrow" w:hAnsi="Arial Narrow" w:cs="Tahoma"/>
          <w:sz w:val="22"/>
          <w:szCs w:val="22"/>
          <w:lang w:val="ru-RU"/>
        </w:rPr>
        <w:t>7</w:t>
      </w:r>
      <w:r w:rsidRPr="00785D42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2E75DE" w:rsidRPr="00785D42">
        <w:rPr>
          <w:rFonts w:ascii="Arial Narrow" w:hAnsi="Arial Narrow" w:cs="Tahoma"/>
          <w:sz w:val="22"/>
          <w:szCs w:val="22"/>
          <w:lang w:val="ru-RU"/>
        </w:rPr>
        <w:t>дец</w:t>
      </w:r>
      <w:r w:rsidR="009E40AA" w:rsidRPr="00785D42">
        <w:rPr>
          <w:rFonts w:ascii="Arial Narrow" w:hAnsi="Arial Narrow" w:cs="Tahoma"/>
          <w:sz w:val="22"/>
          <w:szCs w:val="22"/>
          <w:lang w:val="ru-RU"/>
        </w:rPr>
        <w:t>ем</w:t>
      </w:r>
      <w:r w:rsidR="003E5596" w:rsidRPr="00785D42">
        <w:rPr>
          <w:rFonts w:ascii="Arial Narrow" w:hAnsi="Arial Narrow" w:cs="Tahoma"/>
          <w:sz w:val="22"/>
          <w:szCs w:val="22"/>
          <w:lang w:val="sr-Cyrl-CS"/>
        </w:rPr>
        <w:t>бар</w:t>
      </w:r>
      <w:r w:rsidR="000F053E" w:rsidRPr="00785D4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85D42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785D42">
        <w:rPr>
          <w:rFonts w:ascii="Arial Narrow" w:hAnsi="Arial Narrow" w:cs="Tahoma"/>
          <w:sz w:val="22"/>
          <w:szCs w:val="22"/>
          <w:lang w:val="ru-RU"/>
        </w:rPr>
        <w:t>6</w:t>
      </w:r>
      <w:r w:rsidRPr="00785D42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785D42">
        <w:rPr>
          <w:rFonts w:ascii="Arial Narrow" w:hAnsi="Arial Narrow" w:cs="Tahoma"/>
          <w:sz w:val="22"/>
          <w:szCs w:val="22"/>
          <w:lang w:val="sr-Latn-CS"/>
        </w:rPr>
        <w:t>р</w:t>
      </w:r>
      <w:r w:rsidRPr="00785D42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D04679"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E40AA"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Остале услужне дјелатности </w:t>
      </w:r>
      <w:r w:rsidR="002E75DE" w:rsidRPr="00785D42">
        <w:rPr>
          <w:rFonts w:ascii="Arial Narrow" w:hAnsi="Arial Narrow" w:cs="Tahoma"/>
          <w:sz w:val="22"/>
          <w:szCs w:val="22"/>
          <w:lang w:val="sr-Cyrl-BA"/>
        </w:rPr>
        <w:t>17</w:t>
      </w:r>
      <w:r w:rsidR="009E40AA" w:rsidRPr="00785D42">
        <w:rPr>
          <w:rFonts w:ascii="Arial Narrow" w:hAnsi="Arial Narrow" w:cs="Tahoma"/>
          <w:sz w:val="22"/>
          <w:szCs w:val="22"/>
          <w:lang w:val="sr-Cyrl-BA"/>
        </w:rPr>
        <w:t>,</w:t>
      </w:r>
      <w:r w:rsidR="002E75DE" w:rsidRPr="00785D42">
        <w:rPr>
          <w:rFonts w:ascii="Arial Narrow" w:hAnsi="Arial Narrow" w:cs="Tahoma"/>
          <w:sz w:val="22"/>
          <w:szCs w:val="22"/>
          <w:lang w:val="sr-Cyrl-BA"/>
        </w:rPr>
        <w:t>6</w:t>
      </w:r>
      <w:r w:rsidR="009E40AA" w:rsidRPr="00785D42">
        <w:rPr>
          <w:rFonts w:ascii="Arial Narrow" w:hAnsi="Arial Narrow" w:cs="Tahoma"/>
          <w:sz w:val="22"/>
          <w:szCs w:val="22"/>
          <w:lang w:val="sr-Cyrl-BA"/>
        </w:rPr>
        <w:t>%,</w:t>
      </w:r>
      <w:r w:rsidR="009E40AA"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2E75DE" w:rsidRPr="00785D42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 дјелатности</w:t>
      </w:r>
      <w:r w:rsidR="00600D0E" w:rsidRPr="00785D4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F6D3F" w:rsidRPr="00785D42">
        <w:rPr>
          <w:rFonts w:ascii="Arial Narrow" w:hAnsi="Arial Narrow" w:cs="Tahoma"/>
          <w:sz w:val="22"/>
          <w:szCs w:val="22"/>
          <w:lang w:val="sr-Cyrl-BA"/>
        </w:rPr>
        <w:t>1</w:t>
      </w:r>
      <w:r w:rsidR="002E75DE" w:rsidRPr="00785D42">
        <w:rPr>
          <w:rFonts w:ascii="Arial Narrow" w:hAnsi="Arial Narrow" w:cs="Tahoma"/>
          <w:sz w:val="22"/>
          <w:szCs w:val="22"/>
          <w:lang w:val="sr-Cyrl-BA"/>
        </w:rPr>
        <w:t>3</w:t>
      </w:r>
      <w:r w:rsidR="005F6D3F" w:rsidRPr="00785D42">
        <w:rPr>
          <w:rFonts w:ascii="Arial Narrow" w:hAnsi="Arial Narrow" w:cs="Tahoma"/>
          <w:sz w:val="22"/>
          <w:szCs w:val="22"/>
          <w:lang w:val="sr-Cyrl-BA"/>
        </w:rPr>
        <w:t>,</w:t>
      </w:r>
      <w:r w:rsidR="002E75DE" w:rsidRPr="00785D42">
        <w:rPr>
          <w:rFonts w:ascii="Arial Narrow" w:hAnsi="Arial Narrow" w:cs="Tahoma"/>
          <w:sz w:val="22"/>
          <w:szCs w:val="22"/>
          <w:lang w:val="sr-Cyrl-BA"/>
        </w:rPr>
        <w:t>8</w:t>
      </w:r>
      <w:r w:rsidR="005F6D3F" w:rsidRPr="00785D42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600D0E" w:rsidRPr="00785D42">
        <w:rPr>
          <w:rFonts w:ascii="Arial Narrow" w:hAnsi="Arial Narrow" w:cs="Tahoma"/>
          <w:sz w:val="22"/>
          <w:szCs w:val="22"/>
          <w:lang w:val="sr-Cyrl-BA"/>
        </w:rPr>
        <w:t>и</w:t>
      </w:r>
      <w:r w:rsidR="005F6D3F" w:rsidRPr="00785D4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E40AA" w:rsidRPr="00785D42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600D0E" w:rsidRPr="00785D4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E75DE" w:rsidRPr="00785D42">
        <w:rPr>
          <w:rFonts w:ascii="Arial Narrow" w:hAnsi="Arial Narrow" w:cs="Tahoma"/>
          <w:sz w:val="22"/>
          <w:lang w:val="ru-RU"/>
        </w:rPr>
        <w:t>2</w:t>
      </w:r>
      <w:r w:rsidR="000B278C" w:rsidRPr="00785D42">
        <w:rPr>
          <w:rFonts w:ascii="Arial Narrow" w:hAnsi="Arial Narrow" w:cs="Tahoma"/>
          <w:sz w:val="22"/>
          <w:szCs w:val="22"/>
          <w:lang w:val="sr-Cyrl-BA"/>
        </w:rPr>
        <w:t>,</w:t>
      </w:r>
      <w:r w:rsidR="002E75DE" w:rsidRPr="00785D42">
        <w:rPr>
          <w:rFonts w:ascii="Arial Narrow" w:hAnsi="Arial Narrow" w:cs="Tahoma"/>
          <w:sz w:val="22"/>
          <w:szCs w:val="22"/>
          <w:lang w:val="sr-Cyrl-BA"/>
        </w:rPr>
        <w:t>0</w:t>
      </w:r>
      <w:r w:rsidR="000B278C" w:rsidRPr="00785D42">
        <w:rPr>
          <w:rFonts w:ascii="Arial Narrow" w:hAnsi="Arial Narrow" w:cs="Tahoma"/>
          <w:sz w:val="22"/>
          <w:szCs w:val="22"/>
          <w:lang w:val="sr-Cyrl-BA"/>
        </w:rPr>
        <w:t>%</w:t>
      </w:r>
      <w:r w:rsidR="00600D0E" w:rsidRPr="00785D42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FF3EA0" w:rsidRPr="00785D42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785D42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85D42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785D42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785D42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785D42">
        <w:rPr>
          <w:rFonts w:ascii="Arial Narrow" w:hAnsi="Arial Narrow" w:cs="Tahoma"/>
          <w:sz w:val="22"/>
          <w:szCs w:val="22"/>
          <w:lang w:val="sr-Cyrl-CS"/>
        </w:rPr>
        <w:t>има</w:t>
      </w:r>
      <w:r w:rsidR="00D928E0"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2E75DE" w:rsidRPr="00785D42">
        <w:rPr>
          <w:rFonts w:ascii="Arial Narrow" w:hAnsi="Arial Narrow" w:cs="Tahoma"/>
          <w:i/>
          <w:sz w:val="22"/>
          <w:lang w:val="sr-Cyrl-CS"/>
        </w:rPr>
        <w:t xml:space="preserve">Информације и комуникације </w:t>
      </w:r>
      <w:r w:rsidR="009E40AA" w:rsidRPr="00785D42">
        <w:rPr>
          <w:rFonts w:ascii="Arial Narrow" w:hAnsi="Arial Narrow" w:cs="Tahoma"/>
          <w:sz w:val="22"/>
          <w:lang w:val="sr-Cyrl-CS"/>
        </w:rPr>
        <w:t>3</w:t>
      </w:r>
      <w:r w:rsidR="002E75DE" w:rsidRPr="00785D42">
        <w:rPr>
          <w:rFonts w:ascii="Arial Narrow" w:hAnsi="Arial Narrow" w:cs="Tahoma"/>
          <w:sz w:val="22"/>
          <w:lang w:val="sr-Cyrl-CS"/>
        </w:rPr>
        <w:t>6</w:t>
      </w:r>
      <w:r w:rsidR="00B04D7E" w:rsidRPr="00785D42">
        <w:rPr>
          <w:rFonts w:ascii="Arial Narrow" w:hAnsi="Arial Narrow" w:cs="Tahoma"/>
          <w:sz w:val="22"/>
          <w:lang w:val="sr-Cyrl-CS"/>
        </w:rPr>
        <w:t>,</w:t>
      </w:r>
      <w:r w:rsidR="002E75DE" w:rsidRPr="00785D42">
        <w:rPr>
          <w:rFonts w:ascii="Arial Narrow" w:hAnsi="Arial Narrow" w:cs="Tahoma"/>
          <w:sz w:val="22"/>
          <w:lang w:val="sr-Cyrl-CS"/>
        </w:rPr>
        <w:t>2</w:t>
      </w:r>
      <w:r w:rsidR="00B04D7E" w:rsidRPr="00785D42">
        <w:rPr>
          <w:rFonts w:ascii="Arial Narrow" w:hAnsi="Arial Narrow" w:cs="Tahoma"/>
          <w:i/>
          <w:sz w:val="22"/>
          <w:lang w:val="sr-Cyrl-CS"/>
        </w:rPr>
        <w:t xml:space="preserve">%, </w:t>
      </w:r>
      <w:r w:rsidR="002E75DE"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="002E75DE" w:rsidRPr="00785D42">
        <w:rPr>
          <w:rFonts w:ascii="Arial Narrow" w:hAnsi="Arial Narrow" w:cs="Tahoma"/>
          <w:sz w:val="22"/>
          <w:szCs w:val="22"/>
          <w:lang w:val="sr-Cyrl-BA"/>
        </w:rPr>
        <w:t>6</w:t>
      </w:r>
      <w:r w:rsidR="009E40AA" w:rsidRPr="00785D42">
        <w:rPr>
          <w:rFonts w:ascii="Arial Narrow" w:hAnsi="Arial Narrow" w:cs="Tahoma"/>
          <w:sz w:val="22"/>
          <w:szCs w:val="22"/>
          <w:lang w:val="sr-Cyrl-BA"/>
        </w:rPr>
        <w:t>,</w:t>
      </w:r>
      <w:r w:rsidR="002E75DE" w:rsidRPr="00785D42">
        <w:rPr>
          <w:rFonts w:ascii="Arial Narrow" w:hAnsi="Arial Narrow" w:cs="Tahoma"/>
          <w:sz w:val="22"/>
          <w:szCs w:val="22"/>
          <w:lang w:val="sr-Cyrl-BA"/>
        </w:rPr>
        <w:t>7</w:t>
      </w:r>
      <w:r w:rsidR="009E40AA" w:rsidRPr="00785D42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B04D7E" w:rsidRPr="00785D42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2E75DE" w:rsidRPr="00785D42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3E5596"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2E75DE" w:rsidRPr="00785D42">
        <w:rPr>
          <w:rFonts w:ascii="Arial Narrow" w:hAnsi="Arial Narrow" w:cs="Tahoma"/>
          <w:sz w:val="22"/>
          <w:szCs w:val="22"/>
          <w:lang w:val="sr-Cyrl-BA"/>
        </w:rPr>
        <w:t>4</w:t>
      </w:r>
      <w:r w:rsidR="003E5596" w:rsidRPr="00785D42">
        <w:rPr>
          <w:rFonts w:ascii="Arial Narrow" w:hAnsi="Arial Narrow" w:cs="Tahoma"/>
          <w:sz w:val="22"/>
          <w:szCs w:val="22"/>
          <w:lang w:val="sr-Cyrl-BA"/>
        </w:rPr>
        <w:t>,</w:t>
      </w:r>
      <w:r w:rsidR="002E75DE" w:rsidRPr="00785D42">
        <w:rPr>
          <w:rFonts w:ascii="Arial Narrow" w:hAnsi="Arial Narrow" w:cs="Tahoma"/>
          <w:sz w:val="22"/>
          <w:szCs w:val="22"/>
          <w:lang w:val="sr-Cyrl-BA"/>
        </w:rPr>
        <w:t>2</w:t>
      </w:r>
      <w:r w:rsidR="003E5596" w:rsidRPr="00785D42">
        <w:rPr>
          <w:rFonts w:ascii="Arial Narrow" w:hAnsi="Arial Narrow" w:cs="Tahoma"/>
          <w:sz w:val="22"/>
          <w:szCs w:val="22"/>
          <w:lang w:val="sr-Cyrl-BA"/>
        </w:rPr>
        <w:t>%</w:t>
      </w:r>
      <w:r w:rsidR="00B04D7E" w:rsidRPr="00785D42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96802" w:rsidRPr="00785D42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785D42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85D42">
        <w:rPr>
          <w:rFonts w:ascii="Tahoma" w:hAnsi="Tahoma" w:cs="Tahoma"/>
          <w:i/>
          <w:sz w:val="14"/>
          <w:lang w:val="sr-Cyrl-CS"/>
        </w:rPr>
        <w:t xml:space="preserve"> </w:t>
      </w:r>
      <w:r w:rsidRPr="00785D42">
        <w:rPr>
          <w:rFonts w:ascii="Tahoma" w:hAnsi="Tahoma" w:cs="Tahoma"/>
          <w:sz w:val="14"/>
          <w:lang w:val="sr-Cyrl-CS"/>
        </w:rPr>
        <w:t xml:space="preserve">   </w:t>
      </w:r>
      <w:r w:rsidRPr="00785D42">
        <w:rPr>
          <w:rFonts w:ascii="Tahoma" w:hAnsi="Tahoma" w:cs="Tahoma"/>
          <w:sz w:val="14"/>
          <w:lang w:val="sr-Latn-CS"/>
        </w:rPr>
        <w:tab/>
      </w:r>
      <w:r w:rsidRPr="00785D42">
        <w:rPr>
          <w:rFonts w:ascii="Tahoma" w:hAnsi="Tahoma" w:cs="Tahoma"/>
          <w:sz w:val="14"/>
          <w:lang w:val="sr-Latn-CS"/>
        </w:rPr>
        <w:tab/>
      </w:r>
      <w:r w:rsidRPr="00785D42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785D42">
        <w:rPr>
          <w:rFonts w:ascii="Tahoma" w:hAnsi="Tahoma" w:cs="Tahoma"/>
          <w:sz w:val="14"/>
          <w:lang w:val="sr-Cyrl-BA"/>
        </w:rPr>
        <w:t xml:space="preserve">   </w:t>
      </w:r>
      <w:r w:rsidRPr="00785D42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785D42" w:rsidRDefault="00AD485B" w:rsidP="00E33D13">
      <w:pPr>
        <w:jc w:val="center"/>
        <w:rPr>
          <w:rFonts w:ascii="Tahoma" w:hAnsi="Tahoma" w:cs="Tahoma"/>
          <w:lang w:val="sr-Cyrl-BA"/>
        </w:rPr>
      </w:pPr>
      <w:r w:rsidRPr="00785D42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1022086</wp:posOffset>
            </wp:positionH>
            <wp:positionV relativeFrom="paragraph">
              <wp:posOffset>2061210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785D42">
        <w:rPr>
          <w:rFonts w:ascii="Tahoma" w:hAnsi="Tahoma" w:cs="Tahoma"/>
          <w:szCs w:val="18"/>
          <w:lang w:val="sr-Cyrl-BA"/>
        </w:rPr>
        <w:t xml:space="preserve">   </w:t>
      </w:r>
      <w:r w:rsidR="00432D2B" w:rsidRPr="00785D42">
        <w:rPr>
          <w:noProof/>
        </w:rPr>
        <w:drawing>
          <wp:inline distT="0" distB="0" distL="0" distR="0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785D42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785D42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785D42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785D42">
        <w:rPr>
          <w:rFonts w:ascii="Arial Narrow" w:hAnsi="Arial Narrow" w:cs="Tahoma"/>
          <w:sz w:val="16"/>
          <w:szCs w:val="22"/>
          <w:lang w:val="sr-Latn-BA"/>
        </w:rPr>
        <w:t>1</w:t>
      </w:r>
      <w:r w:rsidRPr="00785D42">
        <w:rPr>
          <w:rFonts w:ascii="Arial Narrow" w:hAnsi="Arial Narrow" w:cs="Tahoma"/>
          <w:sz w:val="16"/>
          <w:szCs w:val="22"/>
          <w:lang w:val="sr-Cyrl-CS"/>
        </w:rPr>
        <w:t>.</w:t>
      </w:r>
      <w:r w:rsidRPr="00785D4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785D42">
        <w:rPr>
          <w:rFonts w:ascii="Arial Narrow" w:hAnsi="Arial Narrow" w:cs="Tahoma"/>
          <w:sz w:val="16"/>
          <w:szCs w:val="22"/>
          <w:lang w:val="sr-Cyrl-CS"/>
        </w:rPr>
        <w:t>П</w:t>
      </w:r>
      <w:r w:rsidRPr="00785D42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785D42">
        <w:rPr>
          <w:rFonts w:ascii="Arial Narrow" w:hAnsi="Arial Narrow" w:cs="Tahoma"/>
          <w:sz w:val="16"/>
          <w:szCs w:val="22"/>
        </w:rPr>
        <w:t>e</w:t>
      </w:r>
      <w:r w:rsidRPr="00785D42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785D42">
        <w:rPr>
          <w:rFonts w:ascii="Arial Narrow" w:hAnsi="Arial Narrow" w:cs="Tahoma"/>
          <w:sz w:val="16"/>
          <w:szCs w:val="22"/>
        </w:rPr>
        <w:t>e</w:t>
      </w:r>
      <w:r w:rsidRPr="00785D42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785D42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785D42" w:rsidRDefault="004832EC">
      <w:pPr>
        <w:rPr>
          <w:rFonts w:ascii="Arial Narrow" w:hAnsi="Arial Narrow" w:cs="Tahoma"/>
          <w:sz w:val="22"/>
          <w:lang w:val="sr-Latn-BA"/>
        </w:rPr>
      </w:pPr>
    </w:p>
    <w:p w:rsidR="00A67668" w:rsidRPr="00785D42" w:rsidRDefault="00A67668">
      <w:pPr>
        <w:rPr>
          <w:rFonts w:ascii="Arial Narrow" w:hAnsi="Arial Narrow" w:cs="Tahoma"/>
          <w:sz w:val="22"/>
          <w:lang w:val="sr-Latn-BA"/>
        </w:rPr>
      </w:pPr>
    </w:p>
    <w:p w:rsidR="00A67668" w:rsidRPr="00785D42" w:rsidRDefault="00A67668">
      <w:pPr>
        <w:rPr>
          <w:rFonts w:ascii="Arial Narrow" w:hAnsi="Arial Narrow" w:cs="Tahoma"/>
          <w:sz w:val="22"/>
          <w:lang w:val="sr-Latn-BA"/>
        </w:rPr>
      </w:pPr>
    </w:p>
    <w:p w:rsidR="00AD0CFD" w:rsidRPr="00785D42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85D42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="00B21A93" w:rsidRPr="00785D42">
        <w:rPr>
          <w:rFonts w:ascii="Arial Narrow" w:hAnsi="Arial Narrow" w:cs="Tahoma"/>
          <w:b/>
          <w:sz w:val="30"/>
          <w:szCs w:val="30"/>
          <w:lang w:val="sr-Cyrl-BA"/>
        </w:rPr>
        <w:t>јануа</w:t>
      </w:r>
      <w:r w:rsidR="00DE5E23" w:rsidRPr="00785D42">
        <w:rPr>
          <w:rFonts w:ascii="Arial Narrow" w:hAnsi="Arial Narrow" w:cs="Tahoma"/>
          <w:b/>
          <w:sz w:val="30"/>
          <w:szCs w:val="30"/>
          <w:lang w:val="sr-Cyrl-BA"/>
        </w:rPr>
        <w:t>ру 2017</w:t>
      </w:r>
      <w:r w:rsidRPr="00785D42">
        <w:rPr>
          <w:rFonts w:ascii="Arial Narrow" w:hAnsi="Arial Narrow" w:cs="Tahoma"/>
          <w:b/>
          <w:sz w:val="30"/>
          <w:szCs w:val="30"/>
          <w:lang w:val="sr-Cyrl-BA"/>
        </w:rPr>
        <w:t xml:space="preserve">. године </w:t>
      </w:r>
      <w:r w:rsidR="00B21A93" w:rsidRPr="00785D42">
        <w:rPr>
          <w:rFonts w:ascii="Arial Narrow" w:hAnsi="Arial Narrow" w:cs="Tahoma"/>
          <w:b/>
          <w:sz w:val="30"/>
          <w:szCs w:val="30"/>
          <w:lang w:val="sr-Cyrl-BA"/>
        </w:rPr>
        <w:t>0,9</w:t>
      </w:r>
      <w:r w:rsidRPr="00785D42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AD0CFD" w:rsidRPr="00785D42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85D42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0744B4" w:rsidRPr="00785D42">
        <w:rPr>
          <w:rFonts w:ascii="Arial Narrow" w:hAnsi="Arial Narrow" w:cs="Tahoma"/>
          <w:b/>
          <w:sz w:val="30"/>
          <w:szCs w:val="30"/>
        </w:rPr>
        <w:t>I</w:t>
      </w:r>
      <w:r w:rsidR="00B21A93" w:rsidRPr="00785D42">
        <w:rPr>
          <w:rFonts w:ascii="Arial Narrow" w:hAnsi="Arial Narrow" w:cs="Tahoma"/>
          <w:b/>
          <w:sz w:val="30"/>
          <w:szCs w:val="30"/>
          <w:lang w:val="sr-Cyrl-BA"/>
        </w:rPr>
        <w:t xml:space="preserve"> 2017</w:t>
      </w:r>
      <w:r w:rsidRPr="00785D42">
        <w:rPr>
          <w:rFonts w:ascii="Arial Narrow" w:hAnsi="Arial Narrow" w:cs="Tahoma"/>
          <w:b/>
          <w:sz w:val="30"/>
          <w:szCs w:val="30"/>
          <w:lang w:val="sr-Cyrl-BA"/>
        </w:rPr>
        <w:t>/</w:t>
      </w:r>
      <w:r w:rsidR="00B21A93" w:rsidRPr="00785D4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0744B4" w:rsidRPr="00785D42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B21A93" w:rsidRPr="00785D42">
        <w:rPr>
          <w:rFonts w:ascii="Arial Narrow" w:hAnsi="Arial Narrow" w:cs="Tahoma"/>
          <w:b/>
          <w:sz w:val="30"/>
          <w:szCs w:val="30"/>
          <w:lang w:val="sr-Cyrl-BA"/>
        </w:rPr>
        <w:t xml:space="preserve"> 2016) 0,4</w:t>
      </w:r>
      <w:r w:rsidRPr="00785D42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AD0CFD" w:rsidRPr="00785D42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B21A93" w:rsidRPr="00785D42" w:rsidRDefault="00B21A93" w:rsidP="00A84EE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785D42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2017. године у односу на претходни мјесец, у просјеку су више за 0,9%</w:t>
      </w:r>
      <w:r w:rsidR="00785D42">
        <w:rPr>
          <w:rFonts w:ascii="Arial Narrow" w:hAnsi="Arial Narrow" w:cs="Tahoma"/>
          <w:sz w:val="22"/>
          <w:szCs w:val="22"/>
          <w:lang w:val="sr-Latn-BA"/>
        </w:rPr>
        <w:t>,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више за 0,4%.</w:t>
      </w:r>
    </w:p>
    <w:p w:rsidR="00A84EEC" w:rsidRPr="00785D42" w:rsidRDefault="00A84EEC" w:rsidP="00A84EE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21A93" w:rsidRPr="00785D42" w:rsidRDefault="00B21A93" w:rsidP="00A84EE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85D42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девет, ниже цијене у два, док су цијене у једном одјељку, у просјеку остале непромијењене.</w:t>
      </w:r>
    </w:p>
    <w:p w:rsidR="00DD5DBB" w:rsidRPr="00785D42" w:rsidRDefault="00DD5DBB" w:rsidP="00B8018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85D42" w:rsidRDefault="00B21A93" w:rsidP="00B21A9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85D42">
        <w:rPr>
          <w:rFonts w:ascii="Arial Narrow" w:hAnsi="Arial Narrow" w:cs="Tahoma"/>
          <w:sz w:val="22"/>
          <w:szCs w:val="22"/>
          <w:lang w:val="sr-Cyrl-BA"/>
        </w:rPr>
        <w:t>Највећи раст цијена у јануару забиљежен је у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785D42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(3,6%) усљед повећања цијена цигарета у просјеку од 5,0%, а посљедица су повећања акциза на дуван и дуванске прерађевине од 1. јануара 2017. године. Раст цијена од 2,0% забиљежен је и у одјељку 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усљед повећања цијена у више група, а то су: поврће 13,2%, кафа 5,2%, воће 2,6%, уља и масноће 2,0%, риба 1,9% и остали прехрамбени производи 1,7%, затим слиједи повећање у одјељку 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Превоз 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од 1,2% усљед виших набавних цијена у групи горива и мазива од 2,3%. </w:t>
      </w:r>
    </w:p>
    <w:p w:rsidR="00785D42" w:rsidRDefault="00785D42" w:rsidP="00B21A9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21A93" w:rsidRPr="00785D42" w:rsidRDefault="00B21A93" w:rsidP="00B21A9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85D42">
        <w:rPr>
          <w:rFonts w:ascii="Arial Narrow" w:hAnsi="Arial Narrow" w:cs="Tahoma"/>
          <w:sz w:val="22"/>
          <w:szCs w:val="22"/>
          <w:lang w:val="sr-Cyrl-BA"/>
        </w:rPr>
        <w:t>У одјељку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</w:t>
      </w:r>
      <w:r w:rsidR="00C84A25">
        <w:rPr>
          <w:rFonts w:ascii="Arial Narrow" w:hAnsi="Arial Narrow" w:cs="Tahoma"/>
          <w:i/>
          <w:sz w:val="22"/>
          <w:szCs w:val="22"/>
          <w:lang w:val="sr-Cyrl-BA"/>
        </w:rPr>
        <w:t>к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ултура 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забиљежено је повећање од 1,0% усљед повећања цијене услуге кабловског оператера, у одјељку 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више цијене забиљежене су у групи производи за личну хигијену (1,8%) </w:t>
      </w:r>
      <w:r w:rsidR="00CC3E73" w:rsidRPr="00785D42">
        <w:rPr>
          <w:rFonts w:ascii="Arial Narrow" w:hAnsi="Arial Narrow" w:cs="Tahoma"/>
          <w:sz w:val="22"/>
          <w:szCs w:val="22"/>
          <w:lang w:val="sr-Cyrl-BA"/>
        </w:rPr>
        <w:t>и</w:t>
      </w:r>
      <w:r w:rsidR="00A84EEC" w:rsidRPr="00785D42">
        <w:rPr>
          <w:rFonts w:ascii="Arial Narrow" w:hAnsi="Arial Narrow" w:cs="Tahoma"/>
          <w:sz w:val="22"/>
          <w:szCs w:val="22"/>
          <w:lang w:val="sr-Cyrl-BA"/>
        </w:rPr>
        <w:t xml:space="preserve"> посљедица </w:t>
      </w:r>
      <w:r w:rsidR="00CC3E73" w:rsidRPr="00785D42">
        <w:rPr>
          <w:rFonts w:ascii="Arial Narrow" w:hAnsi="Arial Narrow" w:cs="Tahoma"/>
          <w:sz w:val="22"/>
          <w:szCs w:val="22"/>
          <w:lang w:val="sr-Cyrl-BA"/>
        </w:rPr>
        <w:t xml:space="preserve">су 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завршетка периода акцијских цијена, у одјељку 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="00CC3E73" w:rsidRPr="00785D4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785D42">
        <w:rPr>
          <w:rFonts w:ascii="Arial Narrow" w:hAnsi="Arial Narrow" w:cs="Tahoma"/>
          <w:sz w:val="22"/>
          <w:szCs w:val="22"/>
          <w:lang w:val="sr-Cyrl-BA"/>
        </w:rPr>
        <w:t>забиљежено је повећање од 0,3% због виших набавних цијена у групи фармацеутски производи, док је у одјељку</w:t>
      </w:r>
      <w:r w:rsidR="00CC3E73" w:rsidRPr="00785D4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повећање од </w:t>
      </w:r>
      <w:r w:rsidR="00CC3E73" w:rsidRPr="00785D42">
        <w:rPr>
          <w:rFonts w:ascii="Arial Narrow" w:hAnsi="Arial Narrow" w:cs="Tahoma"/>
          <w:sz w:val="22"/>
          <w:szCs w:val="22"/>
          <w:lang w:val="sr-Cyrl-BA"/>
        </w:rPr>
        <w:t>1</w:t>
      </w:r>
      <w:r w:rsidRPr="00785D42">
        <w:rPr>
          <w:rFonts w:ascii="Arial Narrow" w:hAnsi="Arial Narrow" w:cs="Tahoma"/>
          <w:sz w:val="22"/>
          <w:szCs w:val="22"/>
          <w:lang w:val="sr-Cyrl-BA"/>
        </w:rPr>
        <w:t>,3% забиљежено у групи предшколско и осно</w:t>
      </w:r>
      <w:r w:rsidR="00CC3E73" w:rsidRPr="00785D42">
        <w:rPr>
          <w:rFonts w:ascii="Arial Narrow" w:hAnsi="Arial Narrow" w:cs="Tahoma"/>
          <w:sz w:val="22"/>
          <w:szCs w:val="22"/>
          <w:lang w:val="sr-Cyrl-BA"/>
        </w:rPr>
        <w:t>вно образовање. Више цијене у ј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ануару забиљежене су још и у одјељку 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(0,2%) и у одјељку 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785D42">
        <w:rPr>
          <w:rFonts w:ascii="Arial Narrow" w:hAnsi="Arial Narrow" w:cs="Tahoma"/>
          <w:sz w:val="22"/>
          <w:szCs w:val="22"/>
          <w:lang w:val="sr-Cyrl-BA"/>
        </w:rPr>
        <w:t>(0,1%).</w:t>
      </w:r>
    </w:p>
    <w:p w:rsidR="00A84EEC" w:rsidRPr="00785D42" w:rsidRDefault="00A84EEC" w:rsidP="00B21A9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84EEC" w:rsidRPr="00785D42" w:rsidRDefault="00E263D9" w:rsidP="00A84EE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85D42">
        <w:rPr>
          <w:rFonts w:ascii="Arial Narrow" w:hAnsi="Arial Narrow" w:cs="Tahoma"/>
          <w:sz w:val="22"/>
          <w:szCs w:val="22"/>
          <w:lang w:val="sr-Cyrl-BA"/>
        </w:rPr>
        <w:t>У одјељ</w:t>
      </w:r>
      <w:r w:rsidR="00A84EEC" w:rsidRPr="00785D42">
        <w:rPr>
          <w:rFonts w:ascii="Arial Narrow" w:hAnsi="Arial Narrow" w:cs="Tahoma"/>
          <w:sz w:val="22"/>
          <w:szCs w:val="22"/>
          <w:lang w:val="sr-Cyrl-BA"/>
        </w:rPr>
        <w:t>ку</w:t>
      </w:r>
      <w:r w:rsidR="00A84EEC"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 Комуникације </w:t>
      </w:r>
      <w:r w:rsidR="00A84EEC" w:rsidRPr="00785D42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A84EEC" w:rsidRPr="00785D42" w:rsidRDefault="00A84EEC" w:rsidP="00A84EE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84EEC" w:rsidRPr="00785D42" w:rsidRDefault="00A84EEC" w:rsidP="00A84EE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85D42">
        <w:rPr>
          <w:rFonts w:ascii="Arial Narrow" w:hAnsi="Arial Narrow" w:cs="Tahoma"/>
          <w:sz w:val="22"/>
          <w:szCs w:val="22"/>
          <w:lang w:val="sr-Cyrl-BA"/>
        </w:rPr>
        <w:t>Нај</w:t>
      </w:r>
      <w:r w:rsidR="00785D42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785D42">
        <w:rPr>
          <w:rFonts w:ascii="Arial Narrow" w:hAnsi="Arial Narrow" w:cs="Tahoma"/>
          <w:sz w:val="22"/>
          <w:szCs w:val="22"/>
          <w:lang w:val="sr-Cyrl-BA"/>
        </w:rPr>
        <w:t>а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Pr="00785D42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="00785D42">
        <w:rPr>
          <w:rFonts w:ascii="Arial Narrow" w:hAnsi="Arial Narrow" w:cs="Tahoma"/>
          <w:sz w:val="22"/>
          <w:szCs w:val="22"/>
          <w:lang w:val="sr-Cyrl-BA"/>
        </w:rPr>
        <w:t>је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(4,4%) усљед великог броја снижења и у одјељку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(0,5%) усљед</w:t>
      </w:r>
      <w:r w:rsidRPr="00785D4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акцијских цијена и других попуста у групи </w:t>
      </w:r>
      <w:r w:rsidRPr="00785D42">
        <w:rPr>
          <w:rFonts w:ascii="Arial Narrow" w:hAnsi="Arial Narrow" w:cs="Tahoma"/>
          <w:sz w:val="22"/>
          <w:szCs w:val="22"/>
          <w:lang w:val="sr-Cyrl-CS"/>
        </w:rPr>
        <w:t>покућство.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A84EEC" w:rsidRPr="00785D42" w:rsidRDefault="00A84EEC" w:rsidP="00B21A93">
      <w:pPr>
        <w:jc w:val="both"/>
        <w:rPr>
          <w:rFonts w:ascii="Tahoma" w:hAnsi="Tahoma" w:cs="Tahoma"/>
          <w:lang w:val="sr-Cyrl-BA"/>
        </w:rPr>
      </w:pPr>
    </w:p>
    <w:p w:rsidR="00662317" w:rsidRPr="00785D42" w:rsidRDefault="00785D42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noProof/>
        </w:rPr>
        <w:drawing>
          <wp:inline distT="0" distB="0" distL="0" distR="0" wp14:anchorId="1DE6EA38" wp14:editId="16FC7FA4">
            <wp:extent cx="4532244" cy="2520563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785D42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785D42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785D42">
        <w:rPr>
          <w:rFonts w:ascii="Arial Narrow" w:hAnsi="Arial Narrow" w:cs="Tahoma"/>
          <w:sz w:val="16"/>
          <w:szCs w:val="16"/>
          <w:lang w:val="sr-Cyrl-BA"/>
        </w:rPr>
        <w:t>2</w:t>
      </w:r>
      <w:r w:rsidRPr="00785D42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785D42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85D42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442FA" w:rsidRPr="00785D42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785D42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785D42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785D42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D9297E" w:rsidRPr="00785D42">
        <w:rPr>
          <w:rFonts w:ascii="Arial Narrow" w:hAnsi="Arial Narrow" w:cs="Tahoma"/>
          <w:b/>
          <w:sz w:val="30"/>
          <w:szCs w:val="30"/>
          <w:lang w:val="sr-Cyrl-BA"/>
        </w:rPr>
        <w:t>јануар</w:t>
      </w:r>
      <w:r w:rsidRPr="00785D42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785D42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785D42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Pr="00785D42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785D42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785D42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D9297E" w:rsidRPr="00785D42">
        <w:rPr>
          <w:rFonts w:ascii="Arial Narrow" w:hAnsi="Arial Narrow" w:cs="Tahoma"/>
          <w:b/>
          <w:sz w:val="30"/>
          <w:szCs w:val="30"/>
          <w:lang w:val="sr-Cyrl-CS"/>
        </w:rPr>
        <w:t>92</w:t>
      </w:r>
      <w:r w:rsidR="003A0849" w:rsidRPr="00785D42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D9297E" w:rsidRPr="00785D42">
        <w:rPr>
          <w:rFonts w:ascii="Arial Narrow" w:hAnsi="Arial Narrow" w:cs="Tahoma"/>
          <w:b/>
          <w:sz w:val="30"/>
          <w:szCs w:val="30"/>
          <w:lang w:val="sr-Cyrl-BA"/>
        </w:rPr>
        <w:t>4</w:t>
      </w:r>
      <w:r w:rsidRPr="00785D42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785D42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785D42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785D42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785D42">
        <w:rPr>
          <w:rFonts w:ascii="Arial Narrow" w:hAnsi="Arial Narrow" w:cs="Tahoma"/>
          <w:sz w:val="22"/>
          <w:lang w:val="bs-Cyrl-BA"/>
        </w:rPr>
        <w:t>е</w:t>
      </w:r>
      <w:r w:rsidRPr="00785D42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785D42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785D42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D9297E" w:rsidRPr="00785D42">
        <w:rPr>
          <w:rFonts w:ascii="Arial Narrow" w:hAnsi="Arial Narrow" w:cs="Tahoma"/>
          <w:sz w:val="22"/>
          <w:lang w:val="sr-Cyrl-BA"/>
        </w:rPr>
        <w:t>јануару</w:t>
      </w:r>
      <w:r w:rsidR="004C7F77" w:rsidRPr="00785D42">
        <w:rPr>
          <w:rFonts w:ascii="Arial Narrow" w:hAnsi="Arial Narrow" w:cs="Tahoma"/>
          <w:sz w:val="22"/>
          <w:lang w:val="sr-Cyrl-BA"/>
        </w:rPr>
        <w:t xml:space="preserve"> </w:t>
      </w:r>
      <w:r w:rsidRPr="00785D42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D9297E" w:rsidRPr="00785D42">
        <w:rPr>
          <w:rFonts w:ascii="Arial Narrow" w:hAnsi="Arial Narrow" w:cs="Tahoma"/>
          <w:sz w:val="22"/>
          <w:lang w:val="sr-Cyrl-BA"/>
        </w:rPr>
        <w:t>92</w:t>
      </w:r>
      <w:r w:rsidR="00101E3A" w:rsidRPr="00785D42">
        <w:rPr>
          <w:rFonts w:ascii="Arial Narrow" w:hAnsi="Arial Narrow" w:cs="Tahoma"/>
          <w:sz w:val="22"/>
          <w:lang w:val="sr-Cyrl-BA"/>
        </w:rPr>
        <w:t>,</w:t>
      </w:r>
      <w:r w:rsidR="00D9297E" w:rsidRPr="00785D42">
        <w:rPr>
          <w:rFonts w:ascii="Arial Narrow" w:hAnsi="Arial Narrow" w:cs="Tahoma"/>
          <w:sz w:val="22"/>
          <w:lang w:val="sr-Cyrl-BA"/>
        </w:rPr>
        <w:t>4</w:t>
      </w:r>
      <w:r w:rsidRPr="00785D42">
        <w:rPr>
          <w:rFonts w:ascii="Arial Narrow" w:hAnsi="Arial Narrow" w:cs="Tahoma"/>
          <w:sz w:val="22"/>
          <w:lang w:val="sr-Cyrl-BA"/>
        </w:rPr>
        <w:t xml:space="preserve">%. </w:t>
      </w:r>
    </w:p>
    <w:p w:rsidR="00384927" w:rsidRPr="00785D42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785D42" w:rsidRDefault="00F442FA" w:rsidP="00F442FA">
      <w:pPr>
        <w:jc w:val="both"/>
        <w:rPr>
          <w:rFonts w:ascii="Tahoma" w:hAnsi="Tahoma" w:cs="Tahoma"/>
          <w:lang w:val="ru-RU"/>
        </w:rPr>
      </w:pPr>
      <w:r w:rsidRPr="00785D42">
        <w:rPr>
          <w:rFonts w:ascii="Arial Narrow" w:hAnsi="Arial Narrow" w:cs="Tahoma"/>
          <w:sz w:val="22"/>
          <w:lang w:val="ru-RU"/>
        </w:rPr>
        <w:t>У јануар</w:t>
      </w:r>
      <w:r w:rsidR="00D9297E" w:rsidRPr="00785D42">
        <w:rPr>
          <w:rFonts w:ascii="Arial Narrow" w:hAnsi="Arial Narrow" w:cs="Tahoma"/>
          <w:sz w:val="22"/>
          <w:lang w:val="ru-RU"/>
        </w:rPr>
        <w:t>у</w:t>
      </w:r>
      <w:r w:rsidR="004C7F77" w:rsidRPr="00785D4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785D42">
        <w:rPr>
          <w:rFonts w:ascii="Arial Narrow" w:hAnsi="Arial Narrow" w:cs="Tahoma"/>
          <w:sz w:val="22"/>
          <w:lang w:val="ru-RU"/>
        </w:rPr>
        <w:t>201</w:t>
      </w:r>
      <w:r w:rsidR="00D9297E" w:rsidRPr="00785D42">
        <w:rPr>
          <w:rFonts w:ascii="Arial Narrow" w:hAnsi="Arial Narrow" w:cs="Tahoma"/>
          <w:sz w:val="22"/>
          <w:lang w:val="ru-RU"/>
        </w:rPr>
        <w:t>7</w:t>
      </w:r>
      <w:r w:rsidRPr="00785D42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785D42">
        <w:rPr>
          <w:rFonts w:ascii="Arial Narrow" w:hAnsi="Arial Narrow" w:cs="Tahoma"/>
          <w:sz w:val="22"/>
          <w:lang w:val="ru-RU"/>
        </w:rPr>
        <w:t xml:space="preserve"> </w:t>
      </w:r>
      <w:r w:rsidR="00D9297E" w:rsidRPr="00785D42">
        <w:rPr>
          <w:rFonts w:ascii="Arial Narrow" w:hAnsi="Arial Narrow" w:cs="Tahoma"/>
          <w:sz w:val="22"/>
          <w:lang w:val="ru-RU"/>
        </w:rPr>
        <w:t>227</w:t>
      </w:r>
      <w:r w:rsidR="00AF73B5" w:rsidRPr="00785D42">
        <w:rPr>
          <w:rFonts w:ascii="Arial Narrow" w:hAnsi="Arial Narrow" w:cs="Tahoma"/>
          <w:sz w:val="22"/>
          <w:lang w:val="ru-RU"/>
        </w:rPr>
        <w:t xml:space="preserve"> </w:t>
      </w:r>
      <w:r w:rsidRPr="00785D42">
        <w:rPr>
          <w:rFonts w:ascii="Arial Narrow" w:hAnsi="Arial Narrow" w:cs="Tahoma"/>
          <w:sz w:val="22"/>
          <w:lang w:val="ru-RU"/>
        </w:rPr>
        <w:t>милион</w:t>
      </w:r>
      <w:r w:rsidR="007E3425" w:rsidRPr="00785D42">
        <w:rPr>
          <w:rFonts w:ascii="Arial Narrow" w:hAnsi="Arial Narrow" w:cs="Tahoma"/>
          <w:sz w:val="22"/>
          <w:lang w:val="ru-RU"/>
        </w:rPr>
        <w:t>а</w:t>
      </w:r>
      <w:r w:rsidR="008F10AE" w:rsidRPr="00785D42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785D42">
        <w:rPr>
          <w:rFonts w:ascii="Arial Narrow" w:hAnsi="Arial Narrow" w:cs="Tahoma"/>
          <w:sz w:val="22"/>
          <w:lang w:val="ru-RU"/>
        </w:rPr>
        <w:t>23</w:t>
      </w:r>
      <w:r w:rsidR="008F10AE" w:rsidRPr="00785D42">
        <w:rPr>
          <w:rFonts w:ascii="Arial Narrow" w:hAnsi="Arial Narrow" w:cs="Tahoma"/>
          <w:sz w:val="22"/>
          <w:lang w:val="ru-RU"/>
        </w:rPr>
        <w:t>,</w:t>
      </w:r>
      <w:r w:rsidR="00D9297E" w:rsidRPr="00785D42">
        <w:rPr>
          <w:rFonts w:ascii="Arial Narrow" w:hAnsi="Arial Narrow" w:cs="Tahoma"/>
          <w:sz w:val="22"/>
          <w:lang w:val="ru-RU"/>
        </w:rPr>
        <w:t>3</w:t>
      </w:r>
      <w:r w:rsidRPr="00785D42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785D42">
        <w:rPr>
          <w:rFonts w:ascii="Arial Narrow" w:hAnsi="Arial Narrow" w:cs="Tahoma"/>
          <w:sz w:val="22"/>
          <w:lang w:val="ru-RU"/>
        </w:rPr>
        <w:t>више</w:t>
      </w:r>
      <w:r w:rsidRPr="00785D42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E4E1D">
        <w:rPr>
          <w:rFonts w:ascii="Arial Narrow" w:hAnsi="Arial Narrow" w:cs="Tahoma"/>
          <w:sz w:val="22"/>
          <w:lang w:val="ru-RU"/>
        </w:rPr>
        <w:t>мјесец</w:t>
      </w:r>
      <w:r w:rsidRPr="00785D42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E4E1D">
        <w:rPr>
          <w:rFonts w:ascii="Arial Narrow" w:hAnsi="Arial Narrow" w:cs="Tahoma"/>
          <w:sz w:val="22"/>
          <w:lang w:val="ru-RU"/>
        </w:rPr>
        <w:t>мје</w:t>
      </w:r>
      <w:bookmarkStart w:id="0" w:name="_GoBack"/>
      <w:bookmarkEnd w:id="0"/>
      <w:r w:rsidR="003E4E1D">
        <w:rPr>
          <w:rFonts w:ascii="Arial Narrow" w:hAnsi="Arial Narrow" w:cs="Tahoma"/>
          <w:sz w:val="22"/>
          <w:lang w:val="ru-RU"/>
        </w:rPr>
        <w:t>сецу</w:t>
      </w:r>
      <w:r w:rsidRPr="00785D42">
        <w:rPr>
          <w:rFonts w:ascii="Arial Narrow" w:hAnsi="Arial Narrow" w:cs="Tahoma"/>
          <w:sz w:val="22"/>
          <w:lang w:val="ru-RU"/>
        </w:rPr>
        <w:t xml:space="preserve">, износио </w:t>
      </w:r>
      <w:r w:rsidR="00D9297E" w:rsidRPr="00785D42">
        <w:rPr>
          <w:rFonts w:ascii="Arial Narrow" w:hAnsi="Arial Narrow" w:cs="Tahoma"/>
          <w:sz w:val="22"/>
          <w:lang w:val="ru-RU"/>
        </w:rPr>
        <w:t>245</w:t>
      </w:r>
      <w:r w:rsidRPr="00785D42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785D42">
        <w:rPr>
          <w:rFonts w:ascii="Arial Narrow" w:hAnsi="Arial Narrow" w:cs="Tahoma"/>
          <w:sz w:val="22"/>
          <w:lang w:val="ru-RU"/>
        </w:rPr>
        <w:t>а</w:t>
      </w:r>
      <w:r w:rsidRPr="00785D42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785D42">
        <w:rPr>
          <w:rFonts w:ascii="Arial Narrow" w:hAnsi="Arial Narrow" w:cs="Tahoma"/>
          <w:sz w:val="22"/>
          <w:lang w:val="ru-RU"/>
        </w:rPr>
        <w:t>7</w:t>
      </w:r>
      <w:r w:rsidRPr="00785D42">
        <w:rPr>
          <w:rFonts w:ascii="Arial Narrow" w:hAnsi="Arial Narrow" w:cs="Tahoma"/>
          <w:sz w:val="22"/>
          <w:lang w:val="sr-Latn-CS"/>
        </w:rPr>
        <w:t>,</w:t>
      </w:r>
      <w:r w:rsidR="00D9297E" w:rsidRPr="00785D42">
        <w:rPr>
          <w:rFonts w:ascii="Arial Narrow" w:hAnsi="Arial Narrow" w:cs="Tahoma"/>
          <w:sz w:val="22"/>
          <w:lang w:val="sr-Cyrl-BA"/>
        </w:rPr>
        <w:t>9</w:t>
      </w:r>
      <w:r w:rsidRPr="00785D42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785D42">
        <w:rPr>
          <w:rFonts w:ascii="Arial Narrow" w:hAnsi="Arial Narrow" w:cs="Tahoma"/>
          <w:sz w:val="22"/>
          <w:lang w:val="ru-RU"/>
        </w:rPr>
        <w:t xml:space="preserve">више </w:t>
      </w:r>
      <w:r w:rsidRPr="00785D42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E4E1D">
        <w:rPr>
          <w:rFonts w:ascii="Arial Narrow" w:hAnsi="Arial Narrow" w:cs="Tahoma"/>
          <w:sz w:val="22"/>
          <w:lang w:val="ru-RU"/>
        </w:rPr>
        <w:t>мјесец</w:t>
      </w:r>
      <w:r w:rsidRPr="00785D42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785D42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785D42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785D42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785D42">
        <w:rPr>
          <w:rFonts w:ascii="Arial Narrow" w:hAnsi="Arial Narrow" w:cs="Tahoma"/>
          <w:sz w:val="22"/>
        </w:rPr>
        <w:t>e</w:t>
      </w:r>
      <w:r w:rsidRPr="00785D42">
        <w:rPr>
          <w:rFonts w:ascii="Arial Narrow" w:hAnsi="Arial Narrow" w:cs="Tahoma"/>
          <w:sz w:val="22"/>
          <w:lang w:val="ru-RU"/>
        </w:rPr>
        <w:t xml:space="preserve"> Српск</w:t>
      </w:r>
      <w:r w:rsidRPr="00785D42">
        <w:rPr>
          <w:rFonts w:ascii="Arial Narrow" w:hAnsi="Arial Narrow" w:cs="Tahoma"/>
          <w:sz w:val="22"/>
        </w:rPr>
        <w:t>e</w:t>
      </w:r>
      <w:r w:rsidRPr="00785D42">
        <w:rPr>
          <w:rFonts w:ascii="Arial Narrow" w:hAnsi="Arial Narrow" w:cs="Tahoma"/>
          <w:sz w:val="22"/>
          <w:lang w:val="ru-RU"/>
        </w:rPr>
        <w:t xml:space="preserve"> са иностранством, у јануар</w:t>
      </w:r>
      <w:r w:rsidR="00D9297E" w:rsidRPr="00785D42">
        <w:rPr>
          <w:rFonts w:ascii="Arial Narrow" w:hAnsi="Arial Narrow" w:cs="Tahoma"/>
          <w:sz w:val="22"/>
          <w:lang w:val="ru-RU"/>
        </w:rPr>
        <w:t>у</w:t>
      </w:r>
      <w:r w:rsidR="004C7F77" w:rsidRPr="00785D4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>201</w:t>
      </w:r>
      <w:r w:rsidR="00D9297E" w:rsidRPr="00785D42">
        <w:rPr>
          <w:rFonts w:ascii="Arial Narrow" w:hAnsi="Arial Narrow" w:cs="Tahoma"/>
          <w:sz w:val="22"/>
          <w:lang w:val="sr-Cyrl-CS"/>
        </w:rPr>
        <w:t>7</w:t>
      </w:r>
      <w:r w:rsidRPr="00785D42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D9297E" w:rsidRPr="00785D42">
        <w:rPr>
          <w:rFonts w:ascii="Arial Narrow" w:hAnsi="Arial Narrow" w:cs="Tahoma"/>
          <w:sz w:val="22"/>
          <w:lang w:val="sr-Cyrl-CS"/>
        </w:rPr>
        <w:t>Хрватску</w:t>
      </w:r>
      <w:r w:rsidRPr="00785D42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D9297E" w:rsidRPr="00785D42">
        <w:rPr>
          <w:rFonts w:ascii="Arial Narrow" w:hAnsi="Arial Narrow" w:cs="Tahoma"/>
          <w:sz w:val="22"/>
          <w:lang w:val="sr-Cyrl-BA"/>
        </w:rPr>
        <w:t>36</w:t>
      </w:r>
      <w:r w:rsidR="007D2CAE" w:rsidRPr="00785D42">
        <w:rPr>
          <w:rFonts w:ascii="Arial Narrow" w:hAnsi="Arial Narrow" w:cs="Tahoma"/>
          <w:sz w:val="22"/>
          <w:lang w:val="sr-Latn-BA"/>
        </w:rPr>
        <w:t xml:space="preserve"> </w:t>
      </w:r>
      <w:r w:rsidRPr="00785D42">
        <w:rPr>
          <w:rFonts w:ascii="Arial Narrow" w:hAnsi="Arial Narrow" w:cs="Tahoma"/>
          <w:sz w:val="22"/>
          <w:lang w:val="sr-Cyrl-CS"/>
        </w:rPr>
        <w:t>милиона КМ</w:t>
      </w:r>
      <w:r w:rsidR="00707105" w:rsidRPr="00785D42">
        <w:rPr>
          <w:rFonts w:ascii="Arial Narrow" w:hAnsi="Arial Narrow" w:cs="Tahoma"/>
          <w:sz w:val="22"/>
          <w:lang w:val="sr-Cyrl-CS"/>
        </w:rPr>
        <w:t xml:space="preserve"> (</w:t>
      </w:r>
      <w:r w:rsidR="00C01567" w:rsidRPr="00785D42">
        <w:rPr>
          <w:rFonts w:ascii="Arial Narrow" w:hAnsi="Arial Narrow" w:cs="Tahoma"/>
          <w:i/>
          <w:sz w:val="22"/>
          <w:lang w:val="sr-Cyrl-CS"/>
        </w:rPr>
        <w:t>36,</w:t>
      </w:r>
      <w:r w:rsidR="00C01567" w:rsidRPr="00785D42">
        <w:rPr>
          <w:rFonts w:ascii="Arial Narrow" w:hAnsi="Arial Narrow" w:cs="Tahoma"/>
          <w:i/>
          <w:sz w:val="22"/>
          <w:lang w:val="ru-RU"/>
        </w:rPr>
        <w:t>334</w:t>
      </w:r>
      <w:r w:rsidR="00C01567" w:rsidRPr="00785D42">
        <w:rPr>
          <w:rFonts w:ascii="Arial Narrow" w:hAnsi="Arial Narrow" w:cs="Tahoma"/>
          <w:i/>
          <w:sz w:val="22"/>
          <w:lang w:val="sr-Cyrl-BA"/>
        </w:rPr>
        <w:t xml:space="preserve"> милиона КМ</w:t>
      </w:r>
      <w:r w:rsidR="00707105" w:rsidRPr="00785D42">
        <w:rPr>
          <w:rFonts w:ascii="Arial Narrow" w:hAnsi="Arial Narrow" w:cs="Tahoma"/>
          <w:sz w:val="22"/>
          <w:lang w:val="sr-Cyrl-CS"/>
        </w:rPr>
        <w:t>)</w:t>
      </w:r>
      <w:r w:rsidRPr="00785D42">
        <w:rPr>
          <w:rFonts w:ascii="Arial Narrow" w:hAnsi="Arial Narrow" w:cs="Tahoma"/>
          <w:sz w:val="22"/>
          <w:lang w:val="sr-Cyrl-CS"/>
        </w:rPr>
        <w:t>, односно 1</w:t>
      </w:r>
      <w:r w:rsidR="00D9297E" w:rsidRPr="00785D42">
        <w:rPr>
          <w:rFonts w:ascii="Arial Narrow" w:hAnsi="Arial Narrow" w:cs="Tahoma"/>
          <w:sz w:val="22"/>
          <w:lang w:val="sr-Cyrl-CS"/>
        </w:rPr>
        <w:t>6</w:t>
      </w:r>
      <w:r w:rsidRPr="00785D42">
        <w:rPr>
          <w:rFonts w:ascii="Arial Narrow" w:hAnsi="Arial Narrow" w:cs="Tahoma"/>
          <w:sz w:val="22"/>
          <w:lang w:val="sr-Cyrl-CS"/>
        </w:rPr>
        <w:t>,</w:t>
      </w:r>
      <w:r w:rsidR="00D9297E" w:rsidRPr="00785D42">
        <w:rPr>
          <w:rFonts w:ascii="Arial Narrow" w:hAnsi="Arial Narrow" w:cs="Tahoma"/>
          <w:sz w:val="22"/>
          <w:lang w:val="sr-Cyrl-CS"/>
        </w:rPr>
        <w:t>0</w:t>
      </w:r>
      <w:r w:rsidRPr="00785D42">
        <w:rPr>
          <w:rFonts w:ascii="Arial Narrow" w:hAnsi="Arial Narrow" w:cs="Tahoma"/>
          <w:sz w:val="22"/>
          <w:lang w:val="sr-Cyrl-CS"/>
        </w:rPr>
        <w:t>%</w:t>
      </w:r>
      <w:r w:rsidR="00707105" w:rsidRPr="00785D42">
        <w:rPr>
          <w:rFonts w:ascii="Arial Narrow" w:hAnsi="Arial Narrow" w:cs="Tahoma"/>
          <w:sz w:val="22"/>
          <w:lang w:val="sr-Cyrl-CS"/>
        </w:rPr>
        <w:t xml:space="preserve"> (</w:t>
      </w:r>
      <w:r w:rsidR="00707105" w:rsidRPr="00785D42">
        <w:rPr>
          <w:rFonts w:ascii="Arial Narrow" w:hAnsi="Arial Narrow" w:cs="Tahoma"/>
          <w:i/>
          <w:sz w:val="22"/>
          <w:lang w:val="sr-Cyrl-CS"/>
        </w:rPr>
        <w:t>16,04</w:t>
      </w:r>
      <w:r w:rsidR="00C01567" w:rsidRPr="00785D42">
        <w:rPr>
          <w:rFonts w:ascii="Arial Narrow" w:hAnsi="Arial Narrow" w:cs="Tahoma"/>
          <w:i/>
          <w:sz w:val="22"/>
          <w:lang w:val="ru-RU"/>
        </w:rPr>
        <w:t>%</w:t>
      </w:r>
      <w:r w:rsidR="00707105" w:rsidRPr="00785D42">
        <w:rPr>
          <w:rFonts w:ascii="Arial Narrow" w:hAnsi="Arial Narrow" w:cs="Tahoma"/>
          <w:sz w:val="22"/>
          <w:lang w:val="sr-Cyrl-CS"/>
        </w:rPr>
        <w:t>)</w:t>
      </w:r>
      <w:r w:rsidRPr="00785D42">
        <w:rPr>
          <w:rFonts w:ascii="Arial Narrow" w:hAnsi="Arial Narrow" w:cs="Tahoma"/>
          <w:sz w:val="22"/>
          <w:lang w:val="ru-RU"/>
        </w:rPr>
        <w:t xml:space="preserve">, </w:t>
      </w:r>
      <w:r w:rsidRPr="00785D42">
        <w:rPr>
          <w:rFonts w:ascii="Arial Narrow" w:hAnsi="Arial Narrow" w:cs="Tahoma"/>
          <w:sz w:val="22"/>
          <w:lang w:val="sr-Cyrl-CS"/>
        </w:rPr>
        <w:t xml:space="preserve">те у </w:t>
      </w:r>
      <w:r w:rsidR="00D9297E" w:rsidRPr="00785D42">
        <w:rPr>
          <w:rFonts w:ascii="Arial Narrow" w:hAnsi="Arial Narrow" w:cs="Tahoma"/>
          <w:sz w:val="22"/>
          <w:lang w:val="sr-Cyrl-CS"/>
        </w:rPr>
        <w:t>Италију</w:t>
      </w:r>
      <w:r w:rsidRPr="00785D42">
        <w:rPr>
          <w:rFonts w:ascii="Arial Narrow" w:hAnsi="Arial Narrow" w:cs="Tahoma"/>
          <w:sz w:val="22"/>
          <w:lang w:val="sr-Cyrl-CS"/>
        </w:rPr>
        <w:t xml:space="preserve"> </w:t>
      </w:r>
      <w:r w:rsidR="00D9297E" w:rsidRPr="00785D42">
        <w:rPr>
          <w:rFonts w:ascii="Arial Narrow" w:hAnsi="Arial Narrow" w:cs="Tahoma"/>
          <w:sz w:val="22"/>
          <w:lang w:val="sr-Cyrl-CS"/>
        </w:rPr>
        <w:t>36</w:t>
      </w:r>
      <w:r w:rsidR="00384927" w:rsidRPr="00785D42">
        <w:rPr>
          <w:rFonts w:ascii="Arial Narrow" w:hAnsi="Arial Narrow" w:cs="Tahoma"/>
          <w:sz w:val="22"/>
          <w:lang w:val="sr-Cyrl-CS"/>
        </w:rPr>
        <w:t xml:space="preserve"> милиона КМ</w:t>
      </w:r>
      <w:r w:rsidR="00707105" w:rsidRPr="00785D42">
        <w:rPr>
          <w:rFonts w:ascii="Arial Narrow" w:hAnsi="Arial Narrow" w:cs="Tahoma"/>
          <w:sz w:val="22"/>
          <w:lang w:val="sr-Cyrl-CS"/>
        </w:rPr>
        <w:t xml:space="preserve"> (</w:t>
      </w:r>
      <w:r w:rsidR="00707105" w:rsidRPr="00785D42">
        <w:rPr>
          <w:rFonts w:ascii="Arial Narrow" w:hAnsi="Arial Narrow" w:cs="Tahoma"/>
          <w:i/>
          <w:sz w:val="22"/>
          <w:lang w:val="sr-Cyrl-CS"/>
        </w:rPr>
        <w:t>36,</w:t>
      </w:r>
      <w:r w:rsidR="00C01567" w:rsidRPr="00785D42">
        <w:rPr>
          <w:rFonts w:ascii="Arial Narrow" w:hAnsi="Arial Narrow" w:cs="Tahoma"/>
          <w:i/>
          <w:sz w:val="22"/>
          <w:lang w:val="sr-Cyrl-CS"/>
        </w:rPr>
        <w:t>139 милиона КМ</w:t>
      </w:r>
      <w:r w:rsidR="00707105" w:rsidRPr="00785D42">
        <w:rPr>
          <w:rFonts w:ascii="Arial Narrow" w:hAnsi="Arial Narrow" w:cs="Tahoma"/>
          <w:sz w:val="22"/>
          <w:lang w:val="sr-Cyrl-CS"/>
        </w:rPr>
        <w:t>)</w:t>
      </w:r>
      <w:r w:rsidR="00384927" w:rsidRPr="00785D42">
        <w:rPr>
          <w:rFonts w:ascii="Arial Narrow" w:hAnsi="Arial Narrow" w:cs="Tahoma"/>
          <w:sz w:val="22"/>
          <w:lang w:val="sr-Cyrl-CS"/>
        </w:rPr>
        <w:t>, односно 1</w:t>
      </w:r>
      <w:r w:rsidR="00D9297E" w:rsidRPr="00785D42">
        <w:rPr>
          <w:rFonts w:ascii="Arial Narrow" w:hAnsi="Arial Narrow" w:cs="Tahoma"/>
          <w:sz w:val="22"/>
          <w:lang w:val="sr-Cyrl-CS"/>
        </w:rPr>
        <w:t>6</w:t>
      </w:r>
      <w:r w:rsidR="00384927" w:rsidRPr="00785D42">
        <w:rPr>
          <w:rFonts w:ascii="Arial Narrow" w:hAnsi="Arial Narrow" w:cs="Tahoma"/>
          <w:sz w:val="22"/>
          <w:lang w:val="sr-Cyrl-CS"/>
        </w:rPr>
        <w:t>,</w:t>
      </w:r>
      <w:r w:rsidR="00D9297E" w:rsidRPr="00785D42">
        <w:rPr>
          <w:rFonts w:ascii="Arial Narrow" w:hAnsi="Arial Narrow" w:cs="Tahoma"/>
          <w:sz w:val="22"/>
          <w:lang w:val="sr-Cyrl-CS"/>
        </w:rPr>
        <w:t>0</w:t>
      </w:r>
      <w:r w:rsidRPr="00785D42">
        <w:rPr>
          <w:rFonts w:ascii="Arial Narrow" w:hAnsi="Arial Narrow" w:cs="Tahoma"/>
          <w:sz w:val="22"/>
          <w:lang w:val="sr-Cyrl-CS"/>
        </w:rPr>
        <w:t>%</w:t>
      </w:r>
      <w:r w:rsidR="00707105" w:rsidRPr="00785D42">
        <w:rPr>
          <w:rFonts w:ascii="Arial Narrow" w:hAnsi="Arial Narrow" w:cs="Tahoma"/>
          <w:sz w:val="22"/>
          <w:lang w:val="sr-Cyrl-CS"/>
        </w:rPr>
        <w:t xml:space="preserve"> (</w:t>
      </w:r>
      <w:r w:rsidR="00707105" w:rsidRPr="00785D42">
        <w:rPr>
          <w:rFonts w:ascii="Arial Narrow" w:hAnsi="Arial Narrow" w:cs="Tahoma"/>
          <w:i/>
          <w:sz w:val="22"/>
          <w:lang w:val="sr-Cyrl-CS"/>
        </w:rPr>
        <w:t>15,95</w:t>
      </w:r>
      <w:r w:rsidR="00C01567" w:rsidRPr="00785D42">
        <w:rPr>
          <w:rFonts w:ascii="Arial Narrow" w:hAnsi="Arial Narrow" w:cs="Tahoma"/>
          <w:i/>
          <w:sz w:val="22"/>
          <w:lang w:val="ru-RU"/>
        </w:rPr>
        <w:t>%</w:t>
      </w:r>
      <w:r w:rsidR="00707105" w:rsidRPr="00785D42">
        <w:rPr>
          <w:rFonts w:ascii="Arial Narrow" w:hAnsi="Arial Narrow" w:cs="Tahoma"/>
          <w:sz w:val="22"/>
          <w:lang w:val="sr-Cyrl-CS"/>
        </w:rPr>
        <w:t>)</w:t>
      </w:r>
      <w:r w:rsidRPr="00785D42">
        <w:rPr>
          <w:rFonts w:ascii="Arial Narrow" w:hAnsi="Arial Narrow" w:cs="Tahoma"/>
          <w:sz w:val="22"/>
          <w:lang w:val="sr-Cyrl-CS"/>
        </w:rPr>
        <w:t xml:space="preserve"> од укупног оствареног извоза. У истом </w:t>
      </w:r>
      <w:r w:rsidR="00D9297E" w:rsidRPr="00785D42">
        <w:rPr>
          <w:rFonts w:ascii="Arial Narrow" w:hAnsi="Arial Narrow" w:cs="Tahoma"/>
          <w:sz w:val="22"/>
          <w:lang w:val="sr-Cyrl-CS"/>
        </w:rPr>
        <w:t>мјесецу</w:t>
      </w:r>
      <w:r w:rsidRPr="00785D42">
        <w:rPr>
          <w:rFonts w:ascii="Arial Narrow" w:hAnsi="Arial Narrow" w:cs="Tahoma"/>
          <w:sz w:val="22"/>
          <w:lang w:val="sr-Cyrl-CS"/>
        </w:rPr>
        <w:t xml:space="preserve">, </w:t>
      </w:r>
      <w:r w:rsidRPr="00785D42">
        <w:rPr>
          <w:rFonts w:ascii="Arial Narrow" w:hAnsi="Arial Narrow" w:cs="Tahoma"/>
          <w:sz w:val="22"/>
          <w:lang w:val="sr-Cyrl-BA"/>
        </w:rPr>
        <w:t>н</w:t>
      </w:r>
      <w:r w:rsidRPr="00785D42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707105" w:rsidRPr="00785D42">
        <w:rPr>
          <w:rFonts w:ascii="Arial Narrow" w:hAnsi="Arial Narrow" w:cs="Tahoma"/>
          <w:sz w:val="22"/>
          <w:lang w:val="sr-Cyrl-BA"/>
        </w:rPr>
        <w:t>37</w:t>
      </w:r>
      <w:r w:rsidR="00101E3A" w:rsidRPr="00785D42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785D42">
        <w:rPr>
          <w:rFonts w:ascii="Arial Narrow" w:hAnsi="Arial Narrow" w:cs="Tahoma"/>
          <w:sz w:val="22"/>
          <w:lang w:val="sr-Cyrl-CS"/>
        </w:rPr>
        <w:t>милион</w:t>
      </w:r>
      <w:r w:rsidR="00E004C7" w:rsidRPr="00785D42">
        <w:rPr>
          <w:rFonts w:ascii="Arial Narrow" w:hAnsi="Arial Narrow" w:cs="Tahoma"/>
          <w:sz w:val="22"/>
          <w:lang w:val="sr-Latn-BA"/>
        </w:rPr>
        <w:t>a</w:t>
      </w:r>
      <w:r w:rsidR="00E34FF5" w:rsidRPr="00785D4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707105" w:rsidRPr="00785D42">
        <w:rPr>
          <w:rFonts w:ascii="Arial Narrow" w:hAnsi="Arial Narrow" w:cs="Tahoma"/>
          <w:sz w:val="22"/>
          <w:lang w:val="sr-Cyrl-CS"/>
        </w:rPr>
        <w:t>5</w:t>
      </w:r>
      <w:r w:rsidR="00E34FF5" w:rsidRPr="00785D42">
        <w:rPr>
          <w:rFonts w:ascii="Arial Narrow" w:hAnsi="Arial Narrow" w:cs="Tahoma"/>
          <w:sz w:val="22"/>
          <w:lang w:val="sr-Cyrl-CS"/>
        </w:rPr>
        <w:t>,</w:t>
      </w:r>
      <w:r w:rsidR="00707105" w:rsidRPr="00785D42">
        <w:rPr>
          <w:rFonts w:ascii="Arial Narrow" w:hAnsi="Arial Narrow" w:cs="Tahoma"/>
          <w:sz w:val="22"/>
          <w:lang w:val="sr-Cyrl-CS"/>
        </w:rPr>
        <w:t>2</w:t>
      </w:r>
      <w:r w:rsidRPr="00785D42">
        <w:rPr>
          <w:rFonts w:ascii="Arial Narrow" w:hAnsi="Arial Narrow" w:cs="Tahoma"/>
          <w:sz w:val="22"/>
          <w:lang w:val="sr-Cyrl-CS"/>
        </w:rPr>
        <w:t xml:space="preserve">% и из </w:t>
      </w:r>
      <w:r w:rsidR="00707105" w:rsidRPr="00785D42">
        <w:rPr>
          <w:rFonts w:ascii="Arial Narrow" w:hAnsi="Arial Narrow" w:cs="Tahoma"/>
          <w:sz w:val="22"/>
          <w:lang w:val="sr-Cyrl-CS"/>
        </w:rPr>
        <w:t>Италије</w:t>
      </w:r>
      <w:r w:rsidRPr="00785D42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707105" w:rsidRPr="00785D42">
        <w:rPr>
          <w:rFonts w:ascii="Arial Narrow" w:hAnsi="Arial Narrow" w:cs="Tahoma"/>
          <w:sz w:val="22"/>
          <w:lang w:val="sr-Cyrl-BA"/>
        </w:rPr>
        <w:t>33</w:t>
      </w:r>
      <w:r w:rsidR="003A0849" w:rsidRPr="00785D42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785D42">
        <w:rPr>
          <w:rFonts w:ascii="Arial Narrow" w:hAnsi="Arial Narrow" w:cs="Tahoma"/>
          <w:sz w:val="22"/>
          <w:lang w:val="sr-Cyrl-CS"/>
        </w:rPr>
        <w:t>а</w:t>
      </w:r>
      <w:r w:rsidR="003A0849" w:rsidRPr="00785D4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707105" w:rsidRPr="00785D42">
        <w:rPr>
          <w:rFonts w:ascii="Arial Narrow" w:hAnsi="Arial Narrow" w:cs="Tahoma"/>
          <w:sz w:val="22"/>
          <w:lang w:val="sr-Cyrl-CS"/>
        </w:rPr>
        <w:t>3</w:t>
      </w:r>
      <w:r w:rsidR="007E3425" w:rsidRPr="00785D42">
        <w:rPr>
          <w:rFonts w:ascii="Arial Narrow" w:hAnsi="Arial Narrow" w:cs="Tahoma"/>
          <w:sz w:val="22"/>
          <w:lang w:val="sr-Cyrl-CS"/>
        </w:rPr>
        <w:t>,</w:t>
      </w:r>
      <w:r w:rsidR="00707105" w:rsidRPr="00785D42">
        <w:rPr>
          <w:rFonts w:ascii="Arial Narrow" w:hAnsi="Arial Narrow" w:cs="Tahoma"/>
          <w:sz w:val="22"/>
          <w:lang w:val="sr-Cyrl-CS"/>
        </w:rPr>
        <w:t>5</w:t>
      </w:r>
      <w:r w:rsidRPr="00785D42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785D42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785D42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785D42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384927" w:rsidRPr="00785D42">
        <w:rPr>
          <w:rFonts w:ascii="Arial Narrow" w:hAnsi="Arial Narrow" w:cs="Tahoma"/>
          <w:sz w:val="22"/>
          <w:szCs w:val="22"/>
          <w:lang w:val="ru-RU"/>
        </w:rPr>
        <w:t>јануар</w:t>
      </w:r>
      <w:r w:rsidR="00D9297E" w:rsidRPr="00785D42">
        <w:rPr>
          <w:rFonts w:ascii="Arial Narrow" w:hAnsi="Arial Narrow" w:cs="Tahoma"/>
          <w:sz w:val="22"/>
          <w:szCs w:val="22"/>
          <w:lang w:val="ru-RU"/>
        </w:rPr>
        <w:t>у</w:t>
      </w:r>
      <w:r w:rsidR="004C7F77" w:rsidRPr="00785D4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785D42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785D42">
        <w:rPr>
          <w:rFonts w:ascii="Arial Narrow" w:hAnsi="Arial Narrow" w:cs="Tahoma"/>
          <w:sz w:val="22"/>
          <w:szCs w:val="22"/>
          <w:lang w:val="sr-Cyrl-CS"/>
        </w:rPr>
        <w:t>7</w:t>
      </w:r>
      <w:r w:rsidRPr="00785D42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707105" w:rsidRPr="00785D42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785D4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785D42">
        <w:rPr>
          <w:rFonts w:ascii="Arial Narrow" w:hAnsi="Arial Narrow" w:cs="Tahoma"/>
          <w:sz w:val="22"/>
          <w:szCs w:val="22"/>
          <w:lang w:val="sr-Cyrl-CS"/>
        </w:rPr>
        <w:t>са</w:t>
      </w:r>
      <w:r w:rsidRPr="00785D4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785D42">
        <w:rPr>
          <w:rFonts w:ascii="Arial Narrow" w:hAnsi="Arial Narrow" w:cs="Tahoma"/>
          <w:sz w:val="22"/>
          <w:szCs w:val="22"/>
          <w:lang w:val="sr-Cyrl-CS"/>
        </w:rPr>
        <w:t>19</w:t>
      </w:r>
      <w:r w:rsidR="003A0849" w:rsidRPr="00785D42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707105" w:rsidRPr="00785D42">
        <w:rPr>
          <w:rFonts w:ascii="Arial Narrow" w:hAnsi="Arial Narrow" w:cs="Tahoma"/>
          <w:sz w:val="22"/>
          <w:szCs w:val="22"/>
          <w:lang w:val="sr-Cyrl-CS"/>
        </w:rPr>
        <w:t>8</w:t>
      </w:r>
      <w:r w:rsidR="008902BA" w:rsidRPr="00785D42">
        <w:rPr>
          <w:rFonts w:ascii="Arial Narrow" w:hAnsi="Arial Narrow" w:cs="Tahoma"/>
          <w:sz w:val="22"/>
          <w:szCs w:val="22"/>
          <w:lang w:val="sr-Cyrl-CS"/>
        </w:rPr>
        <w:t>,</w:t>
      </w:r>
      <w:r w:rsidR="00707105" w:rsidRPr="00785D42">
        <w:rPr>
          <w:rFonts w:ascii="Arial Narrow" w:hAnsi="Arial Narrow" w:cs="Tahoma"/>
          <w:sz w:val="22"/>
          <w:szCs w:val="22"/>
          <w:lang w:val="sr-Cyrl-CS"/>
        </w:rPr>
        <w:t>4</w:t>
      </w:r>
      <w:r w:rsidRPr="00785D42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785D42">
        <w:rPr>
          <w:rFonts w:ascii="Arial Narrow" w:hAnsi="Arial Narrow" w:cs="Tahoma"/>
          <w:sz w:val="22"/>
          <w:szCs w:val="22"/>
          <w:lang w:val="sr-Cyrl-BA"/>
        </w:rPr>
        <w:t>н</w:t>
      </w:r>
      <w:r w:rsidRPr="00785D42">
        <w:rPr>
          <w:rFonts w:ascii="Arial Narrow" w:hAnsi="Arial Narrow" w:cs="Tahoma"/>
          <w:sz w:val="22"/>
          <w:szCs w:val="22"/>
          <w:lang w:val="ru-RU"/>
        </w:rPr>
        <w:t>афт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785D42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785D42">
        <w:rPr>
          <w:rFonts w:ascii="Arial Narrow" w:hAnsi="Arial Narrow" w:cs="Tahoma"/>
          <w:sz w:val="22"/>
          <w:szCs w:val="22"/>
          <w:lang w:val="ru-RU"/>
        </w:rPr>
        <w:t>сиров</w:t>
      </w:r>
      <w:r w:rsidRPr="00785D42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707105" w:rsidRPr="00785D42">
        <w:rPr>
          <w:rFonts w:ascii="Arial Narrow" w:hAnsi="Arial Narrow" w:cs="Tahoma"/>
          <w:sz w:val="22"/>
          <w:szCs w:val="22"/>
          <w:lang w:val="sr-Cyrl-BA"/>
        </w:rPr>
        <w:t>13</w:t>
      </w:r>
      <w:r w:rsidR="008F10AE" w:rsidRPr="00785D42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707105" w:rsidRPr="00785D42">
        <w:rPr>
          <w:rFonts w:ascii="Arial Narrow" w:hAnsi="Arial Narrow" w:cs="Tahoma"/>
          <w:sz w:val="22"/>
          <w:szCs w:val="22"/>
          <w:lang w:val="sr-Cyrl-BA"/>
        </w:rPr>
        <w:t>5</w:t>
      </w:r>
      <w:r w:rsidR="008F10AE" w:rsidRPr="00785D42">
        <w:rPr>
          <w:rFonts w:ascii="Arial Narrow" w:hAnsi="Arial Narrow" w:cs="Tahoma"/>
          <w:sz w:val="22"/>
          <w:szCs w:val="22"/>
          <w:lang w:val="sr-Cyrl-BA"/>
        </w:rPr>
        <w:t>,</w:t>
      </w:r>
      <w:r w:rsidR="00707105" w:rsidRPr="00785D42">
        <w:rPr>
          <w:rFonts w:ascii="Arial Narrow" w:hAnsi="Arial Narrow" w:cs="Tahoma"/>
          <w:sz w:val="22"/>
          <w:szCs w:val="22"/>
          <w:lang w:val="sr-Cyrl-BA"/>
        </w:rPr>
        <w:t>4</w:t>
      </w:r>
      <w:r w:rsidRPr="00785D42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785D4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785D42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785D42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85D42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85D42" w:rsidRDefault="003E4E1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81.45pt;margin-top:8.7pt;width:55.45pt;height:19.75pt;z-index:251664384;mso-width-relative:margin;mso-height-relative:margin" stroked="f">
            <v:textbox style="mso-next-textbox:#_x0000_s1068">
              <w:txbxContent>
                <w:p w:rsidR="00E263D9" w:rsidRPr="000A1309" w:rsidRDefault="00E263D9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785D42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785D42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785D42" w:rsidRDefault="003E4E1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2.2pt;margin-top:188.6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E263D9" w:rsidRPr="00707105" w:rsidRDefault="00E263D9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7</w:t>
                  </w:r>
                </w:p>
              </w:txbxContent>
            </v:textbox>
          </v:shape>
        </w:pict>
      </w:r>
      <w:r w:rsidR="00FF5345" w:rsidRPr="00785D42">
        <w:rPr>
          <w:noProof/>
        </w:rPr>
        <w:drawing>
          <wp:inline distT="0" distB="0" distL="0" distR="0">
            <wp:extent cx="4069080" cy="240792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1E3A" w:rsidRPr="00785D42" w:rsidRDefault="003E4E1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65.8pt;margin-top:.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E263D9" w:rsidRPr="00707105" w:rsidRDefault="00E263D9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</w:p>
    <w:p w:rsidR="003A0849" w:rsidRPr="00785D42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785D42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785D42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785D42">
        <w:rPr>
          <w:rFonts w:ascii="Arial Narrow" w:hAnsi="Arial Narrow" w:cs="Tahoma"/>
          <w:sz w:val="16"/>
          <w:szCs w:val="22"/>
          <w:lang w:val="sr-Cyrl-BA"/>
        </w:rPr>
        <w:t>3</w:t>
      </w:r>
      <w:r w:rsidRPr="00785D42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785D42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785D42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785D42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785D42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785D42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0648A2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648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648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648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3E4E1D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C2DCC" w:rsidRDefault="003E4E1D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3E4E1D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5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3E4E1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>
              <w:rPr>
                <w:rFonts w:ascii="Arial Narrow" w:hAnsi="Arial Narrow" w:cs="Tahoma"/>
                <w:sz w:val="18"/>
              </w:rPr>
              <w:t>те</w:t>
            </w:r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9277A6" w:rsidRPr="00B21A93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3E4E1D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D9" w:rsidRDefault="00E263D9">
      <w:r>
        <w:separator/>
      </w:r>
    </w:p>
  </w:endnote>
  <w:endnote w:type="continuationSeparator" w:id="0">
    <w:p w:rsidR="00E263D9" w:rsidRDefault="00E2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D9" w:rsidRDefault="003E4E1D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E263D9" w:rsidRPr="00175687" w:rsidRDefault="00E263D9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3E4E1D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D9" w:rsidRDefault="003E4E1D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E263D9" w:rsidRPr="00175687" w:rsidRDefault="00E263D9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3E4E1D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D9" w:rsidRDefault="00E263D9">
      <w:r>
        <w:separator/>
      </w:r>
    </w:p>
  </w:footnote>
  <w:footnote w:type="continuationSeparator" w:id="0">
    <w:p w:rsidR="00E263D9" w:rsidRDefault="00E26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E263D9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E263D9" w:rsidRPr="00DB5870" w:rsidRDefault="00E263D9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E263D9" w:rsidRPr="00DB5870" w:rsidRDefault="00E263D9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E263D9" w:rsidRPr="005D5311" w:rsidRDefault="00E263D9" w:rsidP="00432D2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Cyrl-BA"/>
            </w:rPr>
            <w:t>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II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7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3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3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E263D9" w:rsidRDefault="003E4E1D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4E1D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1FA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D42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4A25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49E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58DF8A9F-51DE-4DAC-8C06-50386D30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rajina\Publikovanje\01%20Saopstenja\2017\Cijene\Indeksi%20potrosackih%20cijena\Grafikon_2017_ja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816</c:v>
                </c:pt>
                <c:pt idx="1">
                  <c:v>838</c:v>
                </c:pt>
                <c:pt idx="2">
                  <c:v>837</c:v>
                </c:pt>
                <c:pt idx="3">
                  <c:v>832</c:v>
                </c:pt>
                <c:pt idx="4">
                  <c:v>841</c:v>
                </c:pt>
                <c:pt idx="5">
                  <c:v>845</c:v>
                </c:pt>
                <c:pt idx="6">
                  <c:v>838</c:v>
                </c:pt>
                <c:pt idx="7">
                  <c:v>838</c:v>
                </c:pt>
                <c:pt idx="8">
                  <c:v>834</c:v>
                </c:pt>
                <c:pt idx="9">
                  <c:v>837</c:v>
                </c:pt>
                <c:pt idx="10">
                  <c:v>839</c:v>
                </c:pt>
                <c:pt idx="11">
                  <c:v>835</c:v>
                </c:pt>
                <c:pt idx="12">
                  <c:v>815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E3C-439D-B842-29CFB27E1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5234632"/>
        <c:axId val="145235016"/>
      </c:lineChart>
      <c:catAx>
        <c:axId val="14523463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5235016"/>
        <c:crosses val="autoZero"/>
        <c:auto val="1"/>
        <c:lblAlgn val="ctr"/>
        <c:lblOffset val="100"/>
        <c:noMultiLvlLbl val="0"/>
      </c:catAx>
      <c:valAx>
        <c:axId val="14523501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452346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29E-2"/>
          <c:w val="0.90069686411149863"/>
          <c:h val="0.76569037656904182"/>
        </c:manualLayout>
      </c:layout>
      <c:lineChart>
        <c:grouping val="standard"/>
        <c:varyColors val="0"/>
        <c:ser>
          <c:idx val="0"/>
          <c:order val="0"/>
          <c:tx>
            <c:strRef>
              <c:f>jan!$C$3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jan!$A$4:$B$16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jan!$C$4:$C$16</c:f>
              <c:numCache>
                <c:formatCode>General</c:formatCode>
                <c:ptCount val="13"/>
                <c:pt idx="0">
                  <c:v>0.2</c:v>
                </c:pt>
                <c:pt idx="1">
                  <c:v>-0.2</c:v>
                </c:pt>
                <c:pt idx="2" formatCode="0\.0">
                  <c:v>0</c:v>
                </c:pt>
                <c:pt idx="3" formatCode="0\.0">
                  <c:v>-1</c:v>
                </c:pt>
                <c:pt idx="4">
                  <c:v>0.1</c:v>
                </c:pt>
                <c:pt idx="5">
                  <c:v>-0.2</c:v>
                </c:pt>
                <c:pt idx="6">
                  <c:v>-0.3</c:v>
                </c:pt>
                <c:pt idx="7">
                  <c:v>-0.3</c:v>
                </c:pt>
                <c:pt idx="8">
                  <c:v>0.1</c:v>
                </c:pt>
                <c:pt idx="9">
                  <c:v>1.4</c:v>
                </c:pt>
                <c:pt idx="10">
                  <c:v>0.1</c:v>
                </c:pt>
                <c:pt idx="11">
                  <c:v>-0.1</c:v>
                </c:pt>
                <c:pt idx="12">
                  <c:v>0.9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346-40EE-94B7-6E459A81AC92}"/>
            </c:ext>
          </c:extLst>
        </c:ser>
        <c:ser>
          <c:idx val="1"/>
          <c:order val="1"/>
          <c:tx>
            <c:strRef>
              <c:f>jan!$D$3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jan!$A$4:$B$16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jan!$D$4:$D$16</c:f>
              <c:numCache>
                <c:formatCode>General</c:formatCode>
                <c:ptCount val="13"/>
                <c:pt idx="0">
                  <c:v>-0.9</c:v>
                </c:pt>
                <c:pt idx="1">
                  <c:v>-1.3</c:v>
                </c:pt>
                <c:pt idx="2">
                  <c:v>-1.8</c:v>
                </c:pt>
                <c:pt idx="3">
                  <c:v>-1.7</c:v>
                </c:pt>
                <c:pt idx="4">
                  <c:v>-1.6</c:v>
                </c:pt>
                <c:pt idx="5">
                  <c:v>-1.6</c:v>
                </c:pt>
                <c:pt idx="6" formatCode="0\.0">
                  <c:v>-1</c:v>
                </c:pt>
                <c:pt idx="7">
                  <c:v>-1.3</c:v>
                </c:pt>
                <c:pt idx="8">
                  <c:v>-1.2</c:v>
                </c:pt>
                <c:pt idx="9">
                  <c:v>-0.7</c:v>
                </c:pt>
                <c:pt idx="10">
                  <c:v>-0.3</c:v>
                </c:pt>
                <c:pt idx="11">
                  <c:v>-0.2</c:v>
                </c:pt>
                <c:pt idx="12">
                  <c:v>0.4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346-40EE-94B7-6E459A81AC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288128"/>
        <c:axId val="146241536"/>
      </c:lineChart>
      <c:catAx>
        <c:axId val="14628812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62415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6241536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6288128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48"/>
          <c:y val="0.87484060194481672"/>
          <c:w val="0.52264808362369652"/>
          <c:h val="8.3682008368201222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zaJan2017!$B$1:$N$1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zaJan2017!$B$2:$N$2</c:f>
              <c:numCache>
                <c:formatCode>General</c:formatCode>
                <c:ptCount val="13"/>
                <c:pt idx="0">
                  <c:v>227458</c:v>
                </c:pt>
                <c:pt idx="1">
                  <c:v>330459</c:v>
                </c:pt>
                <c:pt idx="2">
                  <c:v>354355</c:v>
                </c:pt>
                <c:pt idx="3">
                  <c:v>421365</c:v>
                </c:pt>
                <c:pt idx="4">
                  <c:v>315075</c:v>
                </c:pt>
                <c:pt idx="5">
                  <c:v>413259</c:v>
                </c:pt>
                <c:pt idx="6">
                  <c:v>384444</c:v>
                </c:pt>
                <c:pt idx="7">
                  <c:v>357467</c:v>
                </c:pt>
                <c:pt idx="8">
                  <c:v>380274</c:v>
                </c:pt>
                <c:pt idx="9">
                  <c:v>372983</c:v>
                </c:pt>
                <c:pt idx="10">
                  <c:v>399617</c:v>
                </c:pt>
                <c:pt idx="11">
                  <c:v>448853</c:v>
                </c:pt>
                <c:pt idx="12">
                  <c:v>245314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08E-4932-86BB-CE4B14E3888E}"/>
            </c:ext>
          </c:extLst>
        </c:ser>
        <c:ser>
          <c:idx val="1"/>
          <c:order val="1"/>
          <c:tx>
            <c:strRef>
              <c:f>zaJan2017!$A$3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zaJan2017!$B$1:$N$1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zaJan2017!$B$3:$N$3</c:f>
              <c:numCache>
                <c:formatCode>0</c:formatCode>
                <c:ptCount val="13"/>
                <c:pt idx="0">
                  <c:v>183779</c:v>
                </c:pt>
                <c:pt idx="1">
                  <c:v>211524</c:v>
                </c:pt>
                <c:pt idx="2">
                  <c:v>239782</c:v>
                </c:pt>
                <c:pt idx="3">
                  <c:v>228100</c:v>
                </c:pt>
                <c:pt idx="4">
                  <c:v>234236</c:v>
                </c:pt>
                <c:pt idx="5">
                  <c:v>248861</c:v>
                </c:pt>
                <c:pt idx="6">
                  <c:v>245925</c:v>
                </c:pt>
                <c:pt idx="7">
                  <c:v>229795</c:v>
                </c:pt>
                <c:pt idx="8">
                  <c:v>265272</c:v>
                </c:pt>
                <c:pt idx="9">
                  <c:v>250736</c:v>
                </c:pt>
                <c:pt idx="10">
                  <c:v>267042</c:v>
                </c:pt>
                <c:pt idx="11">
                  <c:v>260279</c:v>
                </c:pt>
                <c:pt idx="12">
                  <c:v>226565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08E-4932-86BB-CE4B14E388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5568112"/>
        <c:axId val="146263264"/>
      </c:lineChart>
      <c:catAx>
        <c:axId val="14556811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46263264"/>
        <c:crosses val="autoZero"/>
        <c:auto val="1"/>
        <c:lblAlgn val="ctr"/>
        <c:lblOffset val="100"/>
        <c:noMultiLvlLbl val="0"/>
      </c:catAx>
      <c:valAx>
        <c:axId val="146263264"/>
        <c:scaling>
          <c:orientation val="minMax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14556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2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B620-018E-4AF6-A1F1-C606F969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6697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Ognjen Ignjic</cp:lastModifiedBy>
  <cp:revision>660</cp:revision>
  <cp:lastPrinted>2017-02-21T13:08:00Z</cp:lastPrinted>
  <dcterms:created xsi:type="dcterms:W3CDTF">2014-03-14T12:01:00Z</dcterms:created>
  <dcterms:modified xsi:type="dcterms:W3CDTF">2017-02-21T14:02:00Z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