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C45619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4561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4561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45619">
              <w:rPr>
                <w:rFonts w:ascii="Tahoma" w:hAnsi="Tahoma" w:cs="Tahoma"/>
              </w:rPr>
              <w:br w:type="column"/>
            </w:r>
            <w:r w:rsidRPr="00C45619">
              <w:rPr>
                <w:rFonts w:ascii="Tahoma" w:hAnsi="Tahoma" w:cs="Tahoma"/>
              </w:rPr>
              <w:br w:type="column"/>
            </w:r>
            <w:r w:rsidRPr="00C45619">
              <w:rPr>
                <w:rFonts w:ascii="Tahoma" w:hAnsi="Tahoma" w:cs="Tahoma"/>
              </w:rPr>
              <w:br w:type="page"/>
            </w:r>
            <w:r w:rsidRPr="00C45619">
              <w:rPr>
                <w:rFonts w:ascii="Tahoma" w:hAnsi="Tahoma" w:cs="Tahoma"/>
              </w:rPr>
              <w:br w:type="page"/>
            </w:r>
            <w:r w:rsidR="00CE1C43" w:rsidRPr="00C4561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45619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4561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4561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4561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C4561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45619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C45619" w:rsidRDefault="004551B9" w:rsidP="00623F82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</w:rPr>
            </w:pPr>
            <w:r w:rsidRPr="00C4561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="009062FA" w:rsidRPr="00C4561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C4561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C4561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="00431915" w:rsidRPr="00C4561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210E04" w:rsidRPr="00C4561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431915" w:rsidRPr="00C4561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D30C76" w:rsidRPr="00C45619">
              <w:rPr>
                <w:rFonts w:ascii="Arial Narrow" w:hAnsi="Arial Narrow" w:cs="Tahoma"/>
                <w:color w:val="1F497D"/>
                <w:sz w:val="16"/>
                <w:szCs w:val="16"/>
              </w:rPr>
              <w:t>September</w:t>
            </w:r>
            <w:r w:rsidR="00431915" w:rsidRPr="00C4561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201</w:t>
            </w:r>
            <w:r w:rsidR="006C418B" w:rsidRPr="00C45619">
              <w:rPr>
                <w:rFonts w:ascii="Arial Narrow" w:hAnsi="Arial Narrow" w:cs="Tahoma"/>
                <w:color w:val="1F497D"/>
                <w:sz w:val="16"/>
                <w:szCs w:val="16"/>
              </w:rPr>
              <w:t>7</w:t>
            </w:r>
            <w:r w:rsidR="00D30C76" w:rsidRPr="00C45619">
              <w:rPr>
                <w:rFonts w:ascii="Arial Narrow" w:hAnsi="Arial Narrow" w:cs="Tahoma"/>
                <w:color w:val="1F497D"/>
                <w:sz w:val="16"/>
                <w:szCs w:val="16"/>
              </w:rPr>
              <w:t>, No.</w:t>
            </w:r>
            <w:r w:rsidR="00431915" w:rsidRPr="00C4561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36508C" w:rsidRPr="00C4561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2</w:t>
            </w:r>
            <w:r w:rsidR="00623F82" w:rsidRPr="00C4561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6</w:t>
            </w:r>
            <w:r w:rsidR="00210E04" w:rsidRPr="00C4561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5</w:t>
            </w:r>
            <w:r w:rsidR="00431915" w:rsidRPr="00C4561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/1</w:t>
            </w:r>
            <w:r w:rsidR="006C418B" w:rsidRPr="00C4561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C45619">
              <w:rPr>
                <w:rFonts w:ascii="Tahoma" w:hAnsi="Tahoma" w:cs="Tahoma"/>
                <w:color w:val="1F497D"/>
                <w:sz w:val="18"/>
              </w:rPr>
              <w:t xml:space="preserve"> </w:t>
            </w:r>
          </w:p>
        </w:tc>
      </w:tr>
      <w:tr w:rsidR="004C20B5" w:rsidRPr="00C45619" w:rsidTr="005074F6">
        <w:trPr>
          <w:cantSplit/>
        </w:trPr>
        <w:tc>
          <w:tcPr>
            <w:tcW w:w="5251" w:type="dxa"/>
            <w:vAlign w:val="center"/>
          </w:tcPr>
          <w:p w:rsidR="005D5311" w:rsidRPr="00C4561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4561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C45619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4561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5619" w:rsidRDefault="00D30C76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C4561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C4561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4561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C45619" w:rsidRDefault="00D30C76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C4561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September</w:t>
            </w:r>
            <w:r w:rsidR="00353834" w:rsidRPr="00C4561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6D71F8" w:rsidRPr="00C4561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7</w:t>
            </w:r>
          </w:p>
        </w:tc>
      </w:tr>
    </w:tbl>
    <w:p w:rsidR="000F689B" w:rsidRPr="00C45619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</w:rPr>
      </w:pPr>
    </w:p>
    <w:p w:rsidR="00E33D13" w:rsidRPr="00C45619" w:rsidRDefault="009031C4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C45619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August</w:t>
      </w:r>
      <w:r w:rsidR="00E33D13" w:rsidRPr="00C45619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F912E6" w:rsidRPr="00C45619">
        <w:rPr>
          <w:rFonts w:ascii="Arial Narrow" w:hAnsi="Arial Narrow" w:cs="Tahoma"/>
          <w:b/>
          <w:bCs/>
          <w:sz w:val="30"/>
          <w:szCs w:val="30"/>
          <w:lang w:eastAsia="sr-Latn-BA"/>
        </w:rPr>
        <w:t>3</w:t>
      </w:r>
      <w:r w:rsidR="00CF7719" w:rsidRPr="00C45619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E33D13" w:rsidRPr="00C45619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C45619" w:rsidRDefault="001B7E68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C45619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C45619">
        <w:rPr>
          <w:rFonts w:ascii="Arial Narrow" w:hAnsi="Arial Narrow" w:cs="Tahoma"/>
          <w:b/>
          <w:i/>
          <w:sz w:val="28"/>
          <w:szCs w:val="28"/>
        </w:rPr>
        <w:t xml:space="preserve">Financial and insurance activities </w:t>
      </w:r>
      <w:r w:rsidR="00330255" w:rsidRPr="00C45619">
        <w:rPr>
          <w:rFonts w:ascii="Arial Narrow" w:hAnsi="Arial Narrow" w:cs="Tahoma"/>
          <w:b/>
          <w:i/>
          <w:sz w:val="28"/>
          <w:szCs w:val="28"/>
        </w:rPr>
        <w:t xml:space="preserve">      </w:t>
      </w:r>
      <w:r w:rsidRPr="00C45619">
        <w:rPr>
          <w:rFonts w:ascii="Arial Narrow" w:hAnsi="Arial Narrow" w:cs="Tahoma"/>
          <w:b/>
          <w:sz w:val="28"/>
          <w:szCs w:val="28"/>
        </w:rPr>
        <w:t>1,</w:t>
      </w:r>
      <w:r w:rsidR="003A11CF" w:rsidRPr="00C45619">
        <w:rPr>
          <w:rFonts w:ascii="Arial Narrow" w:hAnsi="Arial Narrow" w:cs="Tahoma"/>
          <w:b/>
          <w:sz w:val="28"/>
          <w:szCs w:val="28"/>
        </w:rPr>
        <w:t>3</w:t>
      </w:r>
      <w:r w:rsidR="00CF7719" w:rsidRPr="00C45619">
        <w:rPr>
          <w:rFonts w:ascii="Arial Narrow" w:hAnsi="Arial Narrow" w:cs="Tahoma"/>
          <w:b/>
          <w:sz w:val="28"/>
          <w:szCs w:val="28"/>
        </w:rPr>
        <w:t>00</w:t>
      </w:r>
      <w:r w:rsidR="00E33D13" w:rsidRPr="00C45619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C45619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 w:rsidRPr="00C45619">
        <w:rPr>
          <w:rFonts w:ascii="Arial Narrow" w:hAnsi="Arial Narrow" w:cs="Tahoma"/>
          <w:b/>
          <w:i/>
          <w:sz w:val="28"/>
          <w:szCs w:val="28"/>
        </w:rPr>
        <w:t>Construction</w:t>
      </w:r>
      <w:r w:rsidR="00652176" w:rsidRPr="00C45619">
        <w:rPr>
          <w:rFonts w:ascii="Arial Narrow" w:hAnsi="Arial Narrow" w:cs="Tahoma"/>
          <w:b/>
          <w:sz w:val="28"/>
          <w:szCs w:val="28"/>
        </w:rPr>
        <w:t xml:space="preserve"> </w:t>
      </w:r>
      <w:r w:rsidR="00E33D13" w:rsidRPr="00C45619">
        <w:rPr>
          <w:rFonts w:ascii="Arial Narrow" w:hAnsi="Arial Narrow" w:cs="Tahoma"/>
          <w:b/>
          <w:sz w:val="28"/>
          <w:szCs w:val="28"/>
        </w:rPr>
        <w:t>5</w:t>
      </w:r>
      <w:r w:rsidR="00EE2F33" w:rsidRPr="00C45619">
        <w:rPr>
          <w:rFonts w:ascii="Arial Narrow" w:hAnsi="Arial Narrow" w:cs="Tahoma"/>
          <w:b/>
          <w:sz w:val="28"/>
          <w:szCs w:val="28"/>
        </w:rPr>
        <w:t>4</w:t>
      </w:r>
      <w:r w:rsidR="00CF7719" w:rsidRPr="00C45619">
        <w:rPr>
          <w:rFonts w:ascii="Arial Narrow" w:hAnsi="Arial Narrow" w:cs="Tahoma"/>
          <w:b/>
          <w:sz w:val="28"/>
          <w:szCs w:val="28"/>
        </w:rPr>
        <w:t>5</w:t>
      </w:r>
      <w:r w:rsidR="00E33D13" w:rsidRPr="00C45619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C4561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C45619">
        <w:rPr>
          <w:rFonts w:ascii="Tahoma" w:hAnsi="Tahoma" w:cs="Tahoma"/>
          <w:b/>
        </w:rPr>
        <w:tab/>
      </w:r>
      <w:r w:rsidRPr="00C45619">
        <w:rPr>
          <w:rFonts w:ascii="Tahoma" w:hAnsi="Tahoma" w:cs="Tahoma"/>
          <w:b/>
        </w:rPr>
        <w:tab/>
      </w:r>
    </w:p>
    <w:p w:rsidR="00B82005" w:rsidRPr="00C45619" w:rsidRDefault="006D4FC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>Average monthly net wage of employed persons</w:t>
      </w:r>
      <w:r w:rsidR="00E33D13" w:rsidRPr="00C45619">
        <w:rPr>
          <w:rFonts w:ascii="Arial Narrow" w:hAnsi="Arial Narrow" w:cs="Tahoma"/>
          <w:b/>
          <w:sz w:val="22"/>
        </w:rPr>
        <w:t xml:space="preserve"> </w:t>
      </w:r>
      <w:r w:rsidRPr="00C45619">
        <w:rPr>
          <w:rFonts w:ascii="Arial Narrow" w:hAnsi="Arial Narrow" w:cs="Tahoma"/>
          <w:sz w:val="22"/>
        </w:rPr>
        <w:t>in Republika Srpska paid in August</w:t>
      </w:r>
      <w:r w:rsidR="00E33D13" w:rsidRPr="00C45619">
        <w:rPr>
          <w:rFonts w:ascii="Arial Narrow" w:hAnsi="Arial Narrow" w:cs="Tahoma"/>
          <w:sz w:val="22"/>
        </w:rPr>
        <w:t xml:space="preserve"> 201</w:t>
      </w:r>
      <w:r w:rsidR="002E75DE" w:rsidRPr="00C45619">
        <w:rPr>
          <w:rFonts w:ascii="Arial Narrow" w:hAnsi="Arial Narrow" w:cs="Tahoma"/>
          <w:sz w:val="22"/>
        </w:rPr>
        <w:t>7</w:t>
      </w:r>
      <w:r w:rsidR="00E33D13" w:rsidRPr="00C45619">
        <w:rPr>
          <w:rFonts w:ascii="Arial Narrow" w:hAnsi="Arial Narrow" w:cs="Tahoma"/>
          <w:sz w:val="22"/>
        </w:rPr>
        <w:t xml:space="preserve"> </w:t>
      </w:r>
      <w:r w:rsidRPr="00C45619">
        <w:rPr>
          <w:rFonts w:ascii="Arial Narrow" w:hAnsi="Arial Narrow" w:cs="Tahoma"/>
          <w:sz w:val="22"/>
        </w:rPr>
        <w:t>was</w:t>
      </w:r>
      <w:r w:rsidR="00E33D13" w:rsidRPr="00C45619">
        <w:rPr>
          <w:rFonts w:ascii="Arial Narrow" w:hAnsi="Arial Narrow" w:cs="Tahoma"/>
          <w:b/>
          <w:sz w:val="22"/>
        </w:rPr>
        <w:t xml:space="preserve"> </w:t>
      </w:r>
      <w:r w:rsidR="00E33D13" w:rsidRPr="00C45619">
        <w:rPr>
          <w:rFonts w:ascii="Arial Narrow" w:hAnsi="Arial Narrow" w:cs="Tahoma"/>
          <w:sz w:val="22"/>
        </w:rPr>
        <w:t>8</w:t>
      </w:r>
      <w:r w:rsidR="00F912E6" w:rsidRPr="00C45619">
        <w:rPr>
          <w:rFonts w:ascii="Arial Narrow" w:hAnsi="Arial Narrow" w:cs="Tahoma"/>
          <w:sz w:val="22"/>
        </w:rPr>
        <w:t>3</w:t>
      </w:r>
      <w:r w:rsidR="00CF7719" w:rsidRPr="00C45619">
        <w:rPr>
          <w:rFonts w:ascii="Arial Narrow" w:hAnsi="Arial Narrow" w:cs="Tahoma"/>
          <w:sz w:val="22"/>
        </w:rPr>
        <w:t>2</w:t>
      </w:r>
      <w:r w:rsidR="00E33D13" w:rsidRPr="00C45619">
        <w:rPr>
          <w:rFonts w:ascii="Arial Narrow" w:hAnsi="Arial Narrow" w:cs="Tahoma"/>
          <w:sz w:val="22"/>
        </w:rPr>
        <w:t xml:space="preserve"> КМ, </w:t>
      </w:r>
      <w:r w:rsidRPr="00C45619">
        <w:rPr>
          <w:rFonts w:ascii="Arial Narrow" w:hAnsi="Arial Narrow" w:cs="Tahoma"/>
          <w:sz w:val="22"/>
        </w:rPr>
        <w:t>while average monthly gross wage was</w:t>
      </w:r>
      <w:r w:rsidR="00E33D13" w:rsidRPr="00C45619">
        <w:rPr>
          <w:rFonts w:ascii="Arial Narrow" w:hAnsi="Arial Narrow" w:cs="Tahoma"/>
          <w:sz w:val="22"/>
        </w:rPr>
        <w:t xml:space="preserve"> </w:t>
      </w:r>
      <w:r w:rsidRPr="00C45619">
        <w:rPr>
          <w:rFonts w:ascii="Arial Narrow" w:hAnsi="Arial Narrow" w:cs="Tahoma"/>
          <w:sz w:val="22"/>
        </w:rPr>
        <w:t>1,</w:t>
      </w:r>
      <w:r w:rsidR="00E33D13" w:rsidRPr="00C45619">
        <w:rPr>
          <w:rFonts w:ascii="Arial Narrow" w:hAnsi="Arial Narrow" w:cs="Tahoma"/>
          <w:sz w:val="22"/>
        </w:rPr>
        <w:t>3</w:t>
      </w:r>
      <w:r w:rsidR="00F912E6" w:rsidRPr="00C45619">
        <w:rPr>
          <w:rFonts w:ascii="Arial Narrow" w:hAnsi="Arial Narrow" w:cs="Tahoma"/>
          <w:sz w:val="22"/>
        </w:rPr>
        <w:t>3</w:t>
      </w:r>
      <w:r w:rsidR="00CF7719" w:rsidRPr="00C45619">
        <w:rPr>
          <w:rFonts w:ascii="Arial Narrow" w:hAnsi="Arial Narrow" w:cs="Tahoma"/>
          <w:sz w:val="22"/>
        </w:rPr>
        <w:t>3</w:t>
      </w:r>
      <w:r w:rsidR="00F0781C" w:rsidRPr="00C45619">
        <w:rPr>
          <w:rFonts w:ascii="Arial Narrow" w:hAnsi="Arial Narrow" w:cs="Tahoma"/>
          <w:sz w:val="22"/>
        </w:rPr>
        <w:t xml:space="preserve"> </w:t>
      </w:r>
      <w:r w:rsidR="00E33D13" w:rsidRPr="00C45619">
        <w:rPr>
          <w:rFonts w:ascii="Arial Narrow" w:hAnsi="Arial Narrow" w:cs="Tahoma"/>
          <w:sz w:val="22"/>
        </w:rPr>
        <w:t>КМ.</w:t>
      </w:r>
      <w:r w:rsidR="00B82005" w:rsidRPr="00C45619">
        <w:rPr>
          <w:rFonts w:ascii="Arial Narrow" w:hAnsi="Arial Narrow" w:cs="Tahoma"/>
          <w:sz w:val="22"/>
        </w:rPr>
        <w:t xml:space="preserve"> </w:t>
      </w:r>
    </w:p>
    <w:p w:rsidR="00B82005" w:rsidRPr="00C45619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A80BB3" w:rsidRPr="00C45619" w:rsidRDefault="0011735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>Average net wage paid in August</w:t>
      </w:r>
      <w:r w:rsidR="00A80BB3" w:rsidRPr="00C45619">
        <w:rPr>
          <w:rFonts w:ascii="Arial Narrow" w:hAnsi="Arial Narrow" w:cs="Tahoma"/>
          <w:sz w:val="22"/>
        </w:rPr>
        <w:t xml:space="preserve"> 201</w:t>
      </w:r>
      <w:r w:rsidR="002E75DE" w:rsidRPr="00C45619">
        <w:rPr>
          <w:rFonts w:ascii="Arial Narrow" w:hAnsi="Arial Narrow" w:cs="Tahoma"/>
          <w:sz w:val="22"/>
        </w:rPr>
        <w:t>7</w:t>
      </w:r>
      <w:r w:rsidRPr="00C45619">
        <w:rPr>
          <w:rFonts w:ascii="Arial Narrow" w:hAnsi="Arial Narrow" w:cs="Tahoma"/>
          <w:sz w:val="22"/>
        </w:rPr>
        <w:t>,</w:t>
      </w:r>
      <w:r w:rsidR="00C10686" w:rsidRPr="00C45619">
        <w:rPr>
          <w:rFonts w:ascii="Arial Narrow" w:hAnsi="Arial Narrow" w:cs="Tahoma"/>
          <w:sz w:val="22"/>
        </w:rPr>
        <w:t xml:space="preserve"> </w:t>
      </w:r>
      <w:r w:rsidRPr="00C45619">
        <w:rPr>
          <w:rFonts w:ascii="Arial Narrow" w:hAnsi="Arial Narrow" w:cs="Tahoma"/>
          <w:sz w:val="22"/>
        </w:rPr>
        <w:t>compared to July 2017,</w:t>
      </w:r>
      <w:r w:rsidR="00A80BB3" w:rsidRPr="00C45619">
        <w:rPr>
          <w:rFonts w:ascii="Arial Narrow" w:hAnsi="Arial Narrow" w:cs="Tahoma"/>
          <w:sz w:val="22"/>
        </w:rPr>
        <w:t xml:space="preserve"> </w:t>
      </w:r>
      <w:r w:rsidRPr="00C45619">
        <w:rPr>
          <w:rFonts w:ascii="Arial Narrow" w:hAnsi="Arial Narrow" w:cs="Tahoma"/>
          <w:sz w:val="22"/>
        </w:rPr>
        <w:t>was really 0.</w:t>
      </w:r>
      <w:r w:rsidR="00C10686" w:rsidRPr="00C45619">
        <w:rPr>
          <w:rFonts w:ascii="Arial Narrow" w:hAnsi="Arial Narrow" w:cs="Tahoma"/>
          <w:sz w:val="22"/>
        </w:rPr>
        <w:t>4%</w:t>
      </w:r>
      <w:r w:rsidRPr="00C45619">
        <w:rPr>
          <w:rFonts w:ascii="Arial Narrow" w:hAnsi="Arial Narrow" w:cs="Tahoma"/>
          <w:sz w:val="22"/>
        </w:rPr>
        <w:t xml:space="preserve"> higher</w:t>
      </w:r>
      <w:r w:rsidR="00C10686" w:rsidRPr="00C45619">
        <w:rPr>
          <w:rFonts w:ascii="Arial Narrow" w:hAnsi="Arial Narrow" w:cs="Tahoma"/>
          <w:sz w:val="22"/>
        </w:rPr>
        <w:t>,</w:t>
      </w:r>
      <w:r w:rsidR="00A80BB3" w:rsidRPr="00C45619">
        <w:rPr>
          <w:rFonts w:ascii="Arial Narrow" w:hAnsi="Arial Narrow" w:cs="Tahoma"/>
          <w:sz w:val="22"/>
        </w:rPr>
        <w:t xml:space="preserve"> </w:t>
      </w:r>
      <w:r w:rsidRPr="00C45619">
        <w:rPr>
          <w:rFonts w:ascii="Arial Narrow" w:hAnsi="Arial Narrow" w:cs="Tahoma"/>
          <w:sz w:val="22"/>
        </w:rPr>
        <w:t>while compared to August</w:t>
      </w:r>
      <w:r w:rsidR="00C10686" w:rsidRPr="00C45619">
        <w:rPr>
          <w:rFonts w:ascii="Arial Narrow" w:hAnsi="Arial Narrow" w:cs="Tahoma"/>
          <w:sz w:val="22"/>
        </w:rPr>
        <w:t xml:space="preserve"> 2016</w:t>
      </w:r>
      <w:r w:rsidRPr="00C45619">
        <w:rPr>
          <w:rFonts w:ascii="Arial Narrow" w:hAnsi="Arial Narrow" w:cs="Tahoma"/>
          <w:sz w:val="22"/>
        </w:rPr>
        <w:t xml:space="preserve"> it was really 1.</w:t>
      </w:r>
      <w:r w:rsidR="00C10686" w:rsidRPr="00C45619">
        <w:rPr>
          <w:rFonts w:ascii="Arial Narrow" w:hAnsi="Arial Narrow" w:cs="Tahoma"/>
          <w:sz w:val="22"/>
        </w:rPr>
        <w:t>2%</w:t>
      </w:r>
      <w:r w:rsidRPr="00C45619">
        <w:rPr>
          <w:rFonts w:ascii="Arial Narrow" w:hAnsi="Arial Narrow" w:cs="Tahoma"/>
          <w:sz w:val="22"/>
        </w:rPr>
        <w:t xml:space="preserve"> lower</w:t>
      </w:r>
      <w:r w:rsidR="00AA00BD" w:rsidRPr="00C45619">
        <w:rPr>
          <w:rFonts w:ascii="Arial Narrow" w:hAnsi="Arial Narrow" w:cs="Tahoma"/>
          <w:sz w:val="22"/>
        </w:rPr>
        <w:t>.</w:t>
      </w:r>
    </w:p>
    <w:p w:rsidR="00AA00BD" w:rsidRPr="00C45619" w:rsidRDefault="00AA00B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A00BD" w:rsidRPr="00C45619" w:rsidRDefault="00AA00B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 xml:space="preserve">In August 2017, the highest average wage, by section of economic activities, was paid in the section </w:t>
      </w:r>
      <w:r w:rsidRPr="00C45619">
        <w:rPr>
          <w:rFonts w:ascii="Arial Narrow" w:hAnsi="Arial Narrow" w:cs="Tahoma"/>
          <w:i/>
          <w:sz w:val="22"/>
        </w:rPr>
        <w:t>Financial and insurance activities</w:t>
      </w:r>
      <w:r w:rsidRPr="00C45619">
        <w:rPr>
          <w:rFonts w:ascii="Arial Narrow" w:hAnsi="Arial Narrow" w:cs="Tahoma"/>
          <w:sz w:val="22"/>
        </w:rPr>
        <w:t xml:space="preserve">, and it amounted to 1,300 KM. On the other hand, the lowest average net wage in August 2017 was the one paid in the section </w:t>
      </w:r>
      <w:r w:rsidRPr="00C45619">
        <w:rPr>
          <w:rFonts w:ascii="Arial Narrow" w:hAnsi="Arial Narrow" w:cs="Tahoma"/>
          <w:i/>
          <w:sz w:val="22"/>
        </w:rPr>
        <w:t xml:space="preserve">Construction </w:t>
      </w:r>
      <w:r w:rsidRPr="00C45619">
        <w:rPr>
          <w:rFonts w:ascii="Arial Narrow" w:hAnsi="Arial Narrow" w:cs="Tahoma"/>
          <w:sz w:val="22"/>
        </w:rPr>
        <w:t>545 KM</w:t>
      </w:r>
      <w:r w:rsidRPr="00C45619">
        <w:rPr>
          <w:rFonts w:ascii="Arial Narrow" w:hAnsi="Arial Narrow" w:cs="Tahoma"/>
          <w:i/>
          <w:sz w:val="22"/>
        </w:rPr>
        <w:t xml:space="preserve">. </w:t>
      </w:r>
    </w:p>
    <w:p w:rsidR="00443D15" w:rsidRPr="00C45619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C45619" w:rsidRDefault="00AA00BD" w:rsidP="00E33D13">
      <w:pPr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 xml:space="preserve">In August 2017, compared to July 2017, a nominal increase in net wages was recorded in the sections </w:t>
      </w:r>
      <w:r w:rsidRPr="00C45619">
        <w:rPr>
          <w:rFonts w:ascii="Arial Narrow" w:hAnsi="Arial Narrow" w:cs="Tahoma"/>
          <w:i/>
          <w:sz w:val="22"/>
        </w:rPr>
        <w:t>Administrative and support service activities</w:t>
      </w:r>
      <w:r w:rsidRPr="00C45619">
        <w:rPr>
          <w:rFonts w:ascii="Arial Narrow" w:hAnsi="Arial Narrow" w:cs="Tahoma"/>
          <w:sz w:val="22"/>
        </w:rPr>
        <w:t xml:space="preserve"> 5.6%, </w:t>
      </w:r>
      <w:r w:rsidRPr="00C45619">
        <w:rPr>
          <w:rFonts w:ascii="Arial Narrow" w:hAnsi="Arial Narrow" w:cs="Tahoma"/>
          <w:i/>
          <w:sz w:val="22"/>
        </w:rPr>
        <w:t>Professional, scientific and technical activities</w:t>
      </w:r>
      <w:r w:rsidRPr="00C45619">
        <w:rPr>
          <w:rFonts w:ascii="Arial Narrow" w:hAnsi="Arial Narrow" w:cs="Tahoma"/>
          <w:sz w:val="22"/>
        </w:rPr>
        <w:t xml:space="preserve"> 3.9% and </w:t>
      </w:r>
      <w:r w:rsidRPr="00C45619">
        <w:rPr>
          <w:rFonts w:ascii="Arial Narrow" w:hAnsi="Arial Narrow" w:cs="Tahoma"/>
          <w:i/>
          <w:sz w:val="22"/>
        </w:rPr>
        <w:t>Mining and quarrying</w:t>
      </w:r>
      <w:r w:rsidRPr="00C45619">
        <w:rPr>
          <w:rFonts w:ascii="Arial Narrow" w:hAnsi="Arial Narrow" w:cs="Tahoma"/>
          <w:sz w:val="22"/>
        </w:rPr>
        <w:t xml:space="preserve"> 2.7%.</w:t>
      </w:r>
    </w:p>
    <w:p w:rsidR="00AA00BD" w:rsidRPr="00C45619" w:rsidRDefault="00AA00BD" w:rsidP="00E33D13">
      <w:pPr>
        <w:jc w:val="both"/>
        <w:rPr>
          <w:rFonts w:ascii="Arial Narrow" w:hAnsi="Arial Narrow" w:cs="Tahoma"/>
          <w:sz w:val="22"/>
        </w:rPr>
      </w:pPr>
    </w:p>
    <w:p w:rsidR="00AA00BD" w:rsidRPr="00C45619" w:rsidRDefault="00AA00BD" w:rsidP="00E33D13">
      <w:pPr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 xml:space="preserve">A decrease in nominal wages was recorded in the sections </w:t>
      </w:r>
      <w:r w:rsidRPr="00C45619">
        <w:rPr>
          <w:rFonts w:ascii="Arial Narrow" w:hAnsi="Arial Narrow" w:cs="Tahoma"/>
          <w:i/>
          <w:sz w:val="22"/>
        </w:rPr>
        <w:t>Financial and insurance activities</w:t>
      </w:r>
      <w:r w:rsidRPr="00C45619">
        <w:rPr>
          <w:rFonts w:ascii="Arial Narrow" w:hAnsi="Arial Narrow" w:cs="Tahoma"/>
          <w:sz w:val="22"/>
        </w:rPr>
        <w:t xml:space="preserve"> 6.2%, </w:t>
      </w:r>
      <w:r w:rsidRPr="00C45619">
        <w:rPr>
          <w:rFonts w:ascii="Arial Narrow" w:hAnsi="Arial Narrow" w:cs="Tahoma"/>
          <w:i/>
          <w:sz w:val="22"/>
        </w:rPr>
        <w:t>Human health and social work activities</w:t>
      </w:r>
      <w:r w:rsidRPr="00C45619">
        <w:rPr>
          <w:rFonts w:ascii="Arial Narrow" w:hAnsi="Arial Narrow" w:cs="Tahoma"/>
          <w:sz w:val="22"/>
        </w:rPr>
        <w:t xml:space="preserve"> 1.0% and </w:t>
      </w:r>
      <w:r w:rsidRPr="00C45619">
        <w:rPr>
          <w:rFonts w:ascii="Arial Narrow" w:hAnsi="Arial Narrow" w:cs="Tahoma"/>
          <w:i/>
          <w:sz w:val="22"/>
        </w:rPr>
        <w:t>Information and communication</w:t>
      </w:r>
      <w:r w:rsidRPr="00C45619">
        <w:rPr>
          <w:rFonts w:ascii="Arial Narrow" w:hAnsi="Arial Narrow" w:cs="Tahoma"/>
          <w:sz w:val="22"/>
        </w:rPr>
        <w:t xml:space="preserve"> 0.8%.</w:t>
      </w:r>
    </w:p>
    <w:p w:rsidR="00396802" w:rsidRPr="00C45619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C4561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C45619">
        <w:rPr>
          <w:rFonts w:ascii="Tahoma" w:hAnsi="Tahoma" w:cs="Tahoma"/>
          <w:i/>
          <w:sz w:val="14"/>
        </w:rPr>
        <w:t xml:space="preserve"> </w:t>
      </w:r>
      <w:r w:rsidRPr="00C45619">
        <w:rPr>
          <w:rFonts w:ascii="Tahoma" w:hAnsi="Tahoma" w:cs="Tahoma"/>
          <w:sz w:val="14"/>
        </w:rPr>
        <w:t xml:space="preserve">   </w:t>
      </w:r>
      <w:r w:rsidRPr="00C45619">
        <w:rPr>
          <w:rFonts w:ascii="Tahoma" w:hAnsi="Tahoma" w:cs="Tahoma"/>
          <w:sz w:val="14"/>
        </w:rPr>
        <w:tab/>
      </w:r>
      <w:r w:rsidRPr="00C45619">
        <w:rPr>
          <w:rFonts w:ascii="Tahoma" w:hAnsi="Tahoma" w:cs="Tahoma"/>
          <w:sz w:val="14"/>
        </w:rPr>
        <w:tab/>
        <w:t xml:space="preserve">            </w:t>
      </w:r>
      <w:r w:rsidR="00F85AAC" w:rsidRPr="00C45619">
        <w:rPr>
          <w:rFonts w:ascii="Tahoma" w:hAnsi="Tahoma" w:cs="Tahoma"/>
          <w:sz w:val="14"/>
        </w:rPr>
        <w:t xml:space="preserve">   </w:t>
      </w:r>
      <w:r w:rsidRPr="00C45619">
        <w:rPr>
          <w:rFonts w:ascii="Arial Narrow" w:hAnsi="Arial Narrow" w:cs="Tahoma"/>
          <w:sz w:val="22"/>
          <w:szCs w:val="22"/>
        </w:rPr>
        <w:t>км</w:t>
      </w:r>
    </w:p>
    <w:p w:rsidR="00E33D13" w:rsidRPr="00C45619" w:rsidRDefault="00CE1C43" w:rsidP="00E33D13">
      <w:pPr>
        <w:jc w:val="center"/>
        <w:rPr>
          <w:rFonts w:ascii="Tahoma" w:hAnsi="Tahoma" w:cs="Tahoma"/>
        </w:rPr>
      </w:pPr>
      <w:r w:rsidRPr="00C45619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2074214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C45619">
        <w:rPr>
          <w:rFonts w:ascii="Tahoma" w:hAnsi="Tahoma" w:cs="Tahoma"/>
          <w:szCs w:val="18"/>
        </w:rPr>
        <w:t xml:space="preserve">  </w:t>
      </w:r>
      <w:r w:rsidRPr="00C45619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C45619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C45619" w:rsidRDefault="00D30C76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C45619">
        <w:rPr>
          <w:rFonts w:ascii="Arial Narrow" w:hAnsi="Arial Narrow" w:cs="Tahoma"/>
          <w:sz w:val="16"/>
          <w:szCs w:val="22"/>
        </w:rPr>
        <w:t>Graph</w:t>
      </w:r>
      <w:r w:rsidR="00E33D13" w:rsidRPr="00C45619">
        <w:rPr>
          <w:rFonts w:ascii="Arial Narrow" w:hAnsi="Arial Narrow" w:cs="Tahoma"/>
          <w:sz w:val="16"/>
          <w:szCs w:val="22"/>
        </w:rPr>
        <w:t xml:space="preserve"> </w:t>
      </w:r>
      <w:r w:rsidR="0066022A" w:rsidRPr="00C45619">
        <w:rPr>
          <w:rFonts w:ascii="Arial Narrow" w:hAnsi="Arial Narrow" w:cs="Tahoma"/>
          <w:sz w:val="16"/>
          <w:szCs w:val="22"/>
        </w:rPr>
        <w:t>1</w:t>
      </w:r>
      <w:r w:rsidR="00E33D13" w:rsidRPr="00C45619">
        <w:rPr>
          <w:rFonts w:ascii="Arial Narrow" w:hAnsi="Arial Narrow" w:cs="Tahoma"/>
          <w:sz w:val="16"/>
          <w:szCs w:val="22"/>
        </w:rPr>
        <w:t xml:space="preserve">. </w:t>
      </w:r>
      <w:r w:rsidRPr="00C45619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C45619" w:rsidRDefault="00BE051D">
      <w:pPr>
        <w:rPr>
          <w:rFonts w:ascii="Arial Narrow" w:hAnsi="Arial Narrow" w:cs="Tahoma"/>
          <w:sz w:val="22"/>
        </w:rPr>
      </w:pPr>
    </w:p>
    <w:p w:rsidR="009B738E" w:rsidRPr="00C45619" w:rsidRDefault="00462753" w:rsidP="009B738E">
      <w:pPr>
        <w:rPr>
          <w:rFonts w:ascii="Arial Narrow" w:hAnsi="Arial Narrow" w:cs="Tahoma"/>
          <w:b/>
          <w:sz w:val="30"/>
          <w:szCs w:val="30"/>
        </w:rPr>
      </w:pPr>
      <w:r w:rsidRPr="00C45619">
        <w:rPr>
          <w:rFonts w:ascii="Arial Narrow" w:hAnsi="Arial Narrow" w:cs="Tahoma"/>
          <w:b/>
          <w:sz w:val="30"/>
          <w:szCs w:val="30"/>
        </w:rPr>
        <w:t>Monthly inflation -0.</w:t>
      </w:r>
      <w:r w:rsidR="009B738E" w:rsidRPr="00C45619">
        <w:rPr>
          <w:rFonts w:ascii="Arial Narrow" w:hAnsi="Arial Narrow" w:cs="Tahoma"/>
          <w:b/>
          <w:sz w:val="30"/>
          <w:szCs w:val="30"/>
        </w:rPr>
        <w:t>2%</w:t>
      </w:r>
      <w:r w:rsidRPr="00C45619">
        <w:rPr>
          <w:rFonts w:ascii="Arial Narrow" w:hAnsi="Arial Narrow" w:cs="Tahoma"/>
          <w:b/>
          <w:sz w:val="30"/>
          <w:szCs w:val="30"/>
        </w:rPr>
        <w:t xml:space="preserve"> in August 2017</w:t>
      </w:r>
    </w:p>
    <w:p w:rsidR="009B738E" w:rsidRPr="00C45619" w:rsidRDefault="00462753" w:rsidP="009B738E">
      <w:pPr>
        <w:rPr>
          <w:rFonts w:ascii="Arial Narrow" w:hAnsi="Arial Narrow" w:cs="Tahoma"/>
          <w:b/>
          <w:sz w:val="28"/>
          <w:szCs w:val="28"/>
        </w:rPr>
      </w:pPr>
      <w:r w:rsidRPr="00C45619">
        <w:rPr>
          <w:rFonts w:ascii="Arial Narrow" w:hAnsi="Arial Narrow" w:cs="Tahoma"/>
          <w:b/>
          <w:sz w:val="28"/>
          <w:szCs w:val="30"/>
        </w:rPr>
        <w:t>Annual inflation</w:t>
      </w:r>
      <w:r w:rsidR="009B738E" w:rsidRPr="00C45619">
        <w:rPr>
          <w:rFonts w:ascii="Arial Narrow" w:hAnsi="Arial Narrow" w:cs="Tahoma"/>
          <w:b/>
          <w:sz w:val="24"/>
          <w:szCs w:val="28"/>
        </w:rPr>
        <w:t xml:space="preserve"> </w:t>
      </w:r>
      <w:r w:rsidR="009B738E" w:rsidRPr="00C45619">
        <w:rPr>
          <w:rFonts w:ascii="Arial Narrow" w:hAnsi="Arial Narrow" w:cs="Tahoma"/>
          <w:b/>
          <w:sz w:val="28"/>
          <w:szCs w:val="28"/>
        </w:rPr>
        <w:t>(</w:t>
      </w:r>
      <w:r w:rsidRPr="00C45619">
        <w:rPr>
          <w:rFonts w:ascii="Arial Narrow" w:hAnsi="Arial Narrow" w:cs="Tahoma"/>
          <w:b/>
          <w:sz w:val="30"/>
          <w:szCs w:val="30"/>
        </w:rPr>
        <w:t>August</w:t>
      </w:r>
      <w:r w:rsidR="00C10686" w:rsidRPr="00C45619">
        <w:rPr>
          <w:rFonts w:ascii="Arial Narrow" w:hAnsi="Arial Narrow" w:cs="Tahoma"/>
          <w:b/>
          <w:sz w:val="28"/>
        </w:rPr>
        <w:t xml:space="preserve"> </w:t>
      </w:r>
      <w:r w:rsidR="009B738E" w:rsidRPr="00C45619">
        <w:rPr>
          <w:rFonts w:ascii="Arial Narrow" w:hAnsi="Arial Narrow" w:cs="Tahoma"/>
          <w:b/>
          <w:sz w:val="28"/>
          <w:szCs w:val="28"/>
        </w:rPr>
        <w:t>2017/</w:t>
      </w:r>
      <w:r w:rsidRPr="00C45619">
        <w:rPr>
          <w:rFonts w:ascii="Arial Narrow" w:hAnsi="Arial Narrow" w:cs="Tahoma"/>
          <w:b/>
          <w:sz w:val="30"/>
          <w:szCs w:val="30"/>
        </w:rPr>
        <w:t xml:space="preserve"> August</w:t>
      </w:r>
      <w:r w:rsidR="00C10686" w:rsidRPr="00C45619">
        <w:rPr>
          <w:rFonts w:ascii="Arial Narrow" w:hAnsi="Arial Narrow" w:cs="Tahoma"/>
          <w:b/>
          <w:sz w:val="28"/>
        </w:rPr>
        <w:t xml:space="preserve"> </w:t>
      </w:r>
      <w:r w:rsidRPr="00C45619">
        <w:rPr>
          <w:rFonts w:ascii="Arial Narrow" w:hAnsi="Arial Narrow" w:cs="Tahoma"/>
          <w:b/>
          <w:sz w:val="28"/>
          <w:szCs w:val="28"/>
        </w:rPr>
        <w:t>2016) 0.</w:t>
      </w:r>
      <w:r w:rsidR="009B738E" w:rsidRPr="00C45619">
        <w:rPr>
          <w:rFonts w:ascii="Arial Narrow" w:hAnsi="Arial Narrow" w:cs="Tahoma"/>
          <w:b/>
          <w:sz w:val="28"/>
          <w:szCs w:val="28"/>
        </w:rPr>
        <w:t>4%</w:t>
      </w:r>
    </w:p>
    <w:p w:rsidR="009B738E" w:rsidRPr="00C45619" w:rsidRDefault="009B738E" w:rsidP="009B738E">
      <w:pPr>
        <w:jc w:val="both"/>
        <w:rPr>
          <w:rFonts w:ascii="Arial Narrow" w:hAnsi="Arial Narrow" w:cs="Tahoma"/>
          <w:sz w:val="22"/>
          <w:szCs w:val="22"/>
        </w:rPr>
      </w:pPr>
    </w:p>
    <w:p w:rsidR="00462753" w:rsidRPr="00C45619" w:rsidRDefault="00462753" w:rsidP="009B738E">
      <w:pPr>
        <w:jc w:val="both"/>
        <w:rPr>
          <w:rFonts w:ascii="Arial Narrow" w:hAnsi="Arial Narrow" w:cs="Tahoma"/>
          <w:sz w:val="22"/>
          <w:szCs w:val="22"/>
        </w:rPr>
      </w:pPr>
      <w:r w:rsidRPr="00C45619">
        <w:rPr>
          <w:rFonts w:ascii="Arial Narrow" w:hAnsi="Arial Narrow" w:cs="Tahoma"/>
          <w:sz w:val="22"/>
          <w:szCs w:val="22"/>
        </w:rPr>
        <w:t>Prices of products and services for personal consumption in Republika Srpska, measured with the consumer price index, in August 2017, compared to the previous month, were on the average 0.2% lower, while they were 0.4% higher at the annual level.</w:t>
      </w:r>
    </w:p>
    <w:p w:rsidR="00462753" w:rsidRPr="00C45619" w:rsidRDefault="00462753" w:rsidP="009B738E">
      <w:pPr>
        <w:jc w:val="both"/>
        <w:rPr>
          <w:rFonts w:ascii="Arial Narrow" w:hAnsi="Arial Narrow" w:cs="Tahoma"/>
          <w:sz w:val="22"/>
          <w:szCs w:val="22"/>
        </w:rPr>
      </w:pPr>
    </w:p>
    <w:p w:rsidR="00462753" w:rsidRPr="00C45619" w:rsidRDefault="00462753" w:rsidP="00462753">
      <w:pPr>
        <w:jc w:val="both"/>
        <w:rPr>
          <w:rFonts w:ascii="Arial Narrow" w:hAnsi="Arial Narrow" w:cs="Tahoma"/>
          <w:sz w:val="22"/>
          <w:szCs w:val="22"/>
        </w:rPr>
      </w:pPr>
      <w:r w:rsidRPr="00C45619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two divisions, a decrease was recorded in five divisions, while prices in five divisions remained on the average at the same level.</w:t>
      </w:r>
    </w:p>
    <w:p w:rsidR="00462753" w:rsidRPr="00C45619" w:rsidRDefault="00462753" w:rsidP="009B738E">
      <w:pPr>
        <w:jc w:val="both"/>
        <w:rPr>
          <w:rFonts w:ascii="Arial Narrow" w:hAnsi="Arial Narrow" w:cs="Tahoma"/>
          <w:sz w:val="22"/>
          <w:szCs w:val="22"/>
        </w:rPr>
      </w:pPr>
    </w:p>
    <w:p w:rsidR="009B738E" w:rsidRPr="00C45619" w:rsidRDefault="00462753" w:rsidP="009B738E">
      <w:pPr>
        <w:jc w:val="both"/>
        <w:rPr>
          <w:rFonts w:ascii="Arial Narrow" w:hAnsi="Arial Narrow" w:cs="Tahoma"/>
          <w:sz w:val="22"/>
          <w:szCs w:val="22"/>
        </w:rPr>
      </w:pPr>
      <w:r w:rsidRPr="00C45619">
        <w:rPr>
          <w:rFonts w:ascii="Arial Narrow" w:hAnsi="Arial Narrow" w:cs="Tahoma"/>
          <w:sz w:val="22"/>
          <w:szCs w:val="22"/>
        </w:rPr>
        <w:t xml:space="preserve">The highest increase in prices in August was recorded in the division </w:t>
      </w:r>
      <w:r w:rsidRPr="00C45619">
        <w:rPr>
          <w:rFonts w:ascii="Arial Narrow" w:hAnsi="Arial Narrow" w:cs="Tahoma"/>
          <w:i/>
          <w:sz w:val="22"/>
          <w:szCs w:val="22"/>
        </w:rPr>
        <w:t>Housing</w:t>
      </w:r>
      <w:r w:rsidRPr="00C45619">
        <w:rPr>
          <w:rFonts w:ascii="Arial Narrow" w:hAnsi="Arial Narrow" w:cs="Tahoma"/>
          <w:sz w:val="22"/>
          <w:szCs w:val="22"/>
        </w:rPr>
        <w:t xml:space="preserve"> (0.2%), due to higher purchase prices in the group</w:t>
      </w:r>
      <w:r w:rsidR="00220305" w:rsidRPr="00C45619">
        <w:rPr>
          <w:rFonts w:ascii="Arial Narrow" w:hAnsi="Arial Narrow" w:cs="Tahoma"/>
          <w:sz w:val="22"/>
          <w:szCs w:val="22"/>
        </w:rPr>
        <w:t xml:space="preserve"> household heating. An increase in prices was also recorded in the division </w:t>
      </w:r>
      <w:r w:rsidR="00220305" w:rsidRPr="00C45619">
        <w:rPr>
          <w:rFonts w:ascii="Arial Narrow" w:hAnsi="Arial Narrow" w:cs="Tahoma"/>
          <w:i/>
          <w:sz w:val="22"/>
          <w:szCs w:val="22"/>
        </w:rPr>
        <w:t>Human health</w:t>
      </w:r>
      <w:r w:rsidR="00220305" w:rsidRPr="00C45619">
        <w:rPr>
          <w:rFonts w:ascii="Arial Narrow" w:hAnsi="Arial Narrow" w:cs="Tahoma"/>
          <w:sz w:val="22"/>
          <w:szCs w:val="22"/>
        </w:rPr>
        <w:t xml:space="preserve"> (0.1%), due to higher prices in the group pharmaceutical products. </w:t>
      </w:r>
      <w:r w:rsidRPr="00C45619">
        <w:rPr>
          <w:rFonts w:ascii="Arial Narrow" w:hAnsi="Arial Narrow" w:cs="Tahoma"/>
          <w:sz w:val="22"/>
          <w:szCs w:val="22"/>
        </w:rPr>
        <w:t xml:space="preserve"> </w:t>
      </w:r>
    </w:p>
    <w:p w:rsidR="00220305" w:rsidRPr="00C45619" w:rsidRDefault="00220305" w:rsidP="009B738E">
      <w:pPr>
        <w:jc w:val="both"/>
        <w:rPr>
          <w:rFonts w:ascii="Arial Narrow" w:hAnsi="Arial Narrow" w:cs="Tahoma"/>
          <w:sz w:val="22"/>
          <w:szCs w:val="22"/>
        </w:rPr>
      </w:pPr>
    </w:p>
    <w:p w:rsidR="00220305" w:rsidRPr="00C45619" w:rsidRDefault="00220305" w:rsidP="009B738E">
      <w:pPr>
        <w:jc w:val="both"/>
        <w:rPr>
          <w:rFonts w:ascii="Arial Narrow" w:hAnsi="Arial Narrow" w:cs="Tahoma"/>
          <w:sz w:val="22"/>
          <w:szCs w:val="22"/>
        </w:rPr>
      </w:pPr>
      <w:r w:rsidRPr="00C45619">
        <w:rPr>
          <w:rFonts w:ascii="Arial Narrow" w:hAnsi="Arial Narrow" w:cs="Tahoma"/>
          <w:sz w:val="22"/>
          <w:szCs w:val="22"/>
        </w:rPr>
        <w:t xml:space="preserve">In the divisions </w:t>
      </w:r>
      <w:r w:rsidRPr="00C45619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C45619">
        <w:rPr>
          <w:rFonts w:ascii="Arial Narrow" w:hAnsi="Arial Narrow" w:cs="Tahoma"/>
          <w:sz w:val="22"/>
          <w:szCs w:val="22"/>
        </w:rPr>
        <w:t xml:space="preserve">, </w:t>
      </w:r>
      <w:r w:rsidRPr="00C45619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C45619">
        <w:rPr>
          <w:rFonts w:ascii="Arial Narrow" w:hAnsi="Arial Narrow" w:cs="Tahoma"/>
          <w:sz w:val="22"/>
          <w:szCs w:val="22"/>
        </w:rPr>
        <w:t xml:space="preserve">, </w:t>
      </w:r>
      <w:r w:rsidRPr="00C45619">
        <w:rPr>
          <w:rFonts w:ascii="Arial Narrow" w:hAnsi="Arial Narrow" w:cs="Tahoma"/>
          <w:i/>
          <w:sz w:val="22"/>
          <w:szCs w:val="22"/>
        </w:rPr>
        <w:t>Communication</w:t>
      </w:r>
      <w:r w:rsidRPr="00C45619">
        <w:rPr>
          <w:rFonts w:ascii="Arial Narrow" w:hAnsi="Arial Narrow" w:cs="Tahoma"/>
          <w:sz w:val="22"/>
          <w:szCs w:val="22"/>
        </w:rPr>
        <w:t xml:space="preserve">, </w:t>
      </w:r>
      <w:r w:rsidRPr="00C45619">
        <w:rPr>
          <w:rFonts w:ascii="Arial Narrow" w:hAnsi="Arial Narrow" w:cs="Tahoma"/>
          <w:i/>
          <w:sz w:val="22"/>
          <w:szCs w:val="22"/>
        </w:rPr>
        <w:t>Education</w:t>
      </w:r>
      <w:r w:rsidRPr="00C45619">
        <w:rPr>
          <w:rFonts w:ascii="Arial Narrow" w:hAnsi="Arial Narrow" w:cs="Tahoma"/>
          <w:sz w:val="22"/>
          <w:szCs w:val="22"/>
        </w:rPr>
        <w:t xml:space="preserve"> and </w:t>
      </w:r>
      <w:r w:rsidRPr="00C45619">
        <w:rPr>
          <w:rFonts w:ascii="Arial Narrow" w:hAnsi="Arial Narrow" w:cs="Tahoma"/>
          <w:i/>
          <w:sz w:val="22"/>
          <w:szCs w:val="22"/>
        </w:rPr>
        <w:t>Restaurants and hotels</w:t>
      </w:r>
      <w:r w:rsidRPr="00C45619">
        <w:rPr>
          <w:rFonts w:ascii="Arial Narrow" w:hAnsi="Arial Narrow" w:cs="Tahoma"/>
          <w:sz w:val="22"/>
          <w:szCs w:val="22"/>
        </w:rPr>
        <w:t xml:space="preserve"> prices remained on the average at the same level.</w:t>
      </w:r>
    </w:p>
    <w:p w:rsidR="009B738E" w:rsidRPr="00C45619" w:rsidRDefault="009B738E" w:rsidP="009B738E">
      <w:pPr>
        <w:jc w:val="both"/>
        <w:rPr>
          <w:rFonts w:ascii="Arial Narrow" w:hAnsi="Arial Narrow" w:cs="Tahoma"/>
          <w:sz w:val="22"/>
          <w:szCs w:val="22"/>
        </w:rPr>
      </w:pPr>
    </w:p>
    <w:p w:rsidR="009B738E" w:rsidRPr="00C45619" w:rsidRDefault="00220305" w:rsidP="009B738E">
      <w:pPr>
        <w:jc w:val="both"/>
        <w:rPr>
          <w:rFonts w:ascii="Arial Narrow" w:hAnsi="Arial Narrow" w:cs="Tahoma"/>
          <w:sz w:val="22"/>
          <w:szCs w:val="22"/>
        </w:rPr>
      </w:pPr>
      <w:r w:rsidRPr="00C45619">
        <w:rPr>
          <w:rFonts w:ascii="Arial Narrow" w:hAnsi="Arial Narrow" w:cs="Tahoma"/>
          <w:sz w:val="22"/>
          <w:szCs w:val="22"/>
        </w:rPr>
        <w:t xml:space="preserve">The highest decrease in prices in August was recorded in the division </w:t>
      </w:r>
      <w:r w:rsidRPr="00C45619">
        <w:rPr>
          <w:rFonts w:ascii="Arial Narrow" w:hAnsi="Arial Narrow" w:cs="Tahoma"/>
          <w:i/>
          <w:sz w:val="22"/>
          <w:szCs w:val="22"/>
        </w:rPr>
        <w:t>Clothing and footwear</w:t>
      </w:r>
      <w:r w:rsidRPr="00C45619">
        <w:rPr>
          <w:rFonts w:ascii="Arial Narrow" w:hAnsi="Arial Narrow" w:cs="Tahoma"/>
          <w:sz w:val="22"/>
          <w:szCs w:val="22"/>
        </w:rPr>
        <w:t xml:space="preserve"> (1.3%), due to discounts on clothing by 1.3% and footwear 1.1%. A decrease in prices was also recorded in the division </w:t>
      </w:r>
      <w:r w:rsidRPr="00C45619">
        <w:rPr>
          <w:rFonts w:ascii="Arial Narrow" w:hAnsi="Arial Narrow" w:cs="Tahoma"/>
          <w:i/>
          <w:sz w:val="22"/>
          <w:szCs w:val="22"/>
        </w:rPr>
        <w:t>Transport</w:t>
      </w:r>
      <w:r w:rsidRPr="00C45619">
        <w:rPr>
          <w:rFonts w:ascii="Arial Narrow" w:hAnsi="Arial Narrow" w:cs="Tahoma"/>
          <w:sz w:val="22"/>
          <w:szCs w:val="22"/>
        </w:rPr>
        <w:t xml:space="preserve"> (0.7%), as a result of corrections of purchase prices of fuels and lubricants by 1.7%, in the division </w:t>
      </w:r>
      <w:r w:rsidRPr="00C45619">
        <w:rPr>
          <w:rFonts w:ascii="Arial Narrow" w:hAnsi="Arial Narrow" w:cs="Tahoma"/>
          <w:i/>
          <w:sz w:val="22"/>
          <w:szCs w:val="22"/>
        </w:rPr>
        <w:t>Recreation and culture</w:t>
      </w:r>
      <w:r w:rsidRPr="00C45619">
        <w:rPr>
          <w:rFonts w:ascii="Arial Narrow" w:hAnsi="Arial Narrow" w:cs="Tahoma"/>
          <w:sz w:val="22"/>
          <w:szCs w:val="22"/>
        </w:rPr>
        <w:t xml:space="preserve"> (0.3%), due to lower prices in the group books and textbooks by 1.5%, in the group travel arrangements</w:t>
      </w:r>
      <w:r w:rsidR="002311D7" w:rsidRPr="00C45619">
        <w:rPr>
          <w:rFonts w:ascii="Arial Narrow" w:hAnsi="Arial Narrow" w:cs="Tahoma"/>
          <w:sz w:val="22"/>
          <w:szCs w:val="22"/>
        </w:rPr>
        <w:t xml:space="preserve"> by 1.0%, in the group sports and recreational equipment by 0.8% and in the group data processing equipment by 0.4%. </w:t>
      </w:r>
      <w:r w:rsidR="00E50D21" w:rsidRPr="00C45619">
        <w:rPr>
          <w:rFonts w:ascii="Arial Narrow" w:hAnsi="Arial Narrow" w:cs="Tahoma"/>
          <w:sz w:val="22"/>
          <w:szCs w:val="22"/>
        </w:rPr>
        <w:t xml:space="preserve">Lower prices in August were also recorded in the division </w:t>
      </w:r>
      <w:r w:rsidR="00E50D21" w:rsidRPr="00C45619">
        <w:rPr>
          <w:rFonts w:ascii="Arial Narrow" w:hAnsi="Arial Narrow" w:cs="Tahoma"/>
          <w:i/>
          <w:sz w:val="22"/>
          <w:szCs w:val="22"/>
        </w:rPr>
        <w:t>Furnishing and other equipment</w:t>
      </w:r>
      <w:r w:rsidR="00E50D21" w:rsidRPr="00C45619">
        <w:rPr>
          <w:rFonts w:ascii="Arial Narrow" w:hAnsi="Arial Narrow" w:cs="Tahoma"/>
          <w:sz w:val="22"/>
          <w:szCs w:val="22"/>
        </w:rPr>
        <w:t xml:space="preserve"> (0.2%), due to lower prices in the groups household cleaning and routine maintenance products (0.7%) and household appliances (0.6%), as well as in the division </w:t>
      </w:r>
      <w:r w:rsidR="00E50D21" w:rsidRPr="00C45619">
        <w:rPr>
          <w:rFonts w:ascii="Arial Narrow" w:hAnsi="Arial Narrow" w:cs="Tahoma"/>
          <w:i/>
          <w:sz w:val="22"/>
          <w:szCs w:val="22"/>
        </w:rPr>
        <w:t>Other goods and services</w:t>
      </w:r>
      <w:r w:rsidR="00E50D21" w:rsidRPr="00C45619">
        <w:rPr>
          <w:rFonts w:ascii="Arial Narrow" w:hAnsi="Arial Narrow" w:cs="Tahoma"/>
          <w:sz w:val="22"/>
          <w:szCs w:val="22"/>
        </w:rPr>
        <w:t xml:space="preserve"> (0.1%), due to lower prices in the group personal care products by 0.3%.</w:t>
      </w:r>
    </w:p>
    <w:p w:rsidR="00625E3C" w:rsidRPr="00C45619" w:rsidRDefault="00D30C76" w:rsidP="00533DB1">
      <w:pPr>
        <w:jc w:val="center"/>
        <w:rPr>
          <w:rFonts w:ascii="Arial Narrow" w:hAnsi="Arial Narrow" w:cs="Tahoma"/>
          <w:noProof/>
          <w:sz w:val="16"/>
          <w:szCs w:val="16"/>
        </w:rPr>
      </w:pPr>
      <w:r w:rsidRPr="00C45619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2385695</wp:posOffset>
                </wp:positionV>
                <wp:extent cx="1112520" cy="3276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C76" w:rsidRPr="00D30C76" w:rsidRDefault="00D30C7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30C7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9.35pt;margin-top:187.85pt;width:87.6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" fillcolor="white [3201]" stroked="f" strokeweight=".5pt">
                <v:textbox>
                  <w:txbxContent>
                    <w:p w:rsidR="00D30C76" w:rsidRPr="00D30C76" w:rsidRDefault="00D30C7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30C76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Pr="00C45619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708C2" wp14:editId="1DD7B7C5">
                <wp:simplePos x="0" y="0"/>
                <wp:positionH relativeFrom="column">
                  <wp:posOffset>3890513</wp:posOffset>
                </wp:positionH>
                <wp:positionV relativeFrom="paragraph">
                  <wp:posOffset>2398143</wp:posOffset>
                </wp:positionV>
                <wp:extent cx="1112807" cy="32780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7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0C76" w:rsidRPr="00D30C76" w:rsidRDefault="00D30C76" w:rsidP="00D30C7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D30C7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08C2" id="Text Box 25" o:spid="_x0000_s1027" type="#_x0000_t202" style="position:absolute;left:0;text-align:left;margin-left:306.35pt;margin-top:188.85pt;width:87.6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" fillcolor="window" stroked="f" strokeweight=".5pt">
                <v:textbox>
                  <w:txbxContent>
                    <w:p w:rsidR="00D30C76" w:rsidRPr="00D30C76" w:rsidRDefault="00D30C76" w:rsidP="00D30C7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D30C7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="000B1BA7" w:rsidRPr="00C45619">
        <w:rPr>
          <w:rFonts w:ascii="Arial Narrow" w:hAnsi="Arial Narrow" w:cs="Tahoma"/>
          <w:noProof/>
          <w:sz w:val="16"/>
          <w:szCs w:val="16"/>
        </w:rPr>
        <w:drawing>
          <wp:inline distT="0" distB="0" distL="0" distR="0" wp14:anchorId="7D06066A" wp14:editId="6B31192D">
            <wp:extent cx="5595582" cy="2811439"/>
            <wp:effectExtent l="0" t="0" r="5715" b="82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C45619" w:rsidRDefault="00D30C76" w:rsidP="009856D8">
      <w:pPr>
        <w:jc w:val="center"/>
        <w:rPr>
          <w:rFonts w:ascii="Arial Narrow" w:hAnsi="Arial Narrow" w:cs="Tahoma"/>
          <w:sz w:val="16"/>
          <w:szCs w:val="16"/>
        </w:rPr>
      </w:pPr>
      <w:r w:rsidRPr="00C45619">
        <w:rPr>
          <w:rFonts w:ascii="Arial Narrow" w:hAnsi="Arial Narrow" w:cs="Tahoma"/>
          <w:sz w:val="16"/>
          <w:szCs w:val="16"/>
        </w:rPr>
        <w:t>Graph</w:t>
      </w:r>
      <w:r w:rsidR="009856D8" w:rsidRPr="00C45619">
        <w:rPr>
          <w:rFonts w:ascii="Arial Narrow" w:hAnsi="Arial Narrow" w:cs="Tahoma"/>
          <w:sz w:val="16"/>
          <w:szCs w:val="16"/>
        </w:rPr>
        <w:t xml:space="preserve"> </w:t>
      </w:r>
      <w:r w:rsidR="00C07571" w:rsidRPr="00C45619">
        <w:rPr>
          <w:rFonts w:ascii="Arial Narrow" w:hAnsi="Arial Narrow" w:cs="Tahoma"/>
          <w:sz w:val="16"/>
          <w:szCs w:val="16"/>
        </w:rPr>
        <w:t>2</w:t>
      </w:r>
      <w:r w:rsidR="009856D8" w:rsidRPr="00C45619">
        <w:rPr>
          <w:rFonts w:ascii="Arial Narrow" w:hAnsi="Arial Narrow" w:cs="Tahoma"/>
          <w:sz w:val="16"/>
          <w:szCs w:val="16"/>
        </w:rPr>
        <w:t xml:space="preserve">. </w:t>
      </w:r>
      <w:r w:rsidRPr="00C45619">
        <w:rPr>
          <w:rFonts w:ascii="Arial Narrow" w:hAnsi="Arial Narrow" w:cs="Tahoma"/>
          <w:sz w:val="16"/>
          <w:szCs w:val="16"/>
        </w:rPr>
        <w:t>Monthly and annual inflation</w:t>
      </w:r>
    </w:p>
    <w:p w:rsidR="00A67668" w:rsidRPr="00C45619" w:rsidRDefault="00A67668" w:rsidP="00877030">
      <w:pPr>
        <w:jc w:val="both"/>
        <w:rPr>
          <w:rFonts w:ascii="Arial Narrow" w:hAnsi="Arial Narrow" w:cs="Tahoma"/>
          <w:sz w:val="22"/>
          <w:szCs w:val="22"/>
        </w:rPr>
      </w:pPr>
    </w:p>
    <w:p w:rsidR="000D2964" w:rsidRPr="00C45619" w:rsidRDefault="00533DB1" w:rsidP="00231339">
      <w:pPr>
        <w:jc w:val="both"/>
        <w:rPr>
          <w:rFonts w:ascii="Arial Narrow" w:hAnsi="Arial Narrow" w:cs="Tahoma"/>
          <w:sz w:val="22"/>
          <w:szCs w:val="22"/>
        </w:rPr>
      </w:pPr>
      <w:r w:rsidRPr="00C45619">
        <w:rPr>
          <w:rFonts w:ascii="Arial Narrow" w:hAnsi="Arial Narrow" w:cs="Tahoma"/>
          <w:b/>
          <w:bCs/>
          <w:sz w:val="30"/>
          <w:szCs w:val="30"/>
        </w:rPr>
        <w:t xml:space="preserve">Working-day adjusted industrial production (January-August </w:t>
      </w:r>
      <w:r w:rsidR="00E10AD2" w:rsidRPr="00C45619">
        <w:rPr>
          <w:rFonts w:ascii="Arial Narrow" w:hAnsi="Arial Narrow" w:cs="Tahoma"/>
          <w:b/>
          <w:sz w:val="30"/>
          <w:szCs w:val="30"/>
        </w:rPr>
        <w:t>2017</w:t>
      </w:r>
      <w:r w:rsidRPr="00C45619">
        <w:rPr>
          <w:rFonts w:ascii="Arial Narrow" w:hAnsi="Arial Narrow" w:cs="Tahoma"/>
          <w:b/>
          <w:sz w:val="30"/>
          <w:szCs w:val="30"/>
        </w:rPr>
        <w:t xml:space="preserve">/January-August </w:t>
      </w:r>
      <w:r w:rsidR="00E10AD2" w:rsidRPr="00C45619">
        <w:rPr>
          <w:rFonts w:ascii="Arial Narrow" w:hAnsi="Arial Narrow" w:cs="Tahoma"/>
          <w:b/>
          <w:bCs/>
          <w:sz w:val="30"/>
          <w:szCs w:val="30"/>
        </w:rPr>
        <w:t xml:space="preserve">2016) </w:t>
      </w:r>
      <w:r w:rsidRPr="00C45619"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E10AD2" w:rsidRPr="00C45619">
        <w:rPr>
          <w:rFonts w:ascii="Arial Narrow" w:hAnsi="Arial Narrow" w:cs="Tahoma"/>
          <w:b/>
          <w:bCs/>
          <w:sz w:val="30"/>
          <w:szCs w:val="30"/>
        </w:rPr>
        <w:t xml:space="preserve"> </w:t>
      </w:r>
      <w:r w:rsidR="004857B7" w:rsidRPr="00C45619">
        <w:rPr>
          <w:rFonts w:ascii="Arial Narrow" w:hAnsi="Arial Narrow" w:cs="Tahoma"/>
          <w:b/>
          <w:bCs/>
          <w:sz w:val="30"/>
          <w:szCs w:val="30"/>
        </w:rPr>
        <w:t>2</w:t>
      </w:r>
      <w:r w:rsidRPr="00C45619">
        <w:rPr>
          <w:rFonts w:ascii="Arial Narrow" w:hAnsi="Arial Narrow" w:cs="Tahoma"/>
          <w:b/>
          <w:bCs/>
          <w:sz w:val="30"/>
          <w:szCs w:val="30"/>
        </w:rPr>
        <w:t>.</w:t>
      </w:r>
      <w:r w:rsidR="004857B7" w:rsidRPr="00C45619">
        <w:rPr>
          <w:rFonts w:ascii="Arial Narrow" w:hAnsi="Arial Narrow" w:cs="Tahoma"/>
          <w:b/>
          <w:bCs/>
          <w:sz w:val="30"/>
          <w:szCs w:val="30"/>
        </w:rPr>
        <w:t>2</w:t>
      </w:r>
      <w:r w:rsidR="00E10AD2" w:rsidRPr="00C45619">
        <w:rPr>
          <w:rFonts w:ascii="Arial Narrow" w:hAnsi="Arial Narrow" w:cs="Tahoma"/>
          <w:b/>
          <w:bCs/>
          <w:sz w:val="30"/>
          <w:szCs w:val="30"/>
        </w:rPr>
        <w:t>%</w:t>
      </w:r>
    </w:p>
    <w:p w:rsidR="002E27E1" w:rsidRPr="00C45619" w:rsidRDefault="00533DB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C45619">
        <w:rPr>
          <w:rFonts w:ascii="Arial Narrow" w:hAnsi="Arial Narrow" w:cs="Tahoma"/>
          <w:b/>
          <w:sz w:val="28"/>
        </w:rPr>
        <w:t>Number of employees in industry</w:t>
      </w:r>
      <w:r w:rsidR="002E27E1" w:rsidRPr="00C45619">
        <w:rPr>
          <w:rFonts w:ascii="Arial Narrow" w:hAnsi="Arial Narrow" w:cs="Tahoma"/>
          <w:b/>
          <w:sz w:val="28"/>
        </w:rPr>
        <w:t xml:space="preserve"> (</w:t>
      </w:r>
      <w:r w:rsidRPr="00C45619">
        <w:rPr>
          <w:rFonts w:ascii="Arial Narrow" w:hAnsi="Arial Narrow" w:cs="Tahoma"/>
          <w:b/>
          <w:sz w:val="30"/>
          <w:szCs w:val="30"/>
        </w:rPr>
        <w:t>January</w:t>
      </w:r>
      <w:r w:rsidR="000B1BA7" w:rsidRPr="00C45619">
        <w:rPr>
          <w:rFonts w:ascii="Arial Narrow" w:hAnsi="Arial Narrow" w:cs="Tahoma"/>
          <w:b/>
          <w:sz w:val="30"/>
          <w:szCs w:val="30"/>
        </w:rPr>
        <w:t>-</w:t>
      </w:r>
      <w:r w:rsidRPr="00C45619">
        <w:rPr>
          <w:rFonts w:ascii="Arial Narrow" w:hAnsi="Arial Narrow" w:cs="Tahoma"/>
          <w:b/>
          <w:sz w:val="30"/>
          <w:szCs w:val="30"/>
        </w:rPr>
        <w:t xml:space="preserve">August </w:t>
      </w:r>
      <w:r w:rsidR="000B1BA7" w:rsidRPr="00C45619">
        <w:rPr>
          <w:rFonts w:ascii="Arial Narrow" w:hAnsi="Arial Narrow" w:cs="Tahoma"/>
          <w:b/>
          <w:sz w:val="30"/>
          <w:szCs w:val="30"/>
        </w:rPr>
        <w:t>2017</w:t>
      </w:r>
      <w:r w:rsidRPr="00C45619">
        <w:rPr>
          <w:rFonts w:ascii="Arial Narrow" w:hAnsi="Arial Narrow" w:cs="Tahoma"/>
          <w:b/>
          <w:sz w:val="30"/>
          <w:szCs w:val="30"/>
        </w:rPr>
        <w:t xml:space="preserve">/January-August </w:t>
      </w:r>
      <w:r w:rsidR="000B1BA7" w:rsidRPr="00C45619">
        <w:rPr>
          <w:rFonts w:ascii="Arial Narrow" w:hAnsi="Arial Narrow" w:cs="Tahoma"/>
          <w:b/>
          <w:bCs/>
          <w:sz w:val="30"/>
          <w:szCs w:val="30"/>
        </w:rPr>
        <w:t>2016</w:t>
      </w:r>
      <w:r w:rsidR="002E27E1" w:rsidRPr="00C45619">
        <w:rPr>
          <w:rFonts w:ascii="Arial Narrow" w:hAnsi="Arial Narrow" w:cs="Tahoma"/>
          <w:b/>
          <w:sz w:val="28"/>
        </w:rPr>
        <w:t xml:space="preserve">) </w:t>
      </w:r>
      <w:r w:rsidRPr="00C45619">
        <w:rPr>
          <w:rFonts w:ascii="Arial Narrow" w:hAnsi="Arial Narrow" w:cs="Tahoma"/>
          <w:b/>
          <w:sz w:val="28"/>
        </w:rPr>
        <w:t>increased by</w:t>
      </w:r>
      <w:r w:rsidR="002E27E1" w:rsidRPr="00C45619">
        <w:rPr>
          <w:rFonts w:ascii="Arial Narrow" w:hAnsi="Arial Narrow" w:cs="Tahoma"/>
          <w:b/>
          <w:sz w:val="28"/>
        </w:rPr>
        <w:t xml:space="preserve"> </w:t>
      </w:r>
      <w:r w:rsidR="003F7F90" w:rsidRPr="00C45619">
        <w:rPr>
          <w:rFonts w:ascii="Arial Narrow" w:hAnsi="Arial Narrow" w:cs="Tahoma"/>
          <w:b/>
          <w:sz w:val="28"/>
        </w:rPr>
        <w:t>4</w:t>
      </w:r>
      <w:r w:rsidRPr="00C45619">
        <w:rPr>
          <w:rFonts w:ascii="Arial Narrow" w:hAnsi="Arial Narrow" w:cs="Tahoma"/>
          <w:b/>
          <w:sz w:val="28"/>
        </w:rPr>
        <w:t>.</w:t>
      </w:r>
      <w:r w:rsidR="000B1BA7" w:rsidRPr="00C45619">
        <w:rPr>
          <w:rFonts w:ascii="Arial Narrow" w:hAnsi="Arial Narrow" w:cs="Tahoma"/>
          <w:b/>
          <w:sz w:val="28"/>
        </w:rPr>
        <w:t>3</w:t>
      </w:r>
      <w:r w:rsidR="002E27E1" w:rsidRPr="00C45619">
        <w:rPr>
          <w:rFonts w:ascii="Arial Narrow" w:hAnsi="Arial Narrow" w:cs="Tahoma"/>
          <w:b/>
          <w:sz w:val="28"/>
        </w:rPr>
        <w:t>%</w:t>
      </w:r>
    </w:p>
    <w:p w:rsidR="002E27E1" w:rsidRPr="00C45619" w:rsidRDefault="002E27E1" w:rsidP="002E27E1">
      <w:pPr>
        <w:jc w:val="both"/>
        <w:rPr>
          <w:rFonts w:ascii="Arial Narrow" w:hAnsi="Arial Narrow" w:cs="Tahoma"/>
          <w:sz w:val="22"/>
        </w:rPr>
      </w:pPr>
    </w:p>
    <w:p w:rsidR="009F5420" w:rsidRPr="00C45619" w:rsidRDefault="009F5420" w:rsidP="009F5420">
      <w:pPr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C45619">
        <w:rPr>
          <w:rFonts w:ascii="Arial Narrow" w:hAnsi="Arial Narrow" w:cs="Tahoma"/>
          <w:sz w:val="22"/>
        </w:rPr>
        <w:t>in the period January-</w:t>
      </w:r>
      <w:r w:rsidRPr="00C45619">
        <w:rPr>
          <w:rFonts w:ascii="Arial Narrow" w:hAnsi="Arial Narrow" w:cs="Tahoma"/>
          <w:sz w:val="22"/>
        </w:rPr>
        <w:t>August</w:t>
      </w:r>
      <w:r w:rsidRPr="00C45619">
        <w:rPr>
          <w:rFonts w:ascii="Arial Narrow" w:hAnsi="Arial Narrow" w:cs="Tahoma"/>
          <w:sz w:val="22"/>
        </w:rPr>
        <w:t xml:space="preserve"> 2017, compared to the same period of 2016, increased by </w:t>
      </w:r>
      <w:r w:rsidR="00EA44AA" w:rsidRPr="00C45619">
        <w:rPr>
          <w:rFonts w:ascii="Arial Narrow" w:hAnsi="Arial Narrow" w:cs="Tahoma"/>
          <w:sz w:val="22"/>
        </w:rPr>
        <w:t>2.2</w:t>
      </w:r>
      <w:r w:rsidRPr="00C45619">
        <w:rPr>
          <w:rFonts w:ascii="Arial Narrow" w:hAnsi="Arial Narrow" w:cs="Tahoma"/>
          <w:sz w:val="22"/>
        </w:rPr>
        <w:t xml:space="preserve">%. In the section </w:t>
      </w:r>
      <w:r w:rsidRPr="00C45619">
        <w:rPr>
          <w:rFonts w:ascii="Arial Narrow" w:hAnsi="Arial Narrow" w:cs="Tahoma"/>
          <w:i/>
          <w:sz w:val="22"/>
        </w:rPr>
        <w:t>Manufacturing</w:t>
      </w:r>
      <w:r w:rsidRPr="00C45619">
        <w:rPr>
          <w:rFonts w:ascii="Arial Narrow" w:hAnsi="Arial Narrow" w:cs="Tahoma"/>
          <w:sz w:val="22"/>
        </w:rPr>
        <w:t xml:space="preserve"> an increase by </w:t>
      </w:r>
      <w:r w:rsidR="00EA44AA" w:rsidRPr="00C45619">
        <w:rPr>
          <w:rFonts w:ascii="Arial Narrow" w:hAnsi="Arial Narrow" w:cs="Tahoma"/>
          <w:sz w:val="22"/>
        </w:rPr>
        <w:t>5.8</w:t>
      </w:r>
      <w:r w:rsidRPr="00C45619">
        <w:rPr>
          <w:rFonts w:ascii="Arial Narrow" w:hAnsi="Arial Narrow" w:cs="Tahoma"/>
          <w:sz w:val="22"/>
        </w:rPr>
        <w:t xml:space="preserve">% was recorded and in the section </w:t>
      </w:r>
      <w:r w:rsidRPr="00C45619">
        <w:rPr>
          <w:rFonts w:ascii="Arial Narrow" w:hAnsi="Arial Narrow" w:cs="Tahoma"/>
          <w:i/>
          <w:sz w:val="22"/>
        </w:rPr>
        <w:t xml:space="preserve">Mining and quarrying </w:t>
      </w:r>
      <w:r w:rsidRPr="00C45619">
        <w:rPr>
          <w:rFonts w:ascii="Arial Narrow" w:hAnsi="Arial Narrow" w:cs="Tahoma"/>
          <w:sz w:val="22"/>
        </w:rPr>
        <w:t xml:space="preserve">an increase by </w:t>
      </w:r>
      <w:r w:rsidR="00EA44AA" w:rsidRPr="00C45619">
        <w:rPr>
          <w:rFonts w:ascii="Arial Narrow" w:hAnsi="Arial Narrow" w:cs="Tahoma"/>
          <w:sz w:val="22"/>
        </w:rPr>
        <w:t>1.2</w:t>
      </w:r>
      <w:r w:rsidRPr="00C45619">
        <w:rPr>
          <w:rFonts w:ascii="Arial Narrow" w:hAnsi="Arial Narrow" w:cs="Tahoma"/>
          <w:sz w:val="22"/>
        </w:rPr>
        <w:t xml:space="preserve">%, while in the section </w:t>
      </w:r>
      <w:r w:rsidRPr="00C45619">
        <w:rPr>
          <w:rFonts w:ascii="Arial Narrow" w:hAnsi="Arial Narrow" w:cs="Tahoma"/>
          <w:i/>
          <w:sz w:val="22"/>
        </w:rPr>
        <w:t>Electricity, gas, steam and air-conditioning supply</w:t>
      </w:r>
      <w:r w:rsidRPr="00C45619">
        <w:rPr>
          <w:rFonts w:ascii="Arial Narrow" w:hAnsi="Arial Narrow" w:cs="Tahoma"/>
          <w:sz w:val="22"/>
        </w:rPr>
        <w:t xml:space="preserve"> a decrease by </w:t>
      </w:r>
      <w:r w:rsidR="00EA44AA" w:rsidRPr="00C45619">
        <w:rPr>
          <w:rFonts w:ascii="Arial Narrow" w:hAnsi="Arial Narrow" w:cs="Tahoma"/>
          <w:sz w:val="22"/>
        </w:rPr>
        <w:t>4</w:t>
      </w:r>
      <w:r w:rsidRPr="00C45619">
        <w:rPr>
          <w:rFonts w:ascii="Arial Narrow" w:hAnsi="Arial Narrow" w:cs="Tahoma"/>
          <w:sz w:val="22"/>
        </w:rPr>
        <w:t>.2% was recorded. By main industrial group, based on economic purpose of products, working-day adjusted production of capital goods in the period January-</w:t>
      </w:r>
      <w:r w:rsidR="00F32D7E" w:rsidRPr="00C45619">
        <w:rPr>
          <w:rFonts w:ascii="Arial Narrow" w:hAnsi="Arial Narrow" w:cs="Tahoma"/>
          <w:sz w:val="22"/>
        </w:rPr>
        <w:t>August</w:t>
      </w:r>
      <w:r w:rsidRPr="00C45619">
        <w:rPr>
          <w:rFonts w:ascii="Arial Narrow" w:hAnsi="Arial Narrow" w:cs="Tahoma"/>
          <w:sz w:val="22"/>
        </w:rPr>
        <w:t xml:space="preserve"> 2017, compared to the same period of 2016, was </w:t>
      </w:r>
      <w:r w:rsidR="00F32D7E" w:rsidRPr="00C45619">
        <w:rPr>
          <w:rFonts w:ascii="Arial Narrow" w:hAnsi="Arial Narrow" w:cs="Tahoma"/>
          <w:sz w:val="22"/>
        </w:rPr>
        <w:t>21.7</w:t>
      </w:r>
      <w:r w:rsidRPr="00C45619">
        <w:rPr>
          <w:rFonts w:ascii="Arial Narrow" w:hAnsi="Arial Narrow" w:cs="Tahoma"/>
          <w:sz w:val="22"/>
        </w:rPr>
        <w:t xml:space="preserve">% higher, production of intermediate goods was </w:t>
      </w:r>
      <w:r w:rsidR="00F32D7E" w:rsidRPr="00C45619">
        <w:rPr>
          <w:rFonts w:ascii="Arial Narrow" w:hAnsi="Arial Narrow" w:cs="Tahoma"/>
          <w:sz w:val="22"/>
        </w:rPr>
        <w:t>8.3</w:t>
      </w:r>
      <w:r w:rsidRPr="00C45619">
        <w:rPr>
          <w:rFonts w:ascii="Arial Narrow" w:hAnsi="Arial Narrow" w:cs="Tahoma"/>
          <w:sz w:val="22"/>
        </w:rPr>
        <w:t xml:space="preserve">% higher and production of </w:t>
      </w:r>
      <w:r w:rsidR="00F32D7E" w:rsidRPr="00C45619">
        <w:rPr>
          <w:rFonts w:ascii="Arial Narrow" w:hAnsi="Arial Narrow" w:cs="Tahoma"/>
          <w:sz w:val="22"/>
        </w:rPr>
        <w:t>consumer non-durables was 1.0</w:t>
      </w:r>
      <w:r w:rsidRPr="00C45619">
        <w:rPr>
          <w:rFonts w:ascii="Arial Narrow" w:hAnsi="Arial Narrow" w:cs="Tahoma"/>
          <w:sz w:val="22"/>
        </w:rPr>
        <w:t xml:space="preserve">% higher, while production of </w:t>
      </w:r>
      <w:r w:rsidR="00F32D7E" w:rsidRPr="00C45619">
        <w:rPr>
          <w:rFonts w:ascii="Arial Narrow" w:hAnsi="Arial Narrow" w:cs="Tahoma"/>
          <w:sz w:val="22"/>
        </w:rPr>
        <w:t>energy was 3.6</w:t>
      </w:r>
      <w:r w:rsidRPr="00C45619">
        <w:rPr>
          <w:rFonts w:ascii="Arial Narrow" w:hAnsi="Arial Narrow" w:cs="Tahoma"/>
          <w:sz w:val="22"/>
        </w:rPr>
        <w:t>% lower and productio</w:t>
      </w:r>
      <w:r w:rsidR="00F32D7E" w:rsidRPr="00C45619">
        <w:rPr>
          <w:rFonts w:ascii="Arial Narrow" w:hAnsi="Arial Narrow" w:cs="Tahoma"/>
          <w:sz w:val="22"/>
        </w:rPr>
        <w:t>n of consumer non-durables was 5.2</w:t>
      </w:r>
      <w:r w:rsidRPr="00C45619">
        <w:rPr>
          <w:rFonts w:ascii="Arial Narrow" w:hAnsi="Arial Narrow" w:cs="Tahoma"/>
          <w:sz w:val="22"/>
        </w:rPr>
        <w:t>% lower.</w:t>
      </w:r>
    </w:p>
    <w:p w:rsidR="009F5420" w:rsidRPr="00C45619" w:rsidRDefault="009F5420" w:rsidP="006D0A24">
      <w:pPr>
        <w:jc w:val="both"/>
        <w:rPr>
          <w:rFonts w:ascii="Arial Narrow" w:hAnsi="Arial Narrow" w:cs="Tahoma"/>
          <w:b/>
          <w:sz w:val="22"/>
        </w:rPr>
      </w:pPr>
    </w:p>
    <w:p w:rsidR="00F32D7E" w:rsidRPr="00C45619" w:rsidRDefault="00F32D7E" w:rsidP="00F32D7E">
      <w:pPr>
        <w:jc w:val="both"/>
        <w:rPr>
          <w:rFonts w:ascii="Arial Narrow" w:hAnsi="Arial Narrow" w:cs="Tahoma"/>
          <w:b/>
          <w:sz w:val="22"/>
        </w:rPr>
      </w:pPr>
      <w:r w:rsidRPr="00C45619">
        <w:rPr>
          <w:rFonts w:ascii="Arial Narrow" w:hAnsi="Arial Narrow" w:cs="Tahoma"/>
          <w:b/>
          <w:sz w:val="22"/>
        </w:rPr>
        <w:t xml:space="preserve">Number of employees in industry </w:t>
      </w:r>
      <w:r w:rsidRPr="00C45619">
        <w:rPr>
          <w:rFonts w:ascii="Arial Narrow" w:hAnsi="Arial Narrow" w:cs="Tahoma"/>
          <w:sz w:val="22"/>
        </w:rPr>
        <w:t xml:space="preserve">in August 2017, compared to the average monthly number of employed persons in 2016, increased by 4.9%. Compared to the same month of the previous year it was 4.6% higher, while compared to July 2017 it was 0.1% higher. Number of employees in industry in the period January-August 2017, compared to the same period of the previous year, was 4.3% higher. During the same period, in the section </w:t>
      </w:r>
      <w:r w:rsidRPr="00C45619">
        <w:rPr>
          <w:rFonts w:ascii="Arial Narrow" w:hAnsi="Arial Narrow" w:cs="Tahoma"/>
          <w:i/>
          <w:sz w:val="22"/>
        </w:rPr>
        <w:t>Manufacturing</w:t>
      </w:r>
      <w:r w:rsidRPr="00C45619">
        <w:rPr>
          <w:rFonts w:ascii="Arial Narrow" w:hAnsi="Arial Narrow" w:cs="Tahoma"/>
          <w:sz w:val="22"/>
        </w:rPr>
        <w:t xml:space="preserve"> an increase by 4.5% was recorded, in the section </w:t>
      </w:r>
      <w:r w:rsidRPr="00C45619">
        <w:rPr>
          <w:rFonts w:ascii="Arial Narrow" w:hAnsi="Arial Narrow" w:cs="Tahoma"/>
          <w:i/>
          <w:sz w:val="22"/>
        </w:rPr>
        <w:t>Mining and quarrying</w:t>
      </w:r>
      <w:r w:rsidRPr="00C45619">
        <w:rPr>
          <w:rFonts w:ascii="Arial Narrow" w:hAnsi="Arial Narrow" w:cs="Tahoma"/>
          <w:sz w:val="22"/>
        </w:rPr>
        <w:t xml:space="preserve"> an increase by 3.8% and in the section </w:t>
      </w:r>
      <w:r w:rsidRPr="00C45619">
        <w:rPr>
          <w:rFonts w:ascii="Arial Narrow" w:hAnsi="Arial Narrow" w:cs="Tahoma"/>
          <w:i/>
          <w:sz w:val="22"/>
        </w:rPr>
        <w:t>Electricity, gas, steam and air-conditioning supply</w:t>
      </w:r>
      <w:r w:rsidRPr="00C45619">
        <w:rPr>
          <w:rFonts w:ascii="Arial Narrow" w:hAnsi="Arial Narrow" w:cs="Tahoma"/>
          <w:sz w:val="22"/>
        </w:rPr>
        <w:t xml:space="preserve"> an increase by 3.3%.</w:t>
      </w:r>
    </w:p>
    <w:p w:rsidR="000213F8" w:rsidRPr="00C45619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C45619" w:rsidRDefault="00A00EAB" w:rsidP="009A0B74">
      <w:pPr>
        <w:jc w:val="both"/>
        <w:rPr>
          <w:rFonts w:ascii="Arial Narrow" w:hAnsi="Arial Narrow" w:cs="Tahoma"/>
          <w:sz w:val="22"/>
          <w:szCs w:val="22"/>
        </w:rPr>
      </w:pPr>
      <w:r w:rsidRPr="00C45619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708C2" wp14:editId="1DD7B7C5">
                <wp:simplePos x="0" y="0"/>
                <wp:positionH relativeFrom="column">
                  <wp:posOffset>3812875</wp:posOffset>
                </wp:positionH>
                <wp:positionV relativeFrom="paragraph">
                  <wp:posOffset>2664700</wp:posOffset>
                </wp:positionV>
                <wp:extent cx="1112807" cy="32780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7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EAB" w:rsidRPr="00D30C76" w:rsidRDefault="00A00EAB" w:rsidP="00A00EA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08C2" id="Text Box 27" o:spid="_x0000_s1028" type="#_x0000_t202" style="position:absolute;left:0;text-align:left;margin-left:300.25pt;margin-top:209.8pt;width:87.6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" fillcolor="window" stroked="f" strokeweight=".5pt">
                <v:textbox>
                  <w:txbxContent>
                    <w:p w:rsidR="00A00EAB" w:rsidRPr="00D30C76" w:rsidRDefault="00A00EAB" w:rsidP="00A00EA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</v:shape>
            </w:pict>
          </mc:Fallback>
        </mc:AlternateContent>
      </w:r>
      <w:r w:rsidRPr="00C45619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708C2" wp14:editId="1DD7B7C5">
                <wp:simplePos x="0" y="0"/>
                <wp:positionH relativeFrom="column">
                  <wp:posOffset>2449902</wp:posOffset>
                </wp:positionH>
                <wp:positionV relativeFrom="paragraph">
                  <wp:posOffset>2647447</wp:posOffset>
                </wp:positionV>
                <wp:extent cx="1112807" cy="327804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7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EAB" w:rsidRPr="00D30C76" w:rsidRDefault="00A00EAB" w:rsidP="00A00EA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08C2" id="Text Box 26" o:spid="_x0000_s1029" type="#_x0000_t202" style="position:absolute;left:0;text-align:left;margin-left:192.9pt;margin-top:208.45pt;width:87.6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" fillcolor="window" stroked="f" strokeweight=".5pt">
                <v:textbox>
                  <w:txbxContent>
                    <w:p w:rsidR="00A00EAB" w:rsidRPr="00D30C76" w:rsidRDefault="00A00EAB" w:rsidP="00A00EA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</v:shape>
            </w:pict>
          </mc:Fallback>
        </mc:AlternateContent>
      </w:r>
      <w:r w:rsidR="001D5992" w:rsidRPr="00C45619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2448698</wp:posOffset>
                </wp:positionH>
                <wp:positionV relativeFrom="paragraph">
                  <wp:posOffset>2845876</wp:posOffset>
                </wp:positionV>
                <wp:extent cx="2027583" cy="166977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83" cy="166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BA7" w:rsidRDefault="000B1B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192.8pt;margin-top:224.1pt;width:159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" fillcolor="white [3201]" stroked="f" strokeweight=".5pt">
                <v:textbox>
                  <w:txbxContent>
                    <w:p w:rsidR="000B1BA7" w:rsidRDefault="000B1BA7"/>
                  </w:txbxContent>
                </v:textbox>
              </v:shape>
            </w:pict>
          </mc:Fallback>
        </mc:AlternateContent>
      </w:r>
      <w:r w:rsidR="001D5992" w:rsidRPr="00C45619">
        <w:rPr>
          <w:noProof/>
        </w:rPr>
        <w:drawing>
          <wp:inline distT="0" distB="0" distL="0" distR="0" wp14:anchorId="7D16B492" wp14:editId="6B1A4D8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C45619" w:rsidRDefault="00A00EAB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C45619">
        <w:rPr>
          <w:rFonts w:ascii="Arial Narrow" w:hAnsi="Arial Narrow" w:cs="Tahoma"/>
          <w:sz w:val="16"/>
          <w:szCs w:val="16"/>
        </w:rPr>
        <w:t>Graph</w:t>
      </w:r>
      <w:r w:rsidR="002E27E1" w:rsidRPr="00C45619">
        <w:rPr>
          <w:rFonts w:ascii="Arial Narrow" w:hAnsi="Arial Narrow" w:cs="Tahoma"/>
          <w:sz w:val="16"/>
          <w:szCs w:val="16"/>
        </w:rPr>
        <w:t xml:space="preserve"> 3. </w:t>
      </w:r>
      <w:r w:rsidRPr="00C45619">
        <w:rPr>
          <w:rFonts w:ascii="Arial Narrow" w:hAnsi="Arial Narrow" w:cs="Tahoma"/>
          <w:sz w:val="16"/>
          <w:szCs w:val="16"/>
        </w:rPr>
        <w:t>Indices of industrial production</w:t>
      </w:r>
      <w:r w:rsidR="002E27E1" w:rsidRPr="00C45619">
        <w:rPr>
          <w:rFonts w:ascii="Arial Narrow" w:hAnsi="Arial Narrow" w:cs="Tahoma"/>
          <w:sz w:val="16"/>
          <w:szCs w:val="16"/>
        </w:rPr>
        <w:t xml:space="preserve">, </w:t>
      </w:r>
      <w:r w:rsidRPr="00C45619">
        <w:rPr>
          <w:rFonts w:ascii="Arial Narrow" w:hAnsi="Arial Narrow" w:cs="Tahoma"/>
          <w:sz w:val="16"/>
          <w:szCs w:val="16"/>
        </w:rPr>
        <w:t>August</w:t>
      </w:r>
      <w:r w:rsidR="002E27E1" w:rsidRPr="00C45619">
        <w:rPr>
          <w:rFonts w:ascii="Arial Narrow" w:hAnsi="Arial Narrow" w:cs="Tahoma"/>
          <w:sz w:val="16"/>
          <w:szCs w:val="16"/>
        </w:rPr>
        <w:t xml:space="preserve"> 2013 – </w:t>
      </w:r>
      <w:r w:rsidRPr="00C45619">
        <w:rPr>
          <w:rFonts w:ascii="Arial Narrow" w:hAnsi="Arial Narrow" w:cs="Tahoma"/>
          <w:sz w:val="16"/>
          <w:szCs w:val="16"/>
        </w:rPr>
        <w:t>August</w:t>
      </w:r>
      <w:r w:rsidR="002E27E1" w:rsidRPr="00C45619">
        <w:rPr>
          <w:rFonts w:ascii="Arial Narrow" w:hAnsi="Arial Narrow" w:cs="Tahoma"/>
          <w:sz w:val="16"/>
          <w:szCs w:val="16"/>
        </w:rPr>
        <w:t xml:space="preserve"> 2017 (</w:t>
      </w:r>
      <w:r w:rsidR="002E27E1" w:rsidRPr="00C45619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C45619">
        <w:rPr>
          <w:rFonts w:ascii="Arial Narrow" w:hAnsi="Arial Narrow" w:cs="Tahoma"/>
          <w:sz w:val="16"/>
          <w:szCs w:val="16"/>
        </w:rPr>
        <w:t>2010=100)</w:t>
      </w:r>
    </w:p>
    <w:p w:rsidR="002E27E1" w:rsidRPr="00C45619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C45619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F442FA" w:rsidRPr="00C45619" w:rsidRDefault="00523F7A" w:rsidP="00F442FA">
      <w:pPr>
        <w:rPr>
          <w:rFonts w:ascii="Arial Narrow" w:hAnsi="Arial Narrow" w:cs="Tahoma"/>
          <w:b/>
          <w:sz w:val="30"/>
          <w:szCs w:val="30"/>
        </w:rPr>
      </w:pPr>
      <w:r w:rsidRPr="00C45619">
        <w:rPr>
          <w:rFonts w:ascii="Arial Narrow" w:hAnsi="Arial Narrow" w:cs="Tahoma"/>
          <w:b/>
          <w:sz w:val="30"/>
          <w:szCs w:val="30"/>
        </w:rPr>
        <w:t>Coverage of import with export (in the period January-August</w:t>
      </w:r>
      <w:r w:rsidR="00F442FA" w:rsidRPr="00C45619">
        <w:rPr>
          <w:rFonts w:ascii="Arial Narrow" w:hAnsi="Arial Narrow" w:cs="Tahoma"/>
          <w:b/>
          <w:sz w:val="30"/>
          <w:szCs w:val="30"/>
        </w:rPr>
        <w:t xml:space="preserve"> 201</w:t>
      </w:r>
      <w:r w:rsidR="00D9297E" w:rsidRPr="00C45619">
        <w:rPr>
          <w:rFonts w:ascii="Arial Narrow" w:hAnsi="Arial Narrow" w:cs="Tahoma"/>
          <w:b/>
          <w:sz w:val="30"/>
          <w:szCs w:val="30"/>
        </w:rPr>
        <w:t>7</w:t>
      </w:r>
      <w:r w:rsidR="00F442FA" w:rsidRPr="00C45619">
        <w:rPr>
          <w:rFonts w:ascii="Arial Narrow" w:hAnsi="Arial Narrow" w:cs="Tahoma"/>
          <w:b/>
          <w:sz w:val="30"/>
          <w:szCs w:val="30"/>
        </w:rPr>
        <w:t xml:space="preserve">) </w:t>
      </w:r>
      <w:r w:rsidR="009252C9" w:rsidRPr="00C45619">
        <w:rPr>
          <w:rFonts w:ascii="Arial Narrow" w:hAnsi="Arial Narrow" w:cs="Tahoma"/>
          <w:b/>
          <w:sz w:val="30"/>
          <w:szCs w:val="30"/>
        </w:rPr>
        <w:t>7</w:t>
      </w:r>
      <w:r w:rsidR="001A6FC9" w:rsidRPr="00C45619">
        <w:rPr>
          <w:rFonts w:ascii="Arial Narrow" w:hAnsi="Arial Narrow" w:cs="Tahoma"/>
          <w:b/>
          <w:sz w:val="30"/>
          <w:szCs w:val="30"/>
        </w:rPr>
        <w:t>1</w:t>
      </w:r>
      <w:r w:rsidRPr="00C45619">
        <w:rPr>
          <w:rFonts w:ascii="Arial Narrow" w:hAnsi="Arial Narrow" w:cs="Tahoma"/>
          <w:b/>
          <w:sz w:val="30"/>
          <w:szCs w:val="30"/>
        </w:rPr>
        <w:t>.</w:t>
      </w:r>
      <w:r w:rsidR="00275C64" w:rsidRPr="00C45619">
        <w:rPr>
          <w:rFonts w:ascii="Arial Narrow" w:hAnsi="Arial Narrow" w:cs="Tahoma"/>
          <w:b/>
          <w:sz w:val="30"/>
          <w:szCs w:val="30"/>
        </w:rPr>
        <w:t>2</w:t>
      </w:r>
      <w:r w:rsidR="00F442FA" w:rsidRPr="00C45619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F442FA" w:rsidRPr="00C45619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204ED" w:rsidRPr="00C45619" w:rsidRDefault="000204ED" w:rsidP="003A0849">
      <w:pPr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 xml:space="preserve">In August 2017, the value of export was 272 million KM and the value of import was 379 million KM. </w:t>
      </w:r>
    </w:p>
    <w:p w:rsidR="000204ED" w:rsidRPr="00C45619" w:rsidRDefault="000204ED" w:rsidP="003A0849">
      <w:pPr>
        <w:jc w:val="both"/>
        <w:rPr>
          <w:rFonts w:ascii="Arial Narrow" w:hAnsi="Arial Narrow" w:cs="Tahoma"/>
          <w:sz w:val="22"/>
        </w:rPr>
      </w:pPr>
    </w:p>
    <w:p w:rsidR="000204ED" w:rsidRPr="00C45619" w:rsidRDefault="000204ED" w:rsidP="003A0849">
      <w:pPr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>In the total external trade of Republika Srpska in August of the current year, the percentage of coverage of import with export was 71.7%. The percentage of coverage of import with export for the period January – August 2017 was 71.2%.</w:t>
      </w:r>
    </w:p>
    <w:p w:rsidR="009252C9" w:rsidRPr="00C45619" w:rsidRDefault="009252C9" w:rsidP="003A0849">
      <w:pPr>
        <w:jc w:val="both"/>
        <w:rPr>
          <w:rFonts w:ascii="Arial Narrow" w:hAnsi="Arial Narrow" w:cs="Tahoma"/>
          <w:sz w:val="22"/>
        </w:rPr>
      </w:pPr>
    </w:p>
    <w:p w:rsidR="000204ED" w:rsidRPr="00C45619" w:rsidRDefault="000204ED" w:rsidP="000204ED">
      <w:pPr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>In the period January – August 2017, the value of export was two billion and 213 million KM, which represented an increase by 21.3% compared to the same period of the previous year. During the same period, the value of import was three billion and 106 million KM, which represented an increase by 10.8% compared to the same period of the previous year.</w:t>
      </w:r>
    </w:p>
    <w:p w:rsidR="00384927" w:rsidRPr="00C45619" w:rsidRDefault="00384927" w:rsidP="00F442FA">
      <w:pPr>
        <w:jc w:val="both"/>
        <w:rPr>
          <w:rFonts w:ascii="Arial Narrow" w:hAnsi="Arial Narrow" w:cs="Tahoma"/>
          <w:sz w:val="22"/>
        </w:rPr>
      </w:pPr>
    </w:p>
    <w:p w:rsidR="000204ED" w:rsidRPr="00C45619" w:rsidRDefault="000204ED" w:rsidP="000204ED">
      <w:pPr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August 2017, the highest value of export was that of export to Italy, with 353 million KM or 16.0%, followed by Croatia, with 288 million KM or 13.0% of the total realised export. During the same period, the highest value of import was that of import form Serbia, with </w:t>
      </w:r>
      <w:r w:rsidR="008D5779" w:rsidRPr="00C45619">
        <w:rPr>
          <w:rFonts w:ascii="Arial Narrow" w:hAnsi="Arial Narrow" w:cs="Tahoma"/>
          <w:sz w:val="22"/>
        </w:rPr>
        <w:t>545 million KM or 17.6</w:t>
      </w:r>
      <w:r w:rsidRPr="00C45619">
        <w:rPr>
          <w:rFonts w:ascii="Arial Narrow" w:hAnsi="Arial Narrow" w:cs="Tahoma"/>
          <w:sz w:val="22"/>
        </w:rPr>
        <w:t xml:space="preserve">%, followed by Russia, with </w:t>
      </w:r>
      <w:r w:rsidR="008D5779" w:rsidRPr="00C45619">
        <w:rPr>
          <w:rFonts w:ascii="Arial Narrow" w:hAnsi="Arial Narrow" w:cs="Tahoma"/>
          <w:sz w:val="22"/>
        </w:rPr>
        <w:t>379 million KM or 12.2</w:t>
      </w:r>
      <w:r w:rsidRPr="00C45619">
        <w:rPr>
          <w:rFonts w:ascii="Arial Narrow" w:hAnsi="Arial Narrow" w:cs="Tahoma"/>
          <w:sz w:val="22"/>
        </w:rPr>
        <w:t>% of the total realised import.</w:t>
      </w:r>
    </w:p>
    <w:p w:rsidR="00F442FA" w:rsidRPr="00C45619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8D5779" w:rsidRPr="00C45619" w:rsidRDefault="008D5779" w:rsidP="008D5779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sz w:val="22"/>
        </w:rPr>
        <w:t>By group of products, in the period January – August 2017, the highest share in export was that of electricity, with the total value of 153 million KM, which was 6.9% of the total export, while the highest share in import was that of petroleum and oils obtained from bituminous minerals (crude), with the total value of 346</w:t>
      </w:r>
      <w:r w:rsidR="00A56F66" w:rsidRPr="00C45619">
        <w:rPr>
          <w:rFonts w:ascii="Arial Narrow" w:hAnsi="Arial Narrow" w:cs="Tahoma"/>
          <w:sz w:val="22"/>
        </w:rPr>
        <w:t xml:space="preserve"> million KM, which was 11.1</w:t>
      </w:r>
      <w:r w:rsidRPr="00C45619">
        <w:rPr>
          <w:rFonts w:ascii="Arial Narrow" w:hAnsi="Arial Narrow" w:cs="Tahoma"/>
          <w:sz w:val="22"/>
        </w:rPr>
        <w:t>% of the total import.</w:t>
      </w:r>
    </w:p>
    <w:p w:rsidR="00F442FA" w:rsidRPr="00C45619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C4561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D5992" w:rsidRPr="00C45619" w:rsidRDefault="001D59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C45619" w:rsidRDefault="00CE1C4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C45619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A00EAB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281.45pt;margin-top:8.7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hDGsxNwAAAAJAQAADwAAAAAAAAAAAAAAAADfBAAAZHJzL2Rvd25yZXYueG1sUEsFBgAAAAAEAAQA&#10;8wAAAOgFAAAAAA==&#10;" stroked="f">
                <v:textbox>
                  <w:txbxContent>
                    <w:p w:rsidR="00F257E5" w:rsidRPr="000A1309" w:rsidRDefault="00A00EAB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proofErr w:type="spellEnd"/>
                      <w:proofErr w:type="gramEnd"/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C45619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A70D8" w:rsidRPr="00C45619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C45619" w:rsidRDefault="00A00EA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C45619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708C2" wp14:editId="1DD7B7C5">
                <wp:simplePos x="0" y="0"/>
                <wp:positionH relativeFrom="column">
                  <wp:posOffset>4928235</wp:posOffset>
                </wp:positionH>
                <wp:positionV relativeFrom="paragraph">
                  <wp:posOffset>1164806</wp:posOffset>
                </wp:positionV>
                <wp:extent cx="698740" cy="345057"/>
                <wp:effectExtent l="0" t="0" r="635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EAB" w:rsidRPr="00D30C76" w:rsidRDefault="00A00EAB" w:rsidP="00A00EA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08C2" id="Text Box 29" o:spid="_x0000_s1032" type="#_x0000_t202" style="position:absolute;left:0;text-align:left;margin-left:388.05pt;margin-top:91.7pt;width:5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" fillcolor="window" stroked="f" strokeweight=".5pt">
                <v:textbox>
                  <w:txbxContent>
                    <w:p w:rsidR="00A00EAB" w:rsidRPr="00D30C76" w:rsidRDefault="00A00EAB" w:rsidP="00A00EA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45619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708C2" wp14:editId="1DD7B7C5">
                <wp:simplePos x="0" y="0"/>
                <wp:positionH relativeFrom="column">
                  <wp:posOffset>4920136</wp:posOffset>
                </wp:positionH>
                <wp:positionV relativeFrom="paragraph">
                  <wp:posOffset>897411</wp:posOffset>
                </wp:positionV>
                <wp:extent cx="672860" cy="32780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0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EAB" w:rsidRPr="00D30C76" w:rsidRDefault="00A00EAB" w:rsidP="00A00EA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08C2" id="Text Box 28" o:spid="_x0000_s1033" type="#_x0000_t202" style="position:absolute;left:0;text-align:left;margin-left:387.4pt;margin-top:70.65pt;width:53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" fillcolor="window" stroked="f" strokeweight=".5pt">
                <v:textbox>
                  <w:txbxContent>
                    <w:p w:rsidR="00A00EAB" w:rsidRPr="00D30C76" w:rsidRDefault="00A00EAB" w:rsidP="00A00EA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E1C43" w:rsidRPr="00C45619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2579370</wp:posOffset>
                </wp:positionV>
                <wp:extent cx="561340" cy="208280"/>
                <wp:effectExtent l="0" t="1270" r="2540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135.8pt;margin-top:203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vphA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C45619">
        <w:rPr>
          <w:noProof/>
        </w:rPr>
        <w:t xml:space="preserve"> </w:t>
      </w:r>
      <w:r w:rsidR="00CE1C43" w:rsidRPr="00C45619"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4381500" cy="2619375"/>
            <wp:effectExtent l="0" t="0" r="0" b="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C45619" w:rsidRDefault="00CE1C4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C45619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3175" r="2540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312.8pt;margin-top:.1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On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Iq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wgUOn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C45619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C45619" w:rsidRDefault="00A00EAB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C45619">
        <w:rPr>
          <w:rFonts w:ascii="Arial Narrow" w:hAnsi="Arial Narrow" w:cs="Tahoma"/>
          <w:sz w:val="16"/>
          <w:szCs w:val="22"/>
        </w:rPr>
        <w:t>Graph</w:t>
      </w:r>
      <w:r w:rsidR="00777348" w:rsidRPr="00C45619">
        <w:rPr>
          <w:rFonts w:ascii="Arial Narrow" w:hAnsi="Arial Narrow" w:cs="Tahoma"/>
          <w:sz w:val="16"/>
          <w:szCs w:val="22"/>
        </w:rPr>
        <w:t xml:space="preserve"> </w:t>
      </w:r>
      <w:r w:rsidR="00097E02" w:rsidRPr="00C45619">
        <w:rPr>
          <w:rFonts w:ascii="Arial Narrow" w:hAnsi="Arial Narrow" w:cs="Tahoma"/>
          <w:sz w:val="16"/>
          <w:szCs w:val="22"/>
        </w:rPr>
        <w:t>4</w:t>
      </w:r>
      <w:r w:rsidR="00777348" w:rsidRPr="00C45619">
        <w:rPr>
          <w:rFonts w:ascii="Arial Narrow" w:hAnsi="Arial Narrow" w:cs="Tahoma"/>
          <w:sz w:val="16"/>
          <w:szCs w:val="22"/>
        </w:rPr>
        <w:t xml:space="preserve">. </w:t>
      </w:r>
      <w:r w:rsidRPr="00C45619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C45619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115CDB" w:rsidRPr="00C45619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797731" w:rsidRPr="00C45619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C4561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612FE" w:rsidRPr="00C45619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D5992" w:rsidRPr="00C45619" w:rsidRDefault="001D59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D5992" w:rsidRPr="00C45619" w:rsidRDefault="001D59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8F51DA" w:rsidRPr="00C45619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8F51DA" w:rsidRPr="00C45619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C45619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C45619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45619" w:rsidRDefault="003E1061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C45619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C45619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C45619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C45619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C45619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C45619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C2DCC" w:rsidRPr="00C45619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C45619" w:rsidRDefault="003E1061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3E1061" w:rsidRPr="00C45619" w:rsidRDefault="003E1061" w:rsidP="003E106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66022A" w:rsidRPr="00C45619" w:rsidRDefault="00C45619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C4561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C45619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C45619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C2DCC" w:rsidRPr="00C45619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C45619" w:rsidRDefault="003E1061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C45619" w:rsidRDefault="003E1061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C45619" w:rsidRDefault="00C45619" w:rsidP="001D599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1D5992" w:rsidRPr="00C4561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0F5C7E" w:rsidRPr="00C45619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E1061" w:rsidRPr="00C45619" w:rsidRDefault="003E1061" w:rsidP="003E106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3E1061" w:rsidRPr="00C45619" w:rsidRDefault="00325220" w:rsidP="003E106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C45619" w:rsidRDefault="00C45619" w:rsidP="007F1E4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D30C76" w:rsidRPr="00C45619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biljana.jelicic@rzs.rs.ba</w:t>
              </w:r>
            </w:hyperlink>
          </w:p>
        </w:tc>
      </w:tr>
      <w:tr w:rsidR="0066022A" w:rsidRPr="00C45619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E1061" w:rsidRPr="00C45619" w:rsidRDefault="003E1061" w:rsidP="003E106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3E1061" w:rsidRPr="00C45619" w:rsidRDefault="003E1061" w:rsidP="003E106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C45619" w:rsidRDefault="00C45619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66022A" w:rsidRPr="00C4561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C4561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C4561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C4561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C4561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C4561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C45619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45619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C45619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C45619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C45619" w:rsidRDefault="003E1061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C45619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C45619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45619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C45619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45619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C45619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3E1061" w:rsidRPr="00C45619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C45619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C45619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3E1061" w:rsidRPr="00C45619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C45619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97731" w:rsidRPr="00C45619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97731" w:rsidRPr="00C45619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97731" w:rsidRPr="00C45619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97731" w:rsidRPr="00C45619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97731" w:rsidRPr="00C45619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97731" w:rsidRPr="00C45619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97731" w:rsidRPr="00C45619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C4561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C45619" w:rsidRDefault="00CE1C4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C45619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0795" r="18415" b="1778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D6C0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RPr="00C45619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Pr="00C45619" w:rsidRDefault="009277A6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9277A6" w:rsidRPr="00C45619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Pr="00C45619" w:rsidRDefault="00507365" w:rsidP="00507365">
            <w:pPr>
              <w:jc w:val="center"/>
              <w:rPr>
                <w:rFonts w:ascii="Arial Narrow" w:hAnsi="Arial Narrow" w:cs="Tahoma"/>
                <w:sz w:val="18"/>
              </w:rPr>
            </w:pPr>
            <w:r w:rsidRPr="00C45619">
              <w:rPr>
                <w:rFonts w:ascii="Arial Narrow" w:hAnsi="Arial Narrow" w:cs="Tahoma"/>
                <w:sz w:val="18"/>
              </w:rPr>
              <w:t>The Release prepared by the</w:t>
            </w:r>
            <w:r w:rsidR="009277A6" w:rsidRPr="00C45619">
              <w:rPr>
                <w:rFonts w:ascii="Arial Narrow" w:hAnsi="Arial Narrow" w:cs="Tahoma"/>
                <w:sz w:val="18"/>
              </w:rPr>
              <w:t xml:space="preserve"> </w:t>
            </w:r>
            <w:r w:rsidRPr="00C45619">
              <w:rPr>
                <w:rFonts w:ascii="Arial Narrow" w:hAnsi="Arial Narrow" w:cs="Tahoma"/>
                <w:sz w:val="18"/>
              </w:rPr>
              <w:t>Division for Publications,</w:t>
            </w:r>
            <w:r w:rsidR="00C45619">
              <w:rPr>
                <w:rFonts w:ascii="Arial Narrow" w:hAnsi="Arial Narrow" w:cs="Tahoma"/>
                <w:sz w:val="18"/>
              </w:rPr>
              <w:t xml:space="preserve"> </w:t>
            </w:r>
            <w:bookmarkStart w:id="0" w:name="_GoBack"/>
            <w:bookmarkEnd w:id="0"/>
            <w:r w:rsidRPr="00C45619">
              <w:rPr>
                <w:rFonts w:ascii="Arial Narrow" w:hAnsi="Arial Narrow" w:cs="Tahoma"/>
                <w:sz w:val="18"/>
              </w:rPr>
              <w:t>Public Relations and</w:t>
            </w:r>
            <w:r w:rsidR="00C45619">
              <w:rPr>
                <w:rFonts w:ascii="Arial Narrow" w:hAnsi="Arial Narrow" w:cs="Tahoma"/>
                <w:sz w:val="18"/>
              </w:rPr>
              <w:t xml:space="preserve"> </w:t>
            </w:r>
            <w:r w:rsidRPr="00C45619">
              <w:rPr>
                <w:rFonts w:ascii="Arial Narrow" w:hAnsi="Arial Narrow" w:cs="Tahoma"/>
                <w:sz w:val="18"/>
              </w:rPr>
              <w:t>Statistical Data Confidentiality</w:t>
            </w:r>
          </w:p>
        </w:tc>
      </w:tr>
      <w:tr w:rsidR="009277A6" w:rsidRPr="00C45619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65" w:rsidRPr="00C45619" w:rsidRDefault="00507365" w:rsidP="00507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507365" w:rsidRPr="00C45619" w:rsidRDefault="00507365" w:rsidP="00507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Published by the Republlika Srpska Institute of Statistics ,</w:t>
            </w:r>
          </w:p>
          <w:p w:rsidR="00507365" w:rsidRPr="00C45619" w:rsidRDefault="00507365" w:rsidP="00507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507365" w:rsidRPr="00C45619" w:rsidRDefault="00507365" w:rsidP="00507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Radmila Čičković, PhD, Director General of the Institute</w:t>
            </w:r>
          </w:p>
          <w:p w:rsidR="00507365" w:rsidRPr="00C45619" w:rsidRDefault="00507365" w:rsidP="00507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9277A6" w:rsidRPr="00C45619" w:rsidRDefault="00507365" w:rsidP="00507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45619">
              <w:rPr>
                <w:rFonts w:ascii="Arial Narrow" w:hAnsi="Arial Narrow" w:cs="Tahoma"/>
                <w:sz w:val="18"/>
                <w:szCs w:val="18"/>
              </w:rPr>
              <w:t xml:space="preserve">telephone +387 51 332 700; E-mail: </w:t>
            </w:r>
            <w:hyperlink r:id="rId18" w:history="1">
              <w:r w:rsidRPr="00C45619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stat@rzs.rs.ba</w:t>
              </w:r>
            </w:hyperlink>
          </w:p>
          <w:p w:rsidR="00507365" w:rsidRPr="00C45619" w:rsidRDefault="00507365" w:rsidP="00507365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18"/>
              </w:rPr>
            </w:pPr>
          </w:p>
          <w:p w:rsidR="00507365" w:rsidRPr="00C45619" w:rsidRDefault="00507365" w:rsidP="005073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</w:rPr>
            </w:pPr>
            <w:r w:rsidRPr="00C45619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  <w:p w:rsidR="009277A6" w:rsidRPr="00C45619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</w:p>
        </w:tc>
      </w:tr>
    </w:tbl>
    <w:p w:rsidR="009E2A9A" w:rsidRPr="00C45619" w:rsidRDefault="00CE1C43" w:rsidP="009E2A9A">
      <w:pPr>
        <w:rPr>
          <w:rFonts w:ascii="Tahoma" w:hAnsi="Tahoma" w:cs="Tahoma"/>
        </w:rPr>
      </w:pPr>
      <w:r w:rsidRPr="00C4561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065" r="15240" b="1651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29734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45619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D5" w:rsidRDefault="00EA39D5">
      <w:r>
        <w:separator/>
      </w:r>
    </w:p>
  </w:endnote>
  <w:endnote w:type="continuationSeparator" w:id="0">
    <w:p w:rsidR="00EA39D5" w:rsidRDefault="00EA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CE1C4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4561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7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8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9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45619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CE1C4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4561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Ok7gMAAIA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">
              <v:group id="Group 16" o:spid="_x0000_s1042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43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izcQA&#10;AADaAAAADwAAAGRycy9kb3ducmV2LnhtbESP3WoCMRSE7wXfIRyhd5pVi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Ys3EAAAA2gAAAA8AAAAAAAAAAAAAAAAAmAIAAGRycy9k&#10;b3ducmV2LnhtbFBLBQYAAAAABAAEAPUAAACJAwAAAAA=&#10;" fillcolor="#bfbfbf" strokecolor="#bfbfbf"/>
                <v:rect id="Rectangle 18" o:spid="_x0000_s1044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5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7pMEA&#10;AADbAAAADwAAAGRycy9kb3ducmV2LnhtbERPTWvCQBC9F/wPywje6qYKoURXkYAazKW1RXocstNs&#10;aHY2ZFcT/71bKPQ2j/c56+1oW3Gj3jeOFbzMExDEldMN1wo+P/bPryB8QNbYOiYFd/Kw3Uye1php&#10;N/A73c6hFjGEfYYKTAhdJqWvDFn0c9cRR+7b9RZDhH0tdY9DDLetXCRJKi02HBsMdpQbqn7OV6vg&#10;8Fb6YC7Hcpf7U5Gn+vpFS1JqNh13KxCBxvAv/nMXOs5fwu8v8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v+6TBAAAA2wAAAA8AAAAAAAAAAAAAAAAAmAIAAGRycy9kb3du&#10;cmV2LnhtbFBLBQYAAAAABAAEAPUAAACG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4561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D5" w:rsidRDefault="00EA39D5">
      <w:r>
        <w:separator/>
      </w:r>
    </w:p>
  </w:footnote>
  <w:footnote w:type="continuationSeparator" w:id="0">
    <w:p w:rsidR="00EA39D5" w:rsidRDefault="00EA3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30C76" w:rsidRDefault="00D30C76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D30C76" w:rsidRDefault="00D30C76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30C7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10E04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D30C7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September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="00D30C76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D30C76">
            <w:rPr>
              <w:rFonts w:ascii="Arial Narrow" w:hAnsi="Arial Narrow" w:cs="Tahoma"/>
              <w:color w:val="1F497D"/>
              <w:sz w:val="16"/>
              <w:szCs w:val="16"/>
            </w:rPr>
            <w:t>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6508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1DB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6</w:t>
          </w:r>
          <w:r w:rsidR="00210E0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CE1C4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DFC6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4ED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1BA7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353"/>
    <w:rsid w:val="001175C0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E68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992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A98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5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1D7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20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55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061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753"/>
    <w:rsid w:val="00462AD1"/>
    <w:rsid w:val="00462B54"/>
    <w:rsid w:val="00462DD2"/>
    <w:rsid w:val="0046323F"/>
    <w:rsid w:val="004632B1"/>
    <w:rsid w:val="00463B53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6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F7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3DB1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4FCB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47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642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779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1C4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4F5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420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0EAB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6F66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0BD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686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619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1C43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0C76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ED6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DB0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D21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D5"/>
    <w:rsid w:val="00EA3E6C"/>
    <w:rsid w:val="00EA3F27"/>
    <w:rsid w:val="00EA44AA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2D7E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2B5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1D5DD822-712F-47CB-82AA-5B5F795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2016</c:v>
                  </c:pt>
                  <c:pt idx="5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838</c:v>
                </c:pt>
                <c:pt idx="1">
                  <c:v>834</c:v>
                </c:pt>
                <c:pt idx="2">
                  <c:v>837</c:v>
                </c:pt>
                <c:pt idx="3">
                  <c:v>839</c:v>
                </c:pt>
                <c:pt idx="4">
                  <c:v>835</c:v>
                </c:pt>
                <c:pt idx="5">
                  <c:v>815</c:v>
                </c:pt>
                <c:pt idx="6">
                  <c:v>848</c:v>
                </c:pt>
                <c:pt idx="7">
                  <c:v>828</c:v>
                </c:pt>
                <c:pt idx="8">
                  <c:v>821</c:v>
                </c:pt>
                <c:pt idx="9">
                  <c:v>837</c:v>
                </c:pt>
                <c:pt idx="10">
                  <c:v>828</c:v>
                </c:pt>
                <c:pt idx="11">
                  <c:v>830</c:v>
                </c:pt>
                <c:pt idx="12">
                  <c:v>832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0648"/>
        <c:axId val="130455288"/>
      </c:lineChart>
      <c:catAx>
        <c:axId val="1110648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30455288"/>
        <c:crosses val="autoZero"/>
        <c:auto val="1"/>
        <c:lblAlgn val="ctr"/>
        <c:lblOffset val="100"/>
        <c:noMultiLvlLbl val="0"/>
      </c:catAx>
      <c:valAx>
        <c:axId val="130455288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10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933E-2"/>
          <c:w val="0.90069686411149863"/>
          <c:h val="0.76569037656904693"/>
        </c:manualLayout>
      </c:layout>
      <c:lineChart>
        <c:grouping val="standard"/>
        <c:varyColors val="0"/>
        <c:ser>
          <c:idx val="0"/>
          <c:order val="0"/>
          <c:tx>
            <c:strRef>
              <c:f>jul!$C$3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jul!$A$5:$B$17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jul!$C$5:$C$17</c:f>
              <c:numCache>
                <c:formatCode>General</c:formatCode>
                <c:ptCount val="13"/>
                <c:pt idx="0">
                  <c:v>-0.3</c:v>
                </c:pt>
                <c:pt idx="1">
                  <c:v>0.1</c:v>
                </c:pt>
                <c:pt idx="2">
                  <c:v>1.4</c:v>
                </c:pt>
                <c:pt idx="3">
                  <c:v>0.1</c:v>
                </c:pt>
                <c:pt idx="4">
                  <c:v>-0.1</c:v>
                </c:pt>
                <c:pt idx="5">
                  <c:v>0.9</c:v>
                </c:pt>
                <c:pt idx="6">
                  <c:v>0.1</c:v>
                </c:pt>
                <c:pt idx="7">
                  <c:v>0.1</c:v>
                </c:pt>
                <c:pt idx="8">
                  <c:v>-1.1000000000000001</c:v>
                </c:pt>
                <c:pt idx="9">
                  <c:v>-0.2</c:v>
                </c:pt>
                <c:pt idx="10">
                  <c:v>-0.4</c:v>
                </c:pt>
                <c:pt idx="11">
                  <c:v>-0.3</c:v>
                </c:pt>
                <c:pt idx="12">
                  <c:v>-0.2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B39-4E33-B409-4AF365DDF017}"/>
            </c:ext>
          </c:extLst>
        </c:ser>
        <c:ser>
          <c:idx val="1"/>
          <c:order val="1"/>
          <c:tx>
            <c:strRef>
              <c:f>jul!$D$3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jul!$A$5:$B$17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jul!$D$5:$D$17</c:f>
              <c:numCache>
                <c:formatCode>General</c:formatCode>
                <c:ptCount val="13"/>
                <c:pt idx="0">
                  <c:v>-1.3</c:v>
                </c:pt>
                <c:pt idx="1">
                  <c:v>-1.2</c:v>
                </c:pt>
                <c:pt idx="2">
                  <c:v>-0.7</c:v>
                </c:pt>
                <c:pt idx="3">
                  <c:v>-0.3</c:v>
                </c:pt>
                <c:pt idx="4">
                  <c:v>-0.2</c:v>
                </c:pt>
                <c:pt idx="5">
                  <c:v>0.4</c:v>
                </c:pt>
                <c:pt idx="6">
                  <c:v>0.8</c:v>
                </c:pt>
                <c:pt idx="7">
                  <c:v>0.9</c:v>
                </c:pt>
                <c:pt idx="8">
                  <c:v>0.8</c:v>
                </c:pt>
                <c:pt idx="9">
                  <c:v>0.6</c:v>
                </c:pt>
                <c:pt idx="10">
                  <c:v>0.4</c:v>
                </c:pt>
                <c:pt idx="11">
                  <c:v>0.3</c:v>
                </c:pt>
                <c:pt idx="12">
                  <c:v>0.4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B39-4E33-B409-4AF365DDF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179120"/>
        <c:axId val="130201008"/>
      </c:lineChart>
      <c:catAx>
        <c:axId val="13017912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302010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020100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3017912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3468311353828472"/>
          <c:y val="0.85225201830570829"/>
          <c:w val="0.73828759147701017"/>
          <c:h val="0.11982377287546533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7">
                    <c:v>2015</c:v>
                  </c:pt>
                  <c:pt idx="29">
                    <c:v>2016</c:v>
                  </c:pt>
                  <c:pt idx="41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106.9</c:v>
                </c:pt>
                <c:pt idx="1">
                  <c:v>100.7</c:v>
                </c:pt>
                <c:pt idx="2">
                  <c:v>102.2</c:v>
                </c:pt>
                <c:pt idx="3">
                  <c:v>105.1</c:v>
                </c:pt>
                <c:pt idx="4">
                  <c:v>105.9</c:v>
                </c:pt>
                <c:pt idx="5">
                  <c:v>106.8</c:v>
                </c:pt>
                <c:pt idx="6">
                  <c:v>104.6</c:v>
                </c:pt>
                <c:pt idx="7">
                  <c:v>101.3</c:v>
                </c:pt>
                <c:pt idx="8">
                  <c:v>103.6</c:v>
                </c:pt>
                <c:pt idx="9" formatCode="0\.0">
                  <c:v>103</c:v>
                </c:pt>
                <c:pt idx="10">
                  <c:v>104.2</c:v>
                </c:pt>
                <c:pt idx="11">
                  <c:v>106.7</c:v>
                </c:pt>
                <c:pt idx="12">
                  <c:v>99.8</c:v>
                </c:pt>
                <c:pt idx="13">
                  <c:v>109.5</c:v>
                </c:pt>
                <c:pt idx="14">
                  <c:v>108.5</c:v>
                </c:pt>
                <c:pt idx="15">
                  <c:v>107.5</c:v>
                </c:pt>
                <c:pt idx="16">
                  <c:v>105.3</c:v>
                </c:pt>
                <c:pt idx="17">
                  <c:v>108.7</c:v>
                </c:pt>
                <c:pt idx="18">
                  <c:v>109.9</c:v>
                </c:pt>
                <c:pt idx="19">
                  <c:v>103.9</c:v>
                </c:pt>
                <c:pt idx="20">
                  <c:v>106.3</c:v>
                </c:pt>
                <c:pt idx="21">
                  <c:v>111.1</c:v>
                </c:pt>
                <c:pt idx="22">
                  <c:v>109.1</c:v>
                </c:pt>
                <c:pt idx="23">
                  <c:v>108.8</c:v>
                </c:pt>
                <c:pt idx="24">
                  <c:v>110.7</c:v>
                </c:pt>
                <c:pt idx="25">
                  <c:v>105.6</c:v>
                </c:pt>
                <c:pt idx="26">
                  <c:v>109.4</c:v>
                </c:pt>
                <c:pt idx="27">
                  <c:v>108.1</c:v>
                </c:pt>
                <c:pt idx="28">
                  <c:v>105.1</c:v>
                </c:pt>
                <c:pt idx="29">
                  <c:v>102.8</c:v>
                </c:pt>
                <c:pt idx="30">
                  <c:v>114.9</c:v>
                </c:pt>
                <c:pt idx="31">
                  <c:v>122.7</c:v>
                </c:pt>
                <c:pt idx="32">
                  <c:v>110.3</c:v>
                </c:pt>
                <c:pt idx="33">
                  <c:v>119.6</c:v>
                </c:pt>
                <c:pt idx="34">
                  <c:v>113.2</c:v>
                </c:pt>
                <c:pt idx="35">
                  <c:v>116.8</c:v>
                </c:pt>
                <c:pt idx="36">
                  <c:v>120.1</c:v>
                </c:pt>
                <c:pt idx="37">
                  <c:v>120.1</c:v>
                </c:pt>
                <c:pt idx="38">
                  <c:v>116.3</c:v>
                </c:pt>
                <c:pt idx="39">
                  <c:v>118.1</c:v>
                </c:pt>
                <c:pt idx="40">
                  <c:v>123.7</c:v>
                </c:pt>
                <c:pt idx="41">
                  <c:v>121.6</c:v>
                </c:pt>
                <c:pt idx="42">
                  <c:v>118.6</c:v>
                </c:pt>
                <c:pt idx="43">
                  <c:v>116.5</c:v>
                </c:pt>
                <c:pt idx="44">
                  <c:v>122.3</c:v>
                </c:pt>
                <c:pt idx="45">
                  <c:v>112.5</c:v>
                </c:pt>
                <c:pt idx="46">
                  <c:v>121.7</c:v>
                </c:pt>
                <c:pt idx="47">
                  <c:v>116.1</c:v>
                </c:pt>
                <c:pt idx="48">
                  <c:v>115.7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7">
                    <c:v>2015</c:v>
                  </c:pt>
                  <c:pt idx="29">
                    <c:v>2016</c:v>
                  </c:pt>
                  <c:pt idx="41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104.2</c:v>
                </c:pt>
                <c:pt idx="1">
                  <c:v>104.2</c:v>
                </c:pt>
                <c:pt idx="2">
                  <c:v>104.2</c:v>
                </c:pt>
                <c:pt idx="3">
                  <c:v>104.4</c:v>
                </c:pt>
                <c:pt idx="4">
                  <c:v>104.5</c:v>
                </c:pt>
                <c:pt idx="5">
                  <c:v>104.6</c:v>
                </c:pt>
                <c:pt idx="6">
                  <c:v>104.6</c:v>
                </c:pt>
                <c:pt idx="7">
                  <c:v>104.6</c:v>
                </c:pt>
                <c:pt idx="8">
                  <c:v>104.7</c:v>
                </c:pt>
                <c:pt idx="9">
                  <c:v>104.8</c:v>
                </c:pt>
                <c:pt idx="10">
                  <c:v>105.1</c:v>
                </c:pt>
                <c:pt idx="11">
                  <c:v>105.3</c:v>
                </c:pt>
                <c:pt idx="12">
                  <c:v>105.6</c:v>
                </c:pt>
                <c:pt idx="13" formatCode="0\.0">
                  <c:v>106</c:v>
                </c:pt>
                <c:pt idx="14">
                  <c:v>106.4</c:v>
                </c:pt>
                <c:pt idx="15">
                  <c:v>106.6</c:v>
                </c:pt>
                <c:pt idx="16">
                  <c:v>106.9</c:v>
                </c:pt>
                <c:pt idx="17">
                  <c:v>107.2</c:v>
                </c:pt>
                <c:pt idx="18">
                  <c:v>107.4</c:v>
                </c:pt>
                <c:pt idx="19">
                  <c:v>107.6</c:v>
                </c:pt>
                <c:pt idx="20">
                  <c:v>107.9</c:v>
                </c:pt>
                <c:pt idx="21">
                  <c:v>108.3</c:v>
                </c:pt>
                <c:pt idx="22">
                  <c:v>108.6</c:v>
                </c:pt>
                <c:pt idx="23">
                  <c:v>108.9</c:v>
                </c:pt>
                <c:pt idx="24">
                  <c:v>109.1</c:v>
                </c:pt>
                <c:pt idx="25">
                  <c:v>109.4</c:v>
                </c:pt>
                <c:pt idx="26">
                  <c:v>109.7</c:v>
                </c:pt>
                <c:pt idx="27">
                  <c:v>110.1</c:v>
                </c:pt>
                <c:pt idx="28">
                  <c:v>110.6</c:v>
                </c:pt>
                <c:pt idx="29">
                  <c:v>111.3</c:v>
                </c:pt>
                <c:pt idx="30">
                  <c:v>112.3</c:v>
                </c:pt>
                <c:pt idx="31">
                  <c:v>113.2</c:v>
                </c:pt>
                <c:pt idx="32">
                  <c:v>113.9</c:v>
                </c:pt>
                <c:pt idx="33">
                  <c:v>114.6</c:v>
                </c:pt>
                <c:pt idx="34">
                  <c:v>115.2</c:v>
                </c:pt>
                <c:pt idx="35">
                  <c:v>115.8</c:v>
                </c:pt>
                <c:pt idx="36">
                  <c:v>116.5</c:v>
                </c:pt>
                <c:pt idx="37">
                  <c:v>116.9</c:v>
                </c:pt>
                <c:pt idx="38">
                  <c:v>117.3</c:v>
                </c:pt>
                <c:pt idx="39">
                  <c:v>117.7</c:v>
                </c:pt>
                <c:pt idx="40">
                  <c:v>118.1</c:v>
                </c:pt>
                <c:pt idx="41">
                  <c:v>118.3</c:v>
                </c:pt>
                <c:pt idx="42">
                  <c:v>118.4</c:v>
                </c:pt>
                <c:pt idx="43">
                  <c:v>118.5</c:v>
                </c:pt>
                <c:pt idx="44">
                  <c:v>118.6</c:v>
                </c:pt>
                <c:pt idx="45">
                  <c:v>118.6</c:v>
                </c:pt>
                <c:pt idx="46">
                  <c:v>118.8</c:v>
                </c:pt>
                <c:pt idx="47" formatCode="0\.0">
                  <c:v>119</c:v>
                </c:pt>
                <c:pt idx="48">
                  <c:v>119.2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2648"/>
        <c:axId val="130213032"/>
      </c:lineChart>
      <c:catAx>
        <c:axId val="13021264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30213032"/>
        <c:crosses val="autoZero"/>
        <c:auto val="1"/>
        <c:lblAlgn val="ctr"/>
        <c:lblOffset val="100"/>
        <c:noMultiLvlLbl val="0"/>
      </c:catAx>
      <c:valAx>
        <c:axId val="130213032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30212648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zaAvg2017!$A$2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zaAvg2017!$B$1:$N$1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zaAvg2017!$B$2:$N$2</c:f>
              <c:numCache>
                <c:formatCode>General</c:formatCode>
                <c:ptCount val="13"/>
                <c:pt idx="0">
                  <c:v>357450</c:v>
                </c:pt>
                <c:pt idx="1">
                  <c:v>380274</c:v>
                </c:pt>
                <c:pt idx="2">
                  <c:v>374802</c:v>
                </c:pt>
                <c:pt idx="3">
                  <c:v>413271</c:v>
                </c:pt>
                <c:pt idx="4">
                  <c:v>454746</c:v>
                </c:pt>
                <c:pt idx="5">
                  <c:v>245836</c:v>
                </c:pt>
                <c:pt idx="6">
                  <c:v>373425</c:v>
                </c:pt>
                <c:pt idx="7">
                  <c:v>394414</c:v>
                </c:pt>
                <c:pt idx="8">
                  <c:v>439226</c:v>
                </c:pt>
                <c:pt idx="9">
                  <c:v>389648</c:v>
                </c:pt>
                <c:pt idx="10">
                  <c:v>469944</c:v>
                </c:pt>
                <c:pt idx="11">
                  <c:v>415218</c:v>
                </c:pt>
                <c:pt idx="12">
                  <c:v>378656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zaAvg2017!$A$3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zaAvg2017!$B$1:$N$1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zaAvg2017!$B$3:$N$3</c:f>
              <c:numCache>
                <c:formatCode>0</c:formatCode>
                <c:ptCount val="13"/>
                <c:pt idx="0">
                  <c:v>229988</c:v>
                </c:pt>
                <c:pt idx="1">
                  <c:v>265387</c:v>
                </c:pt>
                <c:pt idx="2">
                  <c:v>250954</c:v>
                </c:pt>
                <c:pt idx="3">
                  <c:v>267945</c:v>
                </c:pt>
                <c:pt idx="4">
                  <c:v>260835</c:v>
                </c:pt>
                <c:pt idx="5">
                  <c:v>227374</c:v>
                </c:pt>
                <c:pt idx="6">
                  <c:v>250969</c:v>
                </c:pt>
                <c:pt idx="7">
                  <c:v>301409</c:v>
                </c:pt>
                <c:pt idx="8">
                  <c:v>267973</c:v>
                </c:pt>
                <c:pt idx="9">
                  <c:v>291497</c:v>
                </c:pt>
                <c:pt idx="10">
                  <c:v>294242</c:v>
                </c:pt>
                <c:pt idx="11">
                  <c:v>307500</c:v>
                </c:pt>
                <c:pt idx="12">
                  <c:v>271563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918248"/>
        <c:axId val="129918632"/>
      </c:lineChart>
      <c:catAx>
        <c:axId val="12991824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29918632"/>
        <c:crosses val="autoZero"/>
        <c:auto val="1"/>
        <c:lblAlgn val="ctr"/>
        <c:lblOffset val="100"/>
        <c:noMultiLvlLbl val="0"/>
      </c:catAx>
      <c:valAx>
        <c:axId val="12991863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29918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11111111111112"/>
          <c:y val="0.34848484848484851"/>
          <c:w val="0.17555555555555555"/>
          <c:h val="0.189393939393939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B4A2-4831-47C2-978C-3677C668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1186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8745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29</cp:revision>
  <cp:lastPrinted>2015-12-17T11:01:00Z</cp:lastPrinted>
  <dcterms:created xsi:type="dcterms:W3CDTF">2017-09-21T10:47:00Z</dcterms:created>
  <dcterms:modified xsi:type="dcterms:W3CDTF">2017-09-22T06:32:00Z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