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AC1031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460" cy="683895"/>
                  <wp:effectExtent l="0" t="0" r="2540" b="1905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084A3D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B84B6F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084A3D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November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084A3D">
              <w:rPr>
                <w:rFonts w:ascii="Arial Narrow" w:hAnsi="Arial Narrow" w:cs="Tahoma"/>
                <w:color w:val="1F497D"/>
                <w:sz w:val="16"/>
                <w:szCs w:val="16"/>
                <w:lang w:val="sr-Cyrl-CS"/>
              </w:rPr>
              <w:t>, No.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CS"/>
              </w:rPr>
              <w:t xml:space="preserve"> </w:t>
            </w:r>
            <w:r w:rsidR="00B84B6F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323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084A3D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084A3D" w:rsidP="0036508C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November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654E98" w:rsidRDefault="0069423B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October</w:t>
      </w:r>
      <w:r w:rsidR="00E33D13" w:rsidRPr="00654E9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F912E6" w:rsidRPr="00654E9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4F37D1" w:rsidRPr="00654E9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E33D13" w:rsidRPr="00654E9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654E98" w:rsidRDefault="0069423B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69423B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69423B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>
        <w:rPr>
          <w:rFonts w:ascii="Arial Narrow" w:hAnsi="Arial Narrow" w:cs="Tahoma"/>
          <w:b/>
          <w:i/>
          <w:sz w:val="28"/>
          <w:szCs w:val="28"/>
        </w:rPr>
        <w:t xml:space="preserve">      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3A11CF" w:rsidRPr="00654E98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4F37D1" w:rsidRPr="00654E98">
        <w:rPr>
          <w:rFonts w:ascii="Arial Narrow" w:hAnsi="Arial Narrow" w:cs="Tahoma"/>
          <w:b/>
          <w:sz w:val="28"/>
          <w:szCs w:val="28"/>
          <w:lang w:val="ru-RU"/>
        </w:rPr>
        <w:t>19</w:t>
      </w:r>
      <w:r w:rsidR="00E33D13" w:rsidRPr="00654E9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654E9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69423B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Construction</w:t>
      </w:r>
      <w:r w:rsidR="00652176" w:rsidRPr="00654E9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E33D13" w:rsidRPr="00654E9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654E98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A426D7" w:rsidRPr="00654E98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="00E33D13" w:rsidRPr="00654E9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54E9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54E98">
        <w:rPr>
          <w:rFonts w:ascii="Tahoma" w:hAnsi="Tahoma" w:cs="Tahoma"/>
          <w:b/>
          <w:lang w:val="sr-Cyrl-CS"/>
        </w:rPr>
        <w:tab/>
      </w:r>
      <w:r w:rsidRPr="00654E98">
        <w:rPr>
          <w:rFonts w:ascii="Tahoma" w:hAnsi="Tahoma" w:cs="Tahoma"/>
          <w:b/>
          <w:lang w:val="sr-Cyrl-CS"/>
        </w:rPr>
        <w:tab/>
      </w:r>
    </w:p>
    <w:p w:rsidR="00B82005" w:rsidRPr="00654E98" w:rsidRDefault="00415E8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15E82">
        <w:rPr>
          <w:rFonts w:ascii="Arial Narrow" w:hAnsi="Arial Narrow" w:cs="Tahoma"/>
          <w:sz w:val="22"/>
          <w:lang w:val="sr-Cyrl-BA"/>
        </w:rPr>
        <w:t xml:space="preserve">Average monthly net wage of employed persons in Republika Srpska paid in </w:t>
      </w:r>
      <w:r>
        <w:rPr>
          <w:rFonts w:ascii="Arial Narrow" w:hAnsi="Arial Narrow" w:cs="Tahoma"/>
          <w:sz w:val="22"/>
        </w:rPr>
        <w:t>October</w:t>
      </w:r>
      <w:r w:rsidR="00E33D13" w:rsidRPr="00654E98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654E98">
        <w:rPr>
          <w:rFonts w:ascii="Arial Narrow" w:hAnsi="Arial Narrow" w:cs="Tahoma"/>
          <w:sz w:val="22"/>
          <w:lang w:val="sr-Cyrl-CS"/>
        </w:rPr>
        <w:t>7</w:t>
      </w:r>
      <w:r w:rsidR="00E33D13" w:rsidRPr="00654E98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654E98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654E98">
        <w:rPr>
          <w:rFonts w:ascii="Arial Narrow" w:hAnsi="Arial Narrow" w:cs="Tahoma"/>
          <w:sz w:val="22"/>
          <w:lang w:val="sr-Cyrl-CS"/>
        </w:rPr>
        <w:t>8</w:t>
      </w:r>
      <w:r w:rsidR="00F912E6" w:rsidRPr="00654E98">
        <w:rPr>
          <w:rFonts w:ascii="Arial Narrow" w:hAnsi="Arial Narrow" w:cs="Tahoma"/>
          <w:sz w:val="22"/>
          <w:lang w:val="sr-Cyrl-CS"/>
        </w:rPr>
        <w:t>3</w:t>
      </w:r>
      <w:r w:rsidR="00D86796" w:rsidRPr="00654E98">
        <w:rPr>
          <w:rFonts w:ascii="Arial Narrow" w:hAnsi="Arial Narrow" w:cs="Tahoma"/>
          <w:sz w:val="22"/>
          <w:lang w:val="sr-Cyrl-CS"/>
        </w:rPr>
        <w:t>1</w:t>
      </w:r>
      <w:r w:rsidR="00E33D13" w:rsidRPr="00654E98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654E98">
        <w:rPr>
          <w:rFonts w:ascii="Arial Narrow" w:hAnsi="Arial Narrow" w:cs="Tahoma"/>
          <w:sz w:val="22"/>
          <w:lang w:val="hr-HR"/>
        </w:rPr>
        <w:t>,</w:t>
      </w:r>
      <w:r w:rsidR="00E33D13" w:rsidRPr="00654E98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 xml:space="preserve">while average </w:t>
      </w:r>
      <w:r w:rsidR="002226D0">
        <w:rPr>
          <w:rFonts w:ascii="Arial Narrow" w:hAnsi="Arial Narrow" w:cs="Tahoma"/>
          <w:sz w:val="22"/>
        </w:rPr>
        <w:t>monthly</w:t>
      </w:r>
      <w:r>
        <w:rPr>
          <w:rFonts w:ascii="Arial Narrow" w:hAnsi="Arial Narrow" w:cs="Tahoma"/>
          <w:sz w:val="22"/>
        </w:rPr>
        <w:t xml:space="preserve"> gross wage was</w:t>
      </w:r>
      <w:r w:rsidR="00E33D13" w:rsidRPr="00654E98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654E98">
        <w:rPr>
          <w:rFonts w:ascii="Arial Narrow" w:hAnsi="Arial Narrow" w:cs="Tahoma"/>
          <w:sz w:val="22"/>
          <w:lang w:val="sr-Cyrl-CS"/>
        </w:rPr>
        <w:t>3</w:t>
      </w:r>
      <w:r w:rsidR="00F912E6" w:rsidRPr="00654E98">
        <w:rPr>
          <w:rFonts w:ascii="Arial Narrow" w:hAnsi="Arial Narrow" w:cs="Tahoma"/>
          <w:sz w:val="22"/>
          <w:lang w:val="sr-Cyrl-CS"/>
        </w:rPr>
        <w:t>3</w:t>
      </w:r>
      <w:r w:rsidR="00D86796" w:rsidRPr="00654E98">
        <w:rPr>
          <w:rFonts w:ascii="Arial Narrow" w:hAnsi="Arial Narrow" w:cs="Tahoma"/>
          <w:sz w:val="22"/>
          <w:lang w:val="sr-Cyrl-CS"/>
        </w:rPr>
        <w:t>2</w:t>
      </w:r>
      <w:r w:rsidR="00F0781C" w:rsidRPr="00654E98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654E98">
        <w:rPr>
          <w:rFonts w:ascii="Arial Narrow" w:hAnsi="Arial Narrow" w:cs="Tahoma"/>
          <w:sz w:val="22"/>
          <w:lang w:val="sr-Cyrl-CS"/>
        </w:rPr>
        <w:t>КМ.</w:t>
      </w:r>
      <w:r w:rsidR="00B82005" w:rsidRPr="00654E98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654E9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Default="00D767B8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</w:rPr>
        <w:t>Average net wage paid in October</w:t>
      </w:r>
      <w:r>
        <w:rPr>
          <w:rFonts w:ascii="Arial Narrow" w:hAnsi="Arial Narrow" w:cs="Tahoma"/>
          <w:sz w:val="22"/>
          <w:lang w:val="sr-Cyrl-CS"/>
        </w:rPr>
        <w:t xml:space="preserve"> 2017,</w:t>
      </w:r>
      <w:r w:rsidR="00654E98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compared to September</w:t>
      </w:r>
      <w:r>
        <w:rPr>
          <w:rFonts w:ascii="Arial Narrow" w:hAnsi="Arial Narrow" w:cs="Tahoma"/>
          <w:sz w:val="22"/>
          <w:lang w:val="sr-Cyrl-CS"/>
        </w:rPr>
        <w:t xml:space="preserve"> 2017,</w:t>
      </w:r>
      <w:r w:rsidR="00E0503B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was nominally</w:t>
      </w:r>
      <w:r>
        <w:rPr>
          <w:rFonts w:ascii="Arial Narrow" w:hAnsi="Arial Narrow" w:cs="Tahoma"/>
          <w:sz w:val="22"/>
          <w:lang w:val="sr-Cyrl-CS"/>
        </w:rPr>
        <w:t xml:space="preserve"> 0.</w:t>
      </w:r>
      <w:r w:rsidR="00E0503B" w:rsidRPr="00E0503B">
        <w:rPr>
          <w:rFonts w:ascii="Arial Narrow" w:hAnsi="Arial Narrow" w:cs="Tahoma"/>
          <w:sz w:val="22"/>
          <w:lang w:val="sr-Cyrl-CS"/>
        </w:rPr>
        <w:t>2</w:t>
      </w:r>
      <w:r w:rsidR="00E0503B">
        <w:rPr>
          <w:rFonts w:ascii="Arial Narrow" w:hAnsi="Arial Narrow" w:cs="Tahoma"/>
          <w:sz w:val="22"/>
          <w:lang w:val="sr-Cyrl-CS"/>
        </w:rPr>
        <w:t>%</w:t>
      </w:r>
      <w:r>
        <w:rPr>
          <w:rFonts w:ascii="Arial Narrow" w:hAnsi="Arial Narrow" w:cs="Tahoma"/>
          <w:sz w:val="22"/>
        </w:rPr>
        <w:t xml:space="preserve"> higher</w:t>
      </w:r>
      <w:r w:rsidR="00E0503B">
        <w:rPr>
          <w:rFonts w:ascii="Arial Narrow" w:hAnsi="Arial Narrow" w:cs="Tahoma"/>
          <w:sz w:val="22"/>
          <w:lang w:val="sr-Cyrl-CS"/>
        </w:rPr>
        <w:t xml:space="preserve">, </w:t>
      </w:r>
      <w:r>
        <w:rPr>
          <w:rFonts w:ascii="Arial Narrow" w:hAnsi="Arial Narrow" w:cs="Tahoma"/>
          <w:sz w:val="22"/>
        </w:rPr>
        <w:t>while it was really</w:t>
      </w:r>
      <w:r w:rsidR="00675807" w:rsidRPr="00654E98">
        <w:rPr>
          <w:rFonts w:ascii="Arial Narrow" w:hAnsi="Arial Narrow" w:cs="Tahoma"/>
          <w:sz w:val="22"/>
          <w:lang w:val="sr-Cyrl-CS"/>
        </w:rPr>
        <w:t xml:space="preserve"> </w:t>
      </w:r>
      <w:r w:rsidR="00D86796" w:rsidRPr="00654E98">
        <w:rPr>
          <w:rFonts w:ascii="Arial Narrow" w:hAnsi="Arial Narrow" w:cs="Tahoma"/>
          <w:sz w:val="22"/>
          <w:lang w:val="sr-Cyrl-CS"/>
        </w:rPr>
        <w:t>1</w:t>
      </w:r>
      <w:r>
        <w:rPr>
          <w:rFonts w:ascii="Arial Narrow" w:hAnsi="Arial Narrow" w:cs="Tahoma"/>
          <w:sz w:val="22"/>
          <w:lang w:val="sr-Cyrl-CS"/>
        </w:rPr>
        <w:t>.</w:t>
      </w:r>
      <w:r w:rsidR="00D86796" w:rsidRPr="00654E98">
        <w:rPr>
          <w:rFonts w:ascii="Arial Narrow" w:hAnsi="Arial Narrow" w:cs="Tahoma"/>
          <w:sz w:val="22"/>
          <w:lang w:val="sr-Cyrl-CS"/>
        </w:rPr>
        <w:t>1</w:t>
      </w:r>
      <w:r w:rsidR="00675807" w:rsidRPr="00654E98">
        <w:rPr>
          <w:rFonts w:ascii="Arial Narrow" w:hAnsi="Arial Narrow" w:cs="Tahoma"/>
          <w:sz w:val="22"/>
          <w:lang w:val="sr-Cyrl-CS"/>
        </w:rPr>
        <w:t>%</w:t>
      </w:r>
      <w:r>
        <w:rPr>
          <w:rFonts w:ascii="Arial Narrow" w:hAnsi="Arial Narrow" w:cs="Tahoma"/>
          <w:sz w:val="22"/>
        </w:rPr>
        <w:t xml:space="preserve"> lower</w:t>
      </w:r>
      <w:r w:rsidR="00A80BB3" w:rsidRPr="00654E98">
        <w:rPr>
          <w:rFonts w:ascii="Arial Narrow" w:hAnsi="Arial Narrow" w:cs="Tahoma"/>
          <w:sz w:val="22"/>
          <w:lang w:val="sr-Cyrl-CS"/>
        </w:rPr>
        <w:t>.</w:t>
      </w:r>
    </w:p>
    <w:p w:rsidR="00435CDC" w:rsidRDefault="00435CD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35CDC" w:rsidRPr="00654E98" w:rsidRDefault="00435CD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35CDC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October</w:t>
      </w:r>
      <w:r w:rsidRPr="00435CDC">
        <w:rPr>
          <w:rFonts w:ascii="Arial Narrow" w:hAnsi="Arial Narrow" w:cs="Tahoma"/>
          <w:sz w:val="22"/>
        </w:rPr>
        <w:t xml:space="preserve"> 2017, the highest average wage, by section of economic activities, was paid in the section </w:t>
      </w:r>
      <w:r w:rsidRPr="00435CDC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>, and it amounted to 1,319</w:t>
      </w:r>
      <w:r w:rsidRPr="00435CDC">
        <w:rPr>
          <w:rFonts w:ascii="Arial Narrow" w:hAnsi="Arial Narrow" w:cs="Tahoma"/>
          <w:sz w:val="22"/>
        </w:rPr>
        <w:t xml:space="preserve"> KM. On the other hand, the lowest average net wage in </w:t>
      </w:r>
      <w:r>
        <w:rPr>
          <w:rFonts w:ascii="Arial Narrow" w:hAnsi="Arial Narrow" w:cs="Tahoma"/>
          <w:sz w:val="22"/>
        </w:rPr>
        <w:t>October</w:t>
      </w:r>
      <w:r w:rsidRPr="00435CDC">
        <w:rPr>
          <w:rFonts w:ascii="Arial Narrow" w:hAnsi="Arial Narrow" w:cs="Tahoma"/>
          <w:sz w:val="22"/>
        </w:rPr>
        <w:t xml:space="preserve"> 2017 was the one paid in the section </w:t>
      </w:r>
      <w:r>
        <w:rPr>
          <w:rFonts w:ascii="Arial Narrow" w:hAnsi="Arial Narrow" w:cs="Tahoma"/>
          <w:i/>
          <w:sz w:val="22"/>
        </w:rPr>
        <w:t>Construction</w:t>
      </w:r>
      <w:r w:rsidRPr="00435CDC">
        <w:rPr>
          <w:rFonts w:ascii="Arial Narrow" w:hAnsi="Arial Narrow" w:cs="Tahoma"/>
          <w:i/>
          <w:sz w:val="22"/>
        </w:rPr>
        <w:t xml:space="preserve"> </w:t>
      </w:r>
      <w:r w:rsidRPr="00435CDC">
        <w:rPr>
          <w:rFonts w:ascii="Arial Narrow" w:hAnsi="Arial Narrow" w:cs="Tahoma"/>
          <w:sz w:val="22"/>
        </w:rPr>
        <w:t>543 KM</w:t>
      </w:r>
      <w:r>
        <w:rPr>
          <w:rFonts w:ascii="Arial Narrow" w:hAnsi="Arial Narrow" w:cs="Tahoma"/>
          <w:sz w:val="22"/>
        </w:rPr>
        <w:t>.</w:t>
      </w:r>
    </w:p>
    <w:p w:rsidR="00443D15" w:rsidRPr="00654E98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Default="00435CDC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October 2017, compared to September 2017, a nominal increase in net wages was recorded in the sections </w:t>
      </w:r>
      <w:r w:rsidRPr="00435CDC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3.7%, </w:t>
      </w:r>
      <w:r w:rsidRPr="00435CDC">
        <w:rPr>
          <w:rFonts w:ascii="Arial Narrow" w:hAnsi="Arial Narrow" w:cs="Tahoma"/>
          <w:i/>
          <w:sz w:val="22"/>
        </w:rPr>
        <w:t>Accommodation and food service activities</w:t>
      </w:r>
      <w:r>
        <w:rPr>
          <w:rFonts w:ascii="Arial Narrow" w:hAnsi="Arial Narrow" w:cs="Tahoma"/>
          <w:sz w:val="22"/>
        </w:rPr>
        <w:t xml:space="preserve"> 3.2% and </w:t>
      </w:r>
      <w:r w:rsidRPr="00435CDC">
        <w:rPr>
          <w:rFonts w:ascii="Arial Narrow" w:hAnsi="Arial Narrow" w:cs="Tahoma"/>
          <w:i/>
          <w:sz w:val="22"/>
        </w:rPr>
        <w:t>Real estate activities</w:t>
      </w:r>
      <w:r>
        <w:rPr>
          <w:rFonts w:ascii="Arial Narrow" w:hAnsi="Arial Narrow" w:cs="Tahoma"/>
          <w:sz w:val="22"/>
        </w:rPr>
        <w:t xml:space="preserve"> 2.0%. </w:t>
      </w:r>
    </w:p>
    <w:p w:rsidR="00435CDC" w:rsidRDefault="00435CDC" w:rsidP="00E33D13">
      <w:pPr>
        <w:jc w:val="both"/>
        <w:rPr>
          <w:rFonts w:ascii="Arial Narrow" w:hAnsi="Arial Narrow" w:cs="Tahoma"/>
          <w:sz w:val="22"/>
        </w:rPr>
      </w:pPr>
    </w:p>
    <w:p w:rsidR="00435CDC" w:rsidRPr="00435CDC" w:rsidRDefault="00435CDC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 decrease in nominal wages was recorded in the sections </w:t>
      </w:r>
      <w:r w:rsidRPr="00435CDC">
        <w:rPr>
          <w:rFonts w:ascii="Arial Narrow" w:hAnsi="Arial Narrow" w:cs="Tahoma"/>
          <w:i/>
          <w:sz w:val="22"/>
        </w:rPr>
        <w:t>Professional, scientific and technical activities</w:t>
      </w:r>
      <w:r>
        <w:rPr>
          <w:rFonts w:ascii="Arial Narrow" w:hAnsi="Arial Narrow" w:cs="Tahoma"/>
          <w:sz w:val="22"/>
        </w:rPr>
        <w:t xml:space="preserve"> 4.0%. </w:t>
      </w:r>
      <w:r w:rsidRPr="00435CDC">
        <w:rPr>
          <w:rFonts w:ascii="Arial Narrow" w:hAnsi="Arial Narrow" w:cs="Tahoma"/>
          <w:i/>
          <w:sz w:val="22"/>
        </w:rPr>
        <w:t>Agriculture, forestry and fishing</w:t>
      </w:r>
      <w:r>
        <w:rPr>
          <w:rFonts w:ascii="Arial Narrow" w:hAnsi="Arial Narrow" w:cs="Tahoma"/>
          <w:sz w:val="22"/>
        </w:rPr>
        <w:t xml:space="preserve"> 1.7% and </w:t>
      </w:r>
      <w:r w:rsidRPr="00435CDC">
        <w:rPr>
          <w:rFonts w:ascii="Arial Narrow" w:hAnsi="Arial Narrow" w:cs="Tahoma"/>
          <w:i/>
          <w:sz w:val="22"/>
        </w:rPr>
        <w:t>Education</w:t>
      </w:r>
      <w:r>
        <w:rPr>
          <w:rFonts w:ascii="Arial Narrow" w:hAnsi="Arial Narrow" w:cs="Tahoma"/>
          <w:sz w:val="22"/>
        </w:rPr>
        <w:t xml:space="preserve"> 1.3%.</w:t>
      </w:r>
    </w:p>
    <w:p w:rsidR="00FF3EA0" w:rsidRPr="00654E98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654E9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54E9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4E98">
        <w:rPr>
          <w:rFonts w:ascii="Tahoma" w:hAnsi="Tahoma" w:cs="Tahoma"/>
          <w:i/>
          <w:sz w:val="14"/>
          <w:lang w:val="sr-Cyrl-CS"/>
        </w:rPr>
        <w:t xml:space="preserve"> </w:t>
      </w:r>
      <w:r w:rsidRPr="00654E98">
        <w:rPr>
          <w:rFonts w:ascii="Tahoma" w:hAnsi="Tahoma" w:cs="Tahoma"/>
          <w:sz w:val="14"/>
          <w:lang w:val="sr-Cyrl-CS"/>
        </w:rPr>
        <w:t xml:space="preserve">   </w:t>
      </w:r>
      <w:r w:rsidRPr="00654E98">
        <w:rPr>
          <w:rFonts w:ascii="Tahoma" w:hAnsi="Tahoma" w:cs="Tahoma"/>
          <w:sz w:val="14"/>
          <w:lang w:val="sr-Latn-CS"/>
        </w:rPr>
        <w:tab/>
      </w:r>
      <w:r w:rsidRPr="00654E98">
        <w:rPr>
          <w:rFonts w:ascii="Tahoma" w:hAnsi="Tahoma" w:cs="Tahoma"/>
          <w:sz w:val="14"/>
          <w:lang w:val="sr-Latn-CS"/>
        </w:rPr>
        <w:tab/>
      </w:r>
      <w:r w:rsidRPr="00654E9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54E98">
        <w:rPr>
          <w:rFonts w:ascii="Tahoma" w:hAnsi="Tahoma" w:cs="Tahoma"/>
          <w:sz w:val="14"/>
          <w:lang w:val="sr-Cyrl-BA"/>
        </w:rPr>
        <w:t xml:space="preserve">   </w:t>
      </w:r>
      <w:r w:rsidRPr="00654E9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54E98" w:rsidRDefault="00AC1031" w:rsidP="00E33D13">
      <w:pPr>
        <w:jc w:val="center"/>
        <w:rPr>
          <w:rFonts w:ascii="Tahoma" w:hAnsi="Tahoma" w:cs="Tahoma"/>
          <w:lang w:val="sr-Cyrl-BA"/>
        </w:rPr>
      </w:pPr>
      <w:r w:rsidRPr="00654E9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978231</wp:posOffset>
            </wp:positionH>
            <wp:positionV relativeFrom="paragraph">
              <wp:posOffset>2044700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654E98">
        <w:rPr>
          <w:rFonts w:ascii="Tahoma" w:hAnsi="Tahoma" w:cs="Tahoma"/>
          <w:szCs w:val="18"/>
          <w:lang w:val="sr-Cyrl-BA"/>
        </w:rPr>
        <w:t xml:space="preserve"> </w:t>
      </w:r>
      <w:r w:rsidRPr="00654E98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654E98">
        <w:rPr>
          <w:rFonts w:ascii="Tahoma" w:hAnsi="Tahoma" w:cs="Tahoma"/>
          <w:szCs w:val="18"/>
          <w:lang w:val="sr-Cyrl-BA"/>
        </w:rPr>
        <w:t xml:space="preserve"> </w:t>
      </w:r>
    </w:p>
    <w:p w:rsidR="00E33D13" w:rsidRPr="00654E9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BD1BAC" w:rsidRDefault="00BD1BAC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654E9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654E98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654E98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654E9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654E98" w:rsidRDefault="00BE051D">
      <w:pPr>
        <w:rPr>
          <w:rFonts w:ascii="Arial Narrow" w:hAnsi="Arial Narrow" w:cs="Tahoma"/>
          <w:sz w:val="22"/>
          <w:lang w:val="sr-Latn-BA"/>
        </w:rPr>
      </w:pPr>
    </w:p>
    <w:p w:rsidR="00901910" w:rsidRPr="00106372" w:rsidRDefault="00106372" w:rsidP="00901910">
      <w:pPr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Monthly inflation</w:t>
      </w:r>
      <w:r w:rsidR="00620BD6" w:rsidRPr="00654E98">
        <w:rPr>
          <w:rFonts w:ascii="Arial Narrow" w:hAnsi="Arial Narrow" w:cs="Tahoma"/>
          <w:b/>
          <w:sz w:val="24"/>
          <w:szCs w:val="24"/>
          <w:lang w:val="sr-Cyrl-BA"/>
        </w:rPr>
        <w:t xml:space="preserve"> 1</w:t>
      </w:r>
      <w:r>
        <w:rPr>
          <w:rFonts w:ascii="Arial Narrow" w:hAnsi="Arial Narrow" w:cs="Tahoma"/>
          <w:b/>
          <w:sz w:val="24"/>
          <w:szCs w:val="24"/>
          <w:lang w:val="sr-Cyrl-BA"/>
        </w:rPr>
        <w:t>.</w:t>
      </w:r>
      <w:r w:rsidR="00901910" w:rsidRPr="00654E98">
        <w:rPr>
          <w:rFonts w:ascii="Arial Narrow" w:hAnsi="Arial Narrow" w:cs="Tahoma"/>
          <w:b/>
          <w:sz w:val="24"/>
          <w:szCs w:val="24"/>
          <w:lang w:val="sr-Cyrl-CS"/>
        </w:rPr>
        <w:t>3</w:t>
      </w:r>
      <w:r w:rsidR="00901910" w:rsidRPr="00654E98">
        <w:rPr>
          <w:rFonts w:ascii="Arial Narrow" w:hAnsi="Arial Narrow" w:cs="Tahoma"/>
          <w:b/>
          <w:sz w:val="24"/>
          <w:szCs w:val="24"/>
          <w:lang w:val="sr-Cyrl-BA"/>
        </w:rPr>
        <w:t>%</w:t>
      </w:r>
      <w:r>
        <w:rPr>
          <w:rFonts w:ascii="Arial Narrow" w:hAnsi="Arial Narrow" w:cs="Tahoma"/>
          <w:b/>
          <w:sz w:val="24"/>
          <w:szCs w:val="24"/>
        </w:rPr>
        <w:t xml:space="preserve"> in October 2017</w:t>
      </w:r>
    </w:p>
    <w:p w:rsidR="00901910" w:rsidRPr="00654E98" w:rsidRDefault="00106372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  <w:r>
        <w:rPr>
          <w:rFonts w:ascii="Arial Narrow" w:hAnsi="Arial Narrow" w:cs="Tahoma"/>
          <w:b/>
          <w:sz w:val="24"/>
          <w:szCs w:val="24"/>
        </w:rPr>
        <w:t>Annual inflation</w:t>
      </w:r>
      <w:r w:rsidR="00901910" w:rsidRPr="00654E98">
        <w:rPr>
          <w:rFonts w:ascii="Arial Narrow" w:hAnsi="Arial Narrow" w:cs="Tahoma"/>
          <w:b/>
          <w:sz w:val="24"/>
          <w:szCs w:val="24"/>
          <w:lang w:val="sr-Cyrl-BA"/>
        </w:rPr>
        <w:t xml:space="preserve"> (</w:t>
      </w:r>
      <w:r>
        <w:rPr>
          <w:rFonts w:ascii="Arial Narrow" w:hAnsi="Arial Narrow" w:cs="Tahoma"/>
          <w:b/>
          <w:sz w:val="24"/>
          <w:szCs w:val="24"/>
          <w:lang w:val="sr-Latn-BA"/>
        </w:rPr>
        <w:t>October</w:t>
      </w:r>
      <w:r w:rsidR="00901910" w:rsidRPr="00654E98">
        <w:rPr>
          <w:rFonts w:ascii="Arial Narrow" w:hAnsi="Arial Narrow" w:cs="Tahoma"/>
          <w:b/>
          <w:sz w:val="24"/>
          <w:szCs w:val="24"/>
          <w:lang w:val="sr-Cyrl-BA"/>
        </w:rPr>
        <w:t xml:space="preserve"> 2017/</w:t>
      </w:r>
      <w:r>
        <w:rPr>
          <w:rFonts w:ascii="Arial Narrow" w:hAnsi="Arial Narrow" w:cs="Tahoma"/>
          <w:b/>
          <w:sz w:val="24"/>
          <w:szCs w:val="24"/>
          <w:lang w:val="sr-Latn-BA"/>
        </w:rPr>
        <w:t>October</w:t>
      </w:r>
      <w:r w:rsidR="00901910" w:rsidRPr="00654E98">
        <w:rPr>
          <w:rFonts w:ascii="Arial Narrow" w:hAnsi="Arial Narrow" w:cs="Tahoma"/>
          <w:b/>
          <w:sz w:val="24"/>
          <w:szCs w:val="24"/>
          <w:lang w:val="sr-Cyrl-BA"/>
        </w:rPr>
        <w:t xml:space="preserve"> 201</w:t>
      </w:r>
      <w:r>
        <w:rPr>
          <w:rFonts w:ascii="Arial Narrow" w:hAnsi="Arial Narrow" w:cs="Tahoma"/>
          <w:b/>
          <w:sz w:val="24"/>
          <w:szCs w:val="24"/>
          <w:lang w:val="sr-Cyrl-BA"/>
        </w:rPr>
        <w:t>6) 0.</w:t>
      </w:r>
      <w:r w:rsidR="00620BD6" w:rsidRPr="00654E98">
        <w:rPr>
          <w:rFonts w:ascii="Arial Narrow" w:hAnsi="Arial Narrow" w:cs="Tahoma"/>
          <w:b/>
          <w:sz w:val="24"/>
          <w:szCs w:val="24"/>
          <w:lang w:val="sr-Cyrl-BA"/>
        </w:rPr>
        <w:t>5</w:t>
      </w:r>
      <w:r w:rsidR="00901910" w:rsidRPr="00654E98">
        <w:rPr>
          <w:rFonts w:ascii="Arial Narrow" w:hAnsi="Arial Narrow" w:cs="Tahoma"/>
          <w:b/>
          <w:sz w:val="24"/>
          <w:szCs w:val="24"/>
          <w:lang w:val="sr-Cyrl-BA"/>
        </w:rPr>
        <w:t>%</w:t>
      </w:r>
    </w:p>
    <w:p w:rsidR="00620BD6" w:rsidRPr="00654E98" w:rsidRDefault="00620BD6" w:rsidP="00901910">
      <w:pPr>
        <w:rPr>
          <w:rFonts w:ascii="Arial Narrow" w:hAnsi="Arial Narrow" w:cs="Tahoma"/>
          <w:b/>
          <w:sz w:val="24"/>
          <w:szCs w:val="24"/>
          <w:lang w:val="sr-Cyrl-BA"/>
        </w:rPr>
      </w:pPr>
    </w:p>
    <w:p w:rsidR="004C0FD7" w:rsidRDefault="004C0FD7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E072F">
        <w:rPr>
          <w:rFonts w:ascii="Arial Narrow" w:hAnsi="Arial Narrow" w:cs="Tahoma"/>
          <w:sz w:val="22"/>
        </w:rPr>
        <w:t xml:space="preserve">Prices of products and services for personal consumption in Republika Srpska, measured with the consumer price index, in </w:t>
      </w:r>
      <w:r>
        <w:rPr>
          <w:rFonts w:ascii="Arial Narrow" w:hAnsi="Arial Narrow" w:cs="Tahoma"/>
          <w:sz w:val="22"/>
        </w:rPr>
        <w:t>October</w:t>
      </w:r>
      <w:r w:rsidRPr="00EE072F">
        <w:rPr>
          <w:rFonts w:ascii="Arial Narrow" w:hAnsi="Arial Narrow" w:cs="Tahoma"/>
          <w:sz w:val="22"/>
        </w:rPr>
        <w:t xml:space="preserve"> 2017, compared to the previou</w:t>
      </w:r>
      <w:r>
        <w:rPr>
          <w:rFonts w:ascii="Arial Narrow" w:hAnsi="Arial Narrow" w:cs="Tahoma"/>
          <w:sz w:val="22"/>
        </w:rPr>
        <w:t>s month</w:t>
      </w:r>
      <w:r>
        <w:rPr>
          <w:rFonts w:ascii="Arial Narrow" w:hAnsi="Arial Narrow" w:cs="Tahoma"/>
          <w:sz w:val="22"/>
        </w:rPr>
        <w:t xml:space="preserve">, were on the average 1.3% higher, while they were 0.5% higher at the annual level. </w:t>
      </w: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C0FD7" w:rsidRDefault="004C0FD7" w:rsidP="00620BD6">
      <w:pPr>
        <w:jc w:val="both"/>
        <w:rPr>
          <w:rFonts w:ascii="Arial Narrow" w:hAnsi="Arial Narrow" w:cs="Tahoma"/>
          <w:sz w:val="22"/>
          <w:szCs w:val="22"/>
        </w:rPr>
      </w:pPr>
      <w:r w:rsidRPr="004C0FD7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</w:t>
      </w:r>
      <w:r>
        <w:rPr>
          <w:rFonts w:ascii="Arial Narrow" w:hAnsi="Arial Narrow" w:cs="Tahoma"/>
          <w:sz w:val="22"/>
          <w:szCs w:val="22"/>
        </w:rPr>
        <w:t>four</w:t>
      </w:r>
      <w:r w:rsidRPr="004C0FD7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>
        <w:rPr>
          <w:rFonts w:ascii="Arial Narrow" w:hAnsi="Arial Narrow" w:cs="Tahoma"/>
          <w:sz w:val="22"/>
          <w:szCs w:val="22"/>
        </w:rPr>
        <w:t>three</w:t>
      </w:r>
      <w:r w:rsidRPr="004C0FD7">
        <w:rPr>
          <w:rFonts w:ascii="Arial Narrow" w:hAnsi="Arial Narrow" w:cs="Tahoma"/>
          <w:sz w:val="22"/>
          <w:szCs w:val="22"/>
        </w:rPr>
        <w:t xml:space="preserve"> division</w:t>
      </w:r>
      <w:r>
        <w:rPr>
          <w:rFonts w:ascii="Arial Narrow" w:hAnsi="Arial Narrow" w:cs="Tahoma"/>
          <w:sz w:val="22"/>
          <w:szCs w:val="22"/>
        </w:rPr>
        <w:t>s</w:t>
      </w:r>
      <w:r w:rsidRPr="004C0FD7">
        <w:rPr>
          <w:rFonts w:ascii="Arial Narrow" w:hAnsi="Arial Narrow" w:cs="Tahoma"/>
          <w:sz w:val="22"/>
          <w:szCs w:val="22"/>
        </w:rPr>
        <w:t>, while prices in five divisions remained on the average at the same level</w:t>
      </w:r>
      <w:r>
        <w:rPr>
          <w:rFonts w:ascii="Arial Narrow" w:hAnsi="Arial Narrow" w:cs="Tahoma"/>
          <w:sz w:val="22"/>
          <w:szCs w:val="22"/>
        </w:rPr>
        <w:t>.</w:t>
      </w:r>
    </w:p>
    <w:p w:rsidR="004C0FD7" w:rsidRDefault="004C0FD7" w:rsidP="00620BD6">
      <w:pPr>
        <w:jc w:val="both"/>
        <w:rPr>
          <w:rFonts w:ascii="Arial Narrow" w:hAnsi="Arial Narrow" w:cs="Tahoma"/>
          <w:sz w:val="22"/>
          <w:szCs w:val="22"/>
        </w:rPr>
      </w:pPr>
    </w:p>
    <w:p w:rsidR="004C0FD7" w:rsidRDefault="004C0FD7" w:rsidP="00620BD6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October was recorded in the division </w:t>
      </w:r>
      <w:r w:rsidRPr="004C0FD7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 (10.9%), due to higher prices in the group electricity and other energy commodities </w:t>
      </w:r>
      <w:r w:rsidRPr="004C0FD7">
        <w:rPr>
          <w:rFonts w:ascii="Arial Narrow" w:hAnsi="Arial Narrow" w:cs="Tahoma"/>
          <w:sz w:val="22"/>
          <w:szCs w:val="22"/>
        </w:rPr>
        <w:t>which occurred as a result of the electricity billing at higher (winter) prices that apply from October of the current year until March next year</w:t>
      </w:r>
      <w:r>
        <w:rPr>
          <w:rFonts w:ascii="Arial Narrow" w:hAnsi="Arial Narrow" w:cs="Tahoma"/>
          <w:sz w:val="22"/>
          <w:szCs w:val="22"/>
        </w:rPr>
        <w:t xml:space="preserve">. An increase in prices was also recorded in the division </w:t>
      </w:r>
      <w:r w:rsidRPr="004C0FD7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(1.9%), due to higher purchase prices in the groups clothing by 1.5% and footwear by 2.8%. Higher prices in October were also recorded in the division </w:t>
      </w:r>
      <w:r w:rsidRPr="004C0FD7">
        <w:rPr>
          <w:rFonts w:ascii="Arial Narrow" w:hAnsi="Arial Narrow" w:cs="Tahoma"/>
          <w:i/>
          <w:sz w:val="22"/>
          <w:szCs w:val="22"/>
        </w:rPr>
        <w:t>Transport</w:t>
      </w:r>
      <w:r>
        <w:rPr>
          <w:rFonts w:ascii="Arial Narrow" w:hAnsi="Arial Narrow" w:cs="Tahoma"/>
          <w:sz w:val="22"/>
          <w:szCs w:val="22"/>
        </w:rPr>
        <w:t xml:space="preserve"> (0.4%), as a result of the correction of purchase prices in the group fuels and lubricants by 1.1%, and in the division </w:t>
      </w:r>
      <w:r w:rsidRPr="004C0FD7">
        <w:rPr>
          <w:rFonts w:ascii="Arial Narrow" w:hAnsi="Arial Narrow" w:cs="Tahoma"/>
          <w:i/>
          <w:sz w:val="22"/>
          <w:szCs w:val="22"/>
        </w:rPr>
        <w:t>Health care</w:t>
      </w:r>
      <w:r>
        <w:rPr>
          <w:rFonts w:ascii="Arial Narrow" w:hAnsi="Arial Narrow" w:cs="Tahoma"/>
          <w:sz w:val="22"/>
          <w:szCs w:val="22"/>
        </w:rPr>
        <w:t xml:space="preserve"> (0.1%), due to higher purchase prices of certain medicaments. </w:t>
      </w:r>
    </w:p>
    <w:p w:rsidR="004C0FD7" w:rsidRDefault="004C0FD7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0BD6" w:rsidRPr="00654E98" w:rsidRDefault="004C0FD7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C0FD7">
        <w:rPr>
          <w:rFonts w:ascii="Arial Narrow" w:hAnsi="Arial Narrow" w:cs="Tahoma"/>
          <w:sz w:val="22"/>
          <w:szCs w:val="22"/>
        </w:rPr>
        <w:t xml:space="preserve">In the divisions </w:t>
      </w:r>
      <w:r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4C0FD7">
        <w:rPr>
          <w:rFonts w:ascii="Arial Narrow" w:hAnsi="Arial Narrow" w:cs="Tahoma"/>
          <w:sz w:val="22"/>
          <w:szCs w:val="22"/>
        </w:rPr>
        <w:t xml:space="preserve">, </w:t>
      </w:r>
      <w:r w:rsidRPr="004C0FD7">
        <w:rPr>
          <w:rFonts w:ascii="Arial Narrow" w:hAnsi="Arial Narrow" w:cs="Tahoma"/>
          <w:i/>
          <w:sz w:val="22"/>
          <w:szCs w:val="22"/>
        </w:rPr>
        <w:t>Communication</w:t>
      </w:r>
      <w:r w:rsidRPr="004C0FD7">
        <w:rPr>
          <w:rFonts w:ascii="Arial Narrow" w:hAnsi="Arial Narrow" w:cs="Tahoma"/>
          <w:sz w:val="22"/>
          <w:szCs w:val="22"/>
        </w:rPr>
        <w:t xml:space="preserve">, </w:t>
      </w:r>
      <w:r w:rsidRPr="004C0FD7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4C0FD7">
        <w:rPr>
          <w:rFonts w:ascii="Arial Narrow" w:hAnsi="Arial Narrow" w:cs="Tahoma"/>
          <w:i/>
          <w:sz w:val="22"/>
          <w:szCs w:val="22"/>
        </w:rPr>
        <w:t>Education</w:t>
      </w:r>
      <w:r w:rsidRPr="004C0FD7">
        <w:rPr>
          <w:rFonts w:ascii="Arial Narrow" w:hAnsi="Arial Narrow" w:cs="Tahoma"/>
          <w:sz w:val="22"/>
          <w:szCs w:val="22"/>
        </w:rPr>
        <w:t xml:space="preserve">, and </w:t>
      </w:r>
      <w:r w:rsidRPr="004C0FD7">
        <w:rPr>
          <w:rFonts w:ascii="Arial Narrow" w:hAnsi="Arial Narrow" w:cs="Tahoma"/>
          <w:i/>
          <w:sz w:val="22"/>
          <w:szCs w:val="22"/>
        </w:rPr>
        <w:t>Restaurants and hotels</w:t>
      </w:r>
      <w:r w:rsidRPr="004C0FD7">
        <w:rPr>
          <w:rFonts w:ascii="Arial Narrow" w:hAnsi="Arial Narrow" w:cs="Tahoma"/>
          <w:sz w:val="22"/>
          <w:szCs w:val="22"/>
        </w:rPr>
        <w:t xml:space="preserve"> prices remained on the average at the same level</w:t>
      </w:r>
      <w:r>
        <w:rPr>
          <w:rFonts w:ascii="Arial Narrow" w:hAnsi="Arial Narrow" w:cs="Tahoma"/>
          <w:sz w:val="22"/>
          <w:szCs w:val="22"/>
        </w:rPr>
        <w:t>.</w:t>
      </w:r>
    </w:p>
    <w:p w:rsidR="00620BD6" w:rsidRPr="00654E98" w:rsidRDefault="00620BD6" w:rsidP="00620BD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20BD6" w:rsidRPr="004C0FD7" w:rsidRDefault="004C0FD7" w:rsidP="00620BD6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October was recorded in the division </w:t>
      </w:r>
      <w:r w:rsidRPr="004C0FD7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(0.4%), mainly in the groups fruit by 3.0% and vegetables by 1.9%, as well as in the groups sugar, jam, honey and other products by 1.3% and non-alcoholic beverages by 0.6%. In the division </w:t>
      </w:r>
      <w:r w:rsidRPr="004C0FD7">
        <w:rPr>
          <w:rFonts w:ascii="Arial Narrow" w:hAnsi="Arial Narrow" w:cs="Tahoma"/>
          <w:i/>
          <w:sz w:val="22"/>
          <w:szCs w:val="22"/>
        </w:rPr>
        <w:t>Furnishing and other equipment</w:t>
      </w:r>
      <w:r>
        <w:rPr>
          <w:rFonts w:ascii="Arial Narrow" w:hAnsi="Arial Narrow" w:cs="Tahoma"/>
          <w:sz w:val="22"/>
          <w:szCs w:val="22"/>
        </w:rPr>
        <w:t xml:space="preserve">, lower prices were recorded in the group tableware, kitchenware and other </w:t>
      </w:r>
      <w:r w:rsidR="00661503">
        <w:rPr>
          <w:rFonts w:ascii="Arial Narrow" w:hAnsi="Arial Narrow" w:cs="Tahoma"/>
          <w:sz w:val="22"/>
          <w:szCs w:val="22"/>
        </w:rPr>
        <w:t xml:space="preserve">household articles by 1.6% and in the group furniture and household items by 0.6%, while in the division </w:t>
      </w:r>
      <w:r w:rsidR="00661503" w:rsidRPr="00661503">
        <w:rPr>
          <w:rFonts w:ascii="Arial Narrow" w:hAnsi="Arial Narrow" w:cs="Tahoma"/>
          <w:i/>
          <w:sz w:val="22"/>
          <w:szCs w:val="22"/>
        </w:rPr>
        <w:t>Other goods and services</w:t>
      </w:r>
      <w:r w:rsidR="00661503">
        <w:rPr>
          <w:rFonts w:ascii="Arial Narrow" w:hAnsi="Arial Narrow" w:cs="Tahoma"/>
          <w:sz w:val="22"/>
          <w:szCs w:val="22"/>
        </w:rPr>
        <w:t xml:space="preserve">, a decrease in prices was recorded in the group personal care products by 2.0%. </w:t>
      </w:r>
    </w:p>
    <w:p w:rsidR="00901910" w:rsidRPr="00654E98" w:rsidRDefault="00901910" w:rsidP="00901910">
      <w:pPr>
        <w:jc w:val="both"/>
        <w:rPr>
          <w:rFonts w:ascii="Arial Narrow" w:hAnsi="Arial Narrow" w:cs="Tahoma"/>
          <w:lang w:val="sr-Cyrl-BA"/>
        </w:rPr>
      </w:pPr>
    </w:p>
    <w:p w:rsidR="00901910" w:rsidRPr="00654E98" w:rsidRDefault="00901910" w:rsidP="00901910">
      <w:pPr>
        <w:jc w:val="both"/>
        <w:rPr>
          <w:rFonts w:ascii="Arial Narrow" w:hAnsi="Arial Narrow" w:cs="Tahoma"/>
          <w:lang w:val="sr-Cyrl-BA"/>
        </w:rPr>
      </w:pPr>
    </w:p>
    <w:p w:rsidR="00625E3C" w:rsidRPr="00654E98" w:rsidRDefault="000833AF" w:rsidP="009856D8">
      <w:pPr>
        <w:jc w:val="center"/>
        <w:rPr>
          <w:rFonts w:ascii="Arial Narrow" w:hAnsi="Arial Narrow" w:cs="Tahoma"/>
          <w:noProof/>
          <w:sz w:val="16"/>
          <w:szCs w:val="16"/>
        </w:rPr>
      </w:pPr>
      <w:r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509022</wp:posOffset>
                </wp:positionH>
                <wp:positionV relativeFrom="paragraph">
                  <wp:posOffset>4942</wp:posOffset>
                </wp:positionV>
                <wp:extent cx="914400" cy="254442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3AF" w:rsidRPr="000833AF" w:rsidRDefault="000833A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0833AF">
                              <w:rPr>
                                <w:rFonts w:ascii="Arial Narrow" w:hAnsi="Arial Narrow"/>
                                <w:sz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0.1pt;margin-top:.4pt;width:1in;height:20.0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" fillcolor="white [3201]" stroked="f" strokeweight=".5pt">
                <v:textbox>
                  <w:txbxContent>
                    <w:p w:rsidR="000833AF" w:rsidRPr="000833AF" w:rsidRDefault="000833A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0833AF">
                        <w:rPr>
                          <w:rFonts w:ascii="Arial Narrow" w:hAnsi="Arial Narrow"/>
                          <w:sz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EA799C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07376" wp14:editId="1C7A607E">
                <wp:simplePos x="0" y="0"/>
                <wp:positionH relativeFrom="column">
                  <wp:posOffset>3689710</wp:posOffset>
                </wp:positionH>
                <wp:positionV relativeFrom="paragraph">
                  <wp:posOffset>2637293</wp:posOffset>
                </wp:positionV>
                <wp:extent cx="953798" cy="23058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98" cy="230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99C" w:rsidRPr="00EA799C" w:rsidRDefault="00EA799C" w:rsidP="00EA799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7376" id="Text Box 28" o:spid="_x0000_s1027" type="#_x0000_t202" style="position:absolute;left:0;text-align:left;margin-left:290.55pt;margin-top:207.65pt;width:75.1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" fillcolor="window" stroked="f" strokeweight=".5pt">
                <v:textbox>
                  <w:txbxContent>
                    <w:p w:rsidR="00EA799C" w:rsidRPr="00EA799C" w:rsidRDefault="00EA799C" w:rsidP="00EA799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="00EA799C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2242516</wp:posOffset>
                </wp:positionH>
                <wp:positionV relativeFrom="paragraph">
                  <wp:posOffset>2645078</wp:posOffset>
                </wp:positionV>
                <wp:extent cx="938254" cy="23058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3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99C" w:rsidRPr="00EA799C" w:rsidRDefault="00EA799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76.6pt;margin-top:208.25pt;width:73.9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" fillcolor="white [3201]" stroked="f" strokeweight=".5pt">
                <v:textbox>
                  <w:txbxContent>
                    <w:p w:rsidR="00EA799C" w:rsidRPr="00EA799C" w:rsidRDefault="00EA799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654E98">
        <w:rPr>
          <w:rFonts w:ascii="Arial Narrow" w:hAnsi="Arial Narrow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2812608</wp:posOffset>
                </wp:positionV>
                <wp:extent cx="2083242" cy="21468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E98" w:rsidRDefault="00654E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221.45pt;width:164.05pt;height:16.9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" fillcolor="white [3201]" stroked="f" strokeweight=".5pt">
                <v:textbox>
                  <w:txbxContent>
                    <w:p w:rsidR="00654E98" w:rsidRDefault="00654E98"/>
                  </w:txbxContent>
                </v:textbox>
                <w10:wrap anchorx="margin"/>
              </v:shape>
            </w:pict>
          </mc:Fallback>
        </mc:AlternateContent>
      </w:r>
      <w:r w:rsidR="00654E98">
        <w:rPr>
          <w:noProof/>
        </w:rPr>
        <w:drawing>
          <wp:inline distT="0" distB="0" distL="0" distR="0" wp14:anchorId="5969516E" wp14:editId="3865C3B3">
            <wp:extent cx="6229351" cy="2981327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4E98" w:rsidRDefault="00654E9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9856D8" w:rsidRPr="00EA799C" w:rsidRDefault="00EA799C" w:rsidP="009856D8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654E98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654E98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654E98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A67668" w:rsidRPr="00654E98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D2964" w:rsidRPr="00654E98" w:rsidRDefault="000D2964" w:rsidP="00877030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0D2964" w:rsidRPr="00654E98" w:rsidRDefault="00661503" w:rsidP="00231339">
      <w:pPr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="00E10AD2" w:rsidRPr="00654E98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January</w:t>
      </w:r>
      <w:r w:rsidR="00E10AD2" w:rsidRPr="00654E98">
        <w:rPr>
          <w:rFonts w:ascii="Arial Narrow" w:hAnsi="Arial Narrow" w:cs="Tahoma"/>
          <w:b/>
          <w:sz w:val="30"/>
          <w:szCs w:val="30"/>
          <w:lang w:val="sr-Cyrl-BA"/>
        </w:rPr>
        <w:t>-</w:t>
      </w:r>
      <w:r>
        <w:rPr>
          <w:rFonts w:ascii="Arial Narrow" w:hAnsi="Arial Narrow" w:cs="Tahoma"/>
          <w:b/>
          <w:sz w:val="30"/>
          <w:szCs w:val="30"/>
        </w:rPr>
        <w:t>October</w:t>
      </w:r>
      <w:r w:rsidR="0025705B" w:rsidRPr="00654E9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0AD2" w:rsidRPr="00654E98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E10AD2" w:rsidRPr="00654E98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E10AD2" w:rsidRPr="00654E98">
        <w:rPr>
          <w:rFonts w:ascii="Arial Narrow" w:hAnsi="Arial Narrow" w:cs="Tahoma"/>
          <w:b/>
          <w:sz w:val="30"/>
          <w:szCs w:val="30"/>
          <w:lang w:val="sr-Cyrl-BA"/>
        </w:rPr>
        <w:t>7</w:t>
      </w:r>
      <w:r>
        <w:rPr>
          <w:rFonts w:ascii="Arial Narrow" w:hAnsi="Arial Narrow" w:cs="Tahoma"/>
          <w:b/>
          <w:sz w:val="30"/>
          <w:szCs w:val="30"/>
          <w:lang w:val="sr-Latn-BA"/>
        </w:rPr>
        <w:t>/January</w:t>
      </w:r>
      <w:r w:rsidR="00E10AD2" w:rsidRPr="00654E98">
        <w:rPr>
          <w:rFonts w:ascii="Arial Narrow" w:hAnsi="Arial Narrow" w:cs="Tahoma"/>
          <w:b/>
          <w:sz w:val="30"/>
          <w:szCs w:val="30"/>
          <w:lang w:val="sr-Latn-BA"/>
        </w:rPr>
        <w:t>-</w:t>
      </w:r>
      <w:r>
        <w:rPr>
          <w:rFonts w:ascii="Arial Narrow" w:hAnsi="Arial Narrow" w:cs="Tahoma"/>
          <w:b/>
          <w:sz w:val="30"/>
          <w:szCs w:val="30"/>
          <w:lang w:val="sr-Latn-BA"/>
        </w:rPr>
        <w:t>October</w:t>
      </w:r>
      <w:r w:rsidR="0025705B" w:rsidRPr="00654E9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0AD2" w:rsidRPr="00654E9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E10AD2" w:rsidRPr="00654E98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="00E10AD2" w:rsidRPr="00654E9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E10AD2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E10AD2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7C2E94" w:rsidRPr="00654E98">
        <w:rPr>
          <w:rFonts w:ascii="Arial Narrow" w:hAnsi="Arial Narrow" w:cs="Tahoma"/>
          <w:b/>
          <w:bCs/>
          <w:sz w:val="30"/>
          <w:szCs w:val="30"/>
        </w:rPr>
        <w:t>1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846C3A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4</w:t>
      </w:r>
      <w:r w:rsidR="00E10AD2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7C2E94" w:rsidRPr="00654E98" w:rsidRDefault="00661503" w:rsidP="007C2E9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>
        <w:rPr>
          <w:rFonts w:ascii="Arial Narrow" w:hAnsi="Arial Narrow" w:cs="Tahoma"/>
          <w:b/>
          <w:bCs/>
          <w:sz w:val="30"/>
          <w:szCs w:val="30"/>
        </w:rPr>
        <w:t>Seasonally adjusted industrial production</w:t>
      </w:r>
      <w:r w:rsidR="007C2E94" w:rsidRPr="00654E98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October</w:t>
      </w:r>
      <w:r w:rsidR="007C2E94" w:rsidRPr="00654E98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7C2E94" w:rsidRPr="00654E98">
        <w:rPr>
          <w:rFonts w:ascii="Arial Narrow" w:hAnsi="Arial Narrow" w:cs="Tahoma"/>
          <w:b/>
          <w:sz w:val="30"/>
          <w:szCs w:val="30"/>
          <w:lang w:val="sr-Cyrl-CS"/>
        </w:rPr>
        <w:t>17</w:t>
      </w:r>
      <w:r w:rsidR="007C2E94" w:rsidRPr="00654E98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</w:rPr>
        <w:t>September</w:t>
      </w:r>
      <w:r w:rsidR="0025705B" w:rsidRPr="00654E98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="007C2E94" w:rsidRPr="00654E9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7C2E94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 w:rsidR="007C2E94" w:rsidRPr="00654E9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7C2E94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</w:t>
      </w:r>
      <w:r w:rsidR="007C2E94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AE4252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0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AE4252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5</w:t>
      </w:r>
      <w:r w:rsidR="007C2E94" w:rsidRPr="00654E9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654E98" w:rsidRDefault="00661503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2E27E1" w:rsidRPr="00654E98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  <w:szCs w:val="30"/>
        </w:rPr>
        <w:t>January-October 2017/January-October</w:t>
      </w:r>
      <w:r w:rsidR="003236D9" w:rsidRPr="003236D9">
        <w:rPr>
          <w:rFonts w:ascii="Arial Narrow" w:hAnsi="Arial Narrow" w:cs="Tahoma"/>
          <w:b/>
          <w:sz w:val="28"/>
          <w:szCs w:val="30"/>
        </w:rPr>
        <w:t xml:space="preserve"> 2016</w:t>
      </w:r>
      <w:r>
        <w:rPr>
          <w:rFonts w:ascii="Arial Narrow" w:hAnsi="Arial Narrow" w:cs="Tahoma"/>
          <w:b/>
          <w:sz w:val="28"/>
          <w:lang w:val="ru-RU"/>
        </w:rPr>
        <w:t>) increased by</w:t>
      </w:r>
      <w:r w:rsidR="002E27E1" w:rsidRPr="00654E98">
        <w:rPr>
          <w:rFonts w:ascii="Arial Narrow" w:hAnsi="Arial Narrow" w:cs="Tahoma"/>
          <w:b/>
          <w:sz w:val="28"/>
          <w:lang w:val="ru-RU"/>
        </w:rPr>
        <w:t xml:space="preserve"> </w:t>
      </w:r>
      <w:r w:rsidR="003236D9">
        <w:rPr>
          <w:rFonts w:ascii="Arial Narrow" w:hAnsi="Arial Narrow" w:cs="Tahoma"/>
          <w:b/>
          <w:sz w:val="28"/>
          <w:lang w:val="sr-Cyrl-BA"/>
        </w:rPr>
        <w:t>4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3236D9">
        <w:rPr>
          <w:rFonts w:ascii="Arial Narrow" w:hAnsi="Arial Narrow" w:cs="Tahoma"/>
          <w:b/>
          <w:sz w:val="28"/>
          <w:lang w:val="ru-RU"/>
        </w:rPr>
        <w:t>1</w:t>
      </w:r>
      <w:r w:rsidR="002E27E1" w:rsidRPr="00654E98">
        <w:rPr>
          <w:rFonts w:ascii="Arial Narrow" w:hAnsi="Arial Narrow" w:cs="Tahoma"/>
          <w:b/>
          <w:sz w:val="28"/>
          <w:lang w:val="ru-RU"/>
        </w:rPr>
        <w:t>%</w:t>
      </w:r>
    </w:p>
    <w:p w:rsidR="002E27E1" w:rsidRPr="00654E98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661503" w:rsidRDefault="00661503" w:rsidP="006D0A24">
      <w:pPr>
        <w:jc w:val="both"/>
        <w:rPr>
          <w:rFonts w:ascii="Arial Narrow" w:hAnsi="Arial Narrow" w:cs="Tahoma"/>
          <w:sz w:val="22"/>
          <w:szCs w:val="22"/>
        </w:rPr>
      </w:pPr>
      <w:r w:rsidRPr="00661503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661503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the period January-October 2017</w:t>
      </w:r>
      <w:r w:rsidRPr="00661503">
        <w:rPr>
          <w:rFonts w:ascii="Arial Narrow" w:hAnsi="Arial Narrow" w:cs="Tahoma"/>
          <w:sz w:val="22"/>
        </w:rPr>
        <w:t xml:space="preserve">, compared to </w:t>
      </w:r>
      <w:r>
        <w:rPr>
          <w:rFonts w:ascii="Arial Narrow" w:hAnsi="Arial Narrow" w:cs="Tahoma"/>
          <w:sz w:val="22"/>
        </w:rPr>
        <w:t>the same period of 2016, increased by 1.4</w:t>
      </w:r>
      <w:r w:rsidRPr="00661503">
        <w:rPr>
          <w:rFonts w:ascii="Arial Narrow" w:hAnsi="Arial Narrow" w:cs="Tahoma"/>
          <w:sz w:val="22"/>
        </w:rPr>
        <w:t xml:space="preserve">%. In the section </w:t>
      </w:r>
      <w:r>
        <w:rPr>
          <w:rFonts w:ascii="Arial Narrow" w:hAnsi="Arial Narrow" w:cs="Tahoma"/>
          <w:i/>
          <w:sz w:val="22"/>
        </w:rPr>
        <w:t>Manufacturing</w:t>
      </w:r>
      <w:r w:rsidRPr="00661503">
        <w:rPr>
          <w:rFonts w:ascii="Arial Narrow" w:hAnsi="Arial Narrow" w:cs="Tahoma"/>
          <w:sz w:val="22"/>
        </w:rPr>
        <w:t xml:space="preserve"> an increase by </w:t>
      </w:r>
      <w:r>
        <w:rPr>
          <w:rFonts w:ascii="Arial Narrow" w:hAnsi="Arial Narrow" w:cs="Tahoma"/>
          <w:sz w:val="22"/>
        </w:rPr>
        <w:t>7.2</w:t>
      </w:r>
      <w:r w:rsidRPr="00661503">
        <w:rPr>
          <w:rFonts w:ascii="Arial Narrow" w:hAnsi="Arial Narrow" w:cs="Tahoma"/>
          <w:sz w:val="22"/>
        </w:rPr>
        <w:t xml:space="preserve">% was recorded, while in the section </w:t>
      </w:r>
      <w:r w:rsidRPr="00661503">
        <w:rPr>
          <w:rFonts w:ascii="Arial Narrow" w:hAnsi="Arial Narrow" w:cs="Tahoma"/>
          <w:i/>
          <w:sz w:val="22"/>
        </w:rPr>
        <w:t>Mining and quarrying</w:t>
      </w:r>
      <w:r w:rsidRPr="00661503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 decrease by 1.8% was recorded </w:t>
      </w:r>
      <w:r w:rsidRPr="00661503">
        <w:rPr>
          <w:rFonts w:ascii="Arial Narrow" w:hAnsi="Arial Narrow" w:cs="Tahoma"/>
          <w:sz w:val="22"/>
        </w:rPr>
        <w:t xml:space="preserve">and in the section </w:t>
      </w:r>
      <w:r w:rsidRPr="00661503">
        <w:rPr>
          <w:rFonts w:ascii="Arial Narrow" w:hAnsi="Arial Narrow" w:cs="Tahoma"/>
          <w:i/>
          <w:sz w:val="22"/>
        </w:rPr>
        <w:t xml:space="preserve">Electricity, gas, steam and air-conditioning </w:t>
      </w:r>
      <w:r>
        <w:rPr>
          <w:rFonts w:ascii="Arial Narrow" w:hAnsi="Arial Narrow" w:cs="Tahoma"/>
          <w:sz w:val="22"/>
        </w:rPr>
        <w:t>a decrease by 9.0</w:t>
      </w:r>
      <w:r w:rsidRPr="00661503">
        <w:rPr>
          <w:rFonts w:ascii="Arial Narrow" w:hAnsi="Arial Narrow" w:cs="Tahoma"/>
          <w:sz w:val="22"/>
        </w:rPr>
        <w:t xml:space="preserve">%. </w:t>
      </w:r>
      <w:r w:rsidRPr="00661503">
        <w:rPr>
          <w:rFonts w:ascii="Arial Narrow" w:hAnsi="Arial Narrow" w:cs="Tahoma"/>
          <w:sz w:val="22"/>
          <w:szCs w:val="22"/>
        </w:rPr>
        <w:t xml:space="preserve">By main industrial group, based on economic purpose of products, working day-adjusted production of capital goods in </w:t>
      </w:r>
      <w:r>
        <w:rPr>
          <w:rFonts w:ascii="Arial Narrow" w:hAnsi="Arial Narrow" w:cs="Tahoma"/>
          <w:sz w:val="22"/>
          <w:szCs w:val="22"/>
        </w:rPr>
        <w:t>the period January-October 2017</w:t>
      </w:r>
      <w:r w:rsidRPr="00661503">
        <w:rPr>
          <w:rFonts w:ascii="Arial Narrow" w:hAnsi="Arial Narrow" w:cs="Tahoma"/>
          <w:sz w:val="22"/>
          <w:szCs w:val="22"/>
        </w:rPr>
        <w:t xml:space="preserve">, compared to </w:t>
      </w:r>
      <w:r>
        <w:rPr>
          <w:rFonts w:ascii="Arial Narrow" w:hAnsi="Arial Narrow" w:cs="Tahoma"/>
          <w:sz w:val="22"/>
          <w:szCs w:val="22"/>
        </w:rPr>
        <w:t>the same period of 2016</w:t>
      </w:r>
      <w:r w:rsidRPr="00661503">
        <w:rPr>
          <w:rFonts w:ascii="Arial Narrow" w:hAnsi="Arial Narrow" w:cs="Tahoma"/>
          <w:sz w:val="22"/>
          <w:szCs w:val="22"/>
        </w:rPr>
        <w:t xml:space="preserve">, was </w:t>
      </w:r>
      <w:r>
        <w:rPr>
          <w:rFonts w:ascii="Arial Narrow" w:hAnsi="Arial Narrow" w:cs="Tahoma"/>
          <w:sz w:val="22"/>
          <w:szCs w:val="22"/>
        </w:rPr>
        <w:t>21.8</w:t>
      </w:r>
      <w:r w:rsidRPr="00661503">
        <w:rPr>
          <w:rFonts w:ascii="Arial Narrow" w:hAnsi="Arial Narrow" w:cs="Tahoma"/>
          <w:sz w:val="22"/>
          <w:szCs w:val="22"/>
        </w:rPr>
        <w:t>% higher, production of intermediate goods was 7.5% higher</w:t>
      </w:r>
      <w:r>
        <w:rPr>
          <w:rFonts w:ascii="Arial Narrow" w:hAnsi="Arial Narrow" w:cs="Tahoma"/>
          <w:sz w:val="22"/>
          <w:szCs w:val="22"/>
        </w:rPr>
        <w:t xml:space="preserve"> and</w:t>
      </w:r>
      <w:r w:rsidRPr="00661503">
        <w:rPr>
          <w:rFonts w:ascii="Arial Narrow" w:hAnsi="Arial Narrow" w:cs="Tahoma"/>
          <w:sz w:val="22"/>
          <w:szCs w:val="22"/>
        </w:rPr>
        <w:t xml:space="preserve"> production of consumer non-durables was </w:t>
      </w:r>
      <w:r>
        <w:rPr>
          <w:rFonts w:ascii="Arial Narrow" w:hAnsi="Arial Narrow" w:cs="Tahoma"/>
          <w:sz w:val="22"/>
          <w:szCs w:val="22"/>
        </w:rPr>
        <w:t>0.3</w:t>
      </w:r>
      <w:r w:rsidRPr="00661503">
        <w:rPr>
          <w:rFonts w:ascii="Arial Narrow" w:hAnsi="Arial Narrow" w:cs="Tahoma"/>
          <w:sz w:val="22"/>
          <w:szCs w:val="22"/>
        </w:rPr>
        <w:t xml:space="preserve">% higher, </w:t>
      </w:r>
      <w:r>
        <w:rPr>
          <w:rFonts w:ascii="Arial Narrow" w:hAnsi="Arial Narrow" w:cs="Tahoma"/>
          <w:sz w:val="22"/>
          <w:szCs w:val="22"/>
        </w:rPr>
        <w:t xml:space="preserve">while </w:t>
      </w:r>
      <w:r w:rsidRPr="00661503">
        <w:rPr>
          <w:rFonts w:ascii="Arial Narrow" w:hAnsi="Arial Narrow" w:cs="Tahoma"/>
          <w:sz w:val="22"/>
          <w:szCs w:val="22"/>
        </w:rPr>
        <w:t xml:space="preserve">production of consumer durables was </w:t>
      </w:r>
      <w:r>
        <w:rPr>
          <w:rFonts w:ascii="Arial Narrow" w:hAnsi="Arial Narrow" w:cs="Tahoma"/>
          <w:sz w:val="22"/>
          <w:szCs w:val="22"/>
        </w:rPr>
        <w:t>4.8</w:t>
      </w:r>
      <w:r w:rsidRPr="00661503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lower</w:t>
      </w:r>
      <w:r w:rsidRPr="00661503">
        <w:rPr>
          <w:rFonts w:ascii="Arial Narrow" w:hAnsi="Arial Narrow" w:cs="Tahoma"/>
          <w:sz w:val="22"/>
          <w:szCs w:val="22"/>
        </w:rPr>
        <w:t xml:space="preserve"> and production of energy was </w:t>
      </w:r>
      <w:r>
        <w:rPr>
          <w:rFonts w:ascii="Arial Narrow" w:hAnsi="Arial Narrow" w:cs="Tahoma"/>
          <w:sz w:val="22"/>
          <w:szCs w:val="22"/>
        </w:rPr>
        <w:t>4.9% lower.</w:t>
      </w:r>
    </w:p>
    <w:p w:rsidR="00661503" w:rsidRDefault="00661503" w:rsidP="006D0A24">
      <w:pPr>
        <w:jc w:val="both"/>
        <w:rPr>
          <w:rFonts w:ascii="Arial Narrow" w:hAnsi="Arial Narrow" w:cs="Tahoma"/>
          <w:sz w:val="22"/>
          <w:szCs w:val="22"/>
        </w:rPr>
      </w:pPr>
    </w:p>
    <w:p w:rsidR="00661503" w:rsidRDefault="00661503" w:rsidP="006D0A24">
      <w:pPr>
        <w:jc w:val="both"/>
        <w:rPr>
          <w:rFonts w:ascii="Arial Narrow" w:hAnsi="Arial Narrow" w:cs="Tahoma"/>
          <w:b/>
          <w:sz w:val="22"/>
          <w:lang w:val="sr-Cyrl-CS"/>
        </w:rPr>
      </w:pPr>
      <w:r w:rsidRPr="00661503">
        <w:rPr>
          <w:rFonts w:ascii="Arial Narrow" w:hAnsi="Arial Narrow" w:cs="Tahoma"/>
          <w:b/>
          <w:sz w:val="22"/>
          <w:szCs w:val="22"/>
        </w:rPr>
        <w:t>Seasonally adjusted industrial production</w:t>
      </w:r>
      <w:r>
        <w:rPr>
          <w:rFonts w:ascii="Arial Narrow" w:hAnsi="Arial Narrow" w:cs="Tahoma"/>
          <w:sz w:val="22"/>
          <w:szCs w:val="22"/>
        </w:rPr>
        <w:t xml:space="preserve"> in October 2017, compared to September 2017, increased by 0.5%. In the section </w:t>
      </w:r>
      <w:r>
        <w:rPr>
          <w:rFonts w:ascii="Arial Narrow" w:hAnsi="Arial Narrow" w:cs="Tahoma"/>
          <w:i/>
          <w:sz w:val="22"/>
        </w:rPr>
        <w:t>Manufacturing</w:t>
      </w:r>
      <w:r w:rsidRPr="00661503">
        <w:rPr>
          <w:rFonts w:ascii="Arial Narrow" w:hAnsi="Arial Narrow" w:cs="Tahoma"/>
          <w:sz w:val="22"/>
        </w:rPr>
        <w:t xml:space="preserve"> an increase by </w:t>
      </w:r>
      <w:r>
        <w:rPr>
          <w:rFonts w:ascii="Arial Narrow" w:hAnsi="Arial Narrow" w:cs="Tahoma"/>
          <w:sz w:val="22"/>
        </w:rPr>
        <w:t>9.5</w:t>
      </w:r>
      <w:r w:rsidRPr="00661503">
        <w:rPr>
          <w:rFonts w:ascii="Arial Narrow" w:hAnsi="Arial Narrow" w:cs="Tahoma"/>
          <w:sz w:val="22"/>
        </w:rPr>
        <w:t>% was recorded</w:t>
      </w:r>
      <w:r>
        <w:rPr>
          <w:rFonts w:ascii="Arial Narrow" w:hAnsi="Arial Narrow" w:cs="Tahoma"/>
          <w:sz w:val="22"/>
        </w:rPr>
        <w:t xml:space="preserve">, while in the section </w:t>
      </w:r>
      <w:r w:rsidRPr="00661503">
        <w:rPr>
          <w:rFonts w:ascii="Arial Narrow" w:hAnsi="Arial Narrow" w:cs="Tahoma"/>
          <w:i/>
          <w:sz w:val="22"/>
        </w:rPr>
        <w:t xml:space="preserve">Electricity, gas, steam and air-conditioning </w:t>
      </w:r>
      <w:r w:rsidRPr="00661503">
        <w:rPr>
          <w:rFonts w:ascii="Arial Narrow" w:hAnsi="Arial Narrow" w:cs="Tahoma"/>
          <w:sz w:val="22"/>
        </w:rPr>
        <w:t>a decrease by</w:t>
      </w:r>
      <w:r>
        <w:rPr>
          <w:rFonts w:ascii="Arial Narrow" w:hAnsi="Arial Narrow" w:cs="Tahoma"/>
          <w:sz w:val="22"/>
        </w:rPr>
        <w:t xml:space="preserve"> 11.9% was recorded and in the section </w:t>
      </w:r>
      <w:r w:rsidRPr="00661503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 decrease by 13.4%. </w:t>
      </w:r>
      <w:r w:rsidRPr="00661503">
        <w:rPr>
          <w:rFonts w:ascii="Arial Narrow" w:hAnsi="Arial Narrow" w:cs="Tahoma"/>
          <w:sz w:val="22"/>
        </w:rPr>
        <w:t>By main industrial group, based on economic purpose of products,</w:t>
      </w:r>
      <w:r>
        <w:rPr>
          <w:rFonts w:ascii="Arial Narrow" w:hAnsi="Arial Narrow" w:cs="Tahoma"/>
          <w:sz w:val="22"/>
        </w:rPr>
        <w:t xml:space="preserve"> seasonally adjusted production of consumer non-durables in October 2017, compared to September 2017, was 8.3% higher, </w:t>
      </w:r>
      <w:r w:rsidR="002226D0">
        <w:rPr>
          <w:rFonts w:ascii="Arial Narrow" w:hAnsi="Arial Narrow" w:cs="Tahoma"/>
          <w:sz w:val="22"/>
        </w:rPr>
        <w:t>production</w:t>
      </w:r>
      <w:r>
        <w:rPr>
          <w:rFonts w:ascii="Arial Narrow" w:hAnsi="Arial Narrow" w:cs="Tahoma"/>
          <w:sz w:val="22"/>
        </w:rPr>
        <w:t xml:space="preserve"> of intermediate goods was 3.7% higher and production of capital goods was 1.1% higher, while production of consumer durables was 2.4% lower and production of energy was 7.1% lower. </w:t>
      </w:r>
    </w:p>
    <w:p w:rsidR="009D35DC" w:rsidRPr="00654E98" w:rsidRDefault="009D35DC" w:rsidP="007C2E9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661503" w:rsidRPr="00661503" w:rsidRDefault="00661503" w:rsidP="00661503">
      <w:pPr>
        <w:jc w:val="both"/>
        <w:rPr>
          <w:rFonts w:ascii="Arial Narrow" w:hAnsi="Arial Narrow" w:cs="Tahoma"/>
          <w:b/>
          <w:sz w:val="22"/>
          <w:lang w:val="ru-RU"/>
        </w:rPr>
      </w:pPr>
      <w:r w:rsidRPr="00661503">
        <w:rPr>
          <w:rFonts w:ascii="Arial Narrow" w:hAnsi="Arial Narrow" w:cs="Tahoma"/>
          <w:b/>
          <w:sz w:val="22"/>
        </w:rPr>
        <w:lastRenderedPageBreak/>
        <w:t xml:space="preserve">Number of employees in industry </w:t>
      </w:r>
      <w:r w:rsidR="002226D0">
        <w:rPr>
          <w:rFonts w:ascii="Arial Narrow" w:hAnsi="Arial Narrow" w:cs="Tahoma"/>
          <w:sz w:val="22"/>
        </w:rPr>
        <w:t>in October 2017</w:t>
      </w:r>
      <w:r w:rsidRPr="00661503">
        <w:rPr>
          <w:rFonts w:ascii="Arial Narrow" w:hAnsi="Arial Narrow" w:cs="Tahoma"/>
          <w:sz w:val="22"/>
        </w:rPr>
        <w:t xml:space="preserve">, compared to the average </w:t>
      </w:r>
      <w:r w:rsidR="002226D0" w:rsidRPr="00661503">
        <w:rPr>
          <w:rFonts w:ascii="Arial Narrow" w:hAnsi="Arial Narrow" w:cs="Tahoma"/>
          <w:sz w:val="22"/>
        </w:rPr>
        <w:t>monthly</w:t>
      </w:r>
      <w:r w:rsidRPr="00661503">
        <w:rPr>
          <w:rFonts w:ascii="Arial Narrow" w:hAnsi="Arial Narrow" w:cs="Tahoma"/>
          <w:sz w:val="22"/>
        </w:rPr>
        <w:t xml:space="preserve"> nu</w:t>
      </w:r>
      <w:r w:rsidR="002226D0">
        <w:rPr>
          <w:rFonts w:ascii="Arial Narrow" w:hAnsi="Arial Narrow" w:cs="Tahoma"/>
          <w:sz w:val="22"/>
        </w:rPr>
        <w:t>mber of employed persons in 2016</w:t>
      </w:r>
      <w:r w:rsidRPr="00661503">
        <w:rPr>
          <w:rFonts w:ascii="Arial Narrow" w:hAnsi="Arial Narrow" w:cs="Tahoma"/>
          <w:sz w:val="22"/>
        </w:rPr>
        <w:t xml:space="preserve">, was </w:t>
      </w:r>
      <w:r w:rsidR="002226D0">
        <w:rPr>
          <w:rFonts w:ascii="Arial Narrow" w:hAnsi="Arial Narrow" w:cs="Tahoma"/>
          <w:sz w:val="22"/>
        </w:rPr>
        <w:t>5.4</w:t>
      </w:r>
      <w:r w:rsidRPr="00661503">
        <w:rPr>
          <w:rFonts w:ascii="Arial Narrow" w:hAnsi="Arial Narrow" w:cs="Tahoma"/>
          <w:sz w:val="22"/>
        </w:rPr>
        <w:t xml:space="preserve">% higher. Compared to the same month of the previous year it was </w:t>
      </w:r>
      <w:r w:rsidR="002226D0">
        <w:rPr>
          <w:rFonts w:ascii="Arial Narrow" w:hAnsi="Arial Narrow" w:cs="Tahoma"/>
          <w:sz w:val="22"/>
        </w:rPr>
        <w:t>3.5</w:t>
      </w:r>
      <w:r w:rsidRPr="00661503">
        <w:rPr>
          <w:rFonts w:ascii="Arial Narrow" w:hAnsi="Arial Narrow" w:cs="Tahoma"/>
          <w:sz w:val="22"/>
        </w:rPr>
        <w:t>% highe</w:t>
      </w:r>
      <w:r w:rsidR="002226D0">
        <w:rPr>
          <w:rFonts w:ascii="Arial Narrow" w:hAnsi="Arial Narrow" w:cs="Tahoma"/>
          <w:sz w:val="22"/>
        </w:rPr>
        <w:t>r and compared to September 2017 it was 0.1</w:t>
      </w:r>
      <w:r w:rsidRPr="00661503">
        <w:rPr>
          <w:rFonts w:ascii="Arial Narrow" w:hAnsi="Arial Narrow" w:cs="Tahoma"/>
          <w:sz w:val="22"/>
        </w:rPr>
        <w:t>% higher. Number of employees in industry in t</w:t>
      </w:r>
      <w:r w:rsidR="002226D0">
        <w:rPr>
          <w:rFonts w:ascii="Arial Narrow" w:hAnsi="Arial Narrow" w:cs="Tahoma"/>
          <w:sz w:val="22"/>
        </w:rPr>
        <w:t>he period January – October 2017</w:t>
      </w:r>
      <w:r w:rsidRPr="00661503">
        <w:rPr>
          <w:rFonts w:ascii="Arial Narrow" w:hAnsi="Arial Narrow" w:cs="Tahoma"/>
          <w:sz w:val="22"/>
        </w:rPr>
        <w:t>, compared to the same pe</w:t>
      </w:r>
      <w:r w:rsidR="002226D0">
        <w:rPr>
          <w:rFonts w:ascii="Arial Narrow" w:hAnsi="Arial Narrow" w:cs="Tahoma"/>
          <w:sz w:val="22"/>
        </w:rPr>
        <w:t>riod of the previous year, was 4.1</w:t>
      </w:r>
      <w:r w:rsidRPr="00661503">
        <w:rPr>
          <w:rFonts w:ascii="Arial Narrow" w:hAnsi="Arial Narrow" w:cs="Tahoma"/>
          <w:sz w:val="22"/>
        </w:rPr>
        <w:t xml:space="preserve">% higher. During the same period, in the section </w:t>
      </w:r>
      <w:r w:rsidRPr="00661503">
        <w:rPr>
          <w:rFonts w:ascii="Arial Narrow" w:hAnsi="Arial Narrow" w:cs="Tahoma"/>
          <w:i/>
          <w:sz w:val="22"/>
          <w:szCs w:val="22"/>
        </w:rPr>
        <w:t xml:space="preserve">Manufacturing </w:t>
      </w:r>
      <w:r w:rsidRPr="00661503">
        <w:rPr>
          <w:rFonts w:ascii="Arial Narrow" w:hAnsi="Arial Narrow" w:cs="Tahoma"/>
          <w:sz w:val="22"/>
          <w:szCs w:val="22"/>
        </w:rPr>
        <w:t xml:space="preserve">an increase by </w:t>
      </w:r>
      <w:r w:rsidR="002226D0">
        <w:rPr>
          <w:rFonts w:ascii="Arial Narrow" w:hAnsi="Arial Narrow" w:cs="Tahoma"/>
          <w:sz w:val="22"/>
          <w:szCs w:val="22"/>
        </w:rPr>
        <w:t>4.4</w:t>
      </w:r>
      <w:r w:rsidRPr="00661503">
        <w:rPr>
          <w:rFonts w:ascii="Arial Narrow" w:hAnsi="Arial Narrow" w:cs="Tahoma"/>
          <w:sz w:val="22"/>
          <w:szCs w:val="22"/>
        </w:rPr>
        <w:t>% was recorded</w:t>
      </w:r>
      <w:r w:rsidR="002226D0">
        <w:rPr>
          <w:rFonts w:ascii="Arial Narrow" w:hAnsi="Arial Narrow" w:cs="Tahoma"/>
          <w:sz w:val="22"/>
          <w:szCs w:val="22"/>
        </w:rPr>
        <w:t xml:space="preserve">, </w:t>
      </w:r>
      <w:r w:rsidRPr="00661503">
        <w:rPr>
          <w:rFonts w:ascii="Arial Narrow" w:hAnsi="Arial Narrow" w:cs="Tahoma"/>
          <w:sz w:val="22"/>
          <w:szCs w:val="22"/>
        </w:rPr>
        <w:t xml:space="preserve">in the section </w:t>
      </w:r>
      <w:r w:rsidRPr="00661503">
        <w:rPr>
          <w:rFonts w:ascii="Arial Narrow" w:hAnsi="Arial Narrow" w:cs="Tahoma"/>
          <w:i/>
          <w:sz w:val="22"/>
          <w:szCs w:val="22"/>
        </w:rPr>
        <w:t>Mining and quarrying</w:t>
      </w:r>
      <w:r w:rsidRPr="00661503">
        <w:rPr>
          <w:rFonts w:ascii="Arial Narrow" w:hAnsi="Arial Narrow" w:cs="Tahoma"/>
          <w:sz w:val="22"/>
          <w:szCs w:val="22"/>
        </w:rPr>
        <w:t xml:space="preserve"> an increase by </w:t>
      </w:r>
      <w:r w:rsidR="002226D0">
        <w:rPr>
          <w:rFonts w:ascii="Arial Narrow" w:hAnsi="Arial Narrow" w:cs="Tahoma"/>
          <w:sz w:val="22"/>
          <w:szCs w:val="22"/>
        </w:rPr>
        <w:t xml:space="preserve">3.6% and </w:t>
      </w:r>
      <w:r w:rsidRPr="00661503">
        <w:rPr>
          <w:rFonts w:ascii="Arial Narrow" w:hAnsi="Arial Narrow" w:cs="Tahoma"/>
          <w:sz w:val="22"/>
          <w:szCs w:val="22"/>
        </w:rPr>
        <w:t xml:space="preserve">in the section </w:t>
      </w:r>
      <w:r w:rsidRPr="00661503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="002226D0">
        <w:rPr>
          <w:rFonts w:ascii="Arial Narrow" w:hAnsi="Arial Narrow" w:cs="Tahoma"/>
          <w:sz w:val="22"/>
        </w:rPr>
        <w:t>an increase by 3.2</w:t>
      </w:r>
      <w:r w:rsidRPr="00661503">
        <w:rPr>
          <w:rFonts w:ascii="Arial Narrow" w:hAnsi="Arial Narrow" w:cs="Tahoma"/>
          <w:sz w:val="22"/>
        </w:rPr>
        <w:t>%</w:t>
      </w:r>
      <w:r w:rsidR="002226D0">
        <w:rPr>
          <w:rFonts w:ascii="Arial Narrow" w:hAnsi="Arial Narrow" w:cs="Tahoma"/>
          <w:sz w:val="22"/>
        </w:rPr>
        <w:t>.</w:t>
      </w:r>
    </w:p>
    <w:p w:rsidR="006D0A24" w:rsidRPr="00654E98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0213F8" w:rsidRPr="00654E9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654E98" w:rsidRDefault="00EA799C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B2CD7" wp14:editId="75B40733">
                <wp:simplePos x="0" y="0"/>
                <wp:positionH relativeFrom="column">
                  <wp:posOffset>3792772</wp:posOffset>
                </wp:positionH>
                <wp:positionV relativeFrom="paragraph">
                  <wp:posOffset>2677601</wp:posOffset>
                </wp:positionV>
                <wp:extent cx="1085850" cy="361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99C" w:rsidRPr="00F42AC0" w:rsidRDefault="00EA799C" w:rsidP="00EA799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2CD7" id="Text Box 13" o:spid="_x0000_s1030" type="#_x0000_t202" style="position:absolute;left:0;text-align:left;margin-left:298.65pt;margin-top:210.85pt;width:85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" fillcolor="window" stroked="f" strokeweight=".5pt">
                <v:textbox>
                  <w:txbxContent>
                    <w:p w:rsidR="00EA799C" w:rsidRPr="00F42AC0" w:rsidRDefault="00EA799C" w:rsidP="00EA799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4BFB2" wp14:editId="3EBAF5F1">
                <wp:simplePos x="0" y="0"/>
                <wp:positionH relativeFrom="column">
                  <wp:posOffset>2425147</wp:posOffset>
                </wp:positionH>
                <wp:positionV relativeFrom="paragraph">
                  <wp:posOffset>2606040</wp:posOffset>
                </wp:positionV>
                <wp:extent cx="1085850" cy="4667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99C" w:rsidRPr="00F42AC0" w:rsidRDefault="00EA799C" w:rsidP="00EA799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BFB2" id="Text Box 24" o:spid="_x0000_s1031" type="#_x0000_t202" style="position:absolute;left:0;text-align:left;margin-left:190.95pt;margin-top:205.2pt;width:85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" fillcolor="window" stroked="f" strokeweight=".5pt">
                <v:textbox>
                  <w:txbxContent>
                    <w:p w:rsidR="00EA799C" w:rsidRPr="00F42AC0" w:rsidRDefault="00EA799C" w:rsidP="00EA799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</v:shape>
            </w:pict>
          </mc:Fallback>
        </mc:AlternateContent>
      </w:r>
      <w:r w:rsidR="003236D9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2417500</wp:posOffset>
                </wp:positionH>
                <wp:positionV relativeFrom="paragraph">
                  <wp:posOffset>2845904</wp:posOffset>
                </wp:positionV>
                <wp:extent cx="2099144" cy="1828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144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6D9" w:rsidRDefault="00323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190.35pt;margin-top:224.1pt;width:165.3pt;height:1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DOjgIAAJMFAAAOAAAAZHJzL2Uyb0RvYy54bWysVMFuGyEQvVfqPyDuzdqOkzqW15GbKFWl&#10;KImaVDljFmxUYChg77pfn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" fillcolor="white [3201]" stroked="f" strokeweight=".5pt">
                <v:textbox>
                  <w:txbxContent>
                    <w:p w:rsidR="003236D9" w:rsidRDefault="003236D9"/>
                  </w:txbxContent>
                </v:textbox>
              </v:shape>
            </w:pict>
          </mc:Fallback>
        </mc:AlternateContent>
      </w:r>
      <w:r w:rsidR="00E0503B">
        <w:rPr>
          <w:noProof/>
        </w:rPr>
        <w:drawing>
          <wp:inline distT="0" distB="0" distL="0" distR="0" wp14:anchorId="5BBB44C3" wp14:editId="3E2392AE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654E98" w:rsidRDefault="00EA799C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2E27E1" w:rsidRPr="00654E98">
        <w:rPr>
          <w:rFonts w:ascii="Arial Narrow" w:hAnsi="Arial Narrow" w:cs="Tahoma"/>
          <w:sz w:val="16"/>
          <w:szCs w:val="16"/>
          <w:lang w:val="sr-Latn-CS"/>
        </w:rPr>
        <w:t xml:space="preserve"> 3. </w:t>
      </w:r>
      <w:r w:rsidRPr="00EA799C"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2E27E1" w:rsidRPr="00654E98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October</w:t>
      </w:r>
      <w:r w:rsidR="002E27E1" w:rsidRPr="00654E98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2E27E1" w:rsidRPr="00654E98">
        <w:rPr>
          <w:rFonts w:ascii="Arial Narrow" w:hAnsi="Arial Narrow" w:cs="Tahoma"/>
          <w:sz w:val="16"/>
          <w:szCs w:val="16"/>
          <w:lang w:val="sr-Latn-BA"/>
        </w:rPr>
        <w:t>1</w:t>
      </w:r>
      <w:r w:rsidR="002E27E1" w:rsidRPr="00654E98">
        <w:rPr>
          <w:rFonts w:ascii="Arial Narrow" w:hAnsi="Arial Narrow" w:cs="Tahoma"/>
          <w:sz w:val="16"/>
          <w:szCs w:val="16"/>
          <w:lang w:val="sr-Cyrl-CS"/>
        </w:rPr>
        <w:t>3</w:t>
      </w:r>
      <w:r w:rsidR="002E27E1" w:rsidRPr="00654E9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October</w:t>
      </w:r>
      <w:r w:rsidR="002E27E1" w:rsidRPr="00654E98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E27E1" w:rsidRPr="00654E98">
        <w:rPr>
          <w:rFonts w:ascii="Arial Narrow" w:hAnsi="Arial Narrow" w:cs="Tahoma"/>
          <w:sz w:val="16"/>
          <w:szCs w:val="16"/>
          <w:lang w:val="sr-Cyrl-CS"/>
        </w:rPr>
        <w:t>7</w:t>
      </w:r>
      <w:r w:rsidR="002E27E1" w:rsidRPr="00654E98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2E27E1" w:rsidRPr="00654E9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2E27E1" w:rsidRPr="00654E98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654E98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654E98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654E98" w:rsidRDefault="002226D0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2226D0">
        <w:rPr>
          <w:rFonts w:ascii="Arial Narrow" w:hAnsi="Arial Narrow" w:cs="Tahoma"/>
          <w:b/>
          <w:sz w:val="30"/>
          <w:szCs w:val="30"/>
        </w:rPr>
        <w:t>Coverage of import with export (in the period</w:t>
      </w:r>
      <w:r w:rsidRPr="002226D0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2226D0"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 w:rsidRPr="002226D0">
        <w:rPr>
          <w:rFonts w:ascii="Arial Narrow" w:hAnsi="Arial Narrow" w:cs="Tahoma"/>
          <w:b/>
          <w:sz w:val="30"/>
          <w:szCs w:val="30"/>
          <w:lang w:val="sr-Latn-BA"/>
        </w:rPr>
        <w:t>-</w:t>
      </w:r>
      <w:r w:rsidRPr="002226D0">
        <w:rPr>
          <w:rFonts w:ascii="Arial Narrow" w:hAnsi="Arial Narrow" w:cs="Tahoma"/>
          <w:b/>
          <w:sz w:val="30"/>
          <w:szCs w:val="30"/>
          <w:lang w:val="sr-Latn-CS"/>
        </w:rPr>
        <w:t>October</w:t>
      </w:r>
      <w:r w:rsidRPr="002226D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654E98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654E98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="00F442FA" w:rsidRPr="00654E98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654E9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654E98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1A6FC9" w:rsidRPr="00654E98">
        <w:rPr>
          <w:rFonts w:ascii="Arial Narrow" w:hAnsi="Arial Narrow" w:cs="Tahoma"/>
          <w:b/>
          <w:sz w:val="30"/>
          <w:szCs w:val="30"/>
          <w:lang w:val="sr-Latn-BA"/>
        </w:rPr>
        <w:t>1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5D0814" w:rsidRPr="00654E98">
        <w:rPr>
          <w:rFonts w:ascii="Arial Narrow" w:hAnsi="Arial Narrow" w:cs="Tahoma"/>
          <w:b/>
          <w:sz w:val="30"/>
          <w:szCs w:val="30"/>
          <w:lang w:val="hr-HR"/>
        </w:rPr>
        <w:t>4</w:t>
      </w:r>
      <w:r w:rsidR="00F442FA" w:rsidRPr="00654E9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654E98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226D0" w:rsidRDefault="002226D0" w:rsidP="003A0849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Arial Narrow" w:hAnsi="Arial Narrow" w:cs="Tahoma"/>
          <w:sz w:val="22"/>
        </w:rPr>
        <w:t>In October 2017</w:t>
      </w:r>
      <w:r w:rsidRPr="002226D0">
        <w:rPr>
          <w:rFonts w:ascii="Arial Narrow" w:hAnsi="Arial Narrow" w:cs="Tahoma"/>
          <w:sz w:val="22"/>
        </w:rPr>
        <w:t xml:space="preserve">, the value of export was </w:t>
      </w:r>
      <w:r>
        <w:rPr>
          <w:rFonts w:ascii="Arial Narrow" w:hAnsi="Arial Narrow" w:cs="Tahoma"/>
          <w:sz w:val="22"/>
        </w:rPr>
        <w:t>316</w:t>
      </w:r>
      <w:r w:rsidRPr="002226D0">
        <w:rPr>
          <w:rFonts w:ascii="Arial Narrow" w:hAnsi="Arial Narrow" w:cs="Tahoma"/>
          <w:sz w:val="22"/>
        </w:rPr>
        <w:t xml:space="preserve"> million KM and the value of import was </w:t>
      </w:r>
      <w:r>
        <w:rPr>
          <w:rFonts w:ascii="Arial Narrow" w:hAnsi="Arial Narrow" w:cs="Tahoma"/>
          <w:sz w:val="22"/>
        </w:rPr>
        <w:t>435</w:t>
      </w:r>
      <w:r w:rsidRPr="002226D0">
        <w:rPr>
          <w:rFonts w:ascii="Arial Narrow" w:hAnsi="Arial Narrow" w:cs="Tahoma"/>
          <w:sz w:val="22"/>
        </w:rPr>
        <w:t xml:space="preserve"> million KM</w:t>
      </w:r>
    </w:p>
    <w:p w:rsidR="009252C9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2226D0" w:rsidRDefault="002226D0" w:rsidP="003A0849">
      <w:pPr>
        <w:jc w:val="both"/>
        <w:rPr>
          <w:rFonts w:ascii="Arial Narrow" w:hAnsi="Arial Narrow" w:cs="Tahoma"/>
          <w:sz w:val="22"/>
        </w:rPr>
      </w:pPr>
      <w:r w:rsidRPr="002226D0">
        <w:rPr>
          <w:rFonts w:ascii="Arial Narrow" w:hAnsi="Arial Narrow" w:cs="Tahoma"/>
          <w:sz w:val="22"/>
        </w:rPr>
        <w:t xml:space="preserve">In the total external trade of Republika Srpska in October of the current year, the percentage of coverage of import with export was </w:t>
      </w:r>
      <w:r>
        <w:rPr>
          <w:rFonts w:ascii="Arial Narrow" w:hAnsi="Arial Narrow" w:cs="Tahoma"/>
          <w:sz w:val="22"/>
        </w:rPr>
        <w:t>72.5</w:t>
      </w:r>
      <w:r w:rsidRPr="002226D0">
        <w:rPr>
          <w:rFonts w:ascii="Arial Narrow" w:hAnsi="Arial Narrow" w:cs="Tahoma"/>
          <w:sz w:val="22"/>
        </w:rPr>
        <w:t xml:space="preserve">%. The percentage of coverage of import with export in the </w:t>
      </w:r>
      <w:r>
        <w:rPr>
          <w:rFonts w:ascii="Arial Narrow" w:hAnsi="Arial Narrow" w:cs="Tahoma"/>
          <w:sz w:val="22"/>
        </w:rPr>
        <w:t>period January – October 2017 was 71.4</w:t>
      </w:r>
      <w:r w:rsidRPr="002226D0">
        <w:rPr>
          <w:rFonts w:ascii="Arial Narrow" w:hAnsi="Arial Narrow" w:cs="Tahoma"/>
          <w:sz w:val="22"/>
        </w:rPr>
        <w:t>%</w:t>
      </w:r>
      <w:r>
        <w:rPr>
          <w:rFonts w:ascii="Arial Narrow" w:hAnsi="Arial Narrow" w:cs="Tahoma"/>
          <w:sz w:val="22"/>
        </w:rPr>
        <w:t>.</w:t>
      </w:r>
    </w:p>
    <w:p w:rsidR="002226D0" w:rsidRDefault="002226D0" w:rsidP="003A0849">
      <w:pPr>
        <w:jc w:val="both"/>
        <w:rPr>
          <w:rFonts w:ascii="Arial Narrow" w:hAnsi="Arial Narrow" w:cs="Tahoma"/>
          <w:sz w:val="22"/>
        </w:rPr>
      </w:pPr>
    </w:p>
    <w:p w:rsidR="002226D0" w:rsidRPr="00654E98" w:rsidRDefault="002226D0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2226D0">
        <w:rPr>
          <w:rFonts w:ascii="Arial Narrow" w:hAnsi="Arial Narrow" w:cs="Tahoma"/>
          <w:sz w:val="22"/>
        </w:rPr>
        <w:t>In the period January – October</w:t>
      </w:r>
      <w:r>
        <w:rPr>
          <w:rFonts w:ascii="Arial Narrow" w:hAnsi="Arial Narrow" w:cs="Tahoma"/>
          <w:sz w:val="22"/>
        </w:rPr>
        <w:t xml:space="preserve"> 2017</w:t>
      </w:r>
      <w:r w:rsidRPr="002226D0">
        <w:rPr>
          <w:rFonts w:ascii="Arial Narrow" w:hAnsi="Arial Narrow" w:cs="Tahoma"/>
          <w:sz w:val="22"/>
        </w:rPr>
        <w:t xml:space="preserve">, the value of export was two billion and </w:t>
      </w:r>
      <w:r>
        <w:rPr>
          <w:rFonts w:ascii="Arial Narrow" w:hAnsi="Arial Narrow" w:cs="Tahoma"/>
          <w:sz w:val="22"/>
        </w:rPr>
        <w:t>852</w:t>
      </w:r>
      <w:r w:rsidRPr="002226D0">
        <w:rPr>
          <w:rFonts w:ascii="Arial Narrow" w:hAnsi="Arial Narrow" w:cs="Tahoma"/>
          <w:sz w:val="22"/>
        </w:rPr>
        <w:t xml:space="preserve"> million KM, which represented an increase by </w:t>
      </w:r>
      <w:r>
        <w:rPr>
          <w:rFonts w:ascii="Arial Narrow" w:hAnsi="Arial Narrow" w:cs="Tahoma"/>
          <w:sz w:val="22"/>
        </w:rPr>
        <w:t>21.9</w:t>
      </w:r>
      <w:r w:rsidRPr="002226D0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three billion and </w:t>
      </w:r>
      <w:r>
        <w:rPr>
          <w:rFonts w:ascii="Arial Narrow" w:hAnsi="Arial Narrow" w:cs="Tahoma"/>
          <w:sz w:val="22"/>
        </w:rPr>
        <w:t>993</w:t>
      </w:r>
      <w:r w:rsidRPr="002226D0">
        <w:rPr>
          <w:rFonts w:ascii="Arial Narrow" w:hAnsi="Arial Narrow" w:cs="Tahoma"/>
          <w:sz w:val="22"/>
        </w:rPr>
        <w:t xml:space="preserve"> million KM, which represented </w:t>
      </w:r>
      <w:r>
        <w:rPr>
          <w:rFonts w:ascii="Arial Narrow" w:hAnsi="Arial Narrow" w:cs="Tahoma"/>
          <w:sz w:val="22"/>
        </w:rPr>
        <w:t>an increase by 12.2</w:t>
      </w:r>
      <w:r w:rsidRPr="002226D0">
        <w:rPr>
          <w:rFonts w:ascii="Arial Narrow" w:hAnsi="Arial Narrow" w:cs="Tahoma"/>
          <w:sz w:val="22"/>
        </w:rPr>
        <w:t>% compared to the same period of the previous year</w:t>
      </w:r>
      <w:r>
        <w:rPr>
          <w:rFonts w:ascii="Arial Narrow" w:hAnsi="Arial Narrow" w:cs="Tahoma"/>
          <w:sz w:val="22"/>
        </w:rPr>
        <w:t>.</w:t>
      </w:r>
    </w:p>
    <w:p w:rsidR="00384927" w:rsidRPr="00654E98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Default="002226D0" w:rsidP="00F442FA">
      <w:pPr>
        <w:jc w:val="both"/>
        <w:rPr>
          <w:rFonts w:ascii="Arial Narrow" w:hAnsi="Arial Narrow" w:cs="Tahoma"/>
          <w:sz w:val="22"/>
        </w:rPr>
      </w:pPr>
      <w:r w:rsidRPr="002226D0">
        <w:rPr>
          <w:rFonts w:ascii="Arial Narrow" w:hAnsi="Arial Narrow" w:cs="Tahoma"/>
          <w:sz w:val="22"/>
        </w:rPr>
        <w:t>In terms of the geographical distribution of external trade of Republika Srpska, in t</w:t>
      </w:r>
      <w:r>
        <w:rPr>
          <w:rFonts w:ascii="Arial Narrow" w:hAnsi="Arial Narrow" w:cs="Tahoma"/>
          <w:sz w:val="22"/>
        </w:rPr>
        <w:t>he period January – October 2017</w:t>
      </w:r>
      <w:r w:rsidRPr="002226D0">
        <w:rPr>
          <w:rFonts w:ascii="Arial Narrow" w:hAnsi="Arial Narrow" w:cs="Tahoma"/>
          <w:sz w:val="22"/>
        </w:rPr>
        <w:t xml:space="preserve">, the highest value of export was that of export to Italy, with </w:t>
      </w:r>
      <w:r>
        <w:rPr>
          <w:rFonts w:ascii="Arial Narrow" w:hAnsi="Arial Narrow" w:cs="Tahoma"/>
          <w:sz w:val="22"/>
        </w:rPr>
        <w:t>446 million KM or 15</w:t>
      </w:r>
      <w:r w:rsidRPr="002226D0">
        <w:rPr>
          <w:rFonts w:ascii="Arial Narrow" w:hAnsi="Arial Narrow" w:cs="Tahoma"/>
          <w:sz w:val="22"/>
        </w:rPr>
        <w:t xml:space="preserve">.6%, followed by </w:t>
      </w:r>
      <w:r>
        <w:rPr>
          <w:rFonts w:ascii="Arial Narrow" w:hAnsi="Arial Narrow" w:cs="Tahoma"/>
          <w:sz w:val="22"/>
        </w:rPr>
        <w:t>Croatia</w:t>
      </w:r>
      <w:r w:rsidRPr="002226D0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379 million KM or 13.3</w:t>
      </w:r>
      <w:r w:rsidRPr="002226D0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>
        <w:rPr>
          <w:rFonts w:ascii="Arial Narrow" w:hAnsi="Arial Narrow" w:cs="Tahoma"/>
          <w:sz w:val="22"/>
        </w:rPr>
        <w:t>701 million KM or 17.6</w:t>
      </w:r>
      <w:r w:rsidRPr="002226D0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Russia</w:t>
      </w:r>
      <w:r w:rsidRPr="002226D0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508 million KM or 12.7</w:t>
      </w:r>
      <w:r w:rsidRPr="002226D0">
        <w:rPr>
          <w:rFonts w:ascii="Arial Narrow" w:hAnsi="Arial Narrow" w:cs="Tahoma"/>
          <w:sz w:val="22"/>
        </w:rPr>
        <w:t>% of the total realised import</w:t>
      </w:r>
      <w:r>
        <w:rPr>
          <w:rFonts w:ascii="Arial Narrow" w:hAnsi="Arial Narrow" w:cs="Tahoma"/>
          <w:sz w:val="22"/>
        </w:rPr>
        <w:t>.</w:t>
      </w:r>
    </w:p>
    <w:p w:rsidR="002226D0" w:rsidRPr="00654E98" w:rsidRDefault="002226D0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Default="002226D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D8724F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October</w:t>
      </w:r>
      <w:r w:rsidRPr="00D8724F">
        <w:rPr>
          <w:rFonts w:ascii="Arial Narrow" w:hAnsi="Arial Narrow" w:cs="Tahoma"/>
          <w:sz w:val="22"/>
        </w:rPr>
        <w:t xml:space="preserve"> 2017, the highest share in export was that of electricity, with the total value of </w:t>
      </w:r>
      <w:r>
        <w:rPr>
          <w:rFonts w:ascii="Arial Narrow" w:hAnsi="Arial Narrow" w:cs="Tahoma"/>
          <w:sz w:val="22"/>
        </w:rPr>
        <w:t>203 million KM, which was 7.1</w:t>
      </w:r>
      <w:r w:rsidRPr="00D8724F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462 million KM, which was 11.6</w:t>
      </w:r>
      <w:r w:rsidRPr="00D8724F">
        <w:rPr>
          <w:rFonts w:ascii="Arial Narrow" w:hAnsi="Arial Narrow" w:cs="Tahoma"/>
          <w:sz w:val="22"/>
        </w:rPr>
        <w:t>% of the total import</w:t>
      </w:r>
      <w:r>
        <w:rPr>
          <w:rFonts w:ascii="Arial Narrow" w:hAnsi="Arial Narrow" w:cs="Tahoma"/>
          <w:sz w:val="22"/>
        </w:rPr>
        <w:t>.</w:t>
      </w:r>
    </w:p>
    <w:p w:rsidR="002226D0" w:rsidRPr="00654E98" w:rsidRDefault="002226D0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654E9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654E98" w:rsidRDefault="00AC10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654E9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110490</wp:posOffset>
                </wp:positionV>
                <wp:extent cx="704215" cy="250825"/>
                <wp:effectExtent l="0" t="4445" r="635" b="1905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C559BD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281.45pt;margin-top:8.7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9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" stroked="f">
                <v:textbox>
                  <w:txbxContent>
                    <w:p w:rsidR="00F257E5" w:rsidRPr="000A1309" w:rsidRDefault="00C559BD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proofErr w:type="spellEnd"/>
                      <w:proofErr w:type="gramEnd"/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654E9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654E98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654E98" w:rsidRDefault="00EA799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A01C8" wp14:editId="569323CE">
                <wp:simplePos x="0" y="0"/>
                <wp:positionH relativeFrom="column">
                  <wp:posOffset>4939030</wp:posOffset>
                </wp:positionH>
                <wp:positionV relativeFrom="paragraph">
                  <wp:posOffset>1169008</wp:posOffset>
                </wp:positionV>
                <wp:extent cx="523875" cy="2857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99C" w:rsidRPr="00F42AC0" w:rsidRDefault="00EA799C" w:rsidP="00EA799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01C8" id="Text Box 26" o:spid="_x0000_s1034" type="#_x0000_t202" style="position:absolute;left:0;text-align:left;margin-left:388.9pt;margin-top:92.05pt;width:41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" fillcolor="window" stroked="f" strokeweight=".5pt">
                <v:textbox>
                  <w:txbxContent>
                    <w:p w:rsidR="00EA799C" w:rsidRPr="00F42AC0" w:rsidRDefault="00EA799C" w:rsidP="00EA799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B9F08" wp14:editId="0C009E72">
                <wp:simplePos x="0" y="0"/>
                <wp:positionH relativeFrom="margin">
                  <wp:posOffset>4929809</wp:posOffset>
                </wp:positionH>
                <wp:positionV relativeFrom="paragraph">
                  <wp:posOffset>904322</wp:posOffset>
                </wp:positionV>
                <wp:extent cx="533400" cy="276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99C" w:rsidRPr="00F42AC0" w:rsidRDefault="00EA799C" w:rsidP="00EA799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B9F08" id="Text Box 25" o:spid="_x0000_s1035" type="#_x0000_t202" style="position:absolute;left:0;text-align:left;margin-left:388.15pt;margin-top:71.2pt;width:4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" fillcolor="window" stroked="f" strokeweight=".5pt">
                <v:textbox>
                  <w:txbxContent>
                    <w:p w:rsidR="00EA799C" w:rsidRPr="00F42AC0" w:rsidRDefault="00EA799C" w:rsidP="00EA799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1031" w:rsidRPr="00654E9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2579370</wp:posOffset>
                </wp:positionV>
                <wp:extent cx="561340" cy="208280"/>
                <wp:effectExtent l="0" t="3175" r="1905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707105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35.8pt;margin-top:203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DrgwIAABc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" stroked="f">
                <v:textbox style="mso-fit-shape-to-text:t">
                  <w:txbxContent>
                    <w:p w:rsidR="00577DE1" w:rsidRPr="00707105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654E98">
        <w:rPr>
          <w:noProof/>
          <w:lang w:val="sr-Cyrl-CS"/>
        </w:rPr>
        <w:t xml:space="preserve"> </w:t>
      </w:r>
      <w:bookmarkStart w:id="0" w:name="_GoBack"/>
      <w:r w:rsidR="00AC1031" w:rsidRPr="00654E98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4378960" cy="2614295"/>
            <wp:effectExtent l="0" t="0" r="2540" b="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101E3A" w:rsidRPr="00654E98" w:rsidRDefault="00AC10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54E9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0" r="1905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312.8pt;margin-top:.15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+g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PK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zLO+g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654E9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C559BD" w:rsidRDefault="00C559B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654E98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097E02" w:rsidRPr="00654E98">
        <w:rPr>
          <w:rFonts w:ascii="Arial Narrow" w:hAnsi="Arial Narrow" w:cs="Tahoma"/>
          <w:sz w:val="16"/>
          <w:szCs w:val="22"/>
          <w:lang w:val="sr-Cyrl-BA"/>
        </w:rPr>
        <w:t>4</w:t>
      </w:r>
      <w:r w:rsidR="00777348" w:rsidRPr="00654E98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654E98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654E98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EA799C" w:rsidP="00EA799C">
      <w:pPr>
        <w:tabs>
          <w:tab w:val="left" w:pos="2266"/>
          <w:tab w:val="left" w:pos="2535"/>
        </w:tabs>
        <w:rPr>
          <w:rFonts w:ascii="Tahoma" w:hAnsi="Tahoma" w:cs="Tahoma"/>
          <w:iCs/>
          <w:sz w:val="18"/>
          <w:szCs w:val="18"/>
          <w:lang w:val="ru-RU"/>
        </w:rPr>
      </w:pPr>
      <w:r>
        <w:rPr>
          <w:rFonts w:ascii="Tahoma" w:hAnsi="Tahoma" w:cs="Tahoma"/>
          <w:iCs/>
          <w:sz w:val="18"/>
          <w:szCs w:val="18"/>
          <w:lang w:val="ru-RU"/>
        </w:rPr>
        <w:tab/>
      </w:r>
      <w:r>
        <w:rPr>
          <w:rFonts w:ascii="Tahoma" w:hAnsi="Tahoma" w:cs="Tahoma"/>
          <w:iCs/>
          <w:sz w:val="18"/>
          <w:szCs w:val="18"/>
          <w:lang w:val="ru-RU"/>
        </w:rPr>
        <w:tab/>
      </w: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654E98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54E98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F005F" w:rsidRPr="00654E98" w:rsidRDefault="00DF005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654E9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654E98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654E98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654E98" w:rsidRPr="00654E98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4E98" w:rsidRDefault="00084A3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654E98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Pr="00654E9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4E9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4E9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4E9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54E98" w:rsidRPr="00654E98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84A3D" w:rsidRPr="00540C58" w:rsidRDefault="00084A3D" w:rsidP="00084A3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084A3D" w:rsidRPr="00540C58" w:rsidRDefault="00084A3D" w:rsidP="00084A3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40C58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66022A" w:rsidRPr="00654E98" w:rsidRDefault="00DD453B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654E9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654E98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54E98" w:rsidRPr="00654E98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84A3D" w:rsidRPr="00540C58" w:rsidRDefault="00084A3D" w:rsidP="00084A3D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084A3D" w:rsidRPr="00540C58" w:rsidRDefault="00084A3D" w:rsidP="00084A3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Željka Drašković</w:t>
            </w:r>
          </w:p>
          <w:p w:rsidR="0066022A" w:rsidRPr="00654E98" w:rsidRDefault="00AF4B68" w:rsidP="00DF005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654E98" w:rsidRPr="00654E98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84A3D" w:rsidRPr="00540C58" w:rsidRDefault="00084A3D" w:rsidP="00084A3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084A3D" w:rsidRPr="00540C58" w:rsidRDefault="00084A3D" w:rsidP="00084A3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40C58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654E98" w:rsidRDefault="00AF4B68" w:rsidP="00DF005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jelicic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F005F" w:rsidRPr="00DF005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54E98" w:rsidRPr="00654E98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84A3D" w:rsidRPr="00540C58" w:rsidRDefault="00084A3D" w:rsidP="00084A3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084A3D" w:rsidRPr="00540C58" w:rsidRDefault="00084A3D" w:rsidP="00084A3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40C58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654E98" w:rsidRDefault="00AF4B68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654E9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654E9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654E9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654E9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654E9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54E98" w:rsidRPr="00654E98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4E9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654E98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084A3D" w:rsidRDefault="00084A3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654E98" w:rsidRPr="00654E98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084A3D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654E98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654E98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654E98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084A3D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654E98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654E98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654E98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084A3D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4E98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654E9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654E98" w:rsidRDefault="00AC10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654E98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7780" r="18415" b="1079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9F2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654E98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654E98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654E98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654E98" w:rsidRDefault="00084A3D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084A3D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654E98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A3D" w:rsidRPr="00084A3D" w:rsidRDefault="00084A3D" w:rsidP="00084A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Vladan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>, Head of the Division and Editor in Chief</w:t>
            </w:r>
          </w:p>
          <w:p w:rsidR="00084A3D" w:rsidRPr="00084A3D" w:rsidRDefault="00084A3D" w:rsidP="00084A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Republlika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 Institute of Statistics ,</w:t>
            </w:r>
          </w:p>
          <w:p w:rsidR="00084A3D" w:rsidRPr="00084A3D" w:rsidRDefault="00084A3D" w:rsidP="00084A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, Banja Luka, </w:t>
            </w: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084A3D" w:rsidRPr="00084A3D" w:rsidRDefault="00084A3D" w:rsidP="00084A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084A3D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084A3D" w:rsidRPr="00084A3D" w:rsidRDefault="00084A3D" w:rsidP="00084A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84A3D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B84B6F" w:rsidRPr="00654E98" w:rsidRDefault="00084A3D" w:rsidP="00084A3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084A3D">
              <w:rPr>
                <w:rFonts w:ascii="Arial Narrow" w:hAnsi="Arial Narrow" w:cs="Tahoma"/>
                <w:sz w:val="18"/>
                <w:szCs w:val="18"/>
              </w:rPr>
              <w:t>telephone +387 51 332 700; E-</w:t>
            </w:r>
            <w:proofErr w:type="spellStart"/>
            <w:r w:rsidRPr="00084A3D">
              <w:rPr>
                <w:rFonts w:ascii="Arial Narrow" w:hAnsi="Arial Narrow" w:cs="Tahoma"/>
                <w:sz w:val="18"/>
                <w:szCs w:val="18"/>
              </w:rPr>
              <w:t>mai</w:t>
            </w:r>
            <w:proofErr w:type="spellEnd"/>
            <w:r w:rsidR="00B84B6F" w:rsidRPr="00654E98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="00B84B6F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="00B84B6F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="00B84B6F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="00B84B6F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B84B6F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="00B84B6F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B84B6F" w:rsidRPr="00654E9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654E98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654E98" w:rsidRDefault="00084A3D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44223E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654E98" w:rsidRDefault="00AC1031" w:rsidP="009E2A9A">
      <w:pPr>
        <w:rPr>
          <w:rFonts w:ascii="Tahoma" w:hAnsi="Tahoma" w:cs="Tahoma"/>
          <w:lang w:val="sr-Latn-CS"/>
        </w:rPr>
      </w:pPr>
      <w:r w:rsidRPr="00654E9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8415" r="15240" b="1016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701D4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654E98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D9" w:rsidRDefault="007E5DD9">
      <w:r>
        <w:separator/>
      </w:r>
    </w:p>
  </w:endnote>
  <w:endnote w:type="continuationSeparator" w:id="0">
    <w:p w:rsidR="007E5DD9" w:rsidRDefault="007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AC103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833A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40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41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833AF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AC103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4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833A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">
              <v:group id="Group 16" o:spid="_x0000_s1044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" o:spid="_x0000_s1045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HVsQA&#10;AADaAAAADwAAAGRycy9kb3ducmV2LnhtbESP3WoCMRSE7wXfIRyhd5pVqNTVKKW0qCCIf2DvDpvT&#10;3a2bkyVJ3fXtjVDwcpiZb5jZojWVuJLzpWUFw0ECgjizuuRcwfHw1X8D4QOyxsoyKbiRh8W825lh&#10;qm3DO7ruQy4ihH2KCooQ6lRKnxVk0A9sTRy9H+sMhihdLrXDJsJNJUdJMpYGS44LBdb0UVB22f8Z&#10;BY6b38/ktFlOjluzWX8vR5PV2Sj10mvfpyACteEZ/m+vtIJX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Ux1bEAAAA2gAAAA8AAAAAAAAAAAAAAAAAmAIAAGRycy9k&#10;b3ducmV2LnhtbFBLBQYAAAAABAAEAPUAAACJAwAAAAA=&#10;" fillcolor="#bfbfbf" strokecolor="#bfbfbf"/>
                <v:rect id="Rectangle 18" o:spid="_x0000_s1046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7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j0MIA&#10;AADbAAAADwAAAGRycy9kb3ducmV2LnhtbERPTWvCQBC9F/wPywi9mU2tiKSuIgFbqRdNS+lxyE6z&#10;odnZkN3E9N+7gtDbPN7nrLejbcRAna8dK3hKUhDEpdM1Vwo+P/azFQgfkDU2jknBH3nYbiYPa8y0&#10;u/CZhiJUIoawz1CBCaHNpPSlIYs+cS1x5H5cZzFE2FVSd3iJ4baR8zRdSos1xwaDLeWGyt+itwpe&#10;T0cfzNfbcZf790O+1P03PZNSj9Nx9wIi0Bj+xXf3Qcf5C7j9Eg+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mPQwgAAANsAAAAPAAAAAAAAAAAAAAAAAJgCAABkcnMvZG93&#10;bnJldi54bWxQSwUGAAAAAAQABAD1AAAAhwMAAAAA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833A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D9" w:rsidRDefault="007E5DD9">
      <w:r>
        <w:separator/>
      </w:r>
    </w:p>
  </w:footnote>
  <w:footnote w:type="continuationSeparator" w:id="0">
    <w:p w:rsidR="007E5DD9" w:rsidRDefault="007E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084A3D" w:rsidRDefault="00084A3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084A3D" w:rsidRDefault="00084A3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84A3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B84B6F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084A3D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November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</w:t>
          </w:r>
          <w:r w:rsidR="00084A3D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B84B6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323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AC103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EC66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3AF"/>
    <w:rsid w:val="00083569"/>
    <w:rsid w:val="00083AF0"/>
    <w:rsid w:val="00083B51"/>
    <w:rsid w:val="000843D4"/>
    <w:rsid w:val="00084607"/>
    <w:rsid w:val="00084A3D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C7E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372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1AB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6D0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6D9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41F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82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5CDC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0FD7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4E98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503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423B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31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BAC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9BD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7B8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05F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03B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99C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0301F363-D8E4-47F7-A559-0CF30892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Bl-2080\export-import\OBRADA%20CPI\OBRADA_2017\Grafikon_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tojcevicsa\Desktop\SANJA\SPOLJNA%20TRGOVINA\za%20medije\Prezentacija,%20od%20avg2011\prezentacija%202017\okt%202017\za%20Graf%20I-X%202017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837</c:v>
                </c:pt>
                <c:pt idx="1">
                  <c:v>839</c:v>
                </c:pt>
                <c:pt idx="2">
                  <c:v>835</c:v>
                </c:pt>
                <c:pt idx="3">
                  <c:v>815</c:v>
                </c:pt>
                <c:pt idx="4">
                  <c:v>848</c:v>
                </c:pt>
                <c:pt idx="5">
                  <c:v>828</c:v>
                </c:pt>
                <c:pt idx="6">
                  <c:v>821</c:v>
                </c:pt>
                <c:pt idx="7">
                  <c:v>837</c:v>
                </c:pt>
                <c:pt idx="8">
                  <c:v>828</c:v>
                </c:pt>
                <c:pt idx="9">
                  <c:v>830</c:v>
                </c:pt>
                <c:pt idx="10">
                  <c:v>832</c:v>
                </c:pt>
                <c:pt idx="11">
                  <c:v>830</c:v>
                </c:pt>
                <c:pt idx="12">
                  <c:v>831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83336"/>
        <c:axId val="2283720"/>
      </c:lineChart>
      <c:catAx>
        <c:axId val="228333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283720"/>
        <c:crosses val="autoZero"/>
        <c:auto val="1"/>
        <c:lblAlgn val="ctr"/>
        <c:lblOffset val="100"/>
        <c:noMultiLvlLbl val="0"/>
      </c:catAx>
      <c:valAx>
        <c:axId val="2283720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283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938290361227034E-2"/>
          <c:y val="9.561446770067876E-2"/>
          <c:w val="0.9268292957003067"/>
          <c:h val="0.76569037656904593"/>
        </c:manualLayout>
      </c:layout>
      <c:lineChart>
        <c:grouping val="standard"/>
        <c:varyColors val="0"/>
        <c:ser>
          <c:idx val="0"/>
          <c:order val="0"/>
          <c:tx>
            <c:strRef>
              <c:f>okt!$C$3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okt!$A$5:$B$17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okt!$C$5:$C$17</c:f>
              <c:numCache>
                <c:formatCode>General</c:formatCode>
                <c:ptCount val="13"/>
                <c:pt idx="0">
                  <c:v>1.4</c:v>
                </c:pt>
                <c:pt idx="1">
                  <c:v>0.1</c:v>
                </c:pt>
                <c:pt idx="2">
                  <c:v>-0.1</c:v>
                </c:pt>
                <c:pt idx="3">
                  <c:v>0.9</c:v>
                </c:pt>
                <c:pt idx="4">
                  <c:v>0.1</c:v>
                </c:pt>
                <c:pt idx="5">
                  <c:v>0.1</c:v>
                </c:pt>
                <c:pt idx="6">
                  <c:v>-1.1000000000000001</c:v>
                </c:pt>
                <c:pt idx="7">
                  <c:v>-0.2</c:v>
                </c:pt>
                <c:pt idx="8">
                  <c:v>-0.4</c:v>
                </c:pt>
                <c:pt idx="9">
                  <c:v>-0.3</c:v>
                </c:pt>
                <c:pt idx="10">
                  <c:v>-0.2</c:v>
                </c:pt>
                <c:pt idx="11">
                  <c:v>0.3</c:v>
                </c:pt>
                <c:pt idx="12">
                  <c:v>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C64-41D2-9A94-2A39109896F1}"/>
            </c:ext>
          </c:extLst>
        </c:ser>
        <c:ser>
          <c:idx val="1"/>
          <c:order val="1"/>
          <c:tx>
            <c:strRef>
              <c:f>okt!$D$3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okt!$A$5:$B$17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okt!$D$5:$D$17</c:f>
              <c:numCache>
                <c:formatCode>General</c:formatCode>
                <c:ptCount val="13"/>
                <c:pt idx="0">
                  <c:v>-0.7</c:v>
                </c:pt>
                <c:pt idx="1">
                  <c:v>-0.3</c:v>
                </c:pt>
                <c:pt idx="2">
                  <c:v>-0.2</c:v>
                </c:pt>
                <c:pt idx="3">
                  <c:v>0.4</c:v>
                </c:pt>
                <c:pt idx="4">
                  <c:v>0.8</c:v>
                </c:pt>
                <c:pt idx="5">
                  <c:v>0.9</c:v>
                </c:pt>
                <c:pt idx="6">
                  <c:v>0.8</c:v>
                </c:pt>
                <c:pt idx="7">
                  <c:v>0.6</c:v>
                </c:pt>
                <c:pt idx="8">
                  <c:v>0.4</c:v>
                </c:pt>
                <c:pt idx="9">
                  <c:v>0.3</c:v>
                </c:pt>
                <c:pt idx="10">
                  <c:v>0.4</c:v>
                </c:pt>
                <c:pt idx="11">
                  <c:v>0.6</c:v>
                </c:pt>
                <c:pt idx="12">
                  <c:v>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C64-41D2-9A94-2A3910989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024960"/>
        <c:axId val="151025344"/>
      </c:lineChart>
      <c:catAx>
        <c:axId val="15102496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Arial Narrow" panose="020B0606020202030204" pitchFamily="34" charset="0"/>
              </a:defRPr>
            </a:pPr>
            <a:endParaRPr lang="en-US"/>
          </a:p>
        </c:txPr>
        <c:crossAx val="1510253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102534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Arial Narrow" panose="020B0606020202030204" pitchFamily="34" charset="0"/>
              </a:defRPr>
            </a:pPr>
            <a:endParaRPr lang="en-US"/>
          </a:p>
        </c:txPr>
        <c:crossAx val="15102496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79594179168"/>
          <c:y val="0.89613980361081058"/>
          <c:w val="0.52264808362369974"/>
          <c:h val="8.368200836820126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2013</c:v>
                  </c:pt>
                  <c:pt idx="3">
                    <c:v>2014</c:v>
                  </c:pt>
                  <c:pt idx="15">
                    <c:v>2015</c:v>
                  </c:pt>
                  <c:pt idx="27">
                    <c:v>2016</c:v>
                  </c:pt>
                  <c:pt idx="39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102.3</c:v>
                </c:pt>
                <c:pt idx="1">
                  <c:v>105.2</c:v>
                </c:pt>
                <c:pt idx="2">
                  <c:v>105.9</c:v>
                </c:pt>
                <c:pt idx="3">
                  <c:v>106.8</c:v>
                </c:pt>
                <c:pt idx="4">
                  <c:v>104.6</c:v>
                </c:pt>
                <c:pt idx="5">
                  <c:v>101.3</c:v>
                </c:pt>
                <c:pt idx="6">
                  <c:v>103.6</c:v>
                </c:pt>
                <c:pt idx="7">
                  <c:v>103</c:v>
                </c:pt>
                <c:pt idx="8">
                  <c:v>104.2</c:v>
                </c:pt>
                <c:pt idx="9">
                  <c:v>106.7</c:v>
                </c:pt>
                <c:pt idx="10">
                  <c:v>99.8</c:v>
                </c:pt>
                <c:pt idx="11">
                  <c:v>109.6</c:v>
                </c:pt>
                <c:pt idx="12">
                  <c:v>108.6</c:v>
                </c:pt>
                <c:pt idx="13">
                  <c:v>107.5</c:v>
                </c:pt>
                <c:pt idx="14">
                  <c:v>105.3</c:v>
                </c:pt>
                <c:pt idx="15">
                  <c:v>108.7</c:v>
                </c:pt>
                <c:pt idx="16">
                  <c:v>109.9</c:v>
                </c:pt>
                <c:pt idx="17">
                  <c:v>103.8</c:v>
                </c:pt>
                <c:pt idx="18">
                  <c:v>106.2</c:v>
                </c:pt>
                <c:pt idx="19">
                  <c:v>111</c:v>
                </c:pt>
                <c:pt idx="20">
                  <c:v>109</c:v>
                </c:pt>
                <c:pt idx="21">
                  <c:v>108.7</c:v>
                </c:pt>
                <c:pt idx="22">
                  <c:v>110.6</c:v>
                </c:pt>
                <c:pt idx="23">
                  <c:v>105.8</c:v>
                </c:pt>
                <c:pt idx="24">
                  <c:v>109.7</c:v>
                </c:pt>
                <c:pt idx="25">
                  <c:v>108.2</c:v>
                </c:pt>
                <c:pt idx="26">
                  <c:v>105.1</c:v>
                </c:pt>
                <c:pt idx="27">
                  <c:v>102.7</c:v>
                </c:pt>
                <c:pt idx="28">
                  <c:v>114.8</c:v>
                </c:pt>
                <c:pt idx="29">
                  <c:v>122.6</c:v>
                </c:pt>
                <c:pt idx="30">
                  <c:v>110.2</c:v>
                </c:pt>
                <c:pt idx="31">
                  <c:v>119.4</c:v>
                </c:pt>
                <c:pt idx="32">
                  <c:v>113</c:v>
                </c:pt>
                <c:pt idx="33">
                  <c:v>116.6</c:v>
                </c:pt>
                <c:pt idx="34">
                  <c:v>119.9</c:v>
                </c:pt>
                <c:pt idx="35">
                  <c:v>120.7</c:v>
                </c:pt>
                <c:pt idx="36">
                  <c:v>117</c:v>
                </c:pt>
                <c:pt idx="37">
                  <c:v>118.2</c:v>
                </c:pt>
                <c:pt idx="38">
                  <c:v>123.6</c:v>
                </c:pt>
                <c:pt idx="39">
                  <c:v>121.4</c:v>
                </c:pt>
                <c:pt idx="40">
                  <c:v>118.5</c:v>
                </c:pt>
                <c:pt idx="41">
                  <c:v>116.2</c:v>
                </c:pt>
                <c:pt idx="42">
                  <c:v>122.1</c:v>
                </c:pt>
                <c:pt idx="43">
                  <c:v>112.2</c:v>
                </c:pt>
                <c:pt idx="44">
                  <c:v>121.4</c:v>
                </c:pt>
                <c:pt idx="45">
                  <c:v>115.8</c:v>
                </c:pt>
                <c:pt idx="46">
                  <c:v>115.4</c:v>
                </c:pt>
                <c:pt idx="47">
                  <c:v>117</c:v>
                </c:pt>
                <c:pt idx="48">
                  <c:v>117.7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2013</c:v>
                  </c:pt>
                  <c:pt idx="3">
                    <c:v>2014</c:v>
                  </c:pt>
                  <c:pt idx="15">
                    <c:v>2015</c:v>
                  </c:pt>
                  <c:pt idx="27">
                    <c:v>2016</c:v>
                  </c:pt>
                  <c:pt idx="39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104.2</c:v>
                </c:pt>
                <c:pt idx="1">
                  <c:v>104.4</c:v>
                </c:pt>
                <c:pt idx="2">
                  <c:v>104.5</c:v>
                </c:pt>
                <c:pt idx="3">
                  <c:v>104.6</c:v>
                </c:pt>
                <c:pt idx="4">
                  <c:v>104.5</c:v>
                </c:pt>
                <c:pt idx="5">
                  <c:v>104.6</c:v>
                </c:pt>
                <c:pt idx="6">
                  <c:v>104.7</c:v>
                </c:pt>
                <c:pt idx="7">
                  <c:v>104.8</c:v>
                </c:pt>
                <c:pt idx="8">
                  <c:v>105.1</c:v>
                </c:pt>
                <c:pt idx="9">
                  <c:v>105.3</c:v>
                </c:pt>
                <c:pt idx="10">
                  <c:v>105.6</c:v>
                </c:pt>
                <c:pt idx="11">
                  <c:v>106</c:v>
                </c:pt>
                <c:pt idx="12">
                  <c:v>106.4</c:v>
                </c:pt>
                <c:pt idx="13">
                  <c:v>106.6</c:v>
                </c:pt>
                <c:pt idx="14">
                  <c:v>106.9</c:v>
                </c:pt>
                <c:pt idx="15">
                  <c:v>107.2</c:v>
                </c:pt>
                <c:pt idx="16">
                  <c:v>107.4</c:v>
                </c:pt>
                <c:pt idx="17">
                  <c:v>107.6</c:v>
                </c:pt>
                <c:pt idx="18">
                  <c:v>107.9</c:v>
                </c:pt>
                <c:pt idx="19">
                  <c:v>108.3</c:v>
                </c:pt>
                <c:pt idx="20">
                  <c:v>108.6</c:v>
                </c:pt>
                <c:pt idx="21">
                  <c:v>108.8</c:v>
                </c:pt>
                <c:pt idx="22">
                  <c:v>109.1</c:v>
                </c:pt>
                <c:pt idx="23">
                  <c:v>109.4</c:v>
                </c:pt>
                <c:pt idx="24">
                  <c:v>109.7</c:v>
                </c:pt>
                <c:pt idx="25">
                  <c:v>110.1</c:v>
                </c:pt>
                <c:pt idx="26">
                  <c:v>110.6</c:v>
                </c:pt>
                <c:pt idx="27">
                  <c:v>111.3</c:v>
                </c:pt>
                <c:pt idx="28">
                  <c:v>112.2</c:v>
                </c:pt>
                <c:pt idx="29">
                  <c:v>113.1</c:v>
                </c:pt>
                <c:pt idx="30">
                  <c:v>113.8</c:v>
                </c:pt>
                <c:pt idx="31">
                  <c:v>114.5</c:v>
                </c:pt>
                <c:pt idx="32">
                  <c:v>115.1</c:v>
                </c:pt>
                <c:pt idx="33">
                  <c:v>115.8</c:v>
                </c:pt>
                <c:pt idx="34">
                  <c:v>116.4</c:v>
                </c:pt>
                <c:pt idx="35">
                  <c:v>116.9</c:v>
                </c:pt>
                <c:pt idx="36">
                  <c:v>117.2</c:v>
                </c:pt>
                <c:pt idx="37">
                  <c:v>117.6</c:v>
                </c:pt>
                <c:pt idx="38">
                  <c:v>117.9</c:v>
                </c:pt>
                <c:pt idx="39">
                  <c:v>118.1</c:v>
                </c:pt>
                <c:pt idx="40">
                  <c:v>118.1</c:v>
                </c:pt>
                <c:pt idx="41">
                  <c:v>118.1</c:v>
                </c:pt>
                <c:pt idx="42">
                  <c:v>118.2</c:v>
                </c:pt>
                <c:pt idx="43">
                  <c:v>118.2</c:v>
                </c:pt>
                <c:pt idx="44">
                  <c:v>118.3</c:v>
                </c:pt>
                <c:pt idx="45">
                  <c:v>118.4</c:v>
                </c:pt>
                <c:pt idx="46">
                  <c:v>118.5</c:v>
                </c:pt>
                <c:pt idx="47">
                  <c:v>118.8</c:v>
                </c:pt>
                <c:pt idx="48">
                  <c:v>119.2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961160"/>
        <c:axId val="150961544"/>
      </c:lineChart>
      <c:catAx>
        <c:axId val="15096116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50961544"/>
        <c:crosses val="autoZero"/>
        <c:auto val="1"/>
        <c:lblAlgn val="ctr"/>
        <c:lblOffset val="100"/>
        <c:noMultiLvlLbl val="0"/>
      </c:catAx>
      <c:valAx>
        <c:axId val="150961544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50961160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zaOkt2017!$A$2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zaOkt2017!$B$1:$N$1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zaOkt2017!$B$2:$N$2</c:f>
              <c:numCache>
                <c:formatCode>General</c:formatCode>
                <c:ptCount val="13"/>
                <c:pt idx="0">
                  <c:v>374802</c:v>
                </c:pt>
                <c:pt idx="1">
                  <c:v>413271</c:v>
                </c:pt>
                <c:pt idx="2">
                  <c:v>454746</c:v>
                </c:pt>
                <c:pt idx="3">
                  <c:v>246360</c:v>
                </c:pt>
                <c:pt idx="4">
                  <c:v>373425</c:v>
                </c:pt>
                <c:pt idx="5">
                  <c:v>394461</c:v>
                </c:pt>
                <c:pt idx="6">
                  <c:v>439274</c:v>
                </c:pt>
                <c:pt idx="7">
                  <c:v>393257</c:v>
                </c:pt>
                <c:pt idx="8">
                  <c:v>482822</c:v>
                </c:pt>
                <c:pt idx="9">
                  <c:v>415285</c:v>
                </c:pt>
                <c:pt idx="10">
                  <c:v>378754</c:v>
                </c:pt>
                <c:pt idx="11">
                  <c:v>433727</c:v>
                </c:pt>
                <c:pt idx="12">
                  <c:v>435287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zaOkt2017!$A$3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zaOkt2017!$B$1:$N$1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zaOkt2017!$B$3:$N$3</c:f>
              <c:numCache>
                <c:formatCode>0</c:formatCode>
                <c:ptCount val="13"/>
                <c:pt idx="0">
                  <c:v>250954</c:v>
                </c:pt>
                <c:pt idx="1">
                  <c:v>267945</c:v>
                </c:pt>
                <c:pt idx="2">
                  <c:v>260835</c:v>
                </c:pt>
                <c:pt idx="3">
                  <c:v>227374</c:v>
                </c:pt>
                <c:pt idx="4">
                  <c:v>250969</c:v>
                </c:pt>
                <c:pt idx="5">
                  <c:v>301409</c:v>
                </c:pt>
                <c:pt idx="6">
                  <c:v>267973</c:v>
                </c:pt>
                <c:pt idx="7">
                  <c:v>291497</c:v>
                </c:pt>
                <c:pt idx="8">
                  <c:v>294512</c:v>
                </c:pt>
                <c:pt idx="9">
                  <c:v>308275</c:v>
                </c:pt>
                <c:pt idx="10">
                  <c:v>272435</c:v>
                </c:pt>
                <c:pt idx="11">
                  <c:v>322112</c:v>
                </c:pt>
                <c:pt idx="12">
                  <c:v>315532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367312"/>
        <c:axId val="129367704"/>
      </c:lineChart>
      <c:catAx>
        <c:axId val="1293673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9367704"/>
        <c:crosses val="autoZero"/>
        <c:auto val="1"/>
        <c:lblAlgn val="ctr"/>
        <c:lblOffset val="100"/>
        <c:noMultiLvlLbl val="0"/>
      </c:catAx>
      <c:valAx>
        <c:axId val="12936770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9367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7EF3-3A1E-4D1B-85A6-DF86B454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1317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9626</CharactersWithSpaces>
  <SharedDoc>false</SharedDoc>
  <HLinks>
    <vt:vector size="30" baseType="variant">
      <vt:variant>
        <vt:i4>1310799</vt:i4>
      </vt:variant>
      <vt:variant>
        <vt:i4>15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65571</vt:i4>
      </vt:variant>
      <vt:variant>
        <vt:i4>9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15</cp:revision>
  <cp:lastPrinted>2015-12-17T12:01:00Z</cp:lastPrinted>
  <dcterms:created xsi:type="dcterms:W3CDTF">2017-11-22T06:42:00Z</dcterms:created>
  <dcterms:modified xsi:type="dcterms:W3CDTF">2017-11-22T08:35:00Z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