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0F294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0F294C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5D504F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May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5D504F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5D504F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8A0D7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0F294C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34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5D504F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5D504F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9B4C54" w:rsidRDefault="009C10B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April</w:t>
      </w:r>
      <w:r w:rsidR="00E33D13" w:rsidRPr="009B4C5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EE2F33" w:rsidRPr="009B4C5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D36512" w:rsidRPr="009B4C5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E33D13" w:rsidRPr="009B4C5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9B4C54" w:rsidRDefault="009C10BB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C10BB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9C10BB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9C10BB">
        <w:rPr>
          <w:rFonts w:ascii="Arial Narrow" w:hAnsi="Arial Narrow" w:cs="Tahoma"/>
          <w:b/>
          <w:sz w:val="28"/>
          <w:szCs w:val="28"/>
        </w:rPr>
        <w:t xml:space="preserve"> </w:t>
      </w:r>
      <w:r w:rsidR="003D142E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D36512" w:rsidRPr="009B4C54">
        <w:rPr>
          <w:rFonts w:ascii="Arial Narrow" w:hAnsi="Arial Narrow" w:cs="Tahoma"/>
          <w:b/>
          <w:sz w:val="28"/>
          <w:szCs w:val="28"/>
          <w:lang w:val="ru-RU"/>
        </w:rPr>
        <w:t>439</w:t>
      </w:r>
      <w:r w:rsidR="00E33D13" w:rsidRPr="009B4C5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C10BB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652176"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9B4C5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9B4C54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D36512" w:rsidRPr="009B4C54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="00E33D13" w:rsidRPr="009B4C5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9B4C5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9B4C54">
        <w:rPr>
          <w:rFonts w:ascii="Tahoma" w:hAnsi="Tahoma" w:cs="Tahoma"/>
          <w:b/>
          <w:lang w:val="sr-Cyrl-CS"/>
        </w:rPr>
        <w:tab/>
      </w:r>
      <w:r w:rsidRPr="009B4C54">
        <w:rPr>
          <w:rFonts w:ascii="Tahoma" w:hAnsi="Tahoma" w:cs="Tahoma"/>
          <w:b/>
          <w:lang w:val="sr-Cyrl-CS"/>
        </w:rPr>
        <w:tab/>
      </w:r>
    </w:p>
    <w:p w:rsidR="00B82005" w:rsidRDefault="001C4A1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</w:rPr>
        <w:t>Av</w:t>
      </w:r>
      <w:r w:rsidRPr="001C4A1F">
        <w:rPr>
          <w:rFonts w:ascii="Arial Narrow" w:hAnsi="Arial Narrow" w:cs="Tahoma"/>
          <w:sz w:val="22"/>
        </w:rPr>
        <w:t xml:space="preserve">erage monthly net wage of employed persons in Republika Srpska paid in </w:t>
      </w:r>
      <w:r>
        <w:rPr>
          <w:rFonts w:ascii="Arial Narrow" w:hAnsi="Arial Narrow" w:cs="Tahoma"/>
          <w:sz w:val="22"/>
        </w:rPr>
        <w:t>April</w:t>
      </w:r>
      <w:r w:rsidRPr="001C4A1F">
        <w:rPr>
          <w:rFonts w:ascii="Arial Narrow" w:hAnsi="Arial Narrow" w:cs="Tahoma"/>
          <w:sz w:val="22"/>
        </w:rPr>
        <w:t xml:space="preserve"> </w:t>
      </w:r>
      <w:r w:rsidR="00E33D13" w:rsidRPr="009B4C54">
        <w:rPr>
          <w:rFonts w:ascii="Arial Narrow" w:hAnsi="Arial Narrow" w:cs="Tahoma"/>
          <w:sz w:val="22"/>
          <w:lang w:val="sr-Cyrl-CS"/>
        </w:rPr>
        <w:t>201</w:t>
      </w:r>
      <w:r w:rsidR="002E75DE" w:rsidRPr="009B4C54">
        <w:rPr>
          <w:rFonts w:ascii="Arial Narrow" w:hAnsi="Arial Narrow" w:cs="Tahoma"/>
          <w:sz w:val="22"/>
          <w:lang w:val="sr-Cyrl-CS"/>
        </w:rPr>
        <w:t>7</w:t>
      </w:r>
      <w:r w:rsidR="00E33D13" w:rsidRPr="009B4C5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9B4C54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9B4C54">
        <w:rPr>
          <w:rFonts w:ascii="Arial Narrow" w:hAnsi="Arial Narrow" w:cs="Tahoma"/>
          <w:sz w:val="22"/>
          <w:lang w:val="sr-Cyrl-CS"/>
        </w:rPr>
        <w:t>8</w:t>
      </w:r>
      <w:r w:rsidR="00EE2F33" w:rsidRPr="009B4C54">
        <w:rPr>
          <w:rFonts w:ascii="Arial Narrow" w:hAnsi="Arial Narrow" w:cs="Tahoma"/>
          <w:sz w:val="22"/>
          <w:lang w:val="sr-Cyrl-CS"/>
        </w:rPr>
        <w:t>2</w:t>
      </w:r>
      <w:r w:rsidR="00D36512" w:rsidRPr="009B4C54">
        <w:rPr>
          <w:rFonts w:ascii="Arial Narrow" w:hAnsi="Arial Narrow" w:cs="Tahoma"/>
          <w:sz w:val="22"/>
          <w:lang w:val="sr-Cyrl-CS"/>
        </w:rPr>
        <w:t>1</w:t>
      </w:r>
      <w:r w:rsidR="00E33D13" w:rsidRPr="009B4C54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9B4C54">
        <w:rPr>
          <w:rFonts w:ascii="Arial Narrow" w:hAnsi="Arial Narrow" w:cs="Tahoma"/>
          <w:sz w:val="22"/>
          <w:lang w:val="hr-HR"/>
        </w:rPr>
        <w:t>,</w:t>
      </w:r>
      <w:r w:rsidR="00E33D13" w:rsidRPr="009B4C5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9B4C5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9B4C54">
        <w:rPr>
          <w:rFonts w:ascii="Arial Narrow" w:hAnsi="Arial Narrow" w:cs="Tahoma"/>
          <w:sz w:val="22"/>
          <w:lang w:val="sr-Cyrl-CS"/>
        </w:rPr>
        <w:t>3</w:t>
      </w:r>
      <w:r w:rsidR="00D36512" w:rsidRPr="009B4C54">
        <w:rPr>
          <w:rFonts w:ascii="Arial Narrow" w:hAnsi="Arial Narrow" w:cs="Tahoma"/>
          <w:sz w:val="22"/>
          <w:lang w:val="sr-Cyrl-CS"/>
        </w:rPr>
        <w:t>17</w:t>
      </w:r>
      <w:r w:rsidR="00F0781C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9B4C54">
        <w:rPr>
          <w:rFonts w:ascii="Arial Narrow" w:hAnsi="Arial Narrow" w:cs="Tahoma"/>
          <w:sz w:val="22"/>
          <w:lang w:val="sr-Cyrl-CS"/>
        </w:rPr>
        <w:t>КМ.</w:t>
      </w:r>
      <w:r w:rsidR="00B82005" w:rsidRPr="009B4C54">
        <w:rPr>
          <w:rFonts w:ascii="Arial Narrow" w:hAnsi="Arial Narrow" w:cs="Tahoma"/>
          <w:sz w:val="22"/>
          <w:lang w:val="sr-Cyrl-CS"/>
        </w:rPr>
        <w:t xml:space="preserve"> </w:t>
      </w:r>
    </w:p>
    <w:p w:rsidR="00012717" w:rsidRDefault="0001271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12717" w:rsidRPr="00012717" w:rsidRDefault="0001271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April 2016, average net wage paid in April 2017 was really 2.0% lower, while compared to March 2017 it was really 0.3% higher. </w:t>
      </w:r>
    </w:p>
    <w:p w:rsidR="00B82005" w:rsidRPr="009B4C5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443D15" w:rsidRDefault="00C5247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52477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April</w:t>
      </w:r>
      <w:r w:rsidRPr="00C52477">
        <w:rPr>
          <w:rFonts w:ascii="Arial Narrow" w:hAnsi="Arial Narrow" w:cs="Tahoma"/>
          <w:sz w:val="22"/>
        </w:rPr>
        <w:t xml:space="preserve"> 2017, the highest average wage, by section of economic activities, was paid in the section </w:t>
      </w:r>
      <w:r w:rsidRPr="00C52477">
        <w:rPr>
          <w:rFonts w:ascii="Arial Narrow" w:hAnsi="Arial Narrow" w:cs="Tahoma"/>
          <w:i/>
          <w:sz w:val="22"/>
        </w:rPr>
        <w:t>Financial and insurance activities</w:t>
      </w:r>
      <w:r w:rsidRPr="00C52477">
        <w:rPr>
          <w:rFonts w:ascii="Arial Narrow" w:hAnsi="Arial Narrow" w:cs="Tahoma"/>
          <w:sz w:val="22"/>
        </w:rPr>
        <w:t xml:space="preserve"> and it amounted to 1,</w:t>
      </w:r>
      <w:r>
        <w:rPr>
          <w:rFonts w:ascii="Arial Narrow" w:hAnsi="Arial Narrow" w:cs="Tahoma"/>
          <w:sz w:val="22"/>
        </w:rPr>
        <w:t>439</w:t>
      </w:r>
      <w:r w:rsidRPr="00C52477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April</w:t>
      </w:r>
      <w:r w:rsidRPr="00C52477">
        <w:rPr>
          <w:rFonts w:ascii="Arial Narrow" w:hAnsi="Arial Narrow" w:cs="Tahoma"/>
          <w:sz w:val="22"/>
        </w:rPr>
        <w:t xml:space="preserve"> 2017 was the one paid in the section </w:t>
      </w:r>
      <w:r>
        <w:rPr>
          <w:rFonts w:ascii="Arial Narrow" w:hAnsi="Arial Narrow" w:cs="Tahoma"/>
          <w:i/>
          <w:sz w:val="22"/>
        </w:rPr>
        <w:t>Accommodation and food service activities</w:t>
      </w:r>
      <w:r w:rsidRPr="00C52477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547</w:t>
      </w:r>
      <w:r w:rsidRPr="00C52477">
        <w:rPr>
          <w:rFonts w:ascii="Arial Narrow" w:hAnsi="Arial Narrow" w:cs="Tahoma"/>
          <w:sz w:val="22"/>
        </w:rPr>
        <w:t xml:space="preserve"> KM</w:t>
      </w:r>
      <w:r>
        <w:rPr>
          <w:rFonts w:ascii="Arial Narrow" w:hAnsi="Arial Narrow" w:cs="Tahoma"/>
          <w:sz w:val="22"/>
        </w:rPr>
        <w:t xml:space="preserve">. </w:t>
      </w:r>
    </w:p>
    <w:p w:rsidR="00210380" w:rsidRDefault="0021038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10380" w:rsidRPr="009B4C54" w:rsidRDefault="0021038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</w:rPr>
        <w:t xml:space="preserve">In April 2017, compared to March 2017, a nominal increase in net wages was recorded in the sections </w:t>
      </w:r>
      <w:r w:rsidRPr="00210380">
        <w:rPr>
          <w:rFonts w:ascii="Arial Narrow" w:hAnsi="Arial Narrow" w:cs="Tahoma"/>
          <w:i/>
          <w:sz w:val="22"/>
        </w:rPr>
        <w:t>Real estate activities</w:t>
      </w:r>
      <w:r>
        <w:rPr>
          <w:rFonts w:ascii="Arial Narrow" w:hAnsi="Arial Narrow" w:cs="Tahoma"/>
          <w:sz w:val="22"/>
        </w:rPr>
        <w:t xml:space="preserve"> 12.5%, </w:t>
      </w:r>
      <w:r w:rsidRPr="00210380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10.2% and </w:t>
      </w:r>
      <w:r w:rsidRPr="00210380">
        <w:rPr>
          <w:rFonts w:ascii="Arial Narrow" w:hAnsi="Arial Narrow" w:cs="Tahoma"/>
          <w:i/>
          <w:sz w:val="22"/>
        </w:rPr>
        <w:t>Agriculture, forestry and fishing</w:t>
      </w:r>
      <w:r>
        <w:rPr>
          <w:rFonts w:ascii="Arial Narrow" w:hAnsi="Arial Narrow" w:cs="Tahoma"/>
          <w:sz w:val="22"/>
        </w:rPr>
        <w:t xml:space="preserve"> 2.6%.</w:t>
      </w:r>
    </w:p>
    <w:p w:rsidR="00E33D13" w:rsidRPr="009B4C5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210380" w:rsidRDefault="00210380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 decrease in nominal wages was recorded in the sections </w:t>
      </w:r>
      <w:r w:rsidRPr="00210380">
        <w:rPr>
          <w:rFonts w:ascii="Arial Narrow" w:hAnsi="Arial Narrow" w:cs="Tahoma"/>
          <w:i/>
          <w:sz w:val="22"/>
        </w:rPr>
        <w:t>Professional, scientific and technical activities</w:t>
      </w:r>
      <w:r>
        <w:rPr>
          <w:rFonts w:ascii="Arial Narrow" w:hAnsi="Arial Narrow" w:cs="Tahoma"/>
          <w:sz w:val="22"/>
        </w:rPr>
        <w:t xml:space="preserve"> 10.2%, </w:t>
      </w:r>
      <w:r w:rsidRPr="00210380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6.4% and </w:t>
      </w:r>
      <w:r w:rsidRPr="00210380">
        <w:rPr>
          <w:rFonts w:ascii="Arial Narrow" w:hAnsi="Arial Narrow" w:cs="Tahoma"/>
          <w:i/>
          <w:sz w:val="22"/>
        </w:rPr>
        <w:t>Human health and social work activities</w:t>
      </w:r>
      <w:r>
        <w:rPr>
          <w:rFonts w:ascii="Arial Narrow" w:hAnsi="Arial Narrow" w:cs="Tahoma"/>
          <w:sz w:val="22"/>
        </w:rPr>
        <w:t xml:space="preserve"> 3.7%. </w:t>
      </w:r>
    </w:p>
    <w:p w:rsidR="00396802" w:rsidRPr="009B4C5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9B4C5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4C54">
        <w:rPr>
          <w:rFonts w:ascii="Tahoma" w:hAnsi="Tahoma" w:cs="Tahoma"/>
          <w:i/>
          <w:sz w:val="14"/>
          <w:lang w:val="sr-Cyrl-CS"/>
        </w:rPr>
        <w:t xml:space="preserve"> </w:t>
      </w:r>
      <w:r w:rsidRPr="009B4C54">
        <w:rPr>
          <w:rFonts w:ascii="Tahoma" w:hAnsi="Tahoma" w:cs="Tahoma"/>
          <w:sz w:val="14"/>
          <w:lang w:val="sr-Cyrl-CS"/>
        </w:rPr>
        <w:t xml:space="preserve">   </w:t>
      </w:r>
      <w:r w:rsidRPr="009B4C54">
        <w:rPr>
          <w:rFonts w:ascii="Tahoma" w:hAnsi="Tahoma" w:cs="Tahoma"/>
          <w:sz w:val="14"/>
          <w:lang w:val="sr-Latn-CS"/>
        </w:rPr>
        <w:tab/>
      </w:r>
      <w:r w:rsidRPr="009B4C54">
        <w:rPr>
          <w:rFonts w:ascii="Tahoma" w:hAnsi="Tahoma" w:cs="Tahoma"/>
          <w:sz w:val="14"/>
          <w:lang w:val="sr-Latn-CS"/>
        </w:rPr>
        <w:tab/>
      </w:r>
      <w:r w:rsidRPr="009B4C5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B4C54">
        <w:rPr>
          <w:rFonts w:ascii="Tahoma" w:hAnsi="Tahoma" w:cs="Tahoma"/>
          <w:sz w:val="14"/>
          <w:lang w:val="sr-Cyrl-BA"/>
        </w:rPr>
        <w:t xml:space="preserve">   </w:t>
      </w:r>
      <w:r w:rsidR="00DD1C11">
        <w:rPr>
          <w:rFonts w:ascii="Tahoma" w:hAnsi="Tahoma" w:cs="Tahoma"/>
          <w:sz w:val="14"/>
          <w:lang w:val="sr-Latn-BA"/>
        </w:rPr>
        <w:t xml:space="preserve">  </w:t>
      </w:r>
      <w:r w:rsidRPr="009B4C5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9B4C54" w:rsidRDefault="00AD485B" w:rsidP="00E33D13">
      <w:pPr>
        <w:jc w:val="center"/>
        <w:rPr>
          <w:rFonts w:ascii="Tahoma" w:hAnsi="Tahoma" w:cs="Tahoma"/>
          <w:lang w:val="sr-Cyrl-BA"/>
        </w:rPr>
      </w:pPr>
      <w:r w:rsidRPr="009B4C54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1086891</wp:posOffset>
            </wp:positionH>
            <wp:positionV relativeFrom="paragraph">
              <wp:posOffset>1516380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9B4C54">
        <w:rPr>
          <w:rFonts w:ascii="Tahoma" w:hAnsi="Tahoma" w:cs="Tahoma"/>
          <w:szCs w:val="18"/>
          <w:lang w:val="sr-Cyrl-BA"/>
        </w:rPr>
        <w:t xml:space="preserve">   </w:t>
      </w:r>
      <w:r w:rsidR="00BF18AF" w:rsidRPr="009B4C54">
        <w:rPr>
          <w:noProof/>
        </w:rPr>
        <w:drawing>
          <wp:inline distT="0" distB="0" distL="0" distR="0" wp14:anchorId="1BAA916D" wp14:editId="7999B745">
            <wp:extent cx="4411066" cy="221650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B4C5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F1F7B" w:rsidRDefault="000F1F7B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9B4C5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9B4C54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9B4C54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9B4C5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9B4C54" w:rsidRDefault="00BE051D">
      <w:pPr>
        <w:rPr>
          <w:rFonts w:ascii="Arial Narrow" w:hAnsi="Arial Narrow" w:cs="Tahoma"/>
          <w:sz w:val="22"/>
          <w:lang w:val="sr-Latn-BA"/>
        </w:rPr>
      </w:pPr>
    </w:p>
    <w:p w:rsidR="003C35DD" w:rsidRPr="00A976E2" w:rsidRDefault="00A976E2" w:rsidP="003C35DD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  <w:lang w:val="sr-Cyrl-BA"/>
        </w:rPr>
        <w:t>Monthly inflation -1.</w:t>
      </w:r>
      <w:r w:rsidR="003C35DD"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3C35DD" w:rsidRPr="009B4C54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April 2017</w:t>
      </w:r>
    </w:p>
    <w:p w:rsidR="003C35DD" w:rsidRPr="009B4C54" w:rsidRDefault="00A976E2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3C35DD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</w:rPr>
        <w:t>April</w:t>
      </w:r>
      <w:r w:rsidR="003C35DD" w:rsidRPr="009B4C54">
        <w:rPr>
          <w:rFonts w:ascii="Arial Narrow" w:hAnsi="Arial Narrow" w:cs="Tahoma"/>
          <w:b/>
          <w:sz w:val="28"/>
          <w:lang w:val="ru-RU"/>
        </w:rPr>
        <w:t xml:space="preserve"> </w:t>
      </w:r>
      <w:r w:rsidR="003C35DD" w:rsidRPr="009B4C54">
        <w:rPr>
          <w:rFonts w:ascii="Arial Narrow" w:hAnsi="Arial Narrow" w:cs="Tahoma"/>
          <w:b/>
          <w:sz w:val="30"/>
          <w:szCs w:val="30"/>
          <w:lang w:val="sr-Cyrl-BA"/>
        </w:rPr>
        <w:t>2017/</w:t>
      </w:r>
      <w:r>
        <w:rPr>
          <w:rFonts w:ascii="Arial Narrow" w:hAnsi="Arial Narrow" w:cs="Tahoma"/>
          <w:b/>
          <w:sz w:val="28"/>
        </w:rPr>
        <w:t xml:space="preserve">April </w:t>
      </w:r>
      <w:r>
        <w:rPr>
          <w:rFonts w:ascii="Arial Narrow" w:hAnsi="Arial Narrow" w:cs="Tahoma"/>
          <w:b/>
          <w:sz w:val="30"/>
          <w:szCs w:val="30"/>
          <w:lang w:val="sr-Cyrl-BA"/>
        </w:rPr>
        <w:t>2016) 0.</w:t>
      </w:r>
      <w:r w:rsidR="003C35DD" w:rsidRPr="009B4C54">
        <w:rPr>
          <w:rFonts w:ascii="Arial Narrow" w:hAnsi="Arial Narrow" w:cs="Tahoma"/>
          <w:b/>
          <w:sz w:val="30"/>
          <w:szCs w:val="30"/>
          <w:lang w:val="sr-Cyrl-BA"/>
        </w:rPr>
        <w:t>8%</w:t>
      </w:r>
    </w:p>
    <w:p w:rsidR="003C35DD" w:rsidRPr="009B4C54" w:rsidRDefault="003C35DD" w:rsidP="003C35D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976E2" w:rsidRDefault="00A976E2" w:rsidP="003C35DD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A976E2">
        <w:rPr>
          <w:rFonts w:ascii="Arial Narrow" w:hAnsi="Arial Narrow" w:cs="Tahoma"/>
          <w:sz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</w:rPr>
        <w:t>April</w:t>
      </w:r>
      <w:r w:rsidRPr="00A976E2">
        <w:rPr>
          <w:rFonts w:ascii="Arial Narrow" w:hAnsi="Arial Narrow" w:cs="Tahoma"/>
          <w:sz w:val="22"/>
        </w:rPr>
        <w:t xml:space="preserve"> 2017, compared to the previ</w:t>
      </w:r>
      <w:r>
        <w:rPr>
          <w:rFonts w:ascii="Arial Narrow" w:hAnsi="Arial Narrow" w:cs="Tahoma"/>
          <w:sz w:val="22"/>
        </w:rPr>
        <w:t>ous month, were on the average 1</w:t>
      </w:r>
      <w:r w:rsidRPr="00A976E2">
        <w:rPr>
          <w:rFonts w:ascii="Arial Narrow" w:hAnsi="Arial Narrow" w:cs="Tahoma"/>
          <w:sz w:val="22"/>
        </w:rPr>
        <w:t xml:space="preserve">.1% </w:t>
      </w:r>
      <w:r>
        <w:rPr>
          <w:rFonts w:ascii="Arial Narrow" w:hAnsi="Arial Narrow" w:cs="Tahoma"/>
          <w:sz w:val="22"/>
        </w:rPr>
        <w:t>lower, while they were 0.8</w:t>
      </w:r>
      <w:r w:rsidRPr="00A976E2">
        <w:rPr>
          <w:rFonts w:ascii="Arial Narrow" w:hAnsi="Arial Narrow" w:cs="Tahoma"/>
          <w:sz w:val="22"/>
        </w:rPr>
        <w:t>% higher at the annual level.</w:t>
      </w:r>
    </w:p>
    <w:p w:rsidR="00A976E2" w:rsidRDefault="00A976E2" w:rsidP="003C35D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EB51B8" w:rsidRDefault="00EB51B8" w:rsidP="003C35D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EB51B8" w:rsidRDefault="00EB51B8" w:rsidP="003C35DD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lastRenderedPageBreak/>
        <w:t xml:space="preserve">Of the 12 main divisions of products and services, an increase in prices was recorded in three divisions, a decrease was recorded in five divisions, while prices in four divisions remained on the average at the same level. </w:t>
      </w:r>
    </w:p>
    <w:p w:rsidR="0097016C" w:rsidRPr="00EB51B8" w:rsidRDefault="0097016C" w:rsidP="003C35DD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increase in prices in April was recorded in the division </w:t>
      </w:r>
      <w:r w:rsidRPr="0097016C">
        <w:rPr>
          <w:rFonts w:ascii="Arial Narrow" w:hAnsi="Arial Narrow" w:cs="Tahoma"/>
          <w:i/>
          <w:sz w:val="22"/>
        </w:rPr>
        <w:t>Food and non-alcoholic beverages</w:t>
      </w:r>
      <w:r>
        <w:rPr>
          <w:rFonts w:ascii="Arial Narrow" w:hAnsi="Arial Narrow" w:cs="Tahoma"/>
          <w:sz w:val="22"/>
        </w:rPr>
        <w:t xml:space="preserve"> (0.5%), due to higher purchase prices in the groups fruit by 7.8%, vegetables by 2.7%, fish by 0.9% and bread and cereals by 0.1%. Higher prices were also recorded in the division </w:t>
      </w:r>
      <w:r w:rsidRPr="0097016C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 (0.4%), due to new purchase prices in the group pharmaceutical products and equipment by 1.0%, as well as in the division </w:t>
      </w:r>
      <w:r w:rsidRPr="0097016C">
        <w:rPr>
          <w:rFonts w:ascii="Arial Narrow" w:hAnsi="Arial Narrow" w:cs="Tahoma"/>
          <w:i/>
          <w:sz w:val="22"/>
        </w:rPr>
        <w:t>Transport</w:t>
      </w:r>
      <w:r>
        <w:rPr>
          <w:rFonts w:ascii="Arial Narrow" w:hAnsi="Arial Narrow" w:cs="Tahoma"/>
          <w:sz w:val="22"/>
        </w:rPr>
        <w:t xml:space="preserve"> (0.1%), due to slight corrections of purchase prices of fuels and lubricants by 0.3%. </w:t>
      </w:r>
    </w:p>
    <w:p w:rsidR="003C35DD" w:rsidRPr="0097016C" w:rsidRDefault="0097016C" w:rsidP="003C35DD">
      <w:pPr>
        <w:jc w:val="both"/>
        <w:rPr>
          <w:rFonts w:ascii="Arial Narrow" w:hAnsi="Arial Narrow" w:cs="Tahoma"/>
          <w:sz w:val="22"/>
        </w:rPr>
      </w:pPr>
      <w:r w:rsidRPr="0097016C">
        <w:rPr>
          <w:rFonts w:ascii="Arial Narrow" w:hAnsi="Arial Narrow" w:cs="Tahoma"/>
          <w:sz w:val="22"/>
        </w:rPr>
        <w:t xml:space="preserve">In the divisions </w:t>
      </w:r>
      <w:r w:rsidRPr="0097016C">
        <w:rPr>
          <w:rFonts w:ascii="Arial Narrow" w:hAnsi="Arial Narrow" w:cs="Tahoma"/>
          <w:i/>
          <w:sz w:val="22"/>
        </w:rPr>
        <w:t>Alcoholic beverages and tobacco</w:t>
      </w:r>
      <w:r w:rsidRPr="0097016C">
        <w:rPr>
          <w:rFonts w:ascii="Arial Narrow" w:hAnsi="Arial Narrow" w:cs="Tahoma"/>
          <w:sz w:val="22"/>
        </w:rPr>
        <w:t xml:space="preserve">, </w:t>
      </w:r>
      <w:r w:rsidRPr="0097016C">
        <w:rPr>
          <w:rFonts w:ascii="Arial Narrow" w:hAnsi="Arial Narrow" w:cs="Tahoma"/>
          <w:i/>
          <w:sz w:val="22"/>
        </w:rPr>
        <w:t>Communication</w:t>
      </w:r>
      <w:r w:rsidRPr="0097016C">
        <w:rPr>
          <w:rFonts w:ascii="Arial Narrow" w:hAnsi="Arial Narrow" w:cs="Tahoma"/>
          <w:sz w:val="22"/>
        </w:rPr>
        <w:t xml:space="preserve">, </w:t>
      </w:r>
      <w:r w:rsidRPr="0097016C">
        <w:rPr>
          <w:rFonts w:ascii="Arial Narrow" w:hAnsi="Arial Narrow" w:cs="Tahoma"/>
          <w:i/>
          <w:sz w:val="22"/>
        </w:rPr>
        <w:t>Education</w:t>
      </w:r>
      <w:r w:rsidRPr="0097016C">
        <w:rPr>
          <w:rFonts w:ascii="Arial Narrow" w:hAnsi="Arial Narrow" w:cs="Tahoma"/>
          <w:sz w:val="22"/>
        </w:rPr>
        <w:t xml:space="preserve">, and </w:t>
      </w:r>
      <w:r w:rsidRPr="0097016C">
        <w:rPr>
          <w:rFonts w:ascii="Arial Narrow" w:hAnsi="Arial Narrow" w:cs="Tahoma"/>
          <w:i/>
          <w:sz w:val="22"/>
        </w:rPr>
        <w:t>Restaurants and hotels</w:t>
      </w:r>
      <w:r w:rsidRPr="0097016C">
        <w:rPr>
          <w:rFonts w:ascii="Arial Narrow" w:hAnsi="Arial Narrow" w:cs="Tahoma"/>
          <w:sz w:val="22"/>
        </w:rPr>
        <w:t xml:space="preserve"> prices remained on the average at the same level.</w:t>
      </w:r>
    </w:p>
    <w:p w:rsidR="0097016C" w:rsidRDefault="0097016C" w:rsidP="003C35DD">
      <w:pPr>
        <w:jc w:val="both"/>
        <w:rPr>
          <w:rFonts w:ascii="Arial Narrow" w:hAnsi="Arial Narrow" w:cs="Tahoma"/>
          <w:color w:val="FF0000"/>
          <w:sz w:val="22"/>
        </w:rPr>
      </w:pPr>
    </w:p>
    <w:p w:rsidR="00874F97" w:rsidRDefault="00874F97" w:rsidP="003C35DD">
      <w:pPr>
        <w:jc w:val="both"/>
        <w:rPr>
          <w:rFonts w:ascii="Arial Narrow" w:hAnsi="Arial Narrow" w:cs="Tahoma"/>
          <w:sz w:val="22"/>
        </w:rPr>
      </w:pPr>
      <w:r w:rsidRPr="00874F97">
        <w:rPr>
          <w:rFonts w:ascii="Arial Narrow" w:hAnsi="Arial Narrow" w:cs="Tahoma"/>
          <w:sz w:val="22"/>
        </w:rPr>
        <w:t xml:space="preserve">The highest decrease in prices in April was recorded in the division </w:t>
      </w:r>
      <w:r w:rsidRPr="00874F97">
        <w:rPr>
          <w:rFonts w:ascii="Arial Narrow" w:hAnsi="Arial Narrow" w:cs="Tahoma"/>
          <w:i/>
          <w:sz w:val="22"/>
        </w:rPr>
        <w:t>Housing</w:t>
      </w:r>
      <w:r w:rsidRPr="00874F97">
        <w:rPr>
          <w:rFonts w:ascii="Arial Narrow" w:hAnsi="Arial Narrow" w:cs="Tahoma"/>
          <w:sz w:val="22"/>
        </w:rPr>
        <w:t xml:space="preserve"> (9.8%)</w:t>
      </w:r>
      <w:r w:rsidR="000422D3">
        <w:rPr>
          <w:rFonts w:ascii="Arial Narrow" w:hAnsi="Arial Narrow" w:cs="Tahoma"/>
          <w:sz w:val="22"/>
        </w:rPr>
        <w:t>,</w:t>
      </w:r>
      <w:r w:rsidR="000422D3" w:rsidRPr="000422D3">
        <w:rPr>
          <w:rFonts w:ascii="Arial Narrow" w:hAnsi="Arial Narrow" w:cs="Tahoma"/>
          <w:sz w:val="22"/>
          <w:szCs w:val="22"/>
        </w:rPr>
        <w:t xml:space="preserve"> </w:t>
      </w:r>
      <w:r w:rsidR="000422D3" w:rsidRPr="000422D3">
        <w:rPr>
          <w:rFonts w:ascii="Arial Narrow" w:hAnsi="Arial Narrow" w:cs="Tahoma"/>
          <w:sz w:val="22"/>
        </w:rPr>
        <w:t xml:space="preserve">as a result of the electricity billing at </w:t>
      </w:r>
      <w:r w:rsidR="000422D3">
        <w:rPr>
          <w:rFonts w:ascii="Arial Narrow" w:hAnsi="Arial Narrow" w:cs="Tahoma"/>
          <w:sz w:val="22"/>
        </w:rPr>
        <w:t>lower</w:t>
      </w:r>
      <w:r w:rsidR="000422D3" w:rsidRPr="000422D3">
        <w:rPr>
          <w:rFonts w:ascii="Arial Narrow" w:hAnsi="Arial Narrow" w:cs="Tahoma"/>
          <w:sz w:val="22"/>
        </w:rPr>
        <w:t xml:space="preserve"> (</w:t>
      </w:r>
      <w:r w:rsidR="000422D3">
        <w:rPr>
          <w:rFonts w:ascii="Arial Narrow" w:hAnsi="Arial Narrow" w:cs="Tahoma"/>
          <w:sz w:val="22"/>
        </w:rPr>
        <w:t>summer</w:t>
      </w:r>
      <w:r w:rsidR="000422D3" w:rsidRPr="000422D3">
        <w:rPr>
          <w:rFonts w:ascii="Arial Narrow" w:hAnsi="Arial Narrow" w:cs="Tahoma"/>
          <w:sz w:val="22"/>
        </w:rPr>
        <w:t>) prices</w:t>
      </w:r>
      <w:r w:rsidR="000422D3">
        <w:rPr>
          <w:rFonts w:ascii="Arial Narrow" w:hAnsi="Arial Narrow" w:cs="Tahoma"/>
          <w:sz w:val="22"/>
        </w:rPr>
        <w:t xml:space="preserve">. A decrease in prices was also recorded in the division </w:t>
      </w:r>
      <w:r w:rsidR="000422D3" w:rsidRPr="000422D3">
        <w:rPr>
          <w:rFonts w:ascii="Arial Narrow" w:hAnsi="Arial Narrow" w:cs="Tahoma"/>
          <w:i/>
          <w:sz w:val="22"/>
        </w:rPr>
        <w:t>Furnishing and other equipment</w:t>
      </w:r>
      <w:r w:rsidR="000422D3">
        <w:rPr>
          <w:rFonts w:ascii="Arial Narrow" w:hAnsi="Arial Narrow" w:cs="Tahoma"/>
          <w:sz w:val="22"/>
        </w:rPr>
        <w:t xml:space="preserve"> (0.4%), due to discounts in the group household cleaning and maintenance products by 1.8% and in the group large household appliances by 0.4%. </w:t>
      </w:r>
    </w:p>
    <w:p w:rsidR="000422D3" w:rsidRPr="00874F97" w:rsidRDefault="000422D3" w:rsidP="003C35DD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Lower prices in April were also recorded in the divisions </w:t>
      </w:r>
      <w:r w:rsidRPr="000422D3">
        <w:rPr>
          <w:rFonts w:ascii="Arial Narrow" w:hAnsi="Arial Narrow" w:cs="Tahoma"/>
          <w:i/>
          <w:sz w:val="22"/>
        </w:rPr>
        <w:t>Recreation and culture</w:t>
      </w:r>
      <w:r>
        <w:rPr>
          <w:rFonts w:ascii="Arial Narrow" w:hAnsi="Arial Narrow" w:cs="Tahoma"/>
          <w:sz w:val="22"/>
        </w:rPr>
        <w:t xml:space="preserve"> (0.3%), </w:t>
      </w:r>
      <w:r w:rsidRPr="000422D3">
        <w:rPr>
          <w:rFonts w:ascii="Arial Narrow" w:hAnsi="Arial Narrow" w:cs="Tahoma"/>
          <w:i/>
          <w:sz w:val="22"/>
        </w:rPr>
        <w:t>Clothing and footwear</w:t>
      </w:r>
      <w:r>
        <w:rPr>
          <w:rFonts w:ascii="Arial Narrow" w:hAnsi="Arial Narrow" w:cs="Tahoma"/>
          <w:sz w:val="22"/>
        </w:rPr>
        <w:t xml:space="preserve"> (0.2%) and </w:t>
      </w:r>
      <w:r w:rsidRPr="000422D3">
        <w:rPr>
          <w:rFonts w:ascii="Arial Narrow" w:hAnsi="Arial Narrow" w:cs="Tahoma"/>
          <w:i/>
          <w:sz w:val="22"/>
        </w:rPr>
        <w:t xml:space="preserve">Other goods and services </w:t>
      </w:r>
      <w:r>
        <w:rPr>
          <w:rFonts w:ascii="Arial Narrow" w:hAnsi="Arial Narrow" w:cs="Tahoma"/>
          <w:sz w:val="22"/>
        </w:rPr>
        <w:t xml:space="preserve">(0.1%). </w:t>
      </w:r>
    </w:p>
    <w:p w:rsidR="005072A5" w:rsidRPr="009B4C54" w:rsidRDefault="005072A5" w:rsidP="00F71D2F">
      <w:pPr>
        <w:jc w:val="both"/>
        <w:rPr>
          <w:rFonts w:ascii="Arial Narrow" w:hAnsi="Arial Narrow" w:cs="Tahoma"/>
          <w:sz w:val="22"/>
          <w:szCs w:val="22"/>
        </w:rPr>
      </w:pPr>
    </w:p>
    <w:p w:rsidR="00F71D2F" w:rsidRPr="009B4C54" w:rsidRDefault="00F71D2F" w:rsidP="00F71D2F">
      <w:pPr>
        <w:jc w:val="both"/>
        <w:rPr>
          <w:rFonts w:ascii="Tahoma" w:hAnsi="Tahoma" w:cs="Tahoma"/>
          <w:lang w:val="sr-Cyrl-BA"/>
        </w:rPr>
      </w:pPr>
    </w:p>
    <w:p w:rsidR="00A84EEC" w:rsidRPr="009B4C54" w:rsidRDefault="009B4C54" w:rsidP="009B4C54">
      <w:pPr>
        <w:jc w:val="center"/>
        <w:rPr>
          <w:rFonts w:ascii="Tahoma" w:hAnsi="Tahoma" w:cs="Tahoma"/>
          <w:lang w:val="sr-Cyrl-BA"/>
        </w:rPr>
      </w:pPr>
      <w:r>
        <w:rPr>
          <w:noProof/>
        </w:rPr>
        <w:drawing>
          <wp:inline distT="0" distB="0" distL="0" distR="0" wp14:anchorId="04467797" wp14:editId="1E66836C">
            <wp:extent cx="5252313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317" w:rsidRPr="009B4C54" w:rsidRDefault="00662317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0F1F7B" w:rsidRDefault="000F1F7B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9B4C54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9B4C54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9B4C54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9B4C54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180F" w:rsidRPr="009B4C54" w:rsidRDefault="00C4180F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E27E1" w:rsidRPr="009B4C54" w:rsidRDefault="00535D65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535D65"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2E27E1"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2E27E1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2E27E1" w:rsidRPr="009B4C5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2E27E1"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E27E1" w:rsidRPr="009B4C54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/April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11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2E27E1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874586" w:rsidRPr="009B4C54" w:rsidRDefault="00535D65" w:rsidP="0087458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874586"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874586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874586" w:rsidRPr="009B4C5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874586"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874586" w:rsidRPr="009B4C54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/March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874586" w:rsidRPr="009B4C54">
        <w:rPr>
          <w:rFonts w:ascii="Arial Narrow" w:hAnsi="Arial Narrow" w:cs="Tahoma"/>
          <w:b/>
          <w:bCs/>
          <w:sz w:val="30"/>
          <w:szCs w:val="30"/>
        </w:rPr>
        <w:t>7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5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3%</w:t>
      </w:r>
    </w:p>
    <w:p w:rsidR="002E27E1" w:rsidRPr="009B4C54" w:rsidRDefault="00535D65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9B4C54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April</w:t>
      </w:r>
      <w:r w:rsidR="002E27E1" w:rsidRPr="009B4C54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9B4C54">
        <w:rPr>
          <w:rFonts w:ascii="Arial Narrow" w:hAnsi="Arial Narrow" w:cs="Tahoma"/>
          <w:b/>
          <w:sz w:val="28"/>
          <w:lang w:val="sr-Cyrl-BA"/>
        </w:rPr>
        <w:t>7</w:t>
      </w:r>
      <w:r w:rsidR="002E27E1" w:rsidRPr="009B4C54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April</w:t>
      </w:r>
      <w:r w:rsidR="002E27E1" w:rsidRPr="009B4C54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9B4C54">
        <w:rPr>
          <w:rFonts w:ascii="Arial Narrow" w:hAnsi="Arial Narrow" w:cs="Tahoma"/>
          <w:b/>
          <w:sz w:val="28"/>
          <w:lang w:val="sr-Cyrl-BA"/>
        </w:rPr>
        <w:t>6</w:t>
      </w:r>
      <w:r w:rsidR="002E27E1" w:rsidRPr="009B4C54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2E27E1" w:rsidRPr="009B4C54">
        <w:rPr>
          <w:rFonts w:ascii="Arial Narrow" w:hAnsi="Arial Narrow" w:cs="Tahoma"/>
          <w:b/>
          <w:sz w:val="28"/>
          <w:lang w:val="ru-RU"/>
        </w:rPr>
        <w:t xml:space="preserve"> </w:t>
      </w:r>
      <w:r w:rsidR="00DF09D5" w:rsidRPr="009B4C54">
        <w:rPr>
          <w:rFonts w:ascii="Arial Narrow" w:hAnsi="Arial Narrow" w:cs="Tahoma"/>
          <w:b/>
          <w:sz w:val="28"/>
          <w:lang w:val="sr-Cyrl-BA"/>
        </w:rPr>
        <w:t>4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DF09D5" w:rsidRPr="009B4C54">
        <w:rPr>
          <w:rFonts w:ascii="Arial Narrow" w:hAnsi="Arial Narrow" w:cs="Tahoma"/>
          <w:b/>
          <w:sz w:val="28"/>
          <w:lang w:val="sr-Cyrl-BA"/>
        </w:rPr>
        <w:t>0</w:t>
      </w:r>
      <w:r w:rsidR="002E27E1" w:rsidRPr="009B4C54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9B4C54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1A13C4" w:rsidRDefault="001A13C4" w:rsidP="002E27E1">
      <w:pPr>
        <w:jc w:val="both"/>
        <w:rPr>
          <w:rFonts w:ascii="Arial Narrow" w:hAnsi="Arial Narrow" w:cs="Tahoma"/>
          <w:sz w:val="22"/>
        </w:rPr>
      </w:pPr>
      <w:r w:rsidRPr="00063579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063579">
        <w:rPr>
          <w:rFonts w:ascii="Arial Narrow" w:hAnsi="Arial Narrow" w:cs="Tahoma"/>
          <w:sz w:val="22"/>
        </w:rPr>
        <w:t xml:space="preserve">in April 2017, compared to the same month of 2016, increased by 11.8%. In the section </w:t>
      </w:r>
      <w:r w:rsidRPr="00063579">
        <w:rPr>
          <w:rFonts w:ascii="Arial Narrow" w:hAnsi="Arial Narrow" w:cs="Tahoma"/>
          <w:i/>
          <w:sz w:val="22"/>
        </w:rPr>
        <w:t>Manufacturing</w:t>
      </w:r>
      <w:r w:rsidRPr="00063579">
        <w:rPr>
          <w:rFonts w:ascii="Arial Narrow" w:hAnsi="Arial Narrow" w:cs="Tahoma"/>
          <w:sz w:val="22"/>
        </w:rPr>
        <w:t xml:space="preserve"> an increase by 14.9% was recorded, in the section </w:t>
      </w:r>
      <w:r w:rsidRPr="00063579">
        <w:rPr>
          <w:rFonts w:ascii="Arial Narrow" w:hAnsi="Arial Narrow" w:cs="Tahoma"/>
          <w:i/>
          <w:sz w:val="22"/>
        </w:rPr>
        <w:t xml:space="preserve">Mining and quarrying </w:t>
      </w:r>
      <w:r w:rsidRPr="00063579">
        <w:rPr>
          <w:rFonts w:ascii="Arial Narrow" w:hAnsi="Arial Narrow" w:cs="Tahoma"/>
          <w:sz w:val="22"/>
        </w:rPr>
        <w:t>an increase by 7.7%</w:t>
      </w:r>
      <w:r w:rsidRPr="00063579">
        <w:rPr>
          <w:rFonts w:ascii="Arial Narrow" w:hAnsi="Arial Narrow" w:cs="Tahoma"/>
          <w:i/>
          <w:sz w:val="22"/>
        </w:rPr>
        <w:t xml:space="preserve"> </w:t>
      </w:r>
      <w:r w:rsidRPr="00063579">
        <w:rPr>
          <w:rFonts w:ascii="Arial Narrow" w:hAnsi="Arial Narrow" w:cs="Tahoma"/>
          <w:sz w:val="22"/>
        </w:rPr>
        <w:t xml:space="preserve">and in the section </w:t>
      </w:r>
      <w:r w:rsidRPr="00063579">
        <w:rPr>
          <w:rFonts w:ascii="Arial Narrow" w:hAnsi="Arial Narrow" w:cs="Tahoma"/>
          <w:i/>
          <w:sz w:val="22"/>
        </w:rPr>
        <w:t>Electricity, gas, steam and air-conditioning supply</w:t>
      </w:r>
      <w:r w:rsidRPr="00063579">
        <w:rPr>
          <w:rFonts w:ascii="Arial Narrow" w:hAnsi="Arial Narrow" w:cs="Tahoma"/>
          <w:sz w:val="22"/>
        </w:rPr>
        <w:t xml:space="preserve"> an increase by 5.9%. By main industrial group, based on economic purpose of products, working day-adjusted production of energy in April 2017, compared to April 2016, was 21.6% higher, production of capital goods was 8.6% higher, production of intermediate goods was </w:t>
      </w:r>
      <w:r w:rsidR="00063579">
        <w:rPr>
          <w:rFonts w:ascii="Arial Narrow" w:hAnsi="Arial Narrow" w:cs="Tahoma"/>
          <w:sz w:val="22"/>
        </w:rPr>
        <w:t>5.6% higher and production of consumer non-durables was 5.5% higher, while production of consumer durables was 12.9% lower.</w:t>
      </w:r>
    </w:p>
    <w:p w:rsidR="00063579" w:rsidRDefault="00063579" w:rsidP="002E27E1">
      <w:pPr>
        <w:jc w:val="both"/>
        <w:rPr>
          <w:rFonts w:ascii="Arial Narrow" w:hAnsi="Arial Narrow" w:cs="Tahoma"/>
          <w:sz w:val="22"/>
        </w:rPr>
      </w:pPr>
    </w:p>
    <w:p w:rsidR="00063579" w:rsidRPr="00063579" w:rsidRDefault="00063579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  <w:r w:rsidRPr="00063579">
        <w:rPr>
          <w:rFonts w:ascii="Arial Narrow" w:hAnsi="Arial Narrow" w:cs="Tahoma"/>
          <w:b/>
          <w:sz w:val="22"/>
        </w:rPr>
        <w:t>Seasonally adjusted industrial production</w:t>
      </w:r>
      <w:r>
        <w:rPr>
          <w:rFonts w:ascii="Arial Narrow" w:hAnsi="Arial Narrow" w:cs="Tahoma"/>
          <w:sz w:val="22"/>
        </w:rPr>
        <w:t xml:space="preserve"> in April 2017, compared to March 2017, increased by 5.3%. During the same period, in the section </w:t>
      </w:r>
      <w:r w:rsidRPr="00063579">
        <w:rPr>
          <w:rFonts w:ascii="Arial Narrow" w:hAnsi="Arial Narrow" w:cs="Tahoma"/>
          <w:i/>
          <w:sz w:val="22"/>
        </w:rPr>
        <w:t>Manufacturing</w:t>
      </w:r>
      <w:r w:rsidRPr="00063579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11.5</w:t>
      </w:r>
      <w:r w:rsidRPr="00063579">
        <w:rPr>
          <w:rFonts w:ascii="Arial Narrow" w:hAnsi="Arial Narrow" w:cs="Tahoma"/>
          <w:sz w:val="22"/>
        </w:rPr>
        <w:t>% was recorded</w:t>
      </w:r>
      <w:r>
        <w:rPr>
          <w:rFonts w:ascii="Arial Narrow" w:hAnsi="Arial Narrow" w:cs="Tahoma"/>
          <w:sz w:val="22"/>
        </w:rPr>
        <w:t xml:space="preserve"> and in the section </w:t>
      </w:r>
      <w:r w:rsidRPr="00063579">
        <w:rPr>
          <w:rFonts w:ascii="Arial Narrow" w:hAnsi="Arial Narrow" w:cs="Tahoma"/>
          <w:i/>
          <w:sz w:val="22"/>
        </w:rPr>
        <w:t>Electricity, gas, steam and air-conditioning supply</w:t>
      </w:r>
      <w:r w:rsidRPr="00063579">
        <w:rPr>
          <w:rFonts w:ascii="Arial Narrow" w:hAnsi="Arial Narrow" w:cs="Tahoma"/>
          <w:sz w:val="22"/>
        </w:rPr>
        <w:t xml:space="preserve"> an increase by</w:t>
      </w:r>
      <w:r>
        <w:rPr>
          <w:rFonts w:ascii="Arial Narrow" w:hAnsi="Arial Narrow" w:cs="Tahoma"/>
          <w:sz w:val="22"/>
        </w:rPr>
        <w:t xml:space="preserve"> 1.6%, while a decrease by 11.4% was recorded in the section </w:t>
      </w:r>
      <w:r w:rsidRPr="00063579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. </w:t>
      </w:r>
      <w:r w:rsidRPr="00063579">
        <w:rPr>
          <w:rFonts w:ascii="Arial Narrow" w:hAnsi="Arial Narrow" w:cs="Tahoma"/>
          <w:sz w:val="22"/>
        </w:rPr>
        <w:t xml:space="preserve">By main industrial group, based on economic purpose of products, </w:t>
      </w:r>
      <w:r>
        <w:rPr>
          <w:rFonts w:ascii="Arial Narrow" w:hAnsi="Arial Narrow" w:cs="Tahoma"/>
          <w:sz w:val="22"/>
        </w:rPr>
        <w:t>seasonally adjusted</w:t>
      </w:r>
      <w:r w:rsidRPr="00063579">
        <w:rPr>
          <w:rFonts w:ascii="Arial Narrow" w:hAnsi="Arial Narrow" w:cs="Tahoma"/>
          <w:sz w:val="22"/>
        </w:rPr>
        <w:t xml:space="preserve"> production of</w:t>
      </w:r>
      <w:r>
        <w:rPr>
          <w:rFonts w:ascii="Arial Narrow" w:hAnsi="Arial Narrow" w:cs="Tahoma"/>
          <w:sz w:val="22"/>
        </w:rPr>
        <w:t xml:space="preserve"> capital goods in April 2017, compared to March 2017, was 2.1% lower, production of consumer durables was 3.0% lower and production of intermediate </w:t>
      </w:r>
      <w:r>
        <w:rPr>
          <w:rFonts w:ascii="Arial Narrow" w:hAnsi="Arial Narrow" w:cs="Tahoma"/>
          <w:sz w:val="22"/>
        </w:rPr>
        <w:lastRenderedPageBreak/>
        <w:t xml:space="preserve">goods was 9.6% lower, while production of energy was 10.2% higher and production of consumer non-durables was 5.6% higher. </w:t>
      </w:r>
    </w:p>
    <w:p w:rsidR="002E27E1" w:rsidRPr="009129A9" w:rsidRDefault="002E27E1" w:rsidP="002E27E1">
      <w:pPr>
        <w:jc w:val="both"/>
        <w:rPr>
          <w:rFonts w:ascii="Arial Narrow" w:hAnsi="Arial Narrow" w:cs="Tahoma"/>
          <w:b/>
          <w:color w:val="FF0000"/>
          <w:sz w:val="22"/>
          <w:lang w:val="sr-Cyrl-CS"/>
        </w:rPr>
      </w:pPr>
    </w:p>
    <w:p w:rsidR="00063579" w:rsidRPr="004B260C" w:rsidRDefault="00063579" w:rsidP="00063579">
      <w:pPr>
        <w:jc w:val="both"/>
        <w:rPr>
          <w:rFonts w:ascii="Arial Narrow" w:hAnsi="Arial Narrow" w:cs="Tahoma"/>
          <w:b/>
          <w:sz w:val="22"/>
        </w:rPr>
      </w:pPr>
      <w:r w:rsidRPr="004B260C">
        <w:rPr>
          <w:rFonts w:ascii="Arial Narrow" w:hAnsi="Arial Narrow" w:cs="Tahoma"/>
          <w:b/>
          <w:sz w:val="22"/>
        </w:rPr>
        <w:t xml:space="preserve">Number of employees in industry </w:t>
      </w:r>
      <w:r w:rsidRPr="004B260C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April</w:t>
      </w:r>
      <w:r w:rsidRPr="004B260C">
        <w:rPr>
          <w:rFonts w:ascii="Arial Narrow" w:hAnsi="Arial Narrow" w:cs="Tahoma"/>
          <w:sz w:val="22"/>
        </w:rPr>
        <w:t xml:space="preserve"> 2017, compared to the same month of the previous year</w:t>
      </w:r>
      <w:r>
        <w:rPr>
          <w:rFonts w:ascii="Arial Narrow" w:hAnsi="Arial Narrow" w:cs="Tahoma"/>
          <w:sz w:val="22"/>
        </w:rPr>
        <w:t>,</w:t>
      </w:r>
      <w:r w:rsidRPr="004B260C">
        <w:rPr>
          <w:rFonts w:ascii="Arial Narrow" w:hAnsi="Arial Narrow" w:cs="Tahoma"/>
          <w:sz w:val="22"/>
        </w:rPr>
        <w:t xml:space="preserve"> was 4.0% higher</w:t>
      </w:r>
      <w:r>
        <w:rPr>
          <w:rFonts w:ascii="Arial Narrow" w:hAnsi="Arial Narrow" w:cs="Tahoma"/>
          <w:sz w:val="22"/>
        </w:rPr>
        <w:t>.</w:t>
      </w:r>
      <w:r w:rsidRPr="004B260C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C</w:t>
      </w:r>
      <w:r w:rsidRPr="004B260C">
        <w:rPr>
          <w:rFonts w:ascii="Arial Narrow" w:hAnsi="Arial Narrow" w:cs="Tahoma"/>
          <w:sz w:val="22"/>
        </w:rPr>
        <w:t xml:space="preserve">ompared to </w:t>
      </w:r>
      <w:r>
        <w:rPr>
          <w:rFonts w:ascii="Arial Narrow" w:hAnsi="Arial Narrow" w:cs="Tahoma"/>
          <w:sz w:val="22"/>
        </w:rPr>
        <w:t>the average</w:t>
      </w:r>
      <w:r w:rsidRPr="004B260C">
        <w:rPr>
          <w:rFonts w:ascii="Arial Narrow" w:hAnsi="Arial Narrow" w:cs="Tahoma"/>
          <w:sz w:val="22"/>
        </w:rPr>
        <w:t xml:space="preserve"> </w:t>
      </w:r>
      <w:r w:rsidRPr="00063579">
        <w:rPr>
          <w:rFonts w:ascii="Arial Narrow" w:hAnsi="Arial Narrow" w:cs="Tahoma"/>
          <w:sz w:val="22"/>
        </w:rPr>
        <w:t xml:space="preserve">monthly number of employed persons in </w:t>
      </w:r>
      <w:r>
        <w:rPr>
          <w:rFonts w:ascii="Arial Narrow" w:hAnsi="Arial Narrow" w:cs="Tahoma"/>
          <w:sz w:val="22"/>
        </w:rPr>
        <w:t xml:space="preserve">2016 </w:t>
      </w:r>
      <w:r w:rsidRPr="004B260C">
        <w:rPr>
          <w:rFonts w:ascii="Arial Narrow" w:hAnsi="Arial Narrow" w:cs="Tahoma"/>
          <w:sz w:val="22"/>
        </w:rPr>
        <w:t xml:space="preserve">it was </w:t>
      </w:r>
      <w:r>
        <w:rPr>
          <w:rFonts w:ascii="Arial Narrow" w:hAnsi="Arial Narrow" w:cs="Tahoma"/>
          <w:sz w:val="22"/>
        </w:rPr>
        <w:t>3.0</w:t>
      </w:r>
      <w:r w:rsidRPr="004B260C">
        <w:rPr>
          <w:rFonts w:ascii="Arial Narrow" w:hAnsi="Arial Narrow" w:cs="Tahoma"/>
          <w:sz w:val="22"/>
        </w:rPr>
        <w:t>% higher</w:t>
      </w:r>
      <w:r>
        <w:rPr>
          <w:rFonts w:ascii="Arial Narrow" w:hAnsi="Arial Narrow" w:cs="Tahoma"/>
          <w:sz w:val="22"/>
        </w:rPr>
        <w:t xml:space="preserve"> and compared to March 2017 it was 0.4% higher</w:t>
      </w:r>
      <w:r w:rsidRPr="004B260C">
        <w:rPr>
          <w:rFonts w:ascii="Arial Narrow" w:hAnsi="Arial Narrow" w:cs="Tahoma"/>
          <w:sz w:val="22"/>
        </w:rPr>
        <w:t xml:space="preserve">. Number of employees in industry in the period January – </w:t>
      </w:r>
      <w:r>
        <w:rPr>
          <w:rFonts w:ascii="Arial Narrow" w:hAnsi="Arial Narrow" w:cs="Tahoma"/>
          <w:sz w:val="22"/>
        </w:rPr>
        <w:t>April</w:t>
      </w:r>
      <w:r w:rsidRPr="004B260C">
        <w:rPr>
          <w:rFonts w:ascii="Arial Narrow" w:hAnsi="Arial Narrow" w:cs="Tahoma"/>
          <w:sz w:val="22"/>
        </w:rPr>
        <w:t xml:space="preserve"> 2017, compared to the same peri</w:t>
      </w:r>
      <w:r>
        <w:rPr>
          <w:rFonts w:ascii="Arial Narrow" w:hAnsi="Arial Narrow" w:cs="Tahoma"/>
          <w:sz w:val="22"/>
        </w:rPr>
        <w:t>od of the previous year, was 3.8</w:t>
      </w:r>
      <w:r w:rsidRPr="004B260C">
        <w:rPr>
          <w:rFonts w:ascii="Arial Narrow" w:hAnsi="Arial Narrow" w:cs="Tahoma"/>
          <w:sz w:val="22"/>
        </w:rPr>
        <w:t xml:space="preserve">% higher. During the same period, in the section </w:t>
      </w:r>
      <w:r>
        <w:rPr>
          <w:rFonts w:ascii="Arial Narrow" w:hAnsi="Arial Narrow" w:cs="Tahoma"/>
          <w:i/>
          <w:sz w:val="22"/>
        </w:rPr>
        <w:t>Manufacturing</w:t>
      </w:r>
      <w:r w:rsidRPr="004B260C">
        <w:rPr>
          <w:rFonts w:ascii="Arial Narrow" w:hAnsi="Arial Narrow" w:cs="Tahoma"/>
          <w:sz w:val="22"/>
        </w:rPr>
        <w:t xml:space="preserve"> an incre</w:t>
      </w:r>
      <w:r>
        <w:rPr>
          <w:rFonts w:ascii="Arial Narrow" w:hAnsi="Arial Narrow" w:cs="Tahoma"/>
          <w:sz w:val="22"/>
        </w:rPr>
        <w:t>ase by 3.9</w:t>
      </w:r>
      <w:r w:rsidRPr="004B260C">
        <w:rPr>
          <w:rFonts w:ascii="Arial Narrow" w:hAnsi="Arial Narrow" w:cs="Tahoma"/>
          <w:sz w:val="22"/>
        </w:rPr>
        <w:t xml:space="preserve">% was recorded, in the section </w:t>
      </w:r>
      <w:r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3.7</w:t>
      </w:r>
      <w:r w:rsidRPr="004B260C">
        <w:rPr>
          <w:rFonts w:ascii="Arial Narrow" w:hAnsi="Arial Narrow" w:cs="Tahoma"/>
          <w:sz w:val="22"/>
        </w:rPr>
        <w:t xml:space="preserve">% and in the section </w:t>
      </w:r>
      <w:r w:rsidRPr="004B260C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2.8</w:t>
      </w:r>
      <w:r w:rsidRPr="004B260C">
        <w:rPr>
          <w:rFonts w:ascii="Arial Narrow" w:hAnsi="Arial Narrow" w:cs="Tahoma"/>
          <w:sz w:val="22"/>
        </w:rPr>
        <w:t>%.</w:t>
      </w:r>
    </w:p>
    <w:p w:rsidR="00874586" w:rsidRPr="009129A9" w:rsidRDefault="00874586" w:rsidP="002E27E1">
      <w:pPr>
        <w:jc w:val="both"/>
        <w:rPr>
          <w:rFonts w:ascii="Arial Narrow" w:hAnsi="Arial Narrow" w:cs="Tahoma"/>
          <w:b/>
          <w:color w:val="FF0000"/>
          <w:sz w:val="22"/>
          <w:lang w:val="sr-Cyrl-CS"/>
        </w:rPr>
      </w:pPr>
    </w:p>
    <w:p w:rsidR="000213F8" w:rsidRPr="009B4C54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9B4C54" w:rsidRDefault="00C4180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9B4C54">
        <w:rPr>
          <w:noProof/>
        </w:rPr>
        <w:drawing>
          <wp:inline distT="0" distB="0" distL="0" distR="0" wp14:anchorId="3A3592B0" wp14:editId="34493970">
            <wp:extent cx="6480810" cy="305311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9B4C54" w:rsidRDefault="0038001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 w:rsidRPr="00380011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April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9B4C54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9B4C54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April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9B4C54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9B4C5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9B4C54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9B4C54" w:rsidRDefault="009129A9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9129A9">
        <w:rPr>
          <w:rFonts w:ascii="Arial Narrow" w:hAnsi="Arial Narrow" w:cs="Tahoma"/>
          <w:b/>
          <w:sz w:val="30"/>
          <w:szCs w:val="30"/>
        </w:rPr>
        <w:t>Coverage of import wit</w:t>
      </w:r>
      <w:r>
        <w:rPr>
          <w:rFonts w:ascii="Arial Narrow" w:hAnsi="Arial Narrow" w:cs="Tahoma"/>
          <w:b/>
          <w:sz w:val="30"/>
          <w:szCs w:val="30"/>
        </w:rPr>
        <w:t>h export (in the period January</w:t>
      </w:r>
      <w:r>
        <w:rPr>
          <w:rFonts w:ascii="Arial Narrow" w:hAnsi="Arial Narrow" w:cs="Tahoma"/>
          <w:b/>
          <w:sz w:val="30"/>
          <w:szCs w:val="30"/>
          <w:lang w:val="sr-Latn-CS"/>
        </w:rPr>
        <w:t>-April</w:t>
      </w:r>
      <w:r w:rsidR="00F442FA"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9B4C54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9B4C54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9B4C5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9B4C54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20354E" w:rsidRPr="009B4C54">
        <w:rPr>
          <w:rFonts w:ascii="Arial Narrow" w:hAnsi="Arial Narrow" w:cs="Tahoma"/>
          <w:b/>
          <w:sz w:val="30"/>
          <w:szCs w:val="30"/>
          <w:lang w:val="sr-Latn-BA"/>
        </w:rPr>
        <w:t>2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8F51DA" w:rsidRPr="009B4C54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="00F442FA" w:rsidRPr="009B4C5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9B4C5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02E5B" w:rsidRDefault="00202E5B" w:rsidP="003A0849">
      <w:pPr>
        <w:jc w:val="both"/>
        <w:rPr>
          <w:rFonts w:ascii="Arial Narrow" w:hAnsi="Arial Narrow" w:cs="Tahoma"/>
          <w:sz w:val="22"/>
        </w:rPr>
      </w:pPr>
      <w:r w:rsidRPr="00202E5B">
        <w:rPr>
          <w:rFonts w:ascii="Arial Narrow" w:hAnsi="Arial Narrow" w:cs="Tahoma"/>
          <w:sz w:val="22"/>
        </w:rPr>
        <w:t>In April 2017, the value of export was 268 million КМ and the value of import was 442 million КМ.</w:t>
      </w:r>
    </w:p>
    <w:p w:rsidR="00202E5B" w:rsidRDefault="00202E5B" w:rsidP="003A0849">
      <w:pPr>
        <w:jc w:val="both"/>
        <w:rPr>
          <w:rFonts w:ascii="Arial Narrow" w:hAnsi="Arial Narrow" w:cs="Tahoma"/>
          <w:sz w:val="22"/>
        </w:rPr>
      </w:pPr>
    </w:p>
    <w:p w:rsidR="00202E5B" w:rsidRPr="00202E5B" w:rsidRDefault="00202E5B" w:rsidP="00202E5B">
      <w:pPr>
        <w:jc w:val="both"/>
        <w:rPr>
          <w:rFonts w:ascii="Arial Narrow" w:hAnsi="Arial Narrow" w:cs="Tahoma"/>
          <w:sz w:val="22"/>
        </w:rPr>
      </w:pPr>
      <w:r w:rsidRPr="00202E5B">
        <w:rPr>
          <w:rFonts w:ascii="Arial Narrow" w:hAnsi="Arial Narrow" w:cs="Tahoma"/>
          <w:sz w:val="22"/>
        </w:rPr>
        <w:t xml:space="preserve">In the total external trade of Republika Srpska in </w:t>
      </w:r>
      <w:r w:rsidR="008F4957">
        <w:rPr>
          <w:rFonts w:ascii="Arial Narrow" w:hAnsi="Arial Narrow" w:cs="Tahoma"/>
          <w:sz w:val="22"/>
        </w:rPr>
        <w:t>April</w:t>
      </w:r>
      <w:r w:rsidRPr="00202E5B">
        <w:rPr>
          <w:rFonts w:ascii="Arial Narrow" w:hAnsi="Arial Narrow" w:cs="Tahoma"/>
          <w:sz w:val="22"/>
        </w:rPr>
        <w:t xml:space="preserve"> of the current year, the percentage of coverage of import with export was </w:t>
      </w:r>
      <w:r w:rsidR="008F4957">
        <w:rPr>
          <w:rFonts w:ascii="Arial Narrow" w:hAnsi="Arial Narrow" w:cs="Tahoma"/>
          <w:sz w:val="22"/>
        </w:rPr>
        <w:t>60.6</w:t>
      </w:r>
      <w:r w:rsidRPr="00202E5B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 w:rsidR="008F4957">
        <w:rPr>
          <w:rFonts w:ascii="Arial Narrow" w:hAnsi="Arial Narrow" w:cs="Tahoma"/>
          <w:sz w:val="22"/>
        </w:rPr>
        <w:t>April 2017 was 72</w:t>
      </w:r>
      <w:r w:rsidRPr="00202E5B">
        <w:rPr>
          <w:rFonts w:ascii="Arial Narrow" w:hAnsi="Arial Narrow" w:cs="Tahoma"/>
          <w:sz w:val="22"/>
        </w:rPr>
        <w:t>.0%.</w:t>
      </w:r>
    </w:p>
    <w:p w:rsidR="00202E5B" w:rsidRPr="00202E5B" w:rsidRDefault="00202E5B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9252C9" w:rsidRPr="008F4957" w:rsidRDefault="008F4957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8F4957">
        <w:rPr>
          <w:rFonts w:ascii="Arial Narrow" w:hAnsi="Arial Narrow" w:cs="Tahoma"/>
          <w:sz w:val="22"/>
        </w:rPr>
        <w:t>In the period January – April 2017, the value of export was one billion and 47 million KM, which represented an increase by 21.2% compared to the same period of the previous year. During the same period, the value of import was 1 billion and 453 million KM, which represented an increase by 9.0% compared to the same period of the previous year.</w:t>
      </w:r>
    </w:p>
    <w:p w:rsidR="00384927" w:rsidRPr="000202D5" w:rsidRDefault="00384927" w:rsidP="00F442FA">
      <w:pPr>
        <w:jc w:val="both"/>
        <w:rPr>
          <w:rFonts w:ascii="Arial Narrow" w:hAnsi="Arial Narrow" w:cs="Tahoma"/>
          <w:color w:val="FF0000"/>
          <w:sz w:val="22"/>
          <w:lang w:val="sr-Cyrl-BA"/>
        </w:rPr>
      </w:pPr>
    </w:p>
    <w:p w:rsidR="00F442FA" w:rsidRDefault="008F4957" w:rsidP="00F442FA">
      <w:pPr>
        <w:jc w:val="both"/>
        <w:rPr>
          <w:rFonts w:ascii="Arial Narrow" w:hAnsi="Arial Narrow" w:cs="Tahoma"/>
          <w:sz w:val="22"/>
        </w:rPr>
      </w:pPr>
      <w:r w:rsidRPr="008F4957">
        <w:rPr>
          <w:rFonts w:ascii="Arial Narrow" w:hAnsi="Arial Narrow" w:cs="Tahoma"/>
          <w:sz w:val="22"/>
        </w:rPr>
        <w:t>In terms of the geographical distribution of external trade of Republika Srpska, in the period January – April 2017, the highest value of export was that of export to Italy, with 170 million KM or 16.2%, followed by Croatia, with 141 million KM or 13.5% of the total realised export. During the same period, the highest value of import was that of import form Serbia, with 248 million KM or 17.1%, followed by Italy, with 174 million KM or 12.0% of the total realised import.</w:t>
      </w:r>
    </w:p>
    <w:p w:rsidR="008F4957" w:rsidRDefault="008F4957" w:rsidP="00F442FA">
      <w:pPr>
        <w:jc w:val="both"/>
        <w:rPr>
          <w:rFonts w:ascii="Arial Narrow" w:hAnsi="Arial Narrow" w:cs="Tahoma"/>
          <w:sz w:val="22"/>
        </w:rPr>
      </w:pPr>
    </w:p>
    <w:p w:rsidR="008F4957" w:rsidRPr="008F4957" w:rsidRDefault="008F4957" w:rsidP="008F4957">
      <w:pPr>
        <w:jc w:val="both"/>
        <w:rPr>
          <w:rFonts w:ascii="Arial Narrow" w:hAnsi="Arial Narrow" w:cs="Tahoma"/>
          <w:sz w:val="22"/>
        </w:rPr>
      </w:pPr>
      <w:r w:rsidRPr="008F4957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April</w:t>
      </w:r>
      <w:r w:rsidRPr="008F4957">
        <w:rPr>
          <w:rFonts w:ascii="Arial Narrow" w:hAnsi="Arial Narrow" w:cs="Tahoma"/>
          <w:sz w:val="22"/>
        </w:rPr>
        <w:t xml:space="preserve"> 2017, the highest share in export was that of electricity, with the total value of </w:t>
      </w:r>
      <w:r>
        <w:rPr>
          <w:rFonts w:ascii="Arial Narrow" w:hAnsi="Arial Narrow" w:cs="Tahoma"/>
          <w:sz w:val="22"/>
        </w:rPr>
        <w:t>80 million KM, which was 7.6</w:t>
      </w:r>
      <w:r w:rsidRPr="008F4957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155</w:t>
      </w:r>
      <w:r w:rsidRPr="008F4957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10.7</w:t>
      </w:r>
      <w:r w:rsidRPr="008F4957">
        <w:rPr>
          <w:rFonts w:ascii="Arial Narrow" w:hAnsi="Arial Narrow" w:cs="Tahoma"/>
          <w:sz w:val="22"/>
        </w:rPr>
        <w:t>% of the total import</w:t>
      </w:r>
    </w:p>
    <w:p w:rsidR="008F4957" w:rsidRPr="008F4957" w:rsidRDefault="008F4957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115CDB" w:rsidRPr="009B4C5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9B4C54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B4C5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B4C54" w:rsidRDefault="00C345D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15pt;margin-top:8.7pt;width:55.45pt;height:19.75pt;z-index:251664384;mso-width-relative:margin;mso-height-relative:margin" stroked="f">
            <v:textbox style="mso-next-textbox:#_x0000_s1068">
              <w:txbxContent>
                <w:p w:rsidR="00F257E5" w:rsidRPr="00B03A3C" w:rsidRDefault="00380011" w:rsidP="008809BE">
                  <w:pPr>
                    <w:jc w:val="right"/>
                    <w:rPr>
                      <w:rFonts w:ascii="Arial Narrow" w:hAnsi="Arial Narrow" w:cs="Tahoma"/>
                      <w:i/>
                      <w:sz w:val="16"/>
                      <w:szCs w:val="16"/>
                      <w:lang w:val="sr-Latn-BA"/>
                    </w:rPr>
                  </w:pPr>
                  <w:r w:rsidRPr="00B03A3C">
                    <w:rPr>
                      <w:rFonts w:ascii="Arial Narrow" w:hAnsi="Arial Narrow" w:cs="Tahoma"/>
                      <w:i/>
                      <w:sz w:val="16"/>
                      <w:szCs w:val="16"/>
                    </w:rPr>
                    <w:t>thous</w:t>
                  </w:r>
                  <w:r w:rsidR="00F257E5" w:rsidRPr="00B03A3C">
                    <w:rPr>
                      <w:rFonts w:ascii="Arial Narrow" w:hAnsi="Arial Narrow" w:cs="Tahoma"/>
                      <w:i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BA70D8" w:rsidRPr="009B4C54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9B4C54" w:rsidRDefault="00C345D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noProof/>
        </w:rPr>
        <w:pict>
          <v:shape id="Text Box 1" o:spid="_x0000_s1074" type="#_x0000_t202" style="position:absolute;left:0;text-align:left;margin-left:388.7pt;margin-top:88.8pt;width:37pt;height:21.2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" fillcolor="white [3212]" stroked="f">
            <v:textbox>
              <w:txbxContent>
                <w:p w:rsidR="00B03A3C" w:rsidRDefault="00B03A3C" w:rsidP="00B03A3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i/>
                      <w:iCs/>
                      <w:sz w:val="16"/>
                      <w:szCs w:val="16"/>
                      <w:lang w:val="sr-Latn-BA"/>
                    </w:rPr>
                    <w:t>Export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202.7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257E5" w:rsidRPr="00707105" w:rsidRDefault="00F257E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9252C9" w:rsidRPr="009B4C54">
        <w:rPr>
          <w:noProof/>
          <w:lang w:val="sr-Cyrl-CS"/>
        </w:rPr>
        <w:t xml:space="preserve"> </w:t>
      </w:r>
      <w:r w:rsidR="0020354E" w:rsidRPr="009B4C54">
        <w:rPr>
          <w:noProof/>
        </w:rPr>
        <w:drawing>
          <wp:inline distT="0" distB="0" distL="0" distR="0" wp14:anchorId="65B86DE5" wp14:editId="772F9CE6">
            <wp:extent cx="442722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9B4C54" w:rsidRDefault="00C345D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8pt;margin-top: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F257E5" w:rsidRPr="00707105" w:rsidRDefault="00F257E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</w:p>
    <w:p w:rsidR="003A0849" w:rsidRPr="009B4C5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380011" w:rsidRDefault="00380011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9B4C54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9B4C54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9B4C54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9B4C54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F294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bookmarkStart w:id="0" w:name="_GoBack"/>
      <w:bookmarkEnd w:id="0"/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9B4C54" w:rsidRPr="00DC2DCC" w:rsidTr="00FF4B17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Default="005D504F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B4C54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Pr="006806FE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B4C54" w:rsidRPr="00DC2DCC" w:rsidTr="00FF4B17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504F" w:rsidRPr="004B260C" w:rsidRDefault="005D504F" w:rsidP="005D50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5D504F" w:rsidRDefault="005D504F" w:rsidP="005D504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9B4C54" w:rsidRPr="00DC2DCC" w:rsidRDefault="00C345DB" w:rsidP="005D50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9B4C54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9B4C54" w:rsidRPr="00DC2DCC" w:rsidTr="00FF4B17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504F" w:rsidRPr="004B260C" w:rsidRDefault="005D504F" w:rsidP="005D50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5D504F" w:rsidRPr="004B260C" w:rsidRDefault="005D504F" w:rsidP="005D504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sz w:val="18"/>
                <w:szCs w:val="18"/>
              </w:rPr>
              <w:t xml:space="preserve">Biljana Tešić </w:t>
            </w:r>
          </w:p>
          <w:p w:rsidR="009B4C54" w:rsidRPr="00DC2DCC" w:rsidRDefault="00C345DB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5D504F" w:rsidRPr="00DD1C1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biljana.tesic@rzs.rs.ba</w:t>
              </w:r>
            </w:hyperlink>
          </w:p>
        </w:tc>
      </w:tr>
      <w:tr w:rsidR="009B4C54" w:rsidRPr="000744B4" w:rsidTr="00FF4B17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504F" w:rsidRPr="005D504F" w:rsidRDefault="005D504F" w:rsidP="005D50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D504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5D504F" w:rsidRPr="005D504F" w:rsidRDefault="005D504F" w:rsidP="005D504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</w:rPr>
              <w:t>Mirjana Bandur</w:t>
            </w:r>
          </w:p>
          <w:p w:rsidR="009B4C54" w:rsidRPr="00DC2DCC" w:rsidRDefault="00C345DB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9B4C54" w:rsidRPr="00DC2DCC" w:rsidTr="00FF4B17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504F" w:rsidRPr="004B260C" w:rsidRDefault="005D504F" w:rsidP="005D50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5D504F" w:rsidRPr="004B260C" w:rsidRDefault="005D504F" w:rsidP="005D504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B260C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9B4C54" w:rsidRPr="00DC2DCC" w:rsidRDefault="00C345DB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B4C54" w:rsidRPr="00DC2DCC" w:rsidRDefault="009B4C54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D504F" w:rsidRDefault="005D504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D504F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5D504F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5D504F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345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5D504F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5D504F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5072A5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04F" w:rsidRPr="005D504F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 and Editor in Chief</w:t>
            </w:r>
          </w:p>
          <w:p w:rsidR="005D504F" w:rsidRPr="005D504F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Republlika Srpska Institute of Statistics ,</w:t>
            </w:r>
          </w:p>
          <w:p w:rsidR="005D504F" w:rsidRPr="005D504F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5D504F" w:rsidRPr="005D504F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5D504F" w:rsidRPr="005D504F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277A6" w:rsidRDefault="005D504F" w:rsidP="005D50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D504F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5D504F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4B260C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C345DB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5" w:rsidRDefault="00F257E5">
      <w:r>
        <w:separator/>
      </w:r>
    </w:p>
  </w:endnote>
  <w:endnote w:type="continuationSeparator" w:id="0">
    <w:p w:rsidR="00F257E5" w:rsidRDefault="00F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345D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257E5" w:rsidRPr="00175687" w:rsidRDefault="00BC38B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345DB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345D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257E5" w:rsidRPr="00175687" w:rsidRDefault="00BC38B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345DB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5" w:rsidRDefault="00F257E5">
      <w:r>
        <w:separator/>
      </w:r>
    </w:p>
  </w:footnote>
  <w:footnote w:type="continuationSeparator" w:id="0">
    <w:p w:rsidR="00F257E5" w:rsidRDefault="00F2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5D504F" w:rsidRDefault="005D504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5D504F" w:rsidRDefault="005D504F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F294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0F294C"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="005D504F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May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="005D504F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 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8A0D7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 w:rsidR="000F294C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34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C345DB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2717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2D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2D3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579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3E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1F7B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3C4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A1F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2E5B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380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1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42E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D65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04F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4D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4F97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957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9A9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16C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4C54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0B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6E2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A3C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D19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5DB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477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11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1B8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5:docId w15:val="{98D31693-6C63-470F-96CC-9DD629AB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B03A3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biljana.tes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gnjicog\AppData\Local\Microsoft\Windows\Temporary%20Internet%20Files\Content.Outlook\MGF1XII8\Grafikon_2017%20(002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tojcevicsa\Desktop\SANJA\SPOLJNA%20TRGOVINA\za%20medije\Prezentacija,%20od%20avg2011\prezentacija%202017\april%202017\za%20Graf%20I-IV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841</c:v>
                </c:pt>
                <c:pt idx="2">
                  <c:v>845</c:v>
                </c:pt>
                <c:pt idx="3">
                  <c:v>838</c:v>
                </c:pt>
                <c:pt idx="4">
                  <c:v>838</c:v>
                </c:pt>
                <c:pt idx="5">
                  <c:v>834</c:v>
                </c:pt>
                <c:pt idx="6">
                  <c:v>837</c:v>
                </c:pt>
                <c:pt idx="7">
                  <c:v>839</c:v>
                </c:pt>
                <c:pt idx="8">
                  <c:v>835</c:v>
                </c:pt>
                <c:pt idx="9">
                  <c:v>815</c:v>
                </c:pt>
                <c:pt idx="10">
                  <c:v>848</c:v>
                </c:pt>
                <c:pt idx="11">
                  <c:v>828</c:v>
                </c:pt>
                <c:pt idx="12">
                  <c:v>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94-4C41-9526-45C7239EF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73768"/>
        <c:axId val="4975176"/>
      </c:lineChart>
      <c:catAx>
        <c:axId val="49737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975176"/>
        <c:crosses val="autoZero"/>
        <c:auto val="1"/>
        <c:lblAlgn val="ctr"/>
        <c:lblOffset val="100"/>
        <c:noMultiLvlLbl val="0"/>
      </c:catAx>
      <c:valAx>
        <c:axId val="497517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4973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64E-2"/>
          <c:w val="0.90069686411149863"/>
          <c:h val="0.7656903765690426"/>
        </c:manualLayout>
      </c:layout>
      <c:lineChart>
        <c:grouping val="standard"/>
        <c:varyColors val="0"/>
        <c:ser>
          <c:idx val="0"/>
          <c:order val="0"/>
          <c:tx>
            <c:strRef>
              <c:f>'[Grafikon_2017 (002).xlsx]april'!$C$3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'[Grafikon_2017 (002).xlsx]april'!$A$4:$B$16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'[Grafikon_2017 (002).xlsx]april'!$C$4:$C$16</c:f>
              <c:numCache>
                <c:formatCode>General</c:formatCode>
                <c:ptCount val="13"/>
                <c:pt idx="0" formatCode="0\.0">
                  <c:v>-1</c:v>
                </c:pt>
                <c:pt idx="1">
                  <c:v>0.1</c:v>
                </c:pt>
                <c:pt idx="2">
                  <c:v>-0.2</c:v>
                </c:pt>
                <c:pt idx="3">
                  <c:v>-0.3</c:v>
                </c:pt>
                <c:pt idx="4">
                  <c:v>-0.3</c:v>
                </c:pt>
                <c:pt idx="5">
                  <c:v>0.1</c:v>
                </c:pt>
                <c:pt idx="6">
                  <c:v>1.4</c:v>
                </c:pt>
                <c:pt idx="7">
                  <c:v>0.1</c:v>
                </c:pt>
                <c:pt idx="8">
                  <c:v>-0.1</c:v>
                </c:pt>
                <c:pt idx="9">
                  <c:v>0.9</c:v>
                </c:pt>
                <c:pt idx="10">
                  <c:v>0.1</c:v>
                </c:pt>
                <c:pt idx="11">
                  <c:v>0.1</c:v>
                </c:pt>
                <c:pt idx="12">
                  <c:v>-1.1000000000000001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41-47F0-A56F-9A8AE0F8E544}"/>
            </c:ext>
          </c:extLst>
        </c:ser>
        <c:ser>
          <c:idx val="1"/>
          <c:order val="1"/>
          <c:tx>
            <c:strRef>
              <c:f>'[Grafikon_2017 (002).xlsx]april'!$D$3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'[Grafikon_2017 (002).xlsx]april'!$A$4:$B$16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'[Grafikon_2017 (002).xlsx]april'!$D$4:$D$16</c:f>
              <c:numCache>
                <c:formatCode>General</c:formatCode>
                <c:ptCount val="13"/>
                <c:pt idx="0">
                  <c:v>-1.7</c:v>
                </c:pt>
                <c:pt idx="1">
                  <c:v>-1.6</c:v>
                </c:pt>
                <c:pt idx="2">
                  <c:v>-1.6</c:v>
                </c:pt>
                <c:pt idx="3" formatCode="0\.0">
                  <c:v>-1</c:v>
                </c:pt>
                <c:pt idx="4">
                  <c:v>-1.3</c:v>
                </c:pt>
                <c:pt idx="5">
                  <c:v>-1.2</c:v>
                </c:pt>
                <c:pt idx="6">
                  <c:v>-0.7</c:v>
                </c:pt>
                <c:pt idx="7">
                  <c:v>-0.3</c:v>
                </c:pt>
                <c:pt idx="8">
                  <c:v>-0.2</c:v>
                </c:pt>
                <c:pt idx="9">
                  <c:v>0.4</c:v>
                </c:pt>
                <c:pt idx="10">
                  <c:v>0.8</c:v>
                </c:pt>
                <c:pt idx="11">
                  <c:v>0.9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41-47F0-A56F-9A8AE0F8E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58400"/>
        <c:axId val="206962880"/>
      </c:lineChart>
      <c:catAx>
        <c:axId val="2069584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69628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696288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\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695840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56"/>
          <c:y val="0.87484060194481705"/>
          <c:w val="0.52264808362369708"/>
          <c:h val="8.368200836820126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2013</c:v>
                  </c:pt>
                  <c:pt idx="9">
                    <c:v>2014</c:v>
                  </c:pt>
                  <c:pt idx="21">
                    <c:v>2015</c:v>
                  </c:pt>
                  <c:pt idx="33">
                    <c:v>2016</c:v>
                  </c:pt>
                  <c:pt idx="45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109.55813236227482</c:v>
                </c:pt>
                <c:pt idx="1">
                  <c:v>102.75896737125626</c:v>
                </c:pt>
                <c:pt idx="2">
                  <c:v>105.17494153808531</c:v>
                </c:pt>
                <c:pt idx="3">
                  <c:v>110.55404823535262</c:v>
                </c:pt>
                <c:pt idx="4">
                  <c:v>106.71457488891289</c:v>
                </c:pt>
                <c:pt idx="5">
                  <c:v>100.72078775822813</c:v>
                </c:pt>
                <c:pt idx="6">
                  <c:v>102.13583766014388</c:v>
                </c:pt>
                <c:pt idx="7">
                  <c:v>105.28710687802371</c:v>
                </c:pt>
                <c:pt idx="8">
                  <c:v>106.01383472148922</c:v>
                </c:pt>
                <c:pt idx="9">
                  <c:v>106.96014338771239</c:v>
                </c:pt>
                <c:pt idx="10">
                  <c:v>105.01251166378565</c:v>
                </c:pt>
                <c:pt idx="11">
                  <c:v>101.70714830305553</c:v>
                </c:pt>
                <c:pt idx="12">
                  <c:v>103.66328869261746</c:v>
                </c:pt>
                <c:pt idx="13">
                  <c:v>102.37339102096219</c:v>
                </c:pt>
                <c:pt idx="14">
                  <c:v>104.50609318404165</c:v>
                </c:pt>
                <c:pt idx="15">
                  <c:v>106.22869712306388</c:v>
                </c:pt>
                <c:pt idx="16">
                  <c:v>99.610136527485636</c:v>
                </c:pt>
                <c:pt idx="17">
                  <c:v>109.39656592692924</c:v>
                </c:pt>
                <c:pt idx="18">
                  <c:v>108.41221220660513</c:v>
                </c:pt>
                <c:pt idx="19">
                  <c:v>107.86694656179438</c:v>
                </c:pt>
                <c:pt idx="20">
                  <c:v>105.39117695148889</c:v>
                </c:pt>
                <c:pt idx="21">
                  <c:v>109.17964493836514</c:v>
                </c:pt>
                <c:pt idx="22">
                  <c:v>110.30293280503534</c:v>
                </c:pt>
                <c:pt idx="23">
                  <c:v>104.26721599067157</c:v>
                </c:pt>
                <c:pt idx="24">
                  <c:v>106.7677837284491</c:v>
                </c:pt>
                <c:pt idx="25">
                  <c:v>109.25693918047935</c:v>
                </c:pt>
                <c:pt idx="26">
                  <c:v>109.53793844066708</c:v>
                </c:pt>
                <c:pt idx="27">
                  <c:v>107.95667033837964</c:v>
                </c:pt>
                <c:pt idx="28">
                  <c:v>110.05955325971145</c:v>
                </c:pt>
                <c:pt idx="29">
                  <c:v>105.47636106452036</c:v>
                </c:pt>
                <c:pt idx="30">
                  <c:v>109.55753912574811</c:v>
                </c:pt>
                <c:pt idx="31">
                  <c:v>108.31161576236586</c:v>
                </c:pt>
                <c:pt idx="32">
                  <c:v>105.41005446851446</c:v>
                </c:pt>
                <c:pt idx="33">
                  <c:v>103.3363549426593</c:v>
                </c:pt>
                <c:pt idx="34">
                  <c:v>115.39939774341411</c:v>
                </c:pt>
                <c:pt idx="35">
                  <c:v>123.46976887561513</c:v>
                </c:pt>
                <c:pt idx="36">
                  <c:v>111.50732721523852</c:v>
                </c:pt>
                <c:pt idx="37">
                  <c:v>115.78748633886788</c:v>
                </c:pt>
                <c:pt idx="38">
                  <c:v>114.22221731125556</c:v>
                </c:pt>
                <c:pt idx="39">
                  <c:v>115.52484333441743</c:v>
                </c:pt>
                <c:pt idx="40">
                  <c:v>118.17437110439785</c:v>
                </c:pt>
                <c:pt idx="41">
                  <c:v>119.98327170021405</c:v>
                </c:pt>
                <c:pt idx="42">
                  <c:v>116.9016401114323</c:v>
                </c:pt>
                <c:pt idx="43">
                  <c:v>118.68044698513896</c:v>
                </c:pt>
                <c:pt idx="44">
                  <c:v>124.74003390632308</c:v>
                </c:pt>
                <c:pt idx="45">
                  <c:v>122.74762510666002</c:v>
                </c:pt>
                <c:pt idx="46">
                  <c:v>120.26471269978232</c:v>
                </c:pt>
                <c:pt idx="47">
                  <c:v>118.36260112887756</c:v>
                </c:pt>
                <c:pt idx="48">
                  <c:v>124.68388119763249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2013</c:v>
                  </c:pt>
                  <c:pt idx="9">
                    <c:v>2014</c:v>
                  </c:pt>
                  <c:pt idx="21">
                    <c:v>2015</c:v>
                  </c:pt>
                  <c:pt idx="33">
                    <c:v>2016</c:v>
                  </c:pt>
                  <c:pt idx="45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103.31582512013723</c:v>
                </c:pt>
                <c:pt idx="1">
                  <c:v>103.61051300078387</c:v>
                </c:pt>
                <c:pt idx="2">
                  <c:v>103.88490314043059</c:v>
                </c:pt>
                <c:pt idx="3">
                  <c:v>104.12332966348816</c:v>
                </c:pt>
                <c:pt idx="4">
                  <c:v>104.15684187914053</c:v>
                </c:pt>
                <c:pt idx="5">
                  <c:v>104.11039019494417</c:v>
                </c:pt>
                <c:pt idx="6">
                  <c:v>104.17239463455886</c:v>
                </c:pt>
                <c:pt idx="7">
                  <c:v>104.31610013438612</c:v>
                </c:pt>
                <c:pt idx="8">
                  <c:v>104.43913346907777</c:v>
                </c:pt>
                <c:pt idx="9">
                  <c:v>104.50642498939675</c:v>
                </c:pt>
                <c:pt idx="10">
                  <c:v>104.49805978338189</c:v>
                </c:pt>
                <c:pt idx="11">
                  <c:v>104.48989062843017</c:v>
                </c:pt>
                <c:pt idx="12">
                  <c:v>104.56783917399601</c:v>
                </c:pt>
                <c:pt idx="13">
                  <c:v>104.71031559180625</c:v>
                </c:pt>
                <c:pt idx="14">
                  <c:v>104.93826531819255</c:v>
                </c:pt>
                <c:pt idx="15">
                  <c:v>105.17626165368837</c:v>
                </c:pt>
                <c:pt idx="16">
                  <c:v>105.44818341402086</c:v>
                </c:pt>
                <c:pt idx="17">
                  <c:v>105.85875516362508</c:v>
                </c:pt>
                <c:pt idx="18">
                  <c:v>106.22959508189271</c:v>
                </c:pt>
                <c:pt idx="19">
                  <c:v>106.49496456252227</c:v>
                </c:pt>
                <c:pt idx="20">
                  <c:v>106.75127446776285</c:v>
                </c:pt>
                <c:pt idx="21">
                  <c:v>107.04033260138212</c:v>
                </c:pt>
                <c:pt idx="22">
                  <c:v>107.27115222649689</c:v>
                </c:pt>
                <c:pt idx="23">
                  <c:v>107.43594307280767</c:v>
                </c:pt>
                <c:pt idx="24">
                  <c:v>107.69206442219293</c:v>
                </c:pt>
                <c:pt idx="25">
                  <c:v>108.01310268203463</c:v>
                </c:pt>
                <c:pt idx="26">
                  <c:v>108.29681958997018</c:v>
                </c:pt>
                <c:pt idx="27">
                  <c:v>108.57025179841065</c:v>
                </c:pt>
                <c:pt idx="28">
                  <c:v>108.84788698078812</c:v>
                </c:pt>
                <c:pt idx="29">
                  <c:v>109.14753821524472</c:v>
                </c:pt>
                <c:pt idx="30">
                  <c:v>109.54627571132815</c:v>
                </c:pt>
                <c:pt idx="31">
                  <c:v>110.00297191197252</c:v>
                </c:pt>
                <c:pt idx="32">
                  <c:v>110.52484273592724</c:v>
                </c:pt>
                <c:pt idx="33">
                  <c:v>111.27886878415823</c:v>
                </c:pt>
                <c:pt idx="34">
                  <c:v>112.31309254309011</c:v>
                </c:pt>
                <c:pt idx="35">
                  <c:v>113.26055598570143</c:v>
                </c:pt>
                <c:pt idx="36">
                  <c:v>113.95699735347753</c:v>
                </c:pt>
                <c:pt idx="37">
                  <c:v>114.67024626671689</c:v>
                </c:pt>
                <c:pt idx="38">
                  <c:v>115.42396113799131</c:v>
                </c:pt>
                <c:pt idx="39">
                  <c:v>116.20892335376762</c:v>
                </c:pt>
                <c:pt idx="40">
                  <c:v>117.05192850237546</c:v>
                </c:pt>
                <c:pt idx="41">
                  <c:v>117.86596420305484</c:v>
                </c:pt>
                <c:pt idx="42">
                  <c:v>118.64535831689031</c:v>
                </c:pt>
                <c:pt idx="43">
                  <c:v>119.49560386196086</c:v>
                </c:pt>
                <c:pt idx="44">
                  <c:v>120.37984268420145</c:v>
                </c:pt>
                <c:pt idx="45">
                  <c:v>121.16228443514339</c:v>
                </c:pt>
                <c:pt idx="46">
                  <c:v>121.89056947032546</c:v>
                </c:pt>
                <c:pt idx="47">
                  <c:v>122.71845747317754</c:v>
                </c:pt>
                <c:pt idx="48">
                  <c:v>123.69160014637494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24672"/>
        <c:axId val="206925056"/>
      </c:lineChart>
      <c:catAx>
        <c:axId val="20692467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06925056"/>
        <c:crosses val="autoZero"/>
        <c:auto val="1"/>
        <c:lblAlgn val="ctr"/>
        <c:lblOffset val="100"/>
        <c:noMultiLvlLbl val="0"/>
      </c:catAx>
      <c:valAx>
        <c:axId val="206925056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06924672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zaApr2017!$B$1:$N$1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zaApr2017!$B$2:$N$2</c:f>
              <c:numCache>
                <c:formatCode>General</c:formatCode>
                <c:ptCount val="13"/>
                <c:pt idx="0">
                  <c:v>421365</c:v>
                </c:pt>
                <c:pt idx="1">
                  <c:v>315075</c:v>
                </c:pt>
                <c:pt idx="2">
                  <c:v>413259</c:v>
                </c:pt>
                <c:pt idx="3">
                  <c:v>384444</c:v>
                </c:pt>
                <c:pt idx="4">
                  <c:v>357467</c:v>
                </c:pt>
                <c:pt idx="5">
                  <c:v>380274</c:v>
                </c:pt>
                <c:pt idx="6">
                  <c:v>372983</c:v>
                </c:pt>
                <c:pt idx="7">
                  <c:v>399617</c:v>
                </c:pt>
                <c:pt idx="8">
                  <c:v>448853</c:v>
                </c:pt>
                <c:pt idx="9">
                  <c:v>245314</c:v>
                </c:pt>
                <c:pt idx="10">
                  <c:v>371648</c:v>
                </c:pt>
                <c:pt idx="11">
                  <c:v>394414</c:v>
                </c:pt>
                <c:pt idx="12">
                  <c:v>441754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D8-4545-B9B7-B38F2A78AE61}"/>
            </c:ext>
          </c:extLst>
        </c:ser>
        <c:ser>
          <c:idx val="1"/>
          <c:order val="1"/>
          <c:tx>
            <c:strRef>
              <c:f>zaApr2017!$A$3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zaApr2017!$B$1:$N$1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zaApr2017!$B$3:$N$3</c:f>
              <c:numCache>
                <c:formatCode>0</c:formatCode>
                <c:ptCount val="13"/>
                <c:pt idx="0">
                  <c:v>228100</c:v>
                </c:pt>
                <c:pt idx="1">
                  <c:v>234236</c:v>
                </c:pt>
                <c:pt idx="2">
                  <c:v>248861</c:v>
                </c:pt>
                <c:pt idx="3">
                  <c:v>245925</c:v>
                </c:pt>
                <c:pt idx="4">
                  <c:v>229795</c:v>
                </c:pt>
                <c:pt idx="5">
                  <c:v>265272</c:v>
                </c:pt>
                <c:pt idx="6">
                  <c:v>250736</c:v>
                </c:pt>
                <c:pt idx="7">
                  <c:v>267042</c:v>
                </c:pt>
                <c:pt idx="8">
                  <c:v>260279</c:v>
                </c:pt>
                <c:pt idx="9">
                  <c:v>227183</c:v>
                </c:pt>
                <c:pt idx="10">
                  <c:v>250703</c:v>
                </c:pt>
                <c:pt idx="11">
                  <c:v>301006</c:v>
                </c:pt>
                <c:pt idx="12">
                  <c:v>267641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D8-4545-B9B7-B38F2A78A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159816"/>
        <c:axId val="205159424"/>
      </c:lineChart>
      <c:catAx>
        <c:axId val="20515981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05159424"/>
        <c:crosses val="autoZero"/>
        <c:auto val="1"/>
        <c:lblAlgn val="ctr"/>
        <c:lblOffset val="100"/>
        <c:noMultiLvlLbl val="0"/>
      </c:catAx>
      <c:valAx>
        <c:axId val="20515942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0" sourceLinked="0"/>
        <c:majorTickMark val="out"/>
        <c:minorTickMark val="none"/>
        <c:tickLblPos val="nextTo"/>
        <c:crossAx val="205159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0.57145</cdr:x>
      <cdr:y>0.88356</cdr:y>
    </cdr:from>
    <cdr:to>
      <cdr:x>0.74009</cdr:x>
      <cdr:y>0.98078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01308" y="2423784"/>
          <a:ext cx="885728" cy="26669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0.32364</cdr:x>
      <cdr:y>0.87935</cdr:y>
    </cdr:from>
    <cdr:to>
      <cdr:x>0.52124</cdr:x>
      <cdr:y>0.94683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699773" y="2412221"/>
          <a:ext cx="1037816" cy="1851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BA" sz="800" i="1">
              <a:latin typeface="Arial Narrow" panose="020B0606020202030204" pitchFamily="34" charset="0"/>
            </a:rPr>
            <a:t>Monthly</a:t>
          </a:r>
          <a:r>
            <a:rPr lang="sr-Latn-BA" sz="800" i="1" baseline="0">
              <a:latin typeface="Arial Narrow" panose="020B0606020202030204" pitchFamily="34" charset="0"/>
            </a:rPr>
            <a:t> inflation</a:t>
          </a:r>
          <a:endParaRPr lang="en-US" sz="800" i="1"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0.5715</cdr:x>
      <cdr:y>0.87128</cdr:y>
    </cdr:from>
    <cdr:to>
      <cdr:x>0.7691</cdr:x>
      <cdr:y>0.93876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3001563" y="2390092"/>
          <a:ext cx="1037816" cy="1851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sr-Latn-BA" sz="800" i="1">
              <a:latin typeface="Arial Narrow" panose="020B0606020202030204" pitchFamily="34" charset="0"/>
            </a:rPr>
            <a:t>Annual </a:t>
          </a:r>
          <a:r>
            <a:rPr lang="sr-Latn-BA" sz="800" i="1" baseline="0">
              <a:latin typeface="Arial Narrow" panose="020B0606020202030204" pitchFamily="34" charset="0"/>
            </a:rPr>
            <a:t>inflation</a:t>
          </a:r>
          <a:endParaRPr lang="en-US" sz="800" i="1">
            <a:latin typeface="Arial Narrow" panose="020B060602020203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0.37778</cdr:x>
      <cdr:y>0.87632</cdr:y>
    </cdr:from>
    <cdr:to>
      <cdr:x>0.52563</cdr:x>
      <cdr:y>0.9855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48319" y="2675467"/>
          <a:ext cx="958188" cy="3333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0.58633</cdr:x>
      <cdr:y>0.88203</cdr:y>
    </cdr:from>
    <cdr:to>
      <cdr:x>0.723</cdr:x>
      <cdr:y>0.9569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799892" y="2692910"/>
          <a:ext cx="885733" cy="22858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0.38173</cdr:x>
      <cdr:y>0.86359</cdr:y>
    </cdr:from>
    <cdr:to>
      <cdr:x>0.53062</cdr:x>
      <cdr:y>0.98346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73929" y="2636613"/>
          <a:ext cx="964889" cy="36597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BA" sz="800" i="1">
              <a:latin typeface="Arial Narrow" panose="020B0606020202030204" pitchFamily="34" charset="0"/>
            </a:rPr>
            <a:t>Seasonally</a:t>
          </a:r>
          <a:r>
            <a:rPr lang="sr-Latn-BA" sz="800" i="1" baseline="0">
              <a:latin typeface="Arial Narrow" panose="020B0606020202030204" pitchFamily="34" charset="0"/>
            </a:rPr>
            <a:t> adjusted </a:t>
          </a:r>
        </a:p>
        <a:p xmlns:a="http://schemas.openxmlformats.org/drawingml/2006/main">
          <a:r>
            <a:rPr lang="sr-Latn-BA" sz="800" i="1" baseline="0">
              <a:latin typeface="Arial Narrow" panose="020B0606020202030204" pitchFamily="34" charset="0"/>
            </a:rPr>
            <a:t>indices</a:t>
          </a:r>
          <a:endParaRPr lang="en-US" sz="800" i="1"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0.59126</cdr:x>
      <cdr:y>0.88013</cdr:y>
    </cdr:from>
    <cdr:to>
      <cdr:x>0.71326</cdr:x>
      <cdr:y>0.972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3831817" y="2687104"/>
          <a:ext cx="790672" cy="2804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sr-Latn-BA" sz="800" i="1">
              <a:latin typeface="Arial Narrow" panose="020B0606020202030204" pitchFamily="34" charset="0"/>
            </a:rPr>
            <a:t>Trend </a:t>
          </a:r>
          <a:r>
            <a:rPr lang="sr-Latn-BA" sz="800" i="1" baseline="0">
              <a:latin typeface="Arial Narrow" panose="020B0606020202030204" pitchFamily="34" charset="0"/>
            </a:rPr>
            <a:t>indices</a:t>
          </a:r>
          <a:endParaRPr lang="en-US" sz="800" i="1">
            <a:latin typeface="Arial Narrow" panose="020B060602020203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0.86726</cdr:x>
      <cdr:y>0.34212</cdr:y>
    </cdr:from>
    <cdr:to>
      <cdr:x>1</cdr:x>
      <cdr:y>0.44575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39551" y="886364"/>
          <a:ext cx="587669" cy="26848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0.87092</cdr:x>
      <cdr:y>0.45341</cdr:y>
    </cdr:from>
    <cdr:to>
      <cdr:x>1</cdr:x>
      <cdr:y>0.54163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855754" y="1174694"/>
          <a:ext cx="571466" cy="22856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0.87938</cdr:x>
      <cdr:y>0.34645</cdr:y>
    </cdr:from>
    <cdr:to>
      <cdr:x>0.9886</cdr:x>
      <cdr:y>0.45038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3893212" y="897571"/>
          <a:ext cx="483519" cy="26927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BA" sz="800" i="1">
              <a:latin typeface="Arial Narrow" panose="020B0606020202030204" pitchFamily="34" charset="0"/>
            </a:rPr>
            <a:t>Import</a:t>
          </a:r>
          <a:endParaRPr lang="en-US" sz="800" i="1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99D7-F358-4AEF-9B04-4B3B0398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8690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717</cp:revision>
  <cp:lastPrinted>2017-05-22T06:34:00Z</cp:lastPrinted>
  <dcterms:created xsi:type="dcterms:W3CDTF">2014-03-14T12:01:00Z</dcterms:created>
  <dcterms:modified xsi:type="dcterms:W3CDTF">2017-06-22T09:48:00Z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