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A40ECC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43D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A40ECC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March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6C418B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7</w:t>
            </w:r>
            <w:r w:rsidR="00A40ECC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,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</w:t>
            </w:r>
            <w:r w:rsidR="00A40ECC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No.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661787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62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6C418B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7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A40ECC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A40ECC" w:rsidP="006D71F8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March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6D71F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7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822BCF" w:rsidRDefault="00B6427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February</w:t>
      </w:r>
      <w:r w:rsidR="00E33D13" w:rsidRPr="00822BC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4E680B" w:rsidRPr="00822BC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48</w:t>
      </w:r>
      <w:r w:rsidR="00E33D13" w:rsidRPr="00822BC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822BCF" w:rsidRDefault="00CA0E20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CA0E20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CA0E20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CA0E20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 w:rsidR="007C412B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5F6D3F" w:rsidRPr="00822BCF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4E680B" w:rsidRPr="00822BCF">
        <w:rPr>
          <w:rFonts w:ascii="Arial Narrow" w:hAnsi="Arial Narrow" w:cs="Tahoma"/>
          <w:b/>
          <w:sz w:val="28"/>
          <w:szCs w:val="28"/>
          <w:lang w:val="ru-RU"/>
        </w:rPr>
        <w:t>86</w:t>
      </w:r>
      <w:r w:rsidR="00E33D13" w:rsidRPr="00822BCF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822BCF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CA0E20"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Pr="00CA0E20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CA0E20">
        <w:rPr>
          <w:rFonts w:ascii="Arial Narrow" w:hAnsi="Arial Narrow" w:cs="Tahoma"/>
          <w:b/>
          <w:i/>
          <w:sz w:val="28"/>
          <w:szCs w:val="28"/>
        </w:rPr>
        <w:t xml:space="preserve">Administrative and support services </w:t>
      </w:r>
      <w:r w:rsidR="00E33D13" w:rsidRPr="00822BCF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4E680B" w:rsidRPr="00822BCF">
        <w:rPr>
          <w:rFonts w:ascii="Arial Narrow" w:hAnsi="Arial Narrow" w:cs="Tahoma"/>
          <w:b/>
          <w:sz w:val="28"/>
          <w:szCs w:val="28"/>
          <w:lang w:val="sr-Cyrl-BA"/>
        </w:rPr>
        <w:t>40</w:t>
      </w:r>
      <w:r w:rsidR="00E33D13" w:rsidRPr="00822BCF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822BCF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822BCF">
        <w:rPr>
          <w:rFonts w:ascii="Tahoma" w:hAnsi="Tahoma" w:cs="Tahoma"/>
          <w:b/>
          <w:lang w:val="sr-Cyrl-CS"/>
        </w:rPr>
        <w:tab/>
      </w:r>
      <w:r w:rsidRPr="00822BCF">
        <w:rPr>
          <w:rFonts w:ascii="Tahoma" w:hAnsi="Tahoma" w:cs="Tahoma"/>
          <w:b/>
          <w:lang w:val="sr-Cyrl-CS"/>
        </w:rPr>
        <w:tab/>
      </w:r>
    </w:p>
    <w:p w:rsidR="00B82005" w:rsidRDefault="00AC0E9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AC0E9B">
        <w:rPr>
          <w:rFonts w:ascii="Arial Narrow" w:hAnsi="Arial Narrow" w:cs="Tahoma"/>
          <w:sz w:val="22"/>
        </w:rPr>
        <w:t>Average monthly net wage of employed persons in Republika Srpska paid in</w:t>
      </w:r>
      <w:r w:rsidRPr="00AC0E9B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 xml:space="preserve">February </w:t>
      </w:r>
      <w:r w:rsidR="00E33D13" w:rsidRPr="00822BCF">
        <w:rPr>
          <w:rFonts w:ascii="Arial Narrow" w:hAnsi="Arial Narrow" w:cs="Tahoma"/>
          <w:sz w:val="22"/>
          <w:lang w:val="sr-Cyrl-CS"/>
        </w:rPr>
        <w:t>201</w:t>
      </w:r>
      <w:r w:rsidR="002E75DE" w:rsidRPr="00822BCF">
        <w:rPr>
          <w:rFonts w:ascii="Arial Narrow" w:hAnsi="Arial Narrow" w:cs="Tahoma"/>
          <w:sz w:val="22"/>
          <w:lang w:val="sr-Cyrl-CS"/>
        </w:rPr>
        <w:t>7</w:t>
      </w:r>
      <w:r w:rsidR="00E33D13" w:rsidRPr="00822BCF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="00E33D13" w:rsidRPr="00822BCF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822BCF">
        <w:rPr>
          <w:rFonts w:ascii="Arial Narrow" w:hAnsi="Arial Narrow" w:cs="Tahoma"/>
          <w:sz w:val="22"/>
          <w:lang w:val="sr-Cyrl-CS"/>
        </w:rPr>
        <w:t>8</w:t>
      </w:r>
      <w:r w:rsidR="004E680B" w:rsidRPr="00822BCF">
        <w:rPr>
          <w:rFonts w:ascii="Arial Narrow" w:hAnsi="Arial Narrow" w:cs="Tahoma"/>
          <w:sz w:val="22"/>
          <w:lang w:val="sr-Cyrl-CS"/>
        </w:rPr>
        <w:t>48</w:t>
      </w:r>
      <w:r w:rsidR="00E33D13" w:rsidRPr="00822BCF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822BCF">
        <w:rPr>
          <w:rFonts w:ascii="Arial Narrow" w:hAnsi="Arial Narrow" w:cs="Tahoma"/>
          <w:sz w:val="22"/>
          <w:lang w:val="hr-HR"/>
        </w:rPr>
        <w:t>,</w:t>
      </w:r>
      <w:r w:rsidR="00E33D13" w:rsidRPr="00822BCF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while average monthly gross wage was</w:t>
      </w:r>
      <w:r w:rsidR="00E33D13" w:rsidRPr="00822BCF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1,</w:t>
      </w:r>
      <w:r w:rsidR="00E33D13" w:rsidRPr="00822BCF">
        <w:rPr>
          <w:rFonts w:ascii="Arial Narrow" w:hAnsi="Arial Narrow" w:cs="Tahoma"/>
          <w:sz w:val="22"/>
          <w:lang w:val="sr-Cyrl-CS"/>
        </w:rPr>
        <w:t>3</w:t>
      </w:r>
      <w:r w:rsidR="004E680B" w:rsidRPr="00822BCF">
        <w:rPr>
          <w:rFonts w:ascii="Arial Narrow" w:hAnsi="Arial Narrow" w:cs="Tahoma"/>
          <w:sz w:val="22"/>
          <w:lang w:val="sr-Cyrl-CS"/>
        </w:rPr>
        <w:t>58</w:t>
      </w:r>
      <w:r w:rsidR="00F0781C" w:rsidRPr="00822BCF">
        <w:rPr>
          <w:rFonts w:ascii="Arial Narrow" w:hAnsi="Arial Narrow" w:cs="Tahoma"/>
          <w:sz w:val="22"/>
          <w:lang w:val="sr-Cyrl-CS"/>
        </w:rPr>
        <w:t xml:space="preserve"> </w:t>
      </w:r>
      <w:r w:rsidR="00E33D13" w:rsidRPr="00822BCF">
        <w:rPr>
          <w:rFonts w:ascii="Arial Narrow" w:hAnsi="Arial Narrow" w:cs="Tahoma"/>
          <w:sz w:val="22"/>
          <w:lang w:val="sr-Cyrl-CS"/>
        </w:rPr>
        <w:t>КМ.</w:t>
      </w:r>
      <w:r w:rsidR="00B82005" w:rsidRPr="00822BCF">
        <w:rPr>
          <w:rFonts w:ascii="Arial Narrow" w:hAnsi="Arial Narrow" w:cs="Tahoma"/>
          <w:sz w:val="22"/>
          <w:lang w:val="sr-Cyrl-CS"/>
        </w:rPr>
        <w:t xml:space="preserve"> </w:t>
      </w:r>
    </w:p>
    <w:p w:rsidR="00D338BA" w:rsidRDefault="00D338B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D338BA" w:rsidRPr="00D338BA" w:rsidRDefault="00D338B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February 2016, average net wage paid in February 2017 was really 0.3% higher and compared to January 2017 it was really 3.9% higher. </w:t>
      </w:r>
    </w:p>
    <w:p w:rsidR="00B82005" w:rsidRPr="00822BCF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443D15" w:rsidRDefault="00D338B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increase in average net wage paid in February 2017, compared to January 2017, occurred mainly due to a large number of entities which had no payments in January, but did have them in February, while average wages of these entities are high and they employ a significant number of workers. </w:t>
      </w:r>
    </w:p>
    <w:p w:rsidR="00D338BA" w:rsidRDefault="00D338B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338BA" w:rsidRPr="00946568" w:rsidRDefault="00D338B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February 2017, </w:t>
      </w:r>
      <w:r w:rsidR="00946568">
        <w:rPr>
          <w:rFonts w:ascii="Arial Narrow" w:hAnsi="Arial Narrow" w:cs="Tahoma"/>
          <w:sz w:val="22"/>
        </w:rPr>
        <w:t xml:space="preserve">the highest average wage, by section of economic activities, was </w:t>
      </w:r>
      <w:r w:rsidR="00946568" w:rsidRPr="00946568">
        <w:rPr>
          <w:rFonts w:ascii="Arial Narrow" w:hAnsi="Arial Narrow" w:cs="Tahoma"/>
          <w:sz w:val="22"/>
          <w:lang w:val="sr-Latn-CS"/>
        </w:rPr>
        <w:t xml:space="preserve">paid in the section </w:t>
      </w:r>
      <w:r w:rsidR="00946568" w:rsidRPr="00946568">
        <w:rPr>
          <w:rFonts w:ascii="Arial Narrow" w:hAnsi="Arial Narrow" w:cs="Tahoma"/>
          <w:i/>
          <w:sz w:val="22"/>
        </w:rPr>
        <w:t>Financial and insurance activities</w:t>
      </w:r>
      <w:r w:rsidR="00946568" w:rsidRPr="00946568">
        <w:rPr>
          <w:rFonts w:ascii="Arial Narrow" w:hAnsi="Arial Narrow" w:cs="Tahoma"/>
          <w:sz w:val="22"/>
        </w:rPr>
        <w:t xml:space="preserve"> and it amounted to</w:t>
      </w:r>
      <w:r w:rsidR="00946568">
        <w:rPr>
          <w:rFonts w:ascii="Arial Narrow" w:hAnsi="Arial Narrow" w:cs="Tahoma"/>
          <w:sz w:val="22"/>
        </w:rPr>
        <w:t xml:space="preserve"> 1,286 KM. On the other hand, t</w:t>
      </w:r>
      <w:r w:rsidR="00946568" w:rsidRPr="00946568">
        <w:rPr>
          <w:rFonts w:ascii="Arial Narrow" w:hAnsi="Arial Narrow" w:cs="Tahoma"/>
          <w:sz w:val="22"/>
        </w:rPr>
        <w:t xml:space="preserve">he lowest average net wage in </w:t>
      </w:r>
      <w:r w:rsidR="00946568">
        <w:rPr>
          <w:rFonts w:ascii="Arial Narrow" w:hAnsi="Arial Narrow" w:cs="Tahoma"/>
          <w:sz w:val="22"/>
        </w:rPr>
        <w:t>February</w:t>
      </w:r>
      <w:r w:rsidR="00946568" w:rsidRPr="00946568">
        <w:rPr>
          <w:rFonts w:ascii="Arial Narrow" w:hAnsi="Arial Narrow" w:cs="Tahoma"/>
          <w:sz w:val="22"/>
        </w:rPr>
        <w:t xml:space="preserve"> 2017 was the one paid in the section </w:t>
      </w:r>
      <w:r w:rsidR="00946568" w:rsidRPr="00946568">
        <w:rPr>
          <w:rFonts w:ascii="Arial Narrow" w:hAnsi="Arial Narrow" w:cs="Tahoma"/>
          <w:i/>
          <w:sz w:val="22"/>
        </w:rPr>
        <w:t>Administrative and support service activities</w:t>
      </w:r>
      <w:r w:rsidR="00946568">
        <w:rPr>
          <w:rFonts w:ascii="Arial Narrow" w:hAnsi="Arial Narrow" w:cs="Tahoma"/>
          <w:i/>
          <w:sz w:val="22"/>
        </w:rPr>
        <w:t xml:space="preserve"> </w:t>
      </w:r>
      <w:r w:rsidR="00946568">
        <w:rPr>
          <w:rFonts w:ascii="Arial Narrow" w:hAnsi="Arial Narrow" w:cs="Tahoma"/>
          <w:sz w:val="22"/>
        </w:rPr>
        <w:t>540 KM.</w:t>
      </w:r>
    </w:p>
    <w:p w:rsidR="00B747A8" w:rsidRPr="00822BCF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E33D13" w:rsidRPr="009C378D" w:rsidRDefault="00946568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February 2017, </w:t>
      </w:r>
      <w:r w:rsidR="009C378D">
        <w:rPr>
          <w:rFonts w:ascii="Arial Narrow" w:hAnsi="Arial Narrow" w:cs="Tahoma"/>
          <w:sz w:val="22"/>
        </w:rPr>
        <w:t xml:space="preserve">compared to January 2017, a nominal increase in net wages was recorded in the sections </w:t>
      </w:r>
      <w:r w:rsidR="009C378D" w:rsidRPr="009C378D">
        <w:rPr>
          <w:rFonts w:ascii="Arial Narrow" w:hAnsi="Arial Narrow" w:cs="Tahoma"/>
          <w:i/>
          <w:sz w:val="22"/>
        </w:rPr>
        <w:t xml:space="preserve">Information and communication </w:t>
      </w:r>
      <w:r w:rsidR="009C378D">
        <w:rPr>
          <w:rFonts w:ascii="Arial Narrow" w:hAnsi="Arial Narrow" w:cs="Tahoma"/>
          <w:sz w:val="22"/>
        </w:rPr>
        <w:t xml:space="preserve">55.0%, </w:t>
      </w:r>
      <w:r w:rsidR="009C378D" w:rsidRPr="009C378D">
        <w:rPr>
          <w:rFonts w:ascii="Arial Narrow" w:hAnsi="Arial Narrow" w:cs="Tahoma"/>
          <w:i/>
          <w:sz w:val="22"/>
        </w:rPr>
        <w:t>Education</w:t>
      </w:r>
      <w:r w:rsidR="009C378D">
        <w:rPr>
          <w:rFonts w:ascii="Arial Narrow" w:hAnsi="Arial Narrow" w:cs="Tahoma"/>
          <w:sz w:val="22"/>
        </w:rPr>
        <w:t xml:space="preserve"> 18.0% and </w:t>
      </w:r>
      <w:r w:rsidR="009C378D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="009C378D">
        <w:rPr>
          <w:rFonts w:ascii="Arial Narrow" w:hAnsi="Arial Narrow" w:cs="Tahoma"/>
          <w:sz w:val="22"/>
        </w:rPr>
        <w:t xml:space="preserve">4.8%. </w:t>
      </w:r>
    </w:p>
    <w:p w:rsidR="00FF3EA0" w:rsidRDefault="00FF3EA0" w:rsidP="00E33D1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9C378D" w:rsidRPr="009C378D" w:rsidRDefault="009C378D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r w:rsidRPr="009C378D">
        <w:rPr>
          <w:rFonts w:ascii="Arial Narrow" w:hAnsi="Arial Narrow" w:cs="Tahoma"/>
          <w:i/>
          <w:sz w:val="22"/>
          <w:szCs w:val="22"/>
        </w:rPr>
        <w:t>Real estate activities</w:t>
      </w:r>
      <w:r>
        <w:rPr>
          <w:rFonts w:ascii="Arial Narrow" w:hAnsi="Arial Narrow" w:cs="Tahoma"/>
          <w:sz w:val="22"/>
          <w:szCs w:val="22"/>
        </w:rPr>
        <w:t xml:space="preserve"> 4.1%, </w:t>
      </w:r>
      <w:r w:rsidRPr="009C378D">
        <w:rPr>
          <w:rFonts w:ascii="Arial Narrow" w:hAnsi="Arial Narrow" w:cs="Tahoma"/>
          <w:i/>
          <w:sz w:val="22"/>
          <w:szCs w:val="22"/>
        </w:rPr>
        <w:t>Construction</w:t>
      </w:r>
      <w:r>
        <w:rPr>
          <w:rFonts w:ascii="Arial Narrow" w:hAnsi="Arial Narrow" w:cs="Tahoma"/>
          <w:sz w:val="22"/>
          <w:szCs w:val="22"/>
        </w:rPr>
        <w:t xml:space="preserve"> 2.6% and </w:t>
      </w:r>
      <w:r w:rsidRPr="009C378D">
        <w:rPr>
          <w:rFonts w:ascii="Arial Narrow" w:hAnsi="Arial Narrow" w:cs="Tahoma"/>
          <w:i/>
          <w:sz w:val="22"/>
          <w:szCs w:val="22"/>
        </w:rPr>
        <w:t>Transportation and storage</w:t>
      </w:r>
      <w:r>
        <w:rPr>
          <w:rFonts w:ascii="Arial Narrow" w:hAnsi="Arial Narrow" w:cs="Tahoma"/>
          <w:sz w:val="22"/>
          <w:szCs w:val="22"/>
        </w:rPr>
        <w:t xml:space="preserve"> 2.4%. </w:t>
      </w:r>
    </w:p>
    <w:p w:rsidR="00396802" w:rsidRPr="00822BCF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822BCF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22BCF">
        <w:rPr>
          <w:rFonts w:ascii="Tahoma" w:hAnsi="Tahoma" w:cs="Tahoma"/>
          <w:i/>
          <w:sz w:val="14"/>
          <w:lang w:val="sr-Cyrl-CS"/>
        </w:rPr>
        <w:t xml:space="preserve"> </w:t>
      </w:r>
      <w:r w:rsidRPr="00822BCF">
        <w:rPr>
          <w:rFonts w:ascii="Tahoma" w:hAnsi="Tahoma" w:cs="Tahoma"/>
          <w:sz w:val="14"/>
          <w:lang w:val="sr-Cyrl-CS"/>
        </w:rPr>
        <w:t xml:space="preserve">   </w:t>
      </w:r>
      <w:r w:rsidRPr="00822BCF">
        <w:rPr>
          <w:rFonts w:ascii="Tahoma" w:hAnsi="Tahoma" w:cs="Tahoma"/>
          <w:sz w:val="14"/>
          <w:lang w:val="sr-Latn-CS"/>
        </w:rPr>
        <w:tab/>
      </w:r>
      <w:r w:rsidRPr="00822BCF">
        <w:rPr>
          <w:rFonts w:ascii="Tahoma" w:hAnsi="Tahoma" w:cs="Tahoma"/>
          <w:sz w:val="14"/>
          <w:lang w:val="sr-Latn-CS"/>
        </w:rPr>
        <w:tab/>
      </w:r>
      <w:r w:rsidRPr="00822BCF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22BCF">
        <w:rPr>
          <w:rFonts w:ascii="Tahoma" w:hAnsi="Tahoma" w:cs="Tahoma"/>
          <w:sz w:val="14"/>
          <w:lang w:val="sr-Cyrl-BA"/>
        </w:rPr>
        <w:t xml:space="preserve">   </w:t>
      </w:r>
      <w:r w:rsidRPr="00822BCF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822BCF" w:rsidRDefault="00AD485B" w:rsidP="00E33D13">
      <w:pPr>
        <w:jc w:val="center"/>
        <w:rPr>
          <w:rFonts w:ascii="Tahoma" w:hAnsi="Tahoma" w:cs="Tahoma"/>
          <w:lang w:val="sr-Cyrl-BA"/>
        </w:rPr>
      </w:pPr>
      <w:r w:rsidRPr="00822BCF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1021356</wp:posOffset>
            </wp:positionH>
            <wp:positionV relativeFrom="paragraph">
              <wp:posOffset>2053176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822BCF">
        <w:rPr>
          <w:rFonts w:ascii="Tahoma" w:hAnsi="Tahoma" w:cs="Tahoma"/>
          <w:szCs w:val="18"/>
          <w:lang w:val="sr-Cyrl-BA"/>
        </w:rPr>
        <w:t xml:space="preserve">   </w:t>
      </w:r>
      <w:r w:rsidR="00B20655" w:rsidRPr="00822BCF"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22BCF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F15830" w:rsidRDefault="00F15830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822BCF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822BCF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822BCF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822BCF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822BCF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Default="004832EC">
      <w:pPr>
        <w:rPr>
          <w:rFonts w:ascii="Arial Narrow" w:hAnsi="Arial Narrow" w:cs="Tahoma"/>
          <w:sz w:val="22"/>
          <w:lang w:val="sr-Latn-BA"/>
        </w:rPr>
      </w:pPr>
    </w:p>
    <w:p w:rsidR="004B7C01" w:rsidRPr="00822BCF" w:rsidRDefault="004B7C01">
      <w:pPr>
        <w:rPr>
          <w:rFonts w:ascii="Arial Narrow" w:hAnsi="Arial Narrow" w:cs="Tahoma"/>
          <w:sz w:val="22"/>
          <w:lang w:val="sr-Latn-BA"/>
        </w:rPr>
      </w:pPr>
    </w:p>
    <w:p w:rsidR="00A67668" w:rsidRPr="00822BCF" w:rsidRDefault="00A67668">
      <w:pPr>
        <w:rPr>
          <w:rFonts w:ascii="Arial Narrow" w:hAnsi="Arial Narrow" w:cs="Tahoma"/>
          <w:sz w:val="22"/>
          <w:lang w:val="sr-Latn-BA"/>
        </w:rPr>
      </w:pPr>
    </w:p>
    <w:p w:rsidR="00AD0CFD" w:rsidRPr="00A053C2" w:rsidRDefault="00A053C2" w:rsidP="00AD0CFD">
      <w:pPr>
        <w:jc w:val="both"/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Monthly inflation</w:t>
      </w:r>
      <w:r w:rsidR="00AD0CFD"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Cyrl-BA"/>
        </w:rPr>
        <w:t>0.</w:t>
      </w:r>
      <w:r w:rsidR="00BB6036" w:rsidRPr="00822BCF">
        <w:rPr>
          <w:rFonts w:ascii="Arial Narrow" w:hAnsi="Arial Narrow" w:cs="Tahoma"/>
          <w:b/>
          <w:sz w:val="30"/>
          <w:szCs w:val="30"/>
          <w:lang w:val="sr-Cyrl-BA"/>
        </w:rPr>
        <w:t>1</w:t>
      </w:r>
      <w:r w:rsidR="00AD0CFD" w:rsidRPr="00822BCF">
        <w:rPr>
          <w:rFonts w:ascii="Arial Narrow" w:hAnsi="Arial Narrow" w:cs="Tahoma"/>
          <w:b/>
          <w:sz w:val="30"/>
          <w:szCs w:val="30"/>
          <w:lang w:val="sr-Cyrl-BA"/>
        </w:rPr>
        <w:t>%</w:t>
      </w:r>
      <w:r>
        <w:rPr>
          <w:rFonts w:ascii="Arial Narrow" w:hAnsi="Arial Narrow" w:cs="Tahoma"/>
          <w:b/>
          <w:sz w:val="30"/>
          <w:szCs w:val="30"/>
        </w:rPr>
        <w:t xml:space="preserve"> in February 2017</w:t>
      </w:r>
    </w:p>
    <w:p w:rsidR="00AD0CFD" w:rsidRPr="00822BCF" w:rsidRDefault="00A053C2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AD0CFD"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February</w:t>
      </w:r>
      <w:r w:rsidR="00B21A93" w:rsidRPr="00822BCF">
        <w:rPr>
          <w:rFonts w:ascii="Arial Narrow" w:hAnsi="Arial Narrow" w:cs="Tahoma"/>
          <w:b/>
          <w:sz w:val="30"/>
          <w:szCs w:val="30"/>
          <w:lang w:val="sr-Cyrl-BA"/>
        </w:rPr>
        <w:t xml:space="preserve"> 2017</w:t>
      </w:r>
      <w:r w:rsidR="00AD0CFD" w:rsidRPr="00822BCF">
        <w:rPr>
          <w:rFonts w:ascii="Arial Narrow" w:hAnsi="Arial Narrow" w:cs="Tahoma"/>
          <w:b/>
          <w:sz w:val="30"/>
          <w:szCs w:val="30"/>
          <w:lang w:val="sr-Cyrl-BA"/>
        </w:rPr>
        <w:t>/</w:t>
      </w:r>
      <w:r>
        <w:rPr>
          <w:rFonts w:ascii="Arial Narrow" w:hAnsi="Arial Narrow" w:cs="Tahoma"/>
          <w:b/>
          <w:sz w:val="30"/>
          <w:szCs w:val="30"/>
          <w:lang w:val="sr-Cyrl-BA"/>
        </w:rPr>
        <w:t>February 2016) 0.</w:t>
      </w:r>
      <w:r w:rsidR="00BB6036" w:rsidRPr="00822BCF">
        <w:rPr>
          <w:rFonts w:ascii="Arial Narrow" w:hAnsi="Arial Narrow" w:cs="Tahoma"/>
          <w:b/>
          <w:sz w:val="30"/>
          <w:szCs w:val="30"/>
          <w:lang w:val="sr-Cyrl-BA"/>
        </w:rPr>
        <w:t>8</w:t>
      </w:r>
      <w:r w:rsidR="00AD0CFD" w:rsidRPr="00822BCF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AD0CFD" w:rsidRPr="00822BCF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A053C2" w:rsidRDefault="00A053C2" w:rsidP="00BB6036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053C2">
        <w:rPr>
          <w:rFonts w:ascii="Arial Narrow" w:hAnsi="Arial Narrow" w:cs="Tahoma"/>
          <w:sz w:val="22"/>
          <w:szCs w:val="22"/>
        </w:rPr>
        <w:t xml:space="preserve">Prices of products and services for personal consumption in Republika Srpska, measured with the consumer price index, in </w:t>
      </w:r>
      <w:r>
        <w:rPr>
          <w:rFonts w:ascii="Arial Narrow" w:hAnsi="Arial Narrow" w:cs="Tahoma"/>
          <w:sz w:val="22"/>
          <w:szCs w:val="22"/>
        </w:rPr>
        <w:t>February 2017</w:t>
      </w:r>
      <w:r w:rsidRPr="00A053C2">
        <w:rPr>
          <w:rFonts w:ascii="Arial Narrow" w:hAnsi="Arial Narrow" w:cs="Tahoma"/>
          <w:sz w:val="22"/>
          <w:szCs w:val="22"/>
        </w:rPr>
        <w:t xml:space="preserve">, compared to the previous month, were on the average 0.1% </w:t>
      </w:r>
      <w:r>
        <w:rPr>
          <w:rFonts w:ascii="Arial Narrow" w:hAnsi="Arial Narrow" w:cs="Tahoma"/>
          <w:sz w:val="22"/>
          <w:szCs w:val="22"/>
        </w:rPr>
        <w:t>higher, while they were 0.8</w:t>
      </w:r>
      <w:r w:rsidRPr="00A053C2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>higher</w:t>
      </w:r>
      <w:r w:rsidRPr="00A053C2">
        <w:rPr>
          <w:rFonts w:ascii="Arial Narrow" w:hAnsi="Arial Narrow" w:cs="Tahoma"/>
          <w:sz w:val="22"/>
          <w:szCs w:val="22"/>
        </w:rPr>
        <w:t xml:space="preserve"> at the annual level.</w:t>
      </w:r>
    </w:p>
    <w:p w:rsidR="00A053C2" w:rsidRDefault="00A053C2" w:rsidP="00BB6036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053C2">
        <w:rPr>
          <w:rFonts w:ascii="Arial Narrow" w:hAnsi="Arial Narrow" w:cs="Tahoma"/>
          <w:sz w:val="22"/>
          <w:szCs w:val="22"/>
        </w:rPr>
        <w:t xml:space="preserve">Of the main 12 divisions of products and services, an increase in prices was recorded in </w:t>
      </w:r>
      <w:r>
        <w:rPr>
          <w:rFonts w:ascii="Arial Narrow" w:hAnsi="Arial Narrow" w:cs="Tahoma"/>
          <w:sz w:val="22"/>
          <w:szCs w:val="22"/>
        </w:rPr>
        <w:t>three</w:t>
      </w:r>
      <w:r w:rsidRPr="00A053C2">
        <w:rPr>
          <w:rFonts w:ascii="Arial Narrow" w:hAnsi="Arial Narrow" w:cs="Tahoma"/>
          <w:sz w:val="22"/>
          <w:szCs w:val="22"/>
        </w:rPr>
        <w:t xml:space="preserve"> divisions, a decrease was recorded in </w:t>
      </w:r>
      <w:r>
        <w:rPr>
          <w:rFonts w:ascii="Arial Narrow" w:hAnsi="Arial Narrow" w:cs="Tahoma"/>
          <w:sz w:val="22"/>
          <w:szCs w:val="22"/>
        </w:rPr>
        <w:t>six</w:t>
      </w:r>
      <w:r w:rsidRPr="00A053C2">
        <w:rPr>
          <w:rFonts w:ascii="Arial Narrow" w:hAnsi="Arial Narrow" w:cs="Tahoma"/>
          <w:sz w:val="22"/>
          <w:szCs w:val="22"/>
        </w:rPr>
        <w:t xml:space="preserve"> divisions, while prices in </w:t>
      </w:r>
      <w:r>
        <w:rPr>
          <w:rFonts w:ascii="Arial Narrow" w:hAnsi="Arial Narrow" w:cs="Tahoma"/>
          <w:sz w:val="22"/>
          <w:szCs w:val="22"/>
        </w:rPr>
        <w:t>three</w:t>
      </w:r>
      <w:r w:rsidRPr="00A053C2">
        <w:rPr>
          <w:rFonts w:ascii="Arial Narrow" w:hAnsi="Arial Narrow" w:cs="Tahoma"/>
          <w:sz w:val="22"/>
          <w:szCs w:val="22"/>
        </w:rPr>
        <w:t xml:space="preserve"> divisions remained on the average at the same level</w:t>
      </w:r>
      <w:r>
        <w:rPr>
          <w:rFonts w:ascii="Arial Narrow" w:hAnsi="Arial Narrow" w:cs="Tahoma"/>
          <w:sz w:val="22"/>
          <w:szCs w:val="22"/>
        </w:rPr>
        <w:t>.</w:t>
      </w:r>
    </w:p>
    <w:p w:rsidR="00A053C2" w:rsidRDefault="00A053C2" w:rsidP="00BB6036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in February was recorded in the division </w:t>
      </w:r>
      <w:r w:rsidRPr="0082225D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 (0.8%), due to higher (seasonal) prices in the group fruit by 7.3% and in the group vegetables by 5.3%, as well as a result of higher purchase prices in the groups other food products 0.8%, oils and fats 0.7% and non-alcoholic beverages 0.7%. An increase in the division </w:t>
      </w:r>
      <w:r w:rsidRPr="0082225D">
        <w:rPr>
          <w:rFonts w:ascii="Arial Narrow" w:hAnsi="Arial Narrow" w:cs="Tahoma"/>
          <w:i/>
          <w:sz w:val="22"/>
          <w:szCs w:val="22"/>
        </w:rPr>
        <w:t>Transport</w:t>
      </w:r>
      <w:r>
        <w:rPr>
          <w:rFonts w:ascii="Arial Narrow" w:hAnsi="Arial Narrow" w:cs="Tahoma"/>
          <w:sz w:val="22"/>
          <w:szCs w:val="22"/>
        </w:rPr>
        <w:t xml:space="preserve"> was recorded in the group transport services, by 1.7%, due to higher prices of </w:t>
      </w:r>
      <w:r w:rsidR="0082225D">
        <w:rPr>
          <w:rFonts w:ascii="Arial Narrow" w:hAnsi="Arial Narrow" w:cs="Tahoma"/>
          <w:sz w:val="22"/>
          <w:szCs w:val="22"/>
        </w:rPr>
        <w:t xml:space="preserve">public transport. In the division </w:t>
      </w:r>
      <w:r w:rsidR="0082225D" w:rsidRPr="0082225D">
        <w:rPr>
          <w:rFonts w:ascii="Arial Narrow" w:hAnsi="Arial Narrow" w:cs="Tahoma"/>
          <w:i/>
          <w:sz w:val="22"/>
          <w:szCs w:val="22"/>
        </w:rPr>
        <w:t>Health</w:t>
      </w:r>
      <w:r w:rsidR="0082225D">
        <w:rPr>
          <w:rFonts w:ascii="Arial Narrow" w:hAnsi="Arial Narrow" w:cs="Tahoma"/>
          <w:sz w:val="22"/>
          <w:szCs w:val="22"/>
        </w:rPr>
        <w:t xml:space="preserve"> </w:t>
      </w:r>
      <w:r w:rsidR="0082225D" w:rsidRPr="0082225D">
        <w:rPr>
          <w:rFonts w:ascii="Arial Narrow" w:hAnsi="Arial Narrow" w:cs="Tahoma"/>
          <w:i/>
          <w:sz w:val="22"/>
          <w:szCs w:val="22"/>
        </w:rPr>
        <w:t>care</w:t>
      </w:r>
      <w:r w:rsidR="0082225D">
        <w:rPr>
          <w:rFonts w:ascii="Arial Narrow" w:hAnsi="Arial Narrow" w:cs="Tahoma"/>
          <w:sz w:val="22"/>
          <w:szCs w:val="22"/>
        </w:rPr>
        <w:t xml:space="preserve">, an increase in prices by 0.2% occurred due to higher purchase prices in the group pharmaceutical products. </w:t>
      </w:r>
    </w:p>
    <w:p w:rsidR="00BB6036" w:rsidRDefault="0082225D" w:rsidP="00BB6036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divisions </w:t>
      </w:r>
      <w:r w:rsidRPr="0082225D">
        <w:rPr>
          <w:rFonts w:ascii="Arial Narrow" w:hAnsi="Arial Narrow" w:cs="Tahoma"/>
          <w:i/>
          <w:sz w:val="22"/>
          <w:szCs w:val="22"/>
        </w:rPr>
        <w:t>Housing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82225D">
        <w:rPr>
          <w:rFonts w:ascii="Arial Narrow" w:hAnsi="Arial Narrow" w:cs="Tahoma"/>
          <w:i/>
          <w:sz w:val="22"/>
          <w:szCs w:val="22"/>
        </w:rPr>
        <w:t>Communication</w:t>
      </w:r>
      <w:r>
        <w:rPr>
          <w:rFonts w:ascii="Arial Narrow" w:hAnsi="Arial Narrow" w:cs="Tahoma"/>
          <w:sz w:val="22"/>
          <w:szCs w:val="22"/>
        </w:rPr>
        <w:t xml:space="preserve"> and </w:t>
      </w:r>
      <w:r w:rsidRPr="0082225D">
        <w:rPr>
          <w:rFonts w:ascii="Arial Narrow" w:hAnsi="Arial Narrow" w:cs="Tahoma"/>
          <w:i/>
          <w:sz w:val="22"/>
          <w:szCs w:val="22"/>
        </w:rPr>
        <w:t>Education</w:t>
      </w:r>
      <w:r>
        <w:rPr>
          <w:rFonts w:ascii="Arial Narrow" w:hAnsi="Arial Narrow" w:cs="Tahoma"/>
          <w:sz w:val="22"/>
          <w:szCs w:val="22"/>
        </w:rPr>
        <w:t xml:space="preserve"> prices remained on the average at the same level. </w:t>
      </w:r>
    </w:p>
    <w:p w:rsidR="0082225D" w:rsidRDefault="0082225D" w:rsidP="00BB6036">
      <w:pPr>
        <w:jc w:val="both"/>
        <w:rPr>
          <w:rFonts w:ascii="Arial Narrow" w:hAnsi="Arial Narrow" w:cs="Tahoma"/>
          <w:sz w:val="22"/>
          <w:szCs w:val="22"/>
        </w:rPr>
      </w:pPr>
    </w:p>
    <w:p w:rsidR="0082225D" w:rsidRPr="0082225D" w:rsidRDefault="0082225D" w:rsidP="00BB6036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February was recorded in the division </w:t>
      </w:r>
      <w:r w:rsidRPr="0082225D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(1.5%), due to further seasonal discounts, followed </w:t>
      </w:r>
      <w:r w:rsidRPr="0082225D">
        <w:rPr>
          <w:rFonts w:ascii="Arial Narrow" w:hAnsi="Arial Narrow" w:cs="Tahoma"/>
          <w:sz w:val="22"/>
          <w:szCs w:val="22"/>
        </w:rPr>
        <w:t xml:space="preserve">by the division </w:t>
      </w:r>
      <w:r w:rsidRPr="0082225D">
        <w:rPr>
          <w:rFonts w:ascii="Arial Narrow" w:hAnsi="Arial Narrow" w:cs="Tahoma"/>
          <w:i/>
          <w:sz w:val="22"/>
          <w:szCs w:val="22"/>
        </w:rPr>
        <w:t>Other goods and services</w:t>
      </w:r>
      <w:r w:rsidRPr="0082225D">
        <w:rPr>
          <w:rFonts w:ascii="Arial Narrow" w:hAnsi="Arial Narrow" w:cs="Tahoma"/>
          <w:sz w:val="22"/>
          <w:szCs w:val="22"/>
        </w:rPr>
        <w:t xml:space="preserve"> (0.7%), </w:t>
      </w:r>
      <w:r>
        <w:rPr>
          <w:rFonts w:ascii="Arial Narrow" w:hAnsi="Arial Narrow" w:cs="Tahoma"/>
          <w:sz w:val="22"/>
          <w:szCs w:val="22"/>
        </w:rPr>
        <w:t xml:space="preserve">namely in the group personal care products by 1.9%. In the division </w:t>
      </w:r>
      <w:r w:rsidRPr="0082225D">
        <w:rPr>
          <w:rFonts w:ascii="Arial Narrow" w:hAnsi="Arial Narrow" w:cs="Tahoma"/>
          <w:i/>
          <w:sz w:val="22"/>
          <w:szCs w:val="22"/>
        </w:rPr>
        <w:t>Furnishing and other equipment</w:t>
      </w:r>
      <w:r>
        <w:rPr>
          <w:rFonts w:ascii="Arial Narrow" w:hAnsi="Arial Narrow" w:cs="Tahoma"/>
          <w:sz w:val="22"/>
          <w:szCs w:val="22"/>
        </w:rPr>
        <w:t xml:space="preserve"> (0.5%), lower prices were recorded in the group</w:t>
      </w:r>
      <w:r w:rsidR="005B4139">
        <w:rPr>
          <w:rFonts w:ascii="Arial Narrow" w:hAnsi="Arial Narrow" w:cs="Tahoma"/>
          <w:sz w:val="22"/>
          <w:szCs w:val="22"/>
        </w:rPr>
        <w:t xml:space="preserve"> household maintenance products by 1.3%. </w:t>
      </w:r>
      <w:r w:rsidR="009428C9">
        <w:rPr>
          <w:rFonts w:ascii="Arial Narrow" w:hAnsi="Arial Narrow" w:cs="Tahoma"/>
          <w:sz w:val="22"/>
          <w:szCs w:val="22"/>
        </w:rPr>
        <w:t xml:space="preserve">Lower prices in February were also recorded in the divisions </w:t>
      </w:r>
      <w:r w:rsidR="009428C9" w:rsidRPr="009428C9">
        <w:rPr>
          <w:rFonts w:ascii="Arial Narrow" w:hAnsi="Arial Narrow" w:cs="Tahoma"/>
          <w:i/>
          <w:sz w:val="22"/>
          <w:szCs w:val="22"/>
        </w:rPr>
        <w:t>Recreation and culture</w:t>
      </w:r>
      <w:r w:rsidR="009428C9">
        <w:rPr>
          <w:rFonts w:ascii="Arial Narrow" w:hAnsi="Arial Narrow" w:cs="Tahoma"/>
          <w:sz w:val="22"/>
          <w:szCs w:val="22"/>
        </w:rPr>
        <w:t xml:space="preserve"> (0.4%), </w:t>
      </w:r>
      <w:r w:rsidR="009428C9" w:rsidRPr="009428C9">
        <w:rPr>
          <w:rFonts w:ascii="Arial Narrow" w:hAnsi="Arial Narrow" w:cs="Tahoma"/>
          <w:i/>
          <w:sz w:val="22"/>
          <w:szCs w:val="22"/>
        </w:rPr>
        <w:t xml:space="preserve">Alcoholic beverages and tobacco </w:t>
      </w:r>
      <w:r w:rsidR="009428C9">
        <w:rPr>
          <w:rFonts w:ascii="Arial Narrow" w:hAnsi="Arial Narrow" w:cs="Tahoma"/>
          <w:sz w:val="22"/>
          <w:szCs w:val="22"/>
        </w:rPr>
        <w:t xml:space="preserve">(0.2%) and </w:t>
      </w:r>
      <w:r w:rsidR="009428C9" w:rsidRPr="009428C9">
        <w:rPr>
          <w:rFonts w:ascii="Arial Narrow" w:hAnsi="Arial Narrow" w:cs="Tahoma"/>
          <w:i/>
          <w:sz w:val="22"/>
          <w:szCs w:val="22"/>
        </w:rPr>
        <w:t>Restaurants and hotels</w:t>
      </w:r>
      <w:r w:rsidR="009428C9">
        <w:rPr>
          <w:rFonts w:ascii="Arial Narrow" w:hAnsi="Arial Narrow" w:cs="Tahoma"/>
          <w:sz w:val="22"/>
          <w:szCs w:val="22"/>
        </w:rPr>
        <w:t xml:space="preserve"> (0.1%). </w:t>
      </w:r>
    </w:p>
    <w:p w:rsidR="00A84EEC" w:rsidRPr="00822BCF" w:rsidRDefault="00A84EEC" w:rsidP="00B21A93">
      <w:pPr>
        <w:jc w:val="both"/>
        <w:rPr>
          <w:rFonts w:ascii="Tahoma" w:hAnsi="Tahoma" w:cs="Tahoma"/>
          <w:lang w:val="sr-Cyrl-BA"/>
        </w:rPr>
      </w:pPr>
    </w:p>
    <w:p w:rsidR="00662317" w:rsidRPr="00822BCF" w:rsidRDefault="00A7179C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noProof/>
        </w:rPr>
        <w:drawing>
          <wp:inline distT="0" distB="0" distL="0" distR="0" wp14:anchorId="53127F13" wp14:editId="07A1CD0E">
            <wp:extent cx="5467350" cy="2915728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603E9A" w:rsidRDefault="00603E9A" w:rsidP="009856D8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9856D8" w:rsidRPr="00822BCF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C07571" w:rsidRPr="00822BCF">
        <w:rPr>
          <w:rFonts w:ascii="Arial Narrow" w:hAnsi="Arial Narrow" w:cs="Tahoma"/>
          <w:sz w:val="16"/>
          <w:szCs w:val="16"/>
          <w:lang w:val="sr-Cyrl-BA"/>
        </w:rPr>
        <w:t>2</w:t>
      </w:r>
      <w:r w:rsidR="009856D8" w:rsidRPr="00822BCF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A67668" w:rsidRPr="00822BCF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822BCF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E27E1" w:rsidRPr="00822BCF" w:rsidRDefault="001D738F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BA"/>
        </w:rPr>
      </w:pPr>
      <w:r w:rsidRPr="001D738F">
        <w:rPr>
          <w:rFonts w:ascii="Arial Narrow" w:hAnsi="Arial Narrow" w:cs="Tahoma"/>
          <w:b/>
          <w:bCs/>
          <w:sz w:val="30"/>
          <w:szCs w:val="30"/>
        </w:rPr>
        <w:t>Working-day adjusted industrial production</w:t>
      </w:r>
      <w:r w:rsidRPr="001D738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2E27E1" w:rsidRPr="00822BCF">
        <w:rPr>
          <w:rFonts w:ascii="Arial Narrow" w:hAnsi="Arial Narrow" w:cs="Tahoma"/>
          <w:b/>
          <w:sz w:val="30"/>
          <w:szCs w:val="30"/>
          <w:lang w:val="sr-Cyrl-CS"/>
        </w:rPr>
        <w:t>(</w:t>
      </w:r>
      <w:r>
        <w:rPr>
          <w:rFonts w:ascii="Arial Narrow" w:hAnsi="Arial Narrow" w:cs="Tahoma"/>
          <w:b/>
          <w:sz w:val="30"/>
          <w:szCs w:val="30"/>
        </w:rPr>
        <w:t xml:space="preserve">February </w:t>
      </w:r>
      <w:r w:rsidR="002E27E1" w:rsidRPr="00822BCF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="002E27E1" w:rsidRPr="00822BCF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2E27E1" w:rsidRPr="00822BCF">
        <w:rPr>
          <w:rFonts w:ascii="Arial Narrow" w:hAnsi="Arial Narrow" w:cs="Tahoma"/>
          <w:b/>
          <w:sz w:val="30"/>
          <w:szCs w:val="30"/>
          <w:lang w:val="sr-Cyrl-BA"/>
        </w:rPr>
        <w:t>7</w:t>
      </w:r>
      <w:r>
        <w:rPr>
          <w:rFonts w:ascii="Arial Narrow" w:hAnsi="Arial Narrow" w:cs="Tahoma"/>
          <w:b/>
          <w:sz w:val="30"/>
          <w:szCs w:val="30"/>
          <w:lang w:val="sr-Latn-BA"/>
        </w:rPr>
        <w:t>/February</w:t>
      </w:r>
      <w:r w:rsidR="002E27E1" w:rsidRPr="00822B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2E27E1" w:rsidRPr="00822BCF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2E27E1" w:rsidRPr="00822BCF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="002E27E1" w:rsidRPr="00822BCF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2E27E1" w:rsidRPr="00822B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2E27E1" w:rsidRPr="00822B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2E27E1" w:rsidRPr="00822BCF">
        <w:rPr>
          <w:rFonts w:ascii="Arial Narrow" w:hAnsi="Arial Narrow" w:cs="Tahoma"/>
          <w:b/>
          <w:bCs/>
          <w:sz w:val="30"/>
          <w:szCs w:val="30"/>
          <w:lang w:val="sr-Cyrl-BA"/>
        </w:rPr>
        <w:t>3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2E27E1" w:rsidRPr="00822BCF">
        <w:rPr>
          <w:rFonts w:ascii="Arial Narrow" w:hAnsi="Arial Narrow" w:cs="Tahoma"/>
          <w:b/>
          <w:bCs/>
          <w:sz w:val="30"/>
          <w:szCs w:val="30"/>
          <w:lang w:val="sr-Cyrl-BA"/>
        </w:rPr>
        <w:t>9</w:t>
      </w:r>
      <w:r w:rsidR="002E27E1" w:rsidRPr="00822BCF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2E27E1" w:rsidRPr="00822BCF" w:rsidRDefault="001D738F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2E27E1" w:rsidRPr="00822BCF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</w:rPr>
        <w:t>February</w:t>
      </w:r>
      <w:r w:rsidR="002E27E1" w:rsidRPr="00822BCF">
        <w:rPr>
          <w:rFonts w:ascii="Arial Narrow" w:hAnsi="Arial Narrow" w:cs="Tahoma"/>
          <w:b/>
          <w:sz w:val="28"/>
          <w:lang w:val="ru-RU"/>
        </w:rPr>
        <w:t xml:space="preserve"> 201</w:t>
      </w:r>
      <w:r w:rsidR="002E27E1" w:rsidRPr="00822BCF">
        <w:rPr>
          <w:rFonts w:ascii="Arial Narrow" w:hAnsi="Arial Narrow" w:cs="Tahoma"/>
          <w:b/>
          <w:sz w:val="28"/>
          <w:lang w:val="sr-Cyrl-BA"/>
        </w:rPr>
        <w:t>7</w:t>
      </w:r>
      <w:r w:rsidR="002E27E1" w:rsidRPr="00822BCF">
        <w:rPr>
          <w:rFonts w:ascii="Arial Narrow" w:hAnsi="Arial Narrow" w:cs="Tahoma"/>
          <w:b/>
          <w:sz w:val="28"/>
          <w:lang w:val="ru-RU"/>
        </w:rPr>
        <w:t>/</w:t>
      </w:r>
      <w:r>
        <w:rPr>
          <w:rFonts w:ascii="Arial Narrow" w:hAnsi="Arial Narrow" w:cs="Tahoma"/>
          <w:b/>
          <w:sz w:val="28"/>
        </w:rPr>
        <w:t>February</w:t>
      </w:r>
      <w:r w:rsidR="002E27E1" w:rsidRPr="00822BCF">
        <w:rPr>
          <w:rFonts w:ascii="Arial Narrow" w:hAnsi="Arial Narrow" w:cs="Tahoma"/>
          <w:b/>
          <w:sz w:val="28"/>
          <w:lang w:val="ru-RU"/>
        </w:rPr>
        <w:t xml:space="preserve"> 201</w:t>
      </w:r>
      <w:r w:rsidR="002E27E1" w:rsidRPr="00822BCF">
        <w:rPr>
          <w:rFonts w:ascii="Arial Narrow" w:hAnsi="Arial Narrow" w:cs="Tahoma"/>
          <w:b/>
          <w:sz w:val="28"/>
          <w:lang w:val="sr-Cyrl-BA"/>
        </w:rPr>
        <w:t>6</w:t>
      </w:r>
      <w:r w:rsidR="002E27E1" w:rsidRPr="00822BCF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>
        <w:rPr>
          <w:rFonts w:ascii="Arial Narrow" w:hAnsi="Arial Narrow" w:cs="Tahoma"/>
          <w:b/>
          <w:sz w:val="28"/>
          <w:lang w:val="ru-RU"/>
        </w:rPr>
        <w:t xml:space="preserve"> 3.</w:t>
      </w:r>
      <w:r w:rsidR="002E27E1" w:rsidRPr="00822BCF">
        <w:rPr>
          <w:rFonts w:ascii="Arial Narrow" w:hAnsi="Arial Narrow" w:cs="Tahoma"/>
          <w:b/>
          <w:sz w:val="28"/>
          <w:lang w:val="ru-RU"/>
        </w:rPr>
        <w:t>4%</w:t>
      </w:r>
    </w:p>
    <w:p w:rsidR="002E27E1" w:rsidRPr="00822BCF" w:rsidRDefault="002E27E1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722D04" w:rsidRDefault="00722D04" w:rsidP="002E27E1">
      <w:pPr>
        <w:jc w:val="both"/>
        <w:rPr>
          <w:rFonts w:ascii="Arial Narrow" w:hAnsi="Arial Narrow" w:cs="Tahoma"/>
          <w:b/>
          <w:sz w:val="22"/>
          <w:lang w:val="sr-Cyrl-CS"/>
        </w:rPr>
      </w:pPr>
      <w:r w:rsidRPr="00722D04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722D04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February 2017</w:t>
      </w:r>
      <w:r w:rsidRPr="00722D04">
        <w:rPr>
          <w:rFonts w:ascii="Arial Narrow" w:hAnsi="Arial Narrow" w:cs="Tahoma"/>
          <w:sz w:val="22"/>
        </w:rPr>
        <w:t xml:space="preserve">, compared to </w:t>
      </w:r>
      <w:r>
        <w:rPr>
          <w:rFonts w:ascii="Arial Narrow" w:hAnsi="Arial Narrow" w:cs="Tahoma"/>
          <w:sz w:val="22"/>
        </w:rPr>
        <w:t>February 2016</w:t>
      </w:r>
      <w:r w:rsidRPr="00722D04">
        <w:rPr>
          <w:rFonts w:ascii="Arial Narrow" w:hAnsi="Arial Narrow" w:cs="Tahoma"/>
          <w:sz w:val="22"/>
        </w:rPr>
        <w:t xml:space="preserve">, increased by </w:t>
      </w:r>
      <w:r>
        <w:rPr>
          <w:rFonts w:ascii="Arial Narrow" w:hAnsi="Arial Narrow" w:cs="Tahoma"/>
          <w:sz w:val="22"/>
        </w:rPr>
        <w:t>3.9</w:t>
      </w:r>
      <w:r w:rsidRPr="00722D04">
        <w:rPr>
          <w:rFonts w:ascii="Arial Narrow" w:hAnsi="Arial Narrow" w:cs="Tahoma"/>
          <w:sz w:val="22"/>
        </w:rPr>
        <w:t xml:space="preserve">%. In the section </w:t>
      </w:r>
      <w:r>
        <w:rPr>
          <w:rFonts w:ascii="Arial Narrow" w:hAnsi="Arial Narrow" w:cs="Tahoma"/>
          <w:i/>
          <w:sz w:val="22"/>
        </w:rPr>
        <w:t>Mining and quarrying</w:t>
      </w:r>
      <w:r w:rsidRPr="00722D04">
        <w:rPr>
          <w:rFonts w:ascii="Arial Narrow" w:hAnsi="Arial Narrow" w:cs="Tahoma"/>
          <w:sz w:val="22"/>
        </w:rPr>
        <w:t xml:space="preserve"> an increase by </w:t>
      </w:r>
      <w:r>
        <w:rPr>
          <w:rFonts w:ascii="Arial Narrow" w:hAnsi="Arial Narrow" w:cs="Tahoma"/>
          <w:sz w:val="22"/>
        </w:rPr>
        <w:t>7.6</w:t>
      </w:r>
      <w:r w:rsidR="003A7FBA">
        <w:rPr>
          <w:rFonts w:ascii="Arial Narrow" w:hAnsi="Arial Narrow" w:cs="Tahoma"/>
          <w:sz w:val="22"/>
        </w:rPr>
        <w:t xml:space="preserve">% was recorded and </w:t>
      </w:r>
      <w:r w:rsidRPr="00722D04">
        <w:rPr>
          <w:rFonts w:ascii="Arial Narrow" w:hAnsi="Arial Narrow" w:cs="Tahoma"/>
          <w:sz w:val="22"/>
        </w:rPr>
        <w:t>in the section</w:t>
      </w:r>
      <w:r w:rsidR="003A7FBA">
        <w:rPr>
          <w:rFonts w:ascii="Arial Narrow" w:hAnsi="Arial Narrow" w:cs="Tahoma"/>
          <w:sz w:val="22"/>
        </w:rPr>
        <w:t>s</w:t>
      </w:r>
      <w:r w:rsidRPr="00722D04">
        <w:rPr>
          <w:rFonts w:ascii="Arial Narrow" w:hAnsi="Arial Narrow" w:cs="Tahoma"/>
          <w:sz w:val="22"/>
        </w:rPr>
        <w:t xml:space="preserve"> </w:t>
      </w:r>
      <w:r w:rsidR="003A7FBA">
        <w:rPr>
          <w:rFonts w:ascii="Arial Narrow" w:hAnsi="Arial Narrow" w:cs="Tahoma"/>
          <w:i/>
          <w:sz w:val="22"/>
        </w:rPr>
        <w:t xml:space="preserve">Manufacturing </w:t>
      </w:r>
      <w:r w:rsidR="003A7FBA">
        <w:rPr>
          <w:rFonts w:ascii="Arial Narrow" w:hAnsi="Arial Narrow" w:cs="Tahoma"/>
          <w:sz w:val="22"/>
        </w:rPr>
        <w:t xml:space="preserve">and </w:t>
      </w:r>
      <w:r w:rsidR="003A7FBA">
        <w:rPr>
          <w:rFonts w:ascii="Arial Narrow" w:hAnsi="Arial Narrow" w:cs="Tahoma"/>
          <w:i/>
          <w:sz w:val="22"/>
        </w:rPr>
        <w:t>Electricity, gas, steam and air-conditioning supply</w:t>
      </w:r>
      <w:r w:rsidRPr="00722D04">
        <w:rPr>
          <w:rFonts w:ascii="Arial Narrow" w:hAnsi="Arial Narrow" w:cs="Tahoma"/>
          <w:sz w:val="22"/>
        </w:rPr>
        <w:t xml:space="preserve"> an increase by </w:t>
      </w:r>
      <w:r w:rsidR="003A7FBA">
        <w:rPr>
          <w:rFonts w:ascii="Arial Narrow" w:hAnsi="Arial Narrow" w:cs="Tahoma"/>
          <w:sz w:val="22"/>
        </w:rPr>
        <w:t>4.7</w:t>
      </w:r>
      <w:r w:rsidRPr="00722D04">
        <w:rPr>
          <w:rFonts w:ascii="Arial Narrow" w:hAnsi="Arial Narrow" w:cs="Tahoma"/>
          <w:sz w:val="22"/>
        </w:rPr>
        <w:t xml:space="preserve">% was recorded. By main industrial group, based on economic purpose of products, working day-adjusted production of </w:t>
      </w:r>
      <w:r w:rsidR="003A7FBA">
        <w:rPr>
          <w:rFonts w:ascii="Arial Narrow" w:hAnsi="Arial Narrow" w:cs="Tahoma"/>
          <w:sz w:val="22"/>
        </w:rPr>
        <w:t>capital goods</w:t>
      </w:r>
      <w:r w:rsidRPr="00722D04">
        <w:rPr>
          <w:rFonts w:ascii="Arial Narrow" w:hAnsi="Arial Narrow" w:cs="Tahoma"/>
          <w:sz w:val="22"/>
        </w:rPr>
        <w:t xml:space="preserve"> in </w:t>
      </w:r>
      <w:r w:rsidR="003A7FBA" w:rsidRPr="003A7FBA">
        <w:rPr>
          <w:rFonts w:ascii="Arial Narrow" w:hAnsi="Arial Narrow" w:cs="Tahoma"/>
          <w:sz w:val="22"/>
        </w:rPr>
        <w:t xml:space="preserve">February </w:t>
      </w:r>
      <w:r w:rsidR="003A7FBA">
        <w:rPr>
          <w:rFonts w:ascii="Arial Narrow" w:hAnsi="Arial Narrow" w:cs="Tahoma"/>
          <w:sz w:val="22"/>
        </w:rPr>
        <w:t>2017</w:t>
      </w:r>
      <w:r w:rsidRPr="00722D04">
        <w:rPr>
          <w:rFonts w:ascii="Arial Narrow" w:hAnsi="Arial Narrow" w:cs="Tahoma"/>
          <w:sz w:val="22"/>
        </w:rPr>
        <w:t xml:space="preserve">, compared to </w:t>
      </w:r>
      <w:r w:rsidR="003A7FBA" w:rsidRPr="003A7FBA">
        <w:rPr>
          <w:rFonts w:ascii="Arial Narrow" w:hAnsi="Arial Narrow" w:cs="Tahoma"/>
          <w:sz w:val="22"/>
        </w:rPr>
        <w:t xml:space="preserve">February </w:t>
      </w:r>
      <w:r w:rsidR="003A7FBA">
        <w:rPr>
          <w:rFonts w:ascii="Arial Narrow" w:hAnsi="Arial Narrow" w:cs="Tahoma"/>
          <w:sz w:val="22"/>
        </w:rPr>
        <w:t>2016</w:t>
      </w:r>
      <w:r w:rsidRPr="00722D04">
        <w:rPr>
          <w:rFonts w:ascii="Arial Narrow" w:hAnsi="Arial Narrow" w:cs="Tahoma"/>
          <w:sz w:val="22"/>
        </w:rPr>
        <w:t xml:space="preserve">, was </w:t>
      </w:r>
      <w:r w:rsidR="003A7FBA">
        <w:rPr>
          <w:rFonts w:ascii="Arial Narrow" w:hAnsi="Arial Narrow" w:cs="Tahoma"/>
          <w:sz w:val="22"/>
        </w:rPr>
        <w:t>12.5</w:t>
      </w:r>
      <w:r w:rsidRPr="00722D04">
        <w:rPr>
          <w:rFonts w:ascii="Arial Narrow" w:hAnsi="Arial Narrow" w:cs="Tahoma"/>
          <w:sz w:val="22"/>
        </w:rPr>
        <w:t xml:space="preserve">% higher, production </w:t>
      </w:r>
      <w:r w:rsidR="003A7FBA">
        <w:rPr>
          <w:rFonts w:ascii="Arial Narrow" w:hAnsi="Arial Narrow" w:cs="Tahoma"/>
          <w:sz w:val="22"/>
        </w:rPr>
        <w:t>of energy</w:t>
      </w:r>
      <w:r w:rsidRPr="00722D04">
        <w:rPr>
          <w:rFonts w:ascii="Arial Narrow" w:hAnsi="Arial Narrow" w:cs="Tahoma"/>
          <w:sz w:val="22"/>
        </w:rPr>
        <w:t xml:space="preserve"> was </w:t>
      </w:r>
      <w:r w:rsidR="003A7FBA">
        <w:rPr>
          <w:rFonts w:ascii="Arial Narrow" w:hAnsi="Arial Narrow" w:cs="Tahoma"/>
          <w:sz w:val="22"/>
        </w:rPr>
        <w:t>11.9</w:t>
      </w:r>
      <w:r w:rsidRPr="00722D04">
        <w:rPr>
          <w:rFonts w:ascii="Arial Narrow" w:hAnsi="Arial Narrow" w:cs="Tahoma"/>
          <w:sz w:val="22"/>
        </w:rPr>
        <w:t>% higher and production of</w:t>
      </w:r>
      <w:r w:rsidR="003A7FBA">
        <w:rPr>
          <w:rFonts w:ascii="Arial Narrow" w:hAnsi="Arial Narrow" w:cs="Tahoma"/>
          <w:sz w:val="22"/>
        </w:rPr>
        <w:t xml:space="preserve"> intermediate goods was 1.2</w:t>
      </w:r>
      <w:r w:rsidRPr="00722D04">
        <w:rPr>
          <w:rFonts w:ascii="Arial Narrow" w:hAnsi="Arial Narrow" w:cs="Tahoma"/>
          <w:sz w:val="22"/>
        </w:rPr>
        <w:t xml:space="preserve">% higher, while production of consumer </w:t>
      </w:r>
      <w:r w:rsidR="003A7FBA">
        <w:rPr>
          <w:rFonts w:ascii="Arial Narrow" w:hAnsi="Arial Narrow" w:cs="Tahoma"/>
          <w:sz w:val="22"/>
        </w:rPr>
        <w:t>non-</w:t>
      </w:r>
      <w:r w:rsidRPr="00722D04">
        <w:rPr>
          <w:rFonts w:ascii="Arial Narrow" w:hAnsi="Arial Narrow" w:cs="Tahoma"/>
          <w:sz w:val="22"/>
        </w:rPr>
        <w:t xml:space="preserve">durables was </w:t>
      </w:r>
      <w:r w:rsidR="003A7FBA">
        <w:rPr>
          <w:rFonts w:ascii="Arial Narrow" w:hAnsi="Arial Narrow" w:cs="Tahoma"/>
          <w:sz w:val="22"/>
        </w:rPr>
        <w:t>6.1</w:t>
      </w:r>
      <w:r w:rsidRPr="00722D04">
        <w:rPr>
          <w:rFonts w:ascii="Arial Narrow" w:hAnsi="Arial Narrow" w:cs="Tahoma"/>
          <w:sz w:val="22"/>
        </w:rPr>
        <w:t>% lower</w:t>
      </w:r>
      <w:r w:rsidR="003A7FBA">
        <w:rPr>
          <w:rFonts w:ascii="Arial Narrow" w:hAnsi="Arial Narrow" w:cs="Tahoma"/>
          <w:sz w:val="22"/>
        </w:rPr>
        <w:t xml:space="preserve"> and production of consumer durables was 11</w:t>
      </w:r>
      <w:r w:rsidRPr="00722D04">
        <w:rPr>
          <w:rFonts w:ascii="Arial Narrow" w:hAnsi="Arial Narrow" w:cs="Tahoma"/>
          <w:sz w:val="22"/>
        </w:rPr>
        <w:t>.3% lower</w:t>
      </w:r>
      <w:r w:rsidR="003A7FBA">
        <w:rPr>
          <w:rFonts w:ascii="Arial Narrow" w:hAnsi="Arial Narrow" w:cs="Tahoma"/>
          <w:sz w:val="22"/>
        </w:rPr>
        <w:t>.</w:t>
      </w:r>
    </w:p>
    <w:p w:rsidR="002E27E1" w:rsidRPr="00822BCF" w:rsidRDefault="002E27E1" w:rsidP="002E27E1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C535A4" w:rsidRPr="00C535A4" w:rsidRDefault="00C535A4" w:rsidP="002E27E1">
      <w:pPr>
        <w:jc w:val="both"/>
        <w:rPr>
          <w:rFonts w:ascii="Arial Narrow" w:hAnsi="Arial Narrow" w:cs="Tahoma"/>
          <w:b/>
          <w:sz w:val="22"/>
        </w:rPr>
      </w:pPr>
      <w:r w:rsidRPr="00C535A4">
        <w:rPr>
          <w:rFonts w:ascii="Arial Narrow" w:hAnsi="Arial Narrow" w:cs="Tahoma"/>
          <w:b/>
          <w:sz w:val="22"/>
          <w:lang w:val="ru-RU"/>
        </w:rPr>
        <w:t>Number of employees in industry</w:t>
      </w:r>
      <w:r w:rsidRPr="00C535A4">
        <w:rPr>
          <w:rFonts w:ascii="Arial Narrow" w:hAnsi="Arial Narrow" w:cs="Tahoma"/>
          <w:sz w:val="22"/>
          <w:lang w:val="ru-RU"/>
        </w:rPr>
        <w:t xml:space="preserve"> in </w:t>
      </w:r>
      <w:r w:rsidRPr="00C535A4">
        <w:rPr>
          <w:rFonts w:ascii="Arial Narrow" w:hAnsi="Arial Narrow" w:cs="Tahoma"/>
          <w:sz w:val="22"/>
        </w:rPr>
        <w:t xml:space="preserve">February </w:t>
      </w:r>
      <w:r>
        <w:rPr>
          <w:rFonts w:ascii="Arial Narrow" w:hAnsi="Arial Narrow" w:cs="Tahoma"/>
          <w:sz w:val="22"/>
          <w:lang w:val="ru-RU"/>
        </w:rPr>
        <w:t>2017</w:t>
      </w:r>
      <w:r w:rsidRPr="00C535A4">
        <w:rPr>
          <w:rFonts w:ascii="Arial Narrow" w:hAnsi="Arial Narrow" w:cs="Tahoma"/>
          <w:sz w:val="22"/>
          <w:lang w:val="ru-RU"/>
        </w:rPr>
        <w:t>, compared to the average montly nu</w:t>
      </w:r>
      <w:r>
        <w:rPr>
          <w:rFonts w:ascii="Arial Narrow" w:hAnsi="Arial Narrow" w:cs="Tahoma"/>
          <w:sz w:val="22"/>
          <w:lang w:val="ru-RU"/>
        </w:rPr>
        <w:t>mber of employed persons in 2016</w:t>
      </w:r>
      <w:r>
        <w:rPr>
          <w:rFonts w:ascii="Arial Narrow" w:hAnsi="Arial Narrow" w:cs="Tahoma"/>
          <w:sz w:val="22"/>
        </w:rPr>
        <w:t>,</w:t>
      </w:r>
      <w:r w:rsidRPr="00C535A4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 1.8% higher</w:t>
      </w:r>
      <w:r w:rsidRPr="00C535A4">
        <w:rPr>
          <w:rFonts w:ascii="Arial Narrow" w:hAnsi="Arial Narrow" w:cs="Tahoma"/>
          <w:sz w:val="22"/>
          <w:lang w:val="ru-RU"/>
        </w:rPr>
        <w:t xml:space="preserve">. </w:t>
      </w:r>
      <w:r>
        <w:rPr>
          <w:rFonts w:ascii="Arial Narrow" w:hAnsi="Arial Narrow" w:cs="Tahoma"/>
          <w:sz w:val="22"/>
        </w:rPr>
        <w:t>Compared to the same month of the previous year it was 3.4% higher and compared to January 2017 it was 0.4% higher</w:t>
      </w:r>
      <w:r w:rsidRPr="00C535A4">
        <w:rPr>
          <w:rFonts w:ascii="Arial Narrow" w:hAnsi="Arial Narrow" w:cs="Tahoma"/>
          <w:sz w:val="22"/>
          <w:lang w:val="ru-RU"/>
        </w:rPr>
        <w:t xml:space="preserve">. Number of employees in industry in the period January – </w:t>
      </w:r>
      <w:r>
        <w:rPr>
          <w:rFonts w:ascii="Arial Narrow" w:hAnsi="Arial Narrow" w:cs="Tahoma"/>
          <w:sz w:val="22"/>
        </w:rPr>
        <w:t>February</w:t>
      </w:r>
      <w:r>
        <w:rPr>
          <w:rFonts w:ascii="Arial Narrow" w:hAnsi="Arial Narrow" w:cs="Tahoma"/>
          <w:sz w:val="22"/>
          <w:lang w:val="ru-RU"/>
        </w:rPr>
        <w:t xml:space="preserve"> 2017</w:t>
      </w:r>
      <w:r w:rsidRPr="00C535A4">
        <w:rPr>
          <w:rFonts w:ascii="Arial Narrow" w:hAnsi="Arial Narrow" w:cs="Tahoma"/>
          <w:sz w:val="22"/>
          <w:lang w:val="ru-RU"/>
        </w:rPr>
        <w:t xml:space="preserve">, compared to the same period of the previous year, was </w:t>
      </w:r>
      <w:r>
        <w:rPr>
          <w:rFonts w:ascii="Arial Narrow" w:hAnsi="Arial Narrow" w:cs="Tahoma"/>
          <w:sz w:val="22"/>
        </w:rPr>
        <w:t>3.5</w:t>
      </w:r>
      <w:r w:rsidRPr="00C535A4">
        <w:rPr>
          <w:rFonts w:ascii="Arial Narrow" w:hAnsi="Arial Narrow" w:cs="Tahoma"/>
          <w:sz w:val="22"/>
          <w:lang w:val="ru-RU"/>
        </w:rPr>
        <w:t xml:space="preserve">% higher. During the same period, in the section </w:t>
      </w:r>
      <w:r w:rsidRPr="00C535A4">
        <w:rPr>
          <w:rFonts w:ascii="Arial Narrow" w:hAnsi="Arial Narrow" w:cs="Tahoma"/>
          <w:i/>
          <w:sz w:val="22"/>
        </w:rPr>
        <w:t>Mining and quarrying</w:t>
      </w:r>
      <w:r w:rsidRPr="00C535A4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 xml:space="preserve">and in the section </w:t>
      </w:r>
      <w:r w:rsidRPr="00C535A4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an increase by 3.7% was recorded and in the section </w:t>
      </w:r>
      <w:r w:rsidRPr="00C535A4">
        <w:rPr>
          <w:rFonts w:ascii="Arial Narrow" w:hAnsi="Arial Narrow" w:cs="Tahoma"/>
          <w:i/>
          <w:sz w:val="22"/>
        </w:rPr>
        <w:t>Electricity, gas, steam and air-conditioning supply</w:t>
      </w:r>
      <w:r w:rsidRPr="00C535A4">
        <w:rPr>
          <w:rFonts w:ascii="Arial Narrow" w:hAnsi="Arial Narrow" w:cs="Tahoma"/>
          <w:sz w:val="22"/>
        </w:rPr>
        <w:t xml:space="preserve"> an increase by</w:t>
      </w:r>
      <w:r>
        <w:rPr>
          <w:rFonts w:ascii="Arial Narrow" w:hAnsi="Arial Narrow" w:cs="Tahoma"/>
          <w:sz w:val="22"/>
        </w:rPr>
        <w:t xml:space="preserve"> 2.3%. </w:t>
      </w:r>
    </w:p>
    <w:p w:rsidR="000213F8" w:rsidRPr="00822BCF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822BCF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822BCF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822BCF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822BCF">
        <w:rPr>
          <w:rFonts w:ascii="Tahoma" w:hAnsi="Tahoma" w:cs="Tahoma"/>
          <w:iCs/>
          <w:noProof/>
          <w:sz w:val="18"/>
          <w:szCs w:val="18"/>
        </w:rPr>
        <w:drawing>
          <wp:inline distT="0" distB="0" distL="0" distR="0">
            <wp:extent cx="6480810" cy="3053080"/>
            <wp:effectExtent l="0" t="0" r="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822BCF" w:rsidRDefault="00603E9A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2E27E1" w:rsidRPr="00822BCF">
        <w:rPr>
          <w:rFonts w:ascii="Arial Narrow" w:hAnsi="Arial Narrow" w:cs="Tahoma"/>
          <w:sz w:val="16"/>
          <w:szCs w:val="16"/>
          <w:lang w:val="sr-Latn-CS"/>
        </w:rPr>
        <w:t xml:space="preserve"> 3. </w:t>
      </w:r>
      <w:r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2E27E1" w:rsidRPr="00822BCF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February</w:t>
      </w:r>
      <w:r w:rsidR="002E27E1" w:rsidRPr="00822BCF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2E27E1" w:rsidRPr="00822BCF">
        <w:rPr>
          <w:rFonts w:ascii="Arial Narrow" w:hAnsi="Arial Narrow" w:cs="Tahoma"/>
          <w:sz w:val="16"/>
          <w:szCs w:val="16"/>
          <w:lang w:val="sr-Latn-BA"/>
        </w:rPr>
        <w:t>1</w:t>
      </w:r>
      <w:r w:rsidR="002E27E1" w:rsidRPr="00822BCF">
        <w:rPr>
          <w:rFonts w:ascii="Arial Narrow" w:hAnsi="Arial Narrow" w:cs="Tahoma"/>
          <w:sz w:val="16"/>
          <w:szCs w:val="16"/>
          <w:lang w:val="sr-Cyrl-CS"/>
        </w:rPr>
        <w:t>3</w:t>
      </w:r>
      <w:r w:rsidR="002E27E1" w:rsidRPr="00822BCF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February</w:t>
      </w:r>
      <w:r w:rsidR="002E27E1" w:rsidRPr="00822BCF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2E27E1" w:rsidRPr="00822BCF">
        <w:rPr>
          <w:rFonts w:ascii="Arial Narrow" w:hAnsi="Arial Narrow" w:cs="Tahoma"/>
          <w:sz w:val="16"/>
          <w:szCs w:val="16"/>
          <w:lang w:val="sr-Cyrl-CS"/>
        </w:rPr>
        <w:t>7</w:t>
      </w:r>
      <w:r w:rsidR="002E27E1" w:rsidRPr="00822BCF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2E27E1" w:rsidRPr="00822BCF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2E27E1" w:rsidRPr="00822BCF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822BCF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822BCF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822BCF" w:rsidRDefault="004C09A8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4C09A8">
        <w:rPr>
          <w:rFonts w:ascii="Arial Narrow" w:hAnsi="Arial Narrow" w:cs="Tahoma"/>
          <w:b/>
          <w:sz w:val="30"/>
          <w:szCs w:val="30"/>
        </w:rPr>
        <w:t>Coverage of import with export (in the period</w:t>
      </w:r>
      <w:r w:rsidRPr="004C09A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4C09A8">
        <w:rPr>
          <w:rFonts w:ascii="Arial Narrow" w:hAnsi="Arial Narrow" w:cs="Tahoma"/>
          <w:b/>
          <w:sz w:val="30"/>
          <w:szCs w:val="30"/>
          <w:lang w:val="sr-Latn-CS"/>
        </w:rPr>
        <w:t>January</w:t>
      </w:r>
      <w:r w:rsidRPr="004C09A8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Latn-CS"/>
        </w:rPr>
        <w:t>- February</w:t>
      </w:r>
      <w:r w:rsidR="00F442FA" w:rsidRPr="00822BC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442FA" w:rsidRPr="00822BCF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822BCF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="00F442FA" w:rsidRPr="00822BCF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822BC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822BCF">
        <w:rPr>
          <w:rFonts w:ascii="Arial Narrow" w:hAnsi="Arial Narrow" w:cs="Tahoma"/>
          <w:b/>
          <w:sz w:val="30"/>
          <w:szCs w:val="30"/>
          <w:lang w:val="sr-Cyrl-CS"/>
        </w:rPr>
        <w:t>77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9252C9" w:rsidRPr="00822BCF">
        <w:rPr>
          <w:rFonts w:ascii="Arial Narrow" w:hAnsi="Arial Narrow" w:cs="Tahoma"/>
          <w:b/>
          <w:sz w:val="30"/>
          <w:szCs w:val="30"/>
          <w:lang w:val="hr-HR"/>
        </w:rPr>
        <w:t>3</w:t>
      </w:r>
      <w:r w:rsidR="00F442FA" w:rsidRPr="00822BCF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822BCF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6559E" w:rsidRDefault="0076559E" w:rsidP="003A0849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February 2017, the value of export was 250 million KM and the value of import was 372 million KM. </w:t>
      </w:r>
    </w:p>
    <w:p w:rsidR="0076559E" w:rsidRDefault="0076559E" w:rsidP="003A0849">
      <w:pPr>
        <w:jc w:val="both"/>
        <w:rPr>
          <w:rFonts w:ascii="Arial Narrow" w:hAnsi="Arial Narrow" w:cs="Tahoma"/>
          <w:sz w:val="22"/>
        </w:rPr>
      </w:pPr>
    </w:p>
    <w:p w:rsidR="0076559E" w:rsidRPr="0076559E" w:rsidRDefault="0076559E" w:rsidP="0076559E">
      <w:pPr>
        <w:jc w:val="both"/>
        <w:rPr>
          <w:rFonts w:ascii="Arial Narrow" w:hAnsi="Arial Narrow" w:cs="Tahoma"/>
          <w:sz w:val="22"/>
        </w:rPr>
      </w:pPr>
      <w:r w:rsidRPr="0076559E">
        <w:rPr>
          <w:rFonts w:ascii="Arial Narrow" w:hAnsi="Arial Narrow" w:cs="Tahoma"/>
          <w:sz w:val="22"/>
        </w:rPr>
        <w:t xml:space="preserve">In the total external trade of Republika Srpska in </w:t>
      </w:r>
      <w:r>
        <w:rPr>
          <w:rFonts w:ascii="Arial Narrow" w:hAnsi="Arial Narrow" w:cs="Tahoma"/>
          <w:sz w:val="22"/>
        </w:rPr>
        <w:t>February</w:t>
      </w:r>
      <w:r w:rsidRPr="0076559E">
        <w:rPr>
          <w:rFonts w:ascii="Arial Narrow" w:hAnsi="Arial Narrow" w:cs="Tahoma"/>
          <w:sz w:val="22"/>
        </w:rPr>
        <w:t xml:space="preserve"> of the current year, the percentage of coverage of import with export was </w:t>
      </w:r>
      <w:r>
        <w:rPr>
          <w:rFonts w:ascii="Arial Narrow" w:hAnsi="Arial Narrow" w:cs="Tahoma"/>
          <w:sz w:val="22"/>
        </w:rPr>
        <w:t>67.3</w:t>
      </w:r>
      <w:r w:rsidRPr="0076559E">
        <w:rPr>
          <w:rFonts w:ascii="Arial Narrow" w:hAnsi="Arial Narrow" w:cs="Tahoma"/>
          <w:sz w:val="22"/>
        </w:rPr>
        <w:t xml:space="preserve">%. The percentage of coverage of import with export for the period January – </w:t>
      </w:r>
      <w:r w:rsidR="00216FA6">
        <w:rPr>
          <w:rFonts w:ascii="Arial Narrow" w:hAnsi="Arial Narrow" w:cs="Tahoma"/>
          <w:sz w:val="22"/>
        </w:rPr>
        <w:t>February 2017</w:t>
      </w:r>
      <w:r w:rsidRPr="0076559E">
        <w:rPr>
          <w:rFonts w:ascii="Arial Narrow" w:hAnsi="Arial Narrow" w:cs="Tahoma"/>
          <w:sz w:val="22"/>
        </w:rPr>
        <w:t xml:space="preserve"> was </w:t>
      </w:r>
      <w:r w:rsidR="00216FA6">
        <w:rPr>
          <w:rFonts w:ascii="Arial Narrow" w:hAnsi="Arial Narrow" w:cs="Tahoma"/>
          <w:sz w:val="22"/>
        </w:rPr>
        <w:t>77.3</w:t>
      </w:r>
      <w:r w:rsidRPr="0076559E">
        <w:rPr>
          <w:rFonts w:ascii="Arial Narrow" w:hAnsi="Arial Narrow" w:cs="Tahoma"/>
          <w:sz w:val="22"/>
        </w:rPr>
        <w:t>%.</w:t>
      </w:r>
    </w:p>
    <w:p w:rsidR="0076559E" w:rsidRPr="0076559E" w:rsidRDefault="0076559E" w:rsidP="003A0849">
      <w:pPr>
        <w:jc w:val="both"/>
        <w:rPr>
          <w:rFonts w:ascii="Arial Narrow" w:hAnsi="Arial Narrow" w:cs="Tahoma"/>
          <w:sz w:val="22"/>
        </w:rPr>
      </w:pPr>
    </w:p>
    <w:p w:rsidR="00216FA6" w:rsidRPr="00216FA6" w:rsidRDefault="00216FA6" w:rsidP="00216FA6">
      <w:pPr>
        <w:jc w:val="both"/>
        <w:rPr>
          <w:rFonts w:ascii="Arial Narrow" w:hAnsi="Arial Narrow" w:cs="Tahoma"/>
          <w:sz w:val="22"/>
        </w:rPr>
      </w:pPr>
      <w:r w:rsidRPr="00216FA6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February 2017</w:t>
      </w:r>
      <w:r w:rsidRPr="00216FA6">
        <w:rPr>
          <w:rFonts w:ascii="Arial Narrow" w:hAnsi="Arial Narrow" w:cs="Tahoma"/>
          <w:sz w:val="22"/>
        </w:rPr>
        <w:t xml:space="preserve">, the value of export was </w:t>
      </w:r>
      <w:r>
        <w:rPr>
          <w:rFonts w:ascii="Arial Narrow" w:hAnsi="Arial Narrow" w:cs="Tahoma"/>
          <w:sz w:val="22"/>
        </w:rPr>
        <w:t>477</w:t>
      </w:r>
      <w:r w:rsidRPr="00216FA6">
        <w:rPr>
          <w:rFonts w:ascii="Arial Narrow" w:hAnsi="Arial Narrow" w:cs="Tahoma"/>
          <w:sz w:val="22"/>
        </w:rPr>
        <w:t xml:space="preserve"> million KM, which represented an increase by </w:t>
      </w:r>
      <w:r>
        <w:rPr>
          <w:rFonts w:ascii="Arial Narrow" w:hAnsi="Arial Narrow" w:cs="Tahoma"/>
          <w:sz w:val="22"/>
        </w:rPr>
        <w:t>20</w:t>
      </w:r>
      <w:r w:rsidRPr="00216FA6">
        <w:rPr>
          <w:rFonts w:ascii="Arial Narrow" w:hAnsi="Arial Narrow" w:cs="Tahoma"/>
          <w:sz w:val="22"/>
        </w:rPr>
        <w:t xml:space="preserve">.6% compared to the same period of the previous year. During the same period, the value of import was </w:t>
      </w:r>
      <w:r>
        <w:rPr>
          <w:rFonts w:ascii="Arial Narrow" w:hAnsi="Arial Narrow" w:cs="Tahoma"/>
          <w:sz w:val="22"/>
        </w:rPr>
        <w:t>617</w:t>
      </w:r>
      <w:r w:rsidRPr="00216FA6">
        <w:rPr>
          <w:rFonts w:ascii="Arial Narrow" w:hAnsi="Arial Narrow" w:cs="Tahoma"/>
          <w:sz w:val="22"/>
        </w:rPr>
        <w:t xml:space="preserve"> million KM, which represented an increase by </w:t>
      </w:r>
      <w:r>
        <w:rPr>
          <w:rFonts w:ascii="Arial Narrow" w:hAnsi="Arial Narrow" w:cs="Tahoma"/>
          <w:sz w:val="22"/>
        </w:rPr>
        <w:t>10.6</w:t>
      </w:r>
      <w:r w:rsidRPr="00216FA6">
        <w:rPr>
          <w:rFonts w:ascii="Arial Narrow" w:hAnsi="Arial Narrow" w:cs="Tahoma"/>
          <w:sz w:val="22"/>
        </w:rPr>
        <w:t>% compared to the same period of the previous year.</w:t>
      </w:r>
    </w:p>
    <w:p w:rsidR="009252C9" w:rsidRPr="00822BCF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Default="00216FA6" w:rsidP="00F442FA">
      <w:pPr>
        <w:jc w:val="both"/>
        <w:rPr>
          <w:rFonts w:ascii="Arial Narrow" w:hAnsi="Arial Narrow" w:cs="Tahoma"/>
          <w:sz w:val="22"/>
        </w:rPr>
      </w:pPr>
      <w:r w:rsidRPr="00216FA6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>
        <w:rPr>
          <w:rFonts w:ascii="Arial Narrow" w:hAnsi="Arial Narrow" w:cs="Tahoma"/>
          <w:sz w:val="22"/>
        </w:rPr>
        <w:t>February 2017</w:t>
      </w:r>
      <w:r w:rsidRPr="00216FA6">
        <w:rPr>
          <w:rFonts w:ascii="Arial Narrow" w:hAnsi="Arial Narrow" w:cs="Tahoma"/>
          <w:sz w:val="22"/>
        </w:rPr>
        <w:t xml:space="preserve">, the highest value of export was that of export to Italy, with </w:t>
      </w:r>
      <w:r>
        <w:rPr>
          <w:rFonts w:ascii="Arial Narrow" w:hAnsi="Arial Narrow" w:cs="Tahoma"/>
          <w:sz w:val="22"/>
        </w:rPr>
        <w:t>79</w:t>
      </w:r>
      <w:r w:rsidRPr="00216FA6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16.6</w:t>
      </w:r>
      <w:r w:rsidRPr="00216FA6">
        <w:rPr>
          <w:rFonts w:ascii="Arial Narrow" w:hAnsi="Arial Narrow" w:cs="Tahoma"/>
          <w:sz w:val="22"/>
        </w:rPr>
        <w:t xml:space="preserve">%, followed by </w:t>
      </w:r>
      <w:r>
        <w:rPr>
          <w:rFonts w:ascii="Arial Narrow" w:hAnsi="Arial Narrow" w:cs="Tahoma"/>
          <w:sz w:val="22"/>
        </w:rPr>
        <w:t>Croatia</w:t>
      </w:r>
      <w:r w:rsidRPr="00216FA6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71</w:t>
      </w:r>
      <w:r w:rsidRPr="00216FA6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14.9</w:t>
      </w:r>
      <w:r w:rsidRPr="00216FA6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>
        <w:rPr>
          <w:rFonts w:ascii="Arial Narrow" w:hAnsi="Arial Narrow" w:cs="Tahoma"/>
          <w:sz w:val="22"/>
        </w:rPr>
        <w:t>98</w:t>
      </w:r>
      <w:r w:rsidRPr="00216FA6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15.8</w:t>
      </w:r>
      <w:r w:rsidRPr="00216FA6">
        <w:rPr>
          <w:rFonts w:ascii="Arial Narrow" w:hAnsi="Arial Narrow" w:cs="Tahoma"/>
          <w:sz w:val="22"/>
        </w:rPr>
        <w:t xml:space="preserve">%, followed by </w:t>
      </w:r>
      <w:r>
        <w:rPr>
          <w:rFonts w:ascii="Arial Narrow" w:hAnsi="Arial Narrow" w:cs="Tahoma"/>
          <w:sz w:val="22"/>
        </w:rPr>
        <w:t>Italy</w:t>
      </w:r>
      <w:r w:rsidRPr="00216FA6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75 million KM or 12.2</w:t>
      </w:r>
      <w:r w:rsidRPr="00216FA6">
        <w:rPr>
          <w:rFonts w:ascii="Arial Narrow" w:hAnsi="Arial Narrow" w:cs="Tahoma"/>
          <w:sz w:val="22"/>
        </w:rPr>
        <w:t>% of the total realised import</w:t>
      </w:r>
      <w:r>
        <w:rPr>
          <w:rFonts w:ascii="Arial Narrow" w:hAnsi="Arial Narrow" w:cs="Tahoma"/>
          <w:sz w:val="22"/>
        </w:rPr>
        <w:t>.</w:t>
      </w:r>
    </w:p>
    <w:p w:rsidR="00216FA6" w:rsidRPr="00822BCF" w:rsidRDefault="00216FA6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Default="00216FA6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</w:rPr>
      </w:pPr>
      <w:r w:rsidRPr="00216FA6">
        <w:rPr>
          <w:rFonts w:ascii="Arial Narrow" w:hAnsi="Arial Narrow" w:cs="Tahoma"/>
          <w:bCs/>
          <w:sz w:val="22"/>
        </w:rPr>
        <w:t xml:space="preserve">By group of products, in the period January – </w:t>
      </w:r>
      <w:r>
        <w:rPr>
          <w:rFonts w:ascii="Arial Narrow" w:hAnsi="Arial Narrow" w:cs="Tahoma"/>
          <w:bCs/>
          <w:sz w:val="22"/>
        </w:rPr>
        <w:t>February 2017</w:t>
      </w:r>
      <w:r w:rsidRPr="00216FA6">
        <w:rPr>
          <w:rFonts w:ascii="Arial Narrow" w:hAnsi="Arial Narrow" w:cs="Tahoma"/>
          <w:bCs/>
          <w:sz w:val="22"/>
        </w:rPr>
        <w:t xml:space="preserve">, the highest share in export was that of </w:t>
      </w:r>
      <w:r>
        <w:rPr>
          <w:rFonts w:ascii="Arial Narrow" w:hAnsi="Arial Narrow" w:cs="Tahoma"/>
          <w:bCs/>
          <w:sz w:val="22"/>
        </w:rPr>
        <w:t>electricity</w:t>
      </w:r>
      <w:r w:rsidRPr="00216FA6">
        <w:rPr>
          <w:rFonts w:ascii="Arial Narrow" w:hAnsi="Arial Narrow" w:cs="Tahoma"/>
          <w:bCs/>
          <w:sz w:val="22"/>
        </w:rPr>
        <w:t xml:space="preserve">, with the total value of </w:t>
      </w:r>
      <w:r>
        <w:rPr>
          <w:rFonts w:ascii="Arial Narrow" w:hAnsi="Arial Narrow" w:cs="Tahoma"/>
          <w:bCs/>
          <w:sz w:val="22"/>
        </w:rPr>
        <w:t>38</w:t>
      </w:r>
      <w:r w:rsidRPr="00216FA6">
        <w:rPr>
          <w:rFonts w:ascii="Arial Narrow" w:hAnsi="Arial Narrow" w:cs="Tahoma"/>
          <w:bCs/>
          <w:sz w:val="22"/>
        </w:rPr>
        <w:t xml:space="preserve"> million KM, which was </w:t>
      </w:r>
      <w:r>
        <w:rPr>
          <w:rFonts w:ascii="Arial Narrow" w:hAnsi="Arial Narrow" w:cs="Tahoma"/>
          <w:bCs/>
          <w:sz w:val="22"/>
        </w:rPr>
        <w:t>7.9</w:t>
      </w:r>
      <w:r w:rsidRPr="00216FA6">
        <w:rPr>
          <w:rFonts w:ascii="Arial Narrow" w:hAnsi="Arial Narrow" w:cs="Tahoma"/>
          <w:bCs/>
          <w:sz w:val="22"/>
        </w:rPr>
        <w:t xml:space="preserve">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bCs/>
          <w:sz w:val="22"/>
        </w:rPr>
        <w:t>67</w:t>
      </w:r>
      <w:r w:rsidRPr="00216FA6">
        <w:rPr>
          <w:rFonts w:ascii="Arial Narrow" w:hAnsi="Arial Narrow" w:cs="Tahoma"/>
          <w:bCs/>
          <w:sz w:val="22"/>
        </w:rPr>
        <w:t xml:space="preserve"> million KM, which was </w:t>
      </w:r>
      <w:r>
        <w:rPr>
          <w:rFonts w:ascii="Arial Narrow" w:hAnsi="Arial Narrow" w:cs="Tahoma"/>
          <w:bCs/>
          <w:sz w:val="22"/>
        </w:rPr>
        <w:t>10.8</w:t>
      </w:r>
      <w:r w:rsidRPr="00216FA6">
        <w:rPr>
          <w:rFonts w:ascii="Arial Narrow" w:hAnsi="Arial Narrow" w:cs="Tahoma"/>
          <w:bCs/>
          <w:sz w:val="22"/>
        </w:rPr>
        <w:t>% of the total import</w:t>
      </w:r>
      <w:r>
        <w:rPr>
          <w:rFonts w:ascii="Arial Narrow" w:hAnsi="Arial Narrow" w:cs="Tahoma"/>
          <w:bCs/>
          <w:sz w:val="22"/>
        </w:rPr>
        <w:t>.</w:t>
      </w:r>
    </w:p>
    <w:p w:rsidR="00216FA6" w:rsidRPr="00822BCF" w:rsidRDefault="00216FA6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115CDB" w:rsidRDefault="00115CDB" w:rsidP="00115CD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216FA6" w:rsidRDefault="00216FA6" w:rsidP="00115CD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216FA6" w:rsidRPr="00822BCF" w:rsidRDefault="00216FA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822BCF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822BC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22B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97731" w:rsidRPr="00822BCF" w:rsidRDefault="007977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22B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22B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22BCF" w:rsidRDefault="00EF55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102.15pt;margin-top:5.65pt;width:55.45pt;height:19.75pt;z-index:251664384;mso-width-relative:margin;mso-height-relative:margin" stroked="f">
            <v:textbox style="mso-next-textbox:#_x0000_s1068">
              <w:txbxContent>
                <w:p w:rsidR="00F61182" w:rsidRPr="000A1309" w:rsidRDefault="00103B22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r w:rsidR="00F61182"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BA70D8" w:rsidRPr="00822BCF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822BCF" w:rsidRDefault="00EF55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65.8pt;margin-top:202.7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F61182" w:rsidRPr="00707105" w:rsidRDefault="00F61182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 w:rsidR="009252C9" w:rsidRPr="00822BCF">
        <w:rPr>
          <w:noProof/>
          <w:lang w:val="sr-Cyrl-CS"/>
        </w:rPr>
        <w:t xml:space="preserve"> </w:t>
      </w:r>
      <w:r w:rsidR="009252C9" w:rsidRPr="00822BCF">
        <w:rPr>
          <w:noProof/>
        </w:rPr>
        <w:drawing>
          <wp:inline distT="0" distB="0" distL="0" distR="0">
            <wp:extent cx="445008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101E3A" w:rsidRPr="00822BCF" w:rsidRDefault="00EF55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2.8pt;margin-top:.1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F61182" w:rsidRPr="00707105" w:rsidRDefault="00F61182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7</w:t>
                  </w:r>
                </w:p>
              </w:txbxContent>
            </v:textbox>
          </v:shape>
        </w:pict>
      </w:r>
    </w:p>
    <w:p w:rsidR="003A0849" w:rsidRPr="00822BCF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103B22" w:rsidRDefault="00103B22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822BCF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097E02" w:rsidRPr="00822BCF">
        <w:rPr>
          <w:rFonts w:ascii="Arial Narrow" w:hAnsi="Arial Narrow" w:cs="Tahoma"/>
          <w:sz w:val="16"/>
          <w:szCs w:val="22"/>
          <w:lang w:val="sr-Cyrl-BA"/>
        </w:rPr>
        <w:t>4</w:t>
      </w:r>
      <w:r w:rsidR="00777348" w:rsidRPr="00822BCF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822BCF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822BCF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22B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45BDD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7179C" w:rsidRDefault="00A7179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7179C" w:rsidRDefault="00A7179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7179C" w:rsidRDefault="00A7179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7179C" w:rsidRPr="005C6891" w:rsidRDefault="00A7179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A40E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19"/>
            </w:tblGrid>
            <w:tr w:rsidR="00A40ECC" w:rsidRPr="008B38BE" w:rsidTr="00E63C7E">
              <w:trPr>
                <w:trHeight w:hRule="exact" w:val="340"/>
                <w:jc w:val="center"/>
              </w:trPr>
              <w:tc>
                <w:tcPr>
                  <w:tcW w:w="10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b/>
                      <w:sz w:val="22"/>
                    </w:rPr>
                  </w:pPr>
                  <w:r w:rsidRPr="008B38BE">
                    <w:rPr>
                      <w:rFonts w:ascii="Arial Narrow" w:hAnsi="Arial Narrow" w:cs="Tahoma"/>
                      <w:b/>
                      <w:sz w:val="22"/>
                    </w:rPr>
                    <w:t>DATA PREPARED BY</w:t>
                  </w:r>
                  <w:r w:rsidRPr="008B38BE">
                    <w:rPr>
                      <w:rFonts w:ascii="Arial Narrow" w:hAnsi="Arial Narrow" w:cs="Tahoma"/>
                      <w:b/>
                      <w:sz w:val="22"/>
                      <w:lang w:val="sr-Cyrl-CS"/>
                    </w:rPr>
                    <w:t xml:space="preserve">: </w:t>
                  </w:r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b/>
                      <w:sz w:val="22"/>
                    </w:rPr>
                  </w:pPr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b/>
                      <w:sz w:val="22"/>
                    </w:rPr>
                  </w:pPr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b/>
                      <w:sz w:val="22"/>
                    </w:rPr>
                  </w:pPr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b/>
                      <w:sz w:val="22"/>
                    </w:rPr>
                  </w:pPr>
                </w:p>
                <w:p w:rsidR="00A40ECC" w:rsidRPr="008B38BE" w:rsidRDefault="00A40ECC" w:rsidP="00A40ECC">
                  <w:pPr>
                    <w:jc w:val="both"/>
                    <w:rPr>
                      <w:rFonts w:ascii="Tahoma" w:hAnsi="Tahoma" w:cs="Tahoma"/>
                      <w:b/>
                      <w:lang w:val="sr-Cyrl-CS"/>
                    </w:rPr>
                  </w:pPr>
                </w:p>
                <w:p w:rsidR="00A40ECC" w:rsidRPr="008B38BE" w:rsidRDefault="00A40ECC" w:rsidP="00A40ECC">
                  <w:pPr>
                    <w:jc w:val="both"/>
                    <w:rPr>
                      <w:rFonts w:ascii="Tahoma" w:hAnsi="Tahoma" w:cs="Tahoma"/>
                      <w:b/>
                      <w:lang w:val="sr-Cyrl-CS"/>
                    </w:rPr>
                  </w:pPr>
                </w:p>
                <w:p w:rsidR="00A40ECC" w:rsidRPr="008B38BE" w:rsidRDefault="00A40ECC" w:rsidP="00A40ECC">
                  <w:pPr>
                    <w:jc w:val="both"/>
                    <w:rPr>
                      <w:rFonts w:ascii="Tahoma" w:hAnsi="Tahoma" w:cs="Tahoma"/>
                      <w:b/>
                      <w:lang w:val="sr-Cyrl-CS"/>
                    </w:rPr>
                  </w:pPr>
                </w:p>
                <w:p w:rsidR="00A40ECC" w:rsidRPr="008B38BE" w:rsidRDefault="00A40ECC" w:rsidP="00A40ECC">
                  <w:pPr>
                    <w:jc w:val="both"/>
                    <w:rPr>
                      <w:rFonts w:ascii="Tahoma" w:hAnsi="Tahoma" w:cs="Tahoma"/>
                      <w:b/>
                      <w:lang w:val="sr-Cyrl-CS"/>
                    </w:rPr>
                  </w:pPr>
                </w:p>
                <w:p w:rsidR="00A40ECC" w:rsidRPr="008B38BE" w:rsidRDefault="00A40ECC" w:rsidP="00A40ECC">
                  <w:pPr>
                    <w:jc w:val="both"/>
                    <w:rPr>
                      <w:rFonts w:ascii="Tahoma" w:hAnsi="Tahoma" w:cs="Tahoma"/>
                      <w:b/>
                      <w:lang w:val="sr-Cyrl-CS"/>
                    </w:rPr>
                  </w:pPr>
                </w:p>
              </w:tc>
            </w:tr>
            <w:tr w:rsidR="00A40ECC" w:rsidRPr="008B38BE" w:rsidTr="00E63C7E">
              <w:trPr>
                <w:trHeight w:val="709"/>
                <w:jc w:val="center"/>
              </w:trPr>
              <w:tc>
                <w:tcPr>
                  <w:tcW w:w="10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b/>
                      <w:sz w:val="18"/>
                      <w:szCs w:val="18"/>
                    </w:rPr>
                  </w:pPr>
                  <w:r w:rsidRPr="008B38BE">
                    <w:rPr>
                      <w:rFonts w:ascii="Arial Narrow" w:hAnsi="Arial Narrow" w:cs="Tahoma"/>
                      <w:b/>
                      <w:sz w:val="18"/>
                      <w:szCs w:val="18"/>
                    </w:rPr>
                    <w:t>Labour statistics</w:t>
                  </w:r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r w:rsidRPr="008B38BE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Biljana Glušac </w:t>
                  </w:r>
                </w:p>
                <w:p w:rsidR="00A40ECC" w:rsidRPr="008B38BE" w:rsidRDefault="00EF5534" w:rsidP="00A40ECC">
                  <w:pPr>
                    <w:jc w:val="both"/>
                    <w:rPr>
                      <w:rFonts w:ascii="Arial Narrow" w:hAnsi="Arial Narrow" w:cs="Tahoma"/>
                      <w:b/>
                      <w:sz w:val="18"/>
                      <w:szCs w:val="18"/>
                    </w:rPr>
                  </w:pPr>
                  <w:hyperlink r:id="rId14" w:history="1"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Latn-CS"/>
                      </w:rPr>
                      <w:t>biljana.glusac@rzs.rs.ba</w:t>
                    </w:r>
                  </w:hyperlink>
                  <w:r w:rsidR="00A40ECC" w:rsidRPr="008B38BE">
                    <w:rPr>
                      <w:rFonts w:ascii="Arial Narrow" w:hAnsi="Arial Narrow" w:cs="Tahoma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A40ECC" w:rsidRPr="008B38BE" w:rsidTr="00E63C7E">
              <w:trPr>
                <w:trHeight w:val="720"/>
                <w:jc w:val="center"/>
              </w:trPr>
              <w:tc>
                <w:tcPr>
                  <w:tcW w:w="10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b/>
                      <w:sz w:val="18"/>
                      <w:szCs w:val="18"/>
                    </w:rPr>
                  </w:pPr>
                  <w:r w:rsidRPr="008B38BE">
                    <w:rPr>
                      <w:rFonts w:ascii="Arial Narrow" w:hAnsi="Arial Narrow" w:cs="Tahoma"/>
                      <w:b/>
                      <w:sz w:val="18"/>
                      <w:szCs w:val="18"/>
                    </w:rPr>
                    <w:t>Price statistics</w:t>
                  </w:r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sz w:val="18"/>
                      <w:szCs w:val="18"/>
                    </w:rPr>
                  </w:pPr>
                  <w:r w:rsidRPr="008B38BE"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Biljana Tešić </w:t>
                  </w:r>
                </w:p>
                <w:p w:rsidR="00A40ECC" w:rsidRPr="008B38BE" w:rsidRDefault="00EF5534" w:rsidP="00A40ECC">
                  <w:pPr>
                    <w:jc w:val="both"/>
                    <w:rPr>
                      <w:rFonts w:ascii="Arial Narrow" w:hAnsi="Arial Narrow" w:cs="Tahoma"/>
                      <w:sz w:val="18"/>
                      <w:szCs w:val="18"/>
                      <w:lang w:val="sr-Cyrl-CS"/>
                    </w:rPr>
                  </w:pPr>
                  <w:hyperlink r:id="rId15" w:history="1">
                    <w:r w:rsidR="00A40ECC" w:rsidRPr="008B38BE">
                      <w:rPr>
                        <w:rStyle w:val="Hyperlink"/>
                        <w:rFonts w:ascii="Arial Narrow" w:hAnsi="Arial Narrow" w:cs="Tahoma"/>
                        <w:sz w:val="18"/>
                        <w:szCs w:val="18"/>
                        <w:lang w:val="sr-Latn-CS"/>
                      </w:rPr>
                      <w:t>biljana.tesic@rzs.rs.ba</w:t>
                    </w:r>
                  </w:hyperlink>
                </w:p>
              </w:tc>
            </w:tr>
            <w:tr w:rsidR="00A40ECC" w:rsidRPr="008B38BE" w:rsidTr="00E63C7E">
              <w:trPr>
                <w:trHeight w:hRule="exact" w:val="861"/>
                <w:jc w:val="center"/>
              </w:trPr>
              <w:tc>
                <w:tcPr>
                  <w:tcW w:w="10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b/>
                      <w:sz w:val="18"/>
                      <w:szCs w:val="18"/>
                    </w:rPr>
                  </w:pPr>
                  <w:r w:rsidRPr="008B38BE">
                    <w:rPr>
                      <w:rFonts w:ascii="Arial Narrow" w:hAnsi="Arial Narrow" w:cs="Tahoma"/>
                      <w:b/>
                      <w:sz w:val="18"/>
                      <w:szCs w:val="18"/>
                    </w:rPr>
                    <w:t>Industry and mining statistics</w:t>
                  </w:r>
                </w:p>
                <w:p w:rsidR="00A40ECC" w:rsidRPr="008B38BE" w:rsidRDefault="00A40ECC" w:rsidP="00A40ECC">
                  <w:pPr>
                    <w:jc w:val="both"/>
                  </w:pPr>
                  <w:r w:rsidRPr="008B38BE">
                    <w:rPr>
                      <w:rFonts w:ascii="Arial Narrow" w:hAnsi="Arial Narrow" w:cs="Tahoma"/>
                      <w:sz w:val="18"/>
                      <w:szCs w:val="18"/>
                    </w:rPr>
                    <w:t>Mirjana Bandur</w:t>
                  </w:r>
                  <w:r w:rsidRPr="008B38BE">
                    <w:t xml:space="preserve"> </w:t>
                  </w:r>
                </w:p>
                <w:p w:rsidR="00A40ECC" w:rsidRPr="008B38BE" w:rsidRDefault="00EF5534" w:rsidP="00A40ECC">
                  <w:pPr>
                    <w:jc w:val="both"/>
                    <w:rPr>
                      <w:rFonts w:ascii="Arial Narrow" w:hAnsi="Arial Narrow" w:cs="Tahoma"/>
                      <w:sz w:val="18"/>
                      <w:szCs w:val="18"/>
                      <w:lang w:val="sr-Cyrl-CS"/>
                    </w:rPr>
                  </w:pPr>
                  <w:hyperlink r:id="rId16" w:history="1"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mirjana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BA"/>
                      </w:rPr>
                      <w:t>.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bandur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BA"/>
                      </w:rPr>
                      <w:t>@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rzs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BA"/>
                      </w:rPr>
                      <w:t>.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rs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BA"/>
                      </w:rPr>
                      <w:t>.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ba</w:t>
                    </w:r>
                  </w:hyperlink>
                </w:p>
              </w:tc>
            </w:tr>
            <w:tr w:rsidR="00A40ECC" w:rsidRPr="008B38BE" w:rsidTr="00E63C7E">
              <w:trPr>
                <w:trHeight w:hRule="exact" w:val="680"/>
                <w:jc w:val="center"/>
              </w:trPr>
              <w:tc>
                <w:tcPr>
                  <w:tcW w:w="10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b/>
                      <w:sz w:val="18"/>
                      <w:szCs w:val="18"/>
                    </w:rPr>
                  </w:pPr>
                  <w:r w:rsidRPr="008B38BE">
                    <w:rPr>
                      <w:rFonts w:ascii="Arial Narrow" w:hAnsi="Arial Narrow" w:cs="Tahoma"/>
                      <w:b/>
                      <w:sz w:val="18"/>
                      <w:szCs w:val="18"/>
                    </w:rPr>
                    <w:t>External trade statistics</w:t>
                  </w:r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sz w:val="18"/>
                      <w:szCs w:val="18"/>
                      <w:lang w:val="sr-Cyrl-CS"/>
                    </w:rPr>
                  </w:pPr>
                  <w:r w:rsidRPr="008B38BE">
                    <w:rPr>
                      <w:rFonts w:ascii="Arial Narrow" w:hAnsi="Arial Narrow" w:cs="Tahoma"/>
                      <w:sz w:val="18"/>
                      <w:szCs w:val="18"/>
                      <w:lang w:val="sr-Latn-BA"/>
                    </w:rPr>
                    <w:t>Sanja Stojčević Uvalić, MSc</w:t>
                  </w:r>
                </w:p>
                <w:p w:rsidR="00A40ECC" w:rsidRPr="008B38BE" w:rsidRDefault="00EF5534" w:rsidP="00A40ECC">
                  <w:pPr>
                    <w:jc w:val="both"/>
                    <w:rPr>
                      <w:rFonts w:ascii="Arial Narrow" w:hAnsi="Arial Narrow"/>
                      <w:sz w:val="18"/>
                      <w:szCs w:val="18"/>
                      <w:lang w:val="sr-Cyrl-CS"/>
                    </w:rPr>
                  </w:pPr>
                  <w:hyperlink r:id="rId17" w:history="1"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sanja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CS"/>
                      </w:rPr>
                      <w:t>.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stojcevic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CS"/>
                      </w:rPr>
                      <w:t>@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rzs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CS"/>
                      </w:rPr>
                      <w:t>.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rs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  <w:lang w:val="sr-Cyrl-CS"/>
                      </w:rPr>
                      <w:t>.</w:t>
                    </w:r>
                    <w:r w:rsidR="00A40ECC" w:rsidRPr="008B38BE">
                      <w:rPr>
                        <w:rStyle w:val="Hyperlink"/>
                        <w:rFonts w:ascii="Arial Narrow" w:hAnsi="Arial Narrow" w:cs="Tahoma"/>
                        <w:color w:val="auto"/>
                        <w:sz w:val="18"/>
                        <w:szCs w:val="18"/>
                      </w:rPr>
                      <w:t>ba</w:t>
                    </w:r>
                  </w:hyperlink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/>
                      <w:sz w:val="18"/>
                      <w:szCs w:val="18"/>
                      <w:lang w:val="sr-Cyrl-BA"/>
                    </w:rPr>
                  </w:pPr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/>
                      <w:sz w:val="18"/>
                      <w:szCs w:val="18"/>
                      <w:lang w:val="sr-Cyrl-BA"/>
                    </w:rPr>
                  </w:pPr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sz w:val="18"/>
                      <w:szCs w:val="18"/>
                      <w:lang w:val="sr-Cyrl-BA"/>
                    </w:rPr>
                  </w:pPr>
                </w:p>
                <w:p w:rsidR="00A40ECC" w:rsidRPr="008B38BE" w:rsidRDefault="00A40ECC" w:rsidP="00A40ECC">
                  <w:pPr>
                    <w:jc w:val="both"/>
                    <w:rPr>
                      <w:rFonts w:ascii="Arial Narrow" w:hAnsi="Arial Narrow" w:cs="Tahoma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A40ECC" w:rsidRDefault="00A40ECC" w:rsidP="00A40ECC"/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A40ECC" w:rsidRDefault="00A40ECC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A40E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A40ECC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A40ECC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EF553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A40ECC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A40ECC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9277A6" w:rsidRPr="00BB6036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ECC" w:rsidRPr="00A40ECC" w:rsidRDefault="00A40ECC" w:rsidP="00A40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A40ECC">
              <w:rPr>
                <w:rFonts w:ascii="Arial Narrow" w:hAnsi="Arial Narrow" w:cs="Tahoma"/>
                <w:sz w:val="18"/>
                <w:szCs w:val="18"/>
                <w:lang w:val="sr-Latn-BA"/>
              </w:rPr>
              <w:t>Vladan Sibinović, Head of the Division and Editor in Chief</w:t>
            </w:r>
          </w:p>
          <w:p w:rsidR="00A40ECC" w:rsidRPr="00A40ECC" w:rsidRDefault="00A40ECC" w:rsidP="00A40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A40ECC">
              <w:rPr>
                <w:rFonts w:ascii="Arial Narrow" w:hAnsi="Arial Narrow" w:cs="Tahoma"/>
                <w:sz w:val="18"/>
                <w:szCs w:val="18"/>
                <w:lang w:val="sr-Latn-BA"/>
              </w:rPr>
              <w:t>Published by the Republlika Srpska Institute of Statistics</w:t>
            </w:r>
            <w:r w:rsidRPr="00A40ECC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,</w:t>
            </w:r>
          </w:p>
          <w:p w:rsidR="00A40ECC" w:rsidRPr="00A40ECC" w:rsidRDefault="00A40ECC" w:rsidP="00A40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A40ECC">
              <w:rPr>
                <w:rFonts w:ascii="Arial Narrow" w:hAnsi="Arial Narrow" w:cs="Tahoma"/>
                <w:sz w:val="18"/>
                <w:szCs w:val="18"/>
                <w:lang w:val="sr-Latn-BA"/>
              </w:rPr>
              <w:t>Republika Srpska</w:t>
            </w:r>
            <w:r w:rsidRPr="00A40ECC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Pr="00A40ECC">
              <w:rPr>
                <w:rFonts w:ascii="Arial Narrow" w:hAnsi="Arial Narrow" w:cs="Tahoma"/>
                <w:sz w:val="18"/>
                <w:szCs w:val="18"/>
                <w:lang w:val="sr-Latn-BA"/>
              </w:rPr>
              <w:t>Banja Luka</w:t>
            </w:r>
            <w:r w:rsidRPr="00A40ECC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, </w:t>
            </w:r>
            <w:r w:rsidRPr="00A40ECC">
              <w:rPr>
                <w:rFonts w:ascii="Arial Narrow" w:hAnsi="Arial Narrow" w:cs="Tahoma"/>
                <w:sz w:val="18"/>
                <w:szCs w:val="18"/>
                <w:lang w:val="sr-Latn-BA"/>
              </w:rPr>
              <w:t>Veljka Mlađenovića</w:t>
            </w:r>
            <w:r w:rsidRPr="00A40ECC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12d</w:t>
            </w:r>
          </w:p>
          <w:p w:rsidR="00A40ECC" w:rsidRPr="00A40ECC" w:rsidRDefault="00A40ECC" w:rsidP="00A40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A40ECC">
              <w:rPr>
                <w:rFonts w:ascii="Arial Narrow" w:hAnsi="Arial Narrow" w:cs="Tahoma"/>
                <w:sz w:val="18"/>
                <w:szCs w:val="18"/>
                <w:lang w:val="sr-Latn-BA"/>
              </w:rPr>
              <w:t>Radmila Čičković, PhD, Director General of the Institute</w:t>
            </w:r>
          </w:p>
          <w:p w:rsidR="00A40ECC" w:rsidRPr="00A40ECC" w:rsidRDefault="00A40ECC" w:rsidP="00A40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40ECC">
              <w:rPr>
                <w:rFonts w:ascii="Arial Narrow" w:hAnsi="Arial Narrow" w:cs="Tahoma"/>
                <w:sz w:val="18"/>
                <w:szCs w:val="18"/>
                <w:lang w:val="sr-Latn-BA"/>
              </w:rPr>
              <w:t>The Release is published online at</w:t>
            </w:r>
            <w:r w:rsidRPr="00A40ECC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: </w:t>
            </w:r>
            <w:r w:rsidRPr="00A40ECC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A40ECC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A40ECC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A40ECC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A40ECC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A40ECC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A40ECC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277A6" w:rsidRDefault="00A40ECC" w:rsidP="00A40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40ECC">
              <w:rPr>
                <w:rFonts w:ascii="Arial Narrow" w:hAnsi="Arial Narrow" w:cs="Tahoma"/>
                <w:sz w:val="18"/>
                <w:szCs w:val="18"/>
              </w:rPr>
              <w:t>telephone</w:t>
            </w:r>
            <w:r w:rsidRPr="00A40ECC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+387 51 332 700</w:t>
            </w:r>
            <w:r w:rsidRPr="00A40ECC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A40ECC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A40ECC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A40ECC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A40ECC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A40ECC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stat</w:t>
              </w:r>
              <w:r w:rsidRPr="00A40ECC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@</w:t>
              </w:r>
              <w:r w:rsidRPr="00A40ECC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rzs</w:t>
              </w:r>
              <w:r w:rsidRPr="00A40ECC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A40ECC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rs</w:t>
              </w:r>
              <w:r w:rsidRPr="00A40ECC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A40ECC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A40ECC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A40ECC">
              <w:rPr>
                <w:rFonts w:ascii="Arial Narrow" w:hAnsi="Arial Narrow" w:cs="Tahoma"/>
                <w:b/>
                <w:bCs/>
                <w:sz w:val="18"/>
                <w:lang w:val="sr-Latn-BA"/>
              </w:rPr>
              <w:t>Data may be used provided the source is acknowledged</w:t>
            </w:r>
          </w:p>
        </w:tc>
      </w:tr>
    </w:tbl>
    <w:p w:rsidR="009E2A9A" w:rsidRPr="00CA19B5" w:rsidRDefault="00EF5534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82" w:rsidRDefault="00F61182">
      <w:r>
        <w:separator/>
      </w:r>
    </w:p>
  </w:endnote>
  <w:endnote w:type="continuationSeparator" w:id="0">
    <w:p w:rsidR="00F61182" w:rsidRDefault="00F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82" w:rsidRDefault="00EF5534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F61182" w:rsidRPr="00175687" w:rsidRDefault="00E4410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61182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F5534">
                    <w:rPr>
                      <w:rFonts w:ascii="Tahoma" w:hAnsi="Tahoma" w:cs="Tahoma"/>
                      <w:noProof/>
                      <w:color w:val="FFFFFF"/>
                    </w:rPr>
                    <w:t>4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82" w:rsidRDefault="00EF5534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F61182" w:rsidRPr="00175687" w:rsidRDefault="00E4410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61182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F5534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82" w:rsidRDefault="00F61182">
      <w:r>
        <w:separator/>
      </w:r>
    </w:p>
  </w:footnote>
  <w:footnote w:type="continuationSeparator" w:id="0">
    <w:p w:rsidR="00F61182" w:rsidRDefault="00F6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F61182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61182" w:rsidRPr="00A40ECC" w:rsidRDefault="00A40ECC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61182" w:rsidRPr="00A40ECC" w:rsidRDefault="00A40ECC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61182" w:rsidRPr="005D5311" w:rsidRDefault="00F61182" w:rsidP="00A40EC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Cyrl-BA"/>
            </w:rPr>
            <w:t>2</w:t>
          </w:r>
          <w:r w:rsidR="00A40ECC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March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7</w:t>
          </w:r>
          <w:r w:rsidR="00A40ECC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 xml:space="preserve">, </w:t>
          </w:r>
          <w:r w:rsidR="00A40ECC">
            <w:rPr>
              <w:rFonts w:ascii="Arial Narrow" w:hAnsi="Arial Narrow" w:cs="Tahoma"/>
              <w:color w:val="1F497D" w:themeColor="text2"/>
              <w:sz w:val="16"/>
              <w:szCs w:val="16"/>
            </w:rPr>
            <w:t>No.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62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61182" w:rsidRDefault="00EF5534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1D4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B22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38F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6FA6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A7FB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B7C01"/>
    <w:rsid w:val="004C09A8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139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9A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2D04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59E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2B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25D"/>
    <w:rsid w:val="0082251F"/>
    <w:rsid w:val="008226E1"/>
    <w:rsid w:val="00822BCF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3BD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C9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68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78D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ECC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79C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0E9B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7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5A4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20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8BA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94F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34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830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,"/>
  <w15:docId w15:val="{7C58CA90-E476-4ACE-BE7B-FF02AD48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ignjicog\AppData\Local\Microsoft\Windows\Temporary%20Internet%20Files\Content.Outlook\MGF1XII8\Grafikon_2017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stojcevicsa\Desktop\SANJA\SPOLJNA%20TRGOVINA\za%20medije\Prezentacija,%20od%20avg2011\prezentacija%202017\februar%202017\za%20Graf%20I-II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'[Chart in Microsoft Word]graf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2016</c:v>
                  </c:pt>
                  <c:pt idx="11">
                    <c:v>2017</c:v>
                  </c:pt>
                </c:lvl>
              </c:multiLvlStrCache>
            </c:multiLvlStrRef>
          </c:cat>
          <c:val>
            <c:numRef>
              <c:f>'[Chart in Microsoft Word]graf 2'!$C$1:$C$13</c:f>
              <c:numCache>
                <c:formatCode>0</c:formatCode>
                <c:ptCount val="13"/>
                <c:pt idx="0">
                  <c:v>838</c:v>
                </c:pt>
                <c:pt idx="1">
                  <c:v>837</c:v>
                </c:pt>
                <c:pt idx="2">
                  <c:v>832</c:v>
                </c:pt>
                <c:pt idx="3">
                  <c:v>841</c:v>
                </c:pt>
                <c:pt idx="4">
                  <c:v>845</c:v>
                </c:pt>
                <c:pt idx="5">
                  <c:v>838</c:v>
                </c:pt>
                <c:pt idx="6">
                  <c:v>838</c:v>
                </c:pt>
                <c:pt idx="7">
                  <c:v>834</c:v>
                </c:pt>
                <c:pt idx="8">
                  <c:v>837</c:v>
                </c:pt>
                <c:pt idx="9">
                  <c:v>839</c:v>
                </c:pt>
                <c:pt idx="10">
                  <c:v>835</c:v>
                </c:pt>
                <c:pt idx="11">
                  <c:v>815</c:v>
                </c:pt>
                <c:pt idx="12">
                  <c:v>848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0C-4B0B-BEA2-4D67E4EBC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5073080"/>
        <c:axId val="425072688"/>
      </c:lineChart>
      <c:catAx>
        <c:axId val="42507308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425072688"/>
        <c:crosses val="autoZero"/>
        <c:auto val="1"/>
        <c:lblAlgn val="ctr"/>
        <c:lblOffset val="100"/>
        <c:noMultiLvlLbl val="0"/>
      </c:catAx>
      <c:valAx>
        <c:axId val="42507268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4250730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36E-2"/>
          <c:w val="0.90069686411149863"/>
          <c:h val="0.76569037656904204"/>
        </c:manualLayout>
      </c:layout>
      <c:lineChart>
        <c:grouping val="standard"/>
        <c:varyColors val="0"/>
        <c:ser>
          <c:idx val="0"/>
          <c:order val="0"/>
          <c:tx>
            <c:strRef>
              <c:f>[Grafikon_2017.xlsx]feb!$C$3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[Grafikon_2017.xlsx]feb!$A$4:$B$16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[Grafikon_2017.xlsx]feb!$C$4:$C$16</c:f>
              <c:numCache>
                <c:formatCode>0\.0</c:formatCode>
                <c:ptCount val="13"/>
                <c:pt idx="0" formatCode="General">
                  <c:v>-0.2</c:v>
                </c:pt>
                <c:pt idx="1">
                  <c:v>0</c:v>
                </c:pt>
                <c:pt idx="2">
                  <c:v>-1</c:v>
                </c:pt>
                <c:pt idx="3" formatCode="General">
                  <c:v>0.1</c:v>
                </c:pt>
                <c:pt idx="4" formatCode="General">
                  <c:v>-0.2</c:v>
                </c:pt>
                <c:pt idx="5" formatCode="General">
                  <c:v>-0.3</c:v>
                </c:pt>
                <c:pt idx="6" formatCode="General">
                  <c:v>-0.3</c:v>
                </c:pt>
                <c:pt idx="7" formatCode="General">
                  <c:v>0.1</c:v>
                </c:pt>
                <c:pt idx="8" formatCode="General">
                  <c:v>1.4</c:v>
                </c:pt>
                <c:pt idx="9" formatCode="General">
                  <c:v>0.1</c:v>
                </c:pt>
                <c:pt idx="10" formatCode="General">
                  <c:v>-0.1</c:v>
                </c:pt>
                <c:pt idx="11" formatCode="General">
                  <c:v>0.9</c:v>
                </c:pt>
                <c:pt idx="12" formatCode="General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68-4913-BEF6-CA03856285DF}"/>
            </c:ext>
          </c:extLst>
        </c:ser>
        <c:ser>
          <c:idx val="1"/>
          <c:order val="1"/>
          <c:tx>
            <c:strRef>
              <c:f>[Grafikon_2017.xlsx]feb!$D$3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[Grafikon_2017.xlsx]feb!$A$4:$B$16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[Grafikon_2017.xlsx]feb!$D$4:$D$16</c:f>
              <c:numCache>
                <c:formatCode>General</c:formatCode>
                <c:ptCount val="13"/>
                <c:pt idx="0">
                  <c:v>-1.3</c:v>
                </c:pt>
                <c:pt idx="1">
                  <c:v>-1.8</c:v>
                </c:pt>
                <c:pt idx="2">
                  <c:v>-1.7</c:v>
                </c:pt>
                <c:pt idx="3">
                  <c:v>-1.6</c:v>
                </c:pt>
                <c:pt idx="4">
                  <c:v>-1.6</c:v>
                </c:pt>
                <c:pt idx="5" formatCode="0\.0">
                  <c:v>-1</c:v>
                </c:pt>
                <c:pt idx="6">
                  <c:v>-1.3</c:v>
                </c:pt>
                <c:pt idx="7">
                  <c:v>-1.2</c:v>
                </c:pt>
                <c:pt idx="8">
                  <c:v>-0.7</c:v>
                </c:pt>
                <c:pt idx="9">
                  <c:v>-0.3</c:v>
                </c:pt>
                <c:pt idx="10">
                  <c:v>-0.2</c:v>
                </c:pt>
                <c:pt idx="11">
                  <c:v>0.4</c:v>
                </c:pt>
                <c:pt idx="12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F68-4913-BEF6-CA0385628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2540600"/>
        <c:axId val="422540992"/>
      </c:lineChart>
      <c:catAx>
        <c:axId val="42254060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225409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22540992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 ##0,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22540600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51"/>
          <c:y val="0.87484060194481683"/>
          <c:w val="0.52264808362369675"/>
          <c:h val="8.3682008368201236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2013</c:v>
                  </c:pt>
                  <c:pt idx="11">
                    <c:v>2014</c:v>
                  </c:pt>
                  <c:pt idx="23">
                    <c:v>2015</c:v>
                  </c:pt>
                  <c:pt idx="35">
                    <c:v>2016</c:v>
                  </c:pt>
                  <c:pt idx="47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100.48928086977882</c:v>
                </c:pt>
                <c:pt idx="1">
                  <c:v>99.88024878251511</c:v>
                </c:pt>
                <c:pt idx="2">
                  <c:v>109.58775366086864</c:v>
                </c:pt>
                <c:pt idx="3">
                  <c:v>102.78399343376475</c:v>
                </c:pt>
                <c:pt idx="4">
                  <c:v>105.32286001262834</c:v>
                </c:pt>
                <c:pt idx="5">
                  <c:v>110.51549416768088</c:v>
                </c:pt>
                <c:pt idx="6">
                  <c:v>106.72893580869363</c:v>
                </c:pt>
                <c:pt idx="7">
                  <c:v>100.75648051787201</c:v>
                </c:pt>
                <c:pt idx="8">
                  <c:v>102.10250294682463</c:v>
                </c:pt>
                <c:pt idx="9">
                  <c:v>105.32550435383632</c:v>
                </c:pt>
                <c:pt idx="10">
                  <c:v>106.03240432312964</c:v>
                </c:pt>
                <c:pt idx="11">
                  <c:v>106.97344363254344</c:v>
                </c:pt>
                <c:pt idx="12">
                  <c:v>105.14792386329508</c:v>
                </c:pt>
                <c:pt idx="13">
                  <c:v>101.36312791205862</c:v>
                </c:pt>
                <c:pt idx="14">
                  <c:v>103.69688537131998</c:v>
                </c:pt>
                <c:pt idx="15">
                  <c:v>102.59547847738632</c:v>
                </c:pt>
                <c:pt idx="16">
                  <c:v>104.53235355342879</c:v>
                </c:pt>
                <c:pt idx="17">
                  <c:v>106.21457945938437</c:v>
                </c:pt>
                <c:pt idx="18">
                  <c:v>99.691629286159625</c:v>
                </c:pt>
                <c:pt idx="19">
                  <c:v>109.38984621041588</c:v>
                </c:pt>
                <c:pt idx="20">
                  <c:v>108.38072284267557</c:v>
                </c:pt>
                <c:pt idx="21">
                  <c:v>107.98599328893019</c:v>
                </c:pt>
                <c:pt idx="22">
                  <c:v>105.35647806032262</c:v>
                </c:pt>
                <c:pt idx="23">
                  <c:v>109.25978162989556</c:v>
                </c:pt>
                <c:pt idx="24">
                  <c:v>110.39832044378315</c:v>
                </c:pt>
                <c:pt idx="25">
                  <c:v>103.4692876613906</c:v>
                </c:pt>
                <c:pt idx="26">
                  <c:v>106.9951363475429</c:v>
                </c:pt>
                <c:pt idx="27">
                  <c:v>109.54066233283486</c:v>
                </c:pt>
                <c:pt idx="28">
                  <c:v>109.54021771169543</c:v>
                </c:pt>
                <c:pt idx="29">
                  <c:v>107.95113545320109</c:v>
                </c:pt>
                <c:pt idx="30">
                  <c:v>110.17655626231286</c:v>
                </c:pt>
                <c:pt idx="31">
                  <c:v>105.50044673138618</c:v>
                </c:pt>
                <c:pt idx="32">
                  <c:v>109.60354554690396</c:v>
                </c:pt>
                <c:pt idx="33">
                  <c:v>108.30106599644</c:v>
                </c:pt>
                <c:pt idx="34">
                  <c:v>105.39463091838471</c:v>
                </c:pt>
                <c:pt idx="35">
                  <c:v>103.3466426008127</c:v>
                </c:pt>
                <c:pt idx="36">
                  <c:v>115.15085161520446</c:v>
                </c:pt>
                <c:pt idx="37">
                  <c:v>121.57530029597265</c:v>
                </c:pt>
                <c:pt idx="38">
                  <c:v>112.05827091554671</c:v>
                </c:pt>
                <c:pt idx="39">
                  <c:v>116.38019676446201</c:v>
                </c:pt>
                <c:pt idx="40">
                  <c:v>114.29326916493378</c:v>
                </c:pt>
                <c:pt idx="41">
                  <c:v>115.72644285709833</c:v>
                </c:pt>
                <c:pt idx="42">
                  <c:v>118.2074218028025</c:v>
                </c:pt>
                <c:pt idx="43">
                  <c:v>120.08313423019861</c:v>
                </c:pt>
                <c:pt idx="44">
                  <c:v>117.06503615229346</c:v>
                </c:pt>
                <c:pt idx="45">
                  <c:v>118.73947712418006</c:v>
                </c:pt>
                <c:pt idx="46">
                  <c:v>124.83078243737074</c:v>
                </c:pt>
                <c:pt idx="47">
                  <c:v>122.7621733702708</c:v>
                </c:pt>
                <c:pt idx="48">
                  <c:v>120.31125732055978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FC-4575-9D73-B246B2FA037A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2013</c:v>
                  </c:pt>
                  <c:pt idx="11">
                    <c:v>2014</c:v>
                  </c:pt>
                  <c:pt idx="23">
                    <c:v>2015</c:v>
                  </c:pt>
                  <c:pt idx="35">
                    <c:v>2016</c:v>
                  </c:pt>
                  <c:pt idx="47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102.52617129948194</c:v>
                </c:pt>
                <c:pt idx="1">
                  <c:v>102.90442404905696</c:v>
                </c:pt>
                <c:pt idx="2">
                  <c:v>103.33409893798397</c:v>
                </c:pt>
                <c:pt idx="3">
                  <c:v>103.63446783009952</c:v>
                </c:pt>
                <c:pt idx="4">
                  <c:v>103.91217721655367</c:v>
                </c:pt>
                <c:pt idx="5">
                  <c:v>104.15097022381451</c:v>
                </c:pt>
                <c:pt idx="6">
                  <c:v>104.18502266654835</c:v>
                </c:pt>
                <c:pt idx="7">
                  <c:v>104.13947895285011</c:v>
                </c:pt>
                <c:pt idx="8">
                  <c:v>104.20173606308838</c:v>
                </c:pt>
                <c:pt idx="9">
                  <c:v>104.34677468259655</c:v>
                </c:pt>
                <c:pt idx="10">
                  <c:v>104.47038690888974</c:v>
                </c:pt>
                <c:pt idx="11">
                  <c:v>104.53849122339064</c:v>
                </c:pt>
                <c:pt idx="12">
                  <c:v>104.52892130436287</c:v>
                </c:pt>
                <c:pt idx="13">
                  <c:v>104.51874505390798</c:v>
                </c:pt>
                <c:pt idx="14">
                  <c:v>104.60348053062481</c:v>
                </c:pt>
                <c:pt idx="15">
                  <c:v>104.75378113826775</c:v>
                </c:pt>
                <c:pt idx="16">
                  <c:v>104.98243892971504</c:v>
                </c:pt>
                <c:pt idx="17">
                  <c:v>105.22029561544106</c:v>
                </c:pt>
                <c:pt idx="18">
                  <c:v>105.49263512297604</c:v>
                </c:pt>
                <c:pt idx="19">
                  <c:v>105.90171352407621</c:v>
                </c:pt>
                <c:pt idx="20">
                  <c:v>106.27147866534014</c:v>
                </c:pt>
                <c:pt idx="21">
                  <c:v>106.53624306273305</c:v>
                </c:pt>
                <c:pt idx="22">
                  <c:v>106.78906701366863</c:v>
                </c:pt>
                <c:pt idx="23">
                  <c:v>107.07542003800552</c:v>
                </c:pt>
                <c:pt idx="24">
                  <c:v>107.29847936717826</c:v>
                </c:pt>
                <c:pt idx="25">
                  <c:v>107.458239378779</c:v>
                </c:pt>
                <c:pt idx="26">
                  <c:v>107.72870254078198</c:v>
                </c:pt>
                <c:pt idx="27">
                  <c:v>108.0621983385886</c:v>
                </c:pt>
                <c:pt idx="28">
                  <c:v>108.34648251801292</c:v>
                </c:pt>
                <c:pt idx="29">
                  <c:v>108.62038288824374</c:v>
                </c:pt>
                <c:pt idx="30">
                  <c:v>108.89759977939811</c:v>
                </c:pt>
                <c:pt idx="31">
                  <c:v>109.19346213308097</c:v>
                </c:pt>
                <c:pt idx="32">
                  <c:v>109.5857921056574</c:v>
                </c:pt>
                <c:pt idx="33">
                  <c:v>110.03435068879622</c:v>
                </c:pt>
                <c:pt idx="34">
                  <c:v>110.54594437768451</c:v>
                </c:pt>
                <c:pt idx="35">
                  <c:v>111.28998000176475</c:v>
                </c:pt>
                <c:pt idx="36">
                  <c:v>112.30734738793358</c:v>
                </c:pt>
                <c:pt idx="37">
                  <c:v>113.25489947636788</c:v>
                </c:pt>
                <c:pt idx="38">
                  <c:v>113.9931464267442</c:v>
                </c:pt>
                <c:pt idx="39">
                  <c:v>114.74011467133994</c:v>
                </c:pt>
                <c:pt idx="40">
                  <c:v>115.50207143228779</c:v>
                </c:pt>
                <c:pt idx="41">
                  <c:v>116.29043297678827</c:v>
                </c:pt>
                <c:pt idx="42">
                  <c:v>117.12993053948398</c:v>
                </c:pt>
                <c:pt idx="43">
                  <c:v>117.93608131881945</c:v>
                </c:pt>
                <c:pt idx="44">
                  <c:v>118.70224382690638</c:v>
                </c:pt>
                <c:pt idx="45">
                  <c:v>119.52992788491206</c:v>
                </c:pt>
                <c:pt idx="46">
                  <c:v>120.38631236843403</c:v>
                </c:pt>
                <c:pt idx="47">
                  <c:v>121.12778982857309</c:v>
                </c:pt>
                <c:pt idx="48">
                  <c:v>121.81870092423104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FC-4575-9D73-B246B2FA03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2983640"/>
        <c:axId val="422985208"/>
      </c:lineChart>
      <c:catAx>
        <c:axId val="42298364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422985208"/>
        <c:crosses val="autoZero"/>
        <c:auto val="1"/>
        <c:lblAlgn val="ctr"/>
        <c:lblOffset val="100"/>
        <c:noMultiLvlLbl val="0"/>
      </c:catAx>
      <c:valAx>
        <c:axId val="422985208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42298364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zaFeb2017!$A$2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zaFeb2017!$B$1:$N$1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zaFeb2017!$B$2:$N$2</c:f>
              <c:numCache>
                <c:formatCode>General</c:formatCode>
                <c:ptCount val="13"/>
                <c:pt idx="0">
                  <c:v>330459</c:v>
                </c:pt>
                <c:pt idx="1">
                  <c:v>354355</c:v>
                </c:pt>
                <c:pt idx="2">
                  <c:v>421365</c:v>
                </c:pt>
                <c:pt idx="3">
                  <c:v>315075</c:v>
                </c:pt>
                <c:pt idx="4">
                  <c:v>413259</c:v>
                </c:pt>
                <c:pt idx="5">
                  <c:v>384444</c:v>
                </c:pt>
                <c:pt idx="6">
                  <c:v>357467</c:v>
                </c:pt>
                <c:pt idx="7">
                  <c:v>380274</c:v>
                </c:pt>
                <c:pt idx="8">
                  <c:v>372983</c:v>
                </c:pt>
                <c:pt idx="9">
                  <c:v>399617</c:v>
                </c:pt>
                <c:pt idx="10">
                  <c:v>448853</c:v>
                </c:pt>
                <c:pt idx="11">
                  <c:v>245314</c:v>
                </c:pt>
                <c:pt idx="12">
                  <c:v>371648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49-4FF1-9449-9B1527F346A4}"/>
            </c:ext>
          </c:extLst>
        </c:ser>
        <c:ser>
          <c:idx val="1"/>
          <c:order val="1"/>
          <c:tx>
            <c:strRef>
              <c:f>zaFeb2017!$A$3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zaFeb2017!$B$1:$N$1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zaFeb2017!$B$3:$N$3</c:f>
              <c:numCache>
                <c:formatCode>0</c:formatCode>
                <c:ptCount val="13"/>
                <c:pt idx="0">
                  <c:v>211524</c:v>
                </c:pt>
                <c:pt idx="1">
                  <c:v>239782</c:v>
                </c:pt>
                <c:pt idx="2">
                  <c:v>228100</c:v>
                </c:pt>
                <c:pt idx="3">
                  <c:v>234236</c:v>
                </c:pt>
                <c:pt idx="4">
                  <c:v>248861</c:v>
                </c:pt>
                <c:pt idx="5">
                  <c:v>245925</c:v>
                </c:pt>
                <c:pt idx="6">
                  <c:v>229795</c:v>
                </c:pt>
                <c:pt idx="7">
                  <c:v>265272</c:v>
                </c:pt>
                <c:pt idx="8">
                  <c:v>250736</c:v>
                </c:pt>
                <c:pt idx="9">
                  <c:v>267042</c:v>
                </c:pt>
                <c:pt idx="10">
                  <c:v>260279</c:v>
                </c:pt>
                <c:pt idx="11">
                  <c:v>226565</c:v>
                </c:pt>
                <c:pt idx="12">
                  <c:v>250292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49-4FF1-9449-9B1527F346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2185936"/>
        <c:axId val="342185152"/>
      </c:lineChart>
      <c:catAx>
        <c:axId val="34218593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42185152"/>
        <c:crosses val="autoZero"/>
        <c:auto val="1"/>
        <c:lblAlgn val="ctr"/>
        <c:lblOffset val="100"/>
        <c:noMultiLvlLbl val="0"/>
      </c:catAx>
      <c:valAx>
        <c:axId val="34218515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##0" sourceLinked="0"/>
        <c:majorTickMark val="out"/>
        <c:minorTickMark val="none"/>
        <c:tickLblPos val="nextTo"/>
        <c:crossAx val="342185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png"/><Relationship Id="rId1" Type="http://schemas.openxmlformats.org/officeDocument/2006/relationships/image" Target="../media/image5.png"/></Relationships>
</file>

<file path=word/drawing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png"/><Relationship Id="rId1" Type="http://schemas.openxmlformats.org/officeDocument/2006/relationships/image" Target="../media/image7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0.32998</cdr:x>
      <cdr:y>0.88557</cdr:y>
    </cdr:from>
    <cdr:to>
      <cdr:x>0.49198</cdr:x>
      <cdr:y>0.97705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804132" y="2581684"/>
          <a:ext cx="885711" cy="26668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0.56824</cdr:x>
      <cdr:y>0.8815</cdr:y>
    </cdr:from>
    <cdr:to>
      <cdr:x>0.73024</cdr:x>
      <cdr:y>0.97298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106763" y="2569835"/>
          <a:ext cx="885710" cy="266681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0.37808</cdr:x>
      <cdr:y>0.86847</cdr:y>
    </cdr:from>
    <cdr:to>
      <cdr:x>0.51621</cdr:x>
      <cdr:y>0.97765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50236" y="2651506"/>
          <a:ext cx="895195" cy="33333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0.57997</cdr:x>
      <cdr:y>0.88266</cdr:y>
    </cdr:from>
    <cdr:to>
      <cdr:x>0.71664</cdr:x>
      <cdr:y>0.95753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758647" y="2694842"/>
          <a:ext cx="885732" cy="228584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0.86794</cdr:x>
      <cdr:y>0.3362</cdr:y>
    </cdr:from>
    <cdr:to>
      <cdr:x>1</cdr:x>
      <cdr:y>0.43983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62382" y="871034"/>
          <a:ext cx="587698" cy="26847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0.86922</cdr:x>
      <cdr:y>0.45082</cdr:y>
    </cdr:from>
    <cdr:to>
      <cdr:x>0.99763</cdr:x>
      <cdr:y>0.53904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868112" y="1167993"/>
          <a:ext cx="571419" cy="2285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BC42-2200-4082-8E38-FD8B26B6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8708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696</cp:revision>
  <cp:lastPrinted>2017-03-21T16:22:00Z</cp:lastPrinted>
  <dcterms:created xsi:type="dcterms:W3CDTF">2014-03-14T12:01:00Z</dcterms:created>
  <dcterms:modified xsi:type="dcterms:W3CDTF">2017-06-22T09:52:00Z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