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643A8" w:rsidRDefault="00B94BFB">
      <w:pPr>
        <w:rPr>
          <w:lang w:val="sr-Cyrl-CS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8B47D1" w:rsidRPr="00CA19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1D2CF2" w:rsidRDefault="004551B9" w:rsidP="00A34A14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6C418B">
              <w:rPr>
                <w:rFonts w:ascii="Arial Narrow" w:hAnsi="Arial Narrow" w:cs="Tahoma"/>
                <w:color w:val="1F497D" w:themeColor="text2"/>
                <w:sz w:val="16"/>
              </w:rPr>
              <w:t>3</w:t>
            </w:r>
            <w:r w:rsidR="00A34A14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 January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 </w:t>
            </w:r>
            <w:r w:rsidR="00797731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>I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 xml:space="preserve"> 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>201</w:t>
            </w:r>
            <w:r w:rsidR="006C418B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BA"/>
              </w:rPr>
              <w:t>7</w:t>
            </w:r>
            <w:r w:rsidR="00A34A14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CS"/>
              </w:rPr>
              <w:t>,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 </w:t>
            </w:r>
            <w:r w:rsidR="00A34A14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>No.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CS"/>
              </w:rPr>
              <w:t xml:space="preserve"> </w:t>
            </w:r>
            <w:r w:rsidR="005A718D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3</w:t>
            </w:r>
            <w:r w:rsidR="00431915" w:rsidRPr="00A64260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Cyrl-BA"/>
              </w:rPr>
              <w:t>/1</w:t>
            </w:r>
            <w:r w:rsidR="006C418B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</w:rPr>
              <w:t>7</w:t>
            </w:r>
            <w:r w:rsidR="00F6075A" w:rsidRPr="001D2CF2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A34A1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  <w:r w:rsidR="0035383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A34A14" w:rsidP="006D71F8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January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6D71F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7</w:t>
            </w:r>
          </w:p>
        </w:tc>
      </w:tr>
    </w:tbl>
    <w:p w:rsidR="000F689B" w:rsidRPr="00D266AF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E33D13" w:rsidRPr="00EF1215" w:rsidRDefault="000B5E48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Average net wage in December</w:t>
      </w:r>
      <w:r w:rsidR="00E33D13" w:rsidRPr="00EF121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1A1E7A" w:rsidRPr="00EF121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3</w:t>
      </w:r>
      <w:r w:rsidR="009E40AA" w:rsidRPr="00EF121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5</w:t>
      </w:r>
      <w:r w:rsidR="00E33D13" w:rsidRPr="00EF121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EF1215" w:rsidRDefault="000B5E48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0B5E48">
        <w:rPr>
          <w:rFonts w:ascii="Arial Narrow" w:hAnsi="Arial Narrow" w:cs="Tahoma"/>
          <w:b/>
          <w:sz w:val="28"/>
          <w:szCs w:val="28"/>
        </w:rPr>
        <w:t xml:space="preserve">The highest average net wage was that in the section </w:t>
      </w:r>
      <w:r w:rsidRPr="000B5E48">
        <w:rPr>
          <w:rFonts w:ascii="Arial Narrow" w:hAnsi="Arial Narrow" w:cs="Tahoma"/>
          <w:b/>
          <w:i/>
          <w:sz w:val="28"/>
          <w:szCs w:val="28"/>
        </w:rPr>
        <w:t>Financial and insurance activities</w:t>
      </w:r>
      <w:r w:rsidRPr="000B5E48">
        <w:rPr>
          <w:rFonts w:ascii="Arial Narrow" w:hAnsi="Arial Narrow" w:cs="Tahoma"/>
          <w:b/>
          <w:sz w:val="28"/>
          <w:szCs w:val="28"/>
          <w:lang w:val="ru-RU"/>
        </w:rPr>
        <w:t xml:space="preserve"> </w:t>
      </w:r>
      <w:r>
        <w:rPr>
          <w:rFonts w:ascii="Arial Narrow" w:hAnsi="Arial Narrow" w:cs="Tahoma"/>
          <w:b/>
          <w:sz w:val="28"/>
          <w:szCs w:val="28"/>
          <w:lang w:val="ru-RU"/>
        </w:rPr>
        <w:t>1,</w:t>
      </w:r>
      <w:r w:rsidR="005F6D3F" w:rsidRPr="00EF1215">
        <w:rPr>
          <w:rFonts w:ascii="Arial Narrow" w:hAnsi="Arial Narrow" w:cs="Tahoma"/>
          <w:b/>
          <w:sz w:val="28"/>
          <w:szCs w:val="28"/>
          <w:lang w:val="ru-RU"/>
        </w:rPr>
        <w:t>2</w:t>
      </w:r>
      <w:r w:rsidR="009E40AA" w:rsidRPr="00EF1215">
        <w:rPr>
          <w:rFonts w:ascii="Arial Narrow" w:hAnsi="Arial Narrow" w:cs="Tahoma"/>
          <w:b/>
          <w:sz w:val="28"/>
          <w:szCs w:val="28"/>
          <w:lang w:val="ru-RU"/>
        </w:rPr>
        <w:t>37</w:t>
      </w:r>
      <w:r w:rsidR="00E33D13" w:rsidRPr="00EF1215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="00E33D13" w:rsidRPr="00EF1215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Pr="000B5E48">
        <w:rPr>
          <w:rFonts w:ascii="Arial Narrow" w:hAnsi="Arial Narrow" w:cs="Tahoma"/>
          <w:b/>
          <w:sz w:val="28"/>
          <w:szCs w:val="28"/>
        </w:rPr>
        <w:t>while the lowest one was that in the section</w:t>
      </w:r>
      <w:r w:rsidRPr="000B5E48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0B5E48">
        <w:rPr>
          <w:rFonts w:ascii="Arial Narrow" w:hAnsi="Arial Narrow" w:cs="Tahoma"/>
          <w:b/>
          <w:i/>
          <w:sz w:val="28"/>
          <w:szCs w:val="28"/>
        </w:rPr>
        <w:t xml:space="preserve">Administrative and support services </w:t>
      </w:r>
      <w:r w:rsidR="00E33D13" w:rsidRPr="00EF1215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9E40AA" w:rsidRPr="00EF1215">
        <w:rPr>
          <w:rFonts w:ascii="Arial Narrow" w:hAnsi="Arial Narrow" w:cs="Tahoma"/>
          <w:b/>
          <w:sz w:val="28"/>
          <w:szCs w:val="28"/>
          <w:lang w:val="sr-Cyrl-BA"/>
        </w:rPr>
        <w:t>23</w:t>
      </w:r>
      <w:r w:rsidR="00E33D13" w:rsidRPr="00EF1215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EF1215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EF1215">
        <w:rPr>
          <w:rFonts w:ascii="Tahoma" w:hAnsi="Tahoma" w:cs="Tahoma"/>
          <w:b/>
          <w:lang w:val="sr-Cyrl-CS"/>
        </w:rPr>
        <w:tab/>
      </w:r>
      <w:r w:rsidRPr="00EF1215">
        <w:rPr>
          <w:rFonts w:ascii="Tahoma" w:hAnsi="Tahoma" w:cs="Tahoma"/>
          <w:b/>
          <w:lang w:val="sr-Cyrl-CS"/>
        </w:rPr>
        <w:tab/>
      </w:r>
    </w:p>
    <w:p w:rsidR="00B82005" w:rsidRDefault="003269C1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3269C1">
        <w:rPr>
          <w:rFonts w:ascii="Arial Narrow" w:hAnsi="Arial Narrow" w:cs="Tahoma"/>
          <w:sz w:val="22"/>
        </w:rPr>
        <w:t xml:space="preserve">Average monthly net wage of employed persons in </w:t>
      </w:r>
      <w:proofErr w:type="spellStart"/>
      <w:r w:rsidRPr="003269C1">
        <w:rPr>
          <w:rFonts w:ascii="Arial Narrow" w:hAnsi="Arial Narrow" w:cs="Tahoma"/>
          <w:sz w:val="22"/>
        </w:rPr>
        <w:t>Republika</w:t>
      </w:r>
      <w:proofErr w:type="spellEnd"/>
      <w:r w:rsidRPr="003269C1">
        <w:rPr>
          <w:rFonts w:ascii="Arial Narrow" w:hAnsi="Arial Narrow" w:cs="Tahoma"/>
          <w:sz w:val="22"/>
        </w:rPr>
        <w:t xml:space="preserve"> </w:t>
      </w:r>
      <w:proofErr w:type="spellStart"/>
      <w:r w:rsidRPr="003269C1">
        <w:rPr>
          <w:rFonts w:ascii="Arial Narrow" w:hAnsi="Arial Narrow" w:cs="Tahoma"/>
          <w:sz w:val="22"/>
        </w:rPr>
        <w:t>Srpska</w:t>
      </w:r>
      <w:proofErr w:type="spellEnd"/>
      <w:r w:rsidRPr="003269C1">
        <w:rPr>
          <w:rFonts w:ascii="Arial Narrow" w:hAnsi="Arial Narrow" w:cs="Tahoma"/>
          <w:sz w:val="22"/>
        </w:rPr>
        <w:t xml:space="preserve"> paid in</w:t>
      </w:r>
      <w:r w:rsidRPr="003269C1">
        <w:rPr>
          <w:rFonts w:ascii="Arial Narrow" w:hAnsi="Arial Narrow" w:cs="Tahoma"/>
          <w:sz w:val="22"/>
          <w:lang w:val="sr-Cyrl-CS"/>
        </w:rPr>
        <w:t xml:space="preserve"> </w:t>
      </w:r>
      <w:r>
        <w:rPr>
          <w:rFonts w:ascii="Arial Narrow" w:hAnsi="Arial Narrow" w:cs="Tahoma"/>
          <w:sz w:val="22"/>
        </w:rPr>
        <w:t>December</w:t>
      </w:r>
      <w:r w:rsidR="00E33D13" w:rsidRPr="00EF1215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EF1215">
        <w:rPr>
          <w:rFonts w:ascii="Arial Narrow" w:hAnsi="Arial Narrow" w:cs="Tahoma"/>
          <w:sz w:val="22"/>
          <w:lang w:val="sr-Cyrl-CS"/>
        </w:rPr>
        <w:t>6</w:t>
      </w:r>
      <w:r w:rsidR="00E33D13" w:rsidRPr="00EF1215">
        <w:rPr>
          <w:rFonts w:ascii="Arial Narrow" w:hAnsi="Arial Narrow" w:cs="Tahoma"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</w:rPr>
        <w:t>was</w:t>
      </w:r>
      <w:r w:rsidR="00E33D13" w:rsidRPr="00EF1215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E33D13" w:rsidRPr="00EF1215">
        <w:rPr>
          <w:rFonts w:ascii="Arial Narrow" w:hAnsi="Arial Narrow" w:cs="Tahoma"/>
          <w:sz w:val="22"/>
          <w:lang w:val="sr-Cyrl-CS"/>
        </w:rPr>
        <w:t>8</w:t>
      </w:r>
      <w:r w:rsidR="001A1E7A" w:rsidRPr="00EF1215">
        <w:rPr>
          <w:rFonts w:ascii="Arial Narrow" w:hAnsi="Arial Narrow" w:cs="Tahoma"/>
          <w:sz w:val="22"/>
          <w:lang w:val="sr-Cyrl-CS"/>
        </w:rPr>
        <w:t>3</w:t>
      </w:r>
      <w:r w:rsidR="009E40AA" w:rsidRPr="00EF1215">
        <w:rPr>
          <w:rFonts w:ascii="Arial Narrow" w:hAnsi="Arial Narrow" w:cs="Tahoma"/>
          <w:sz w:val="22"/>
          <w:lang w:val="sr-Cyrl-CS"/>
        </w:rPr>
        <w:t>5</w:t>
      </w:r>
      <w:r w:rsidR="00E33D13" w:rsidRPr="00EF1215">
        <w:rPr>
          <w:rFonts w:ascii="Arial Narrow" w:hAnsi="Arial Narrow" w:cs="Tahoma"/>
          <w:sz w:val="22"/>
          <w:lang w:val="sr-Cyrl-CS"/>
        </w:rPr>
        <w:t xml:space="preserve"> КМ</w:t>
      </w:r>
      <w:r w:rsidR="00E33D13" w:rsidRPr="00EF1215">
        <w:rPr>
          <w:rFonts w:ascii="Arial Narrow" w:hAnsi="Arial Narrow" w:cs="Tahoma"/>
          <w:sz w:val="22"/>
          <w:lang w:val="hr-HR"/>
        </w:rPr>
        <w:t>,</w:t>
      </w:r>
      <w:r w:rsidR="00E33D13" w:rsidRPr="00EF1215">
        <w:rPr>
          <w:rFonts w:ascii="Arial Narrow" w:hAnsi="Arial Narrow" w:cs="Tahoma"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</w:rPr>
        <w:t>while average monthly gross wage was</w:t>
      </w:r>
      <w:r w:rsidR="00E33D13" w:rsidRPr="00EF1215">
        <w:rPr>
          <w:rFonts w:ascii="Arial Narrow" w:hAnsi="Arial Narrow" w:cs="Tahoma"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  <w:lang w:val="sr-Cyrl-CS"/>
        </w:rPr>
        <w:t>1,</w:t>
      </w:r>
      <w:r w:rsidR="00E33D13" w:rsidRPr="00EF1215">
        <w:rPr>
          <w:rFonts w:ascii="Arial Narrow" w:hAnsi="Arial Narrow" w:cs="Tahoma"/>
          <w:sz w:val="22"/>
          <w:lang w:val="sr-Cyrl-CS"/>
        </w:rPr>
        <w:t>3</w:t>
      </w:r>
      <w:r w:rsidR="000B278C" w:rsidRPr="00EF1215">
        <w:rPr>
          <w:rFonts w:ascii="Arial Narrow" w:hAnsi="Arial Narrow" w:cs="Tahoma"/>
          <w:sz w:val="22"/>
          <w:lang w:val="sr-Cyrl-CS"/>
        </w:rPr>
        <w:t>4</w:t>
      </w:r>
      <w:r w:rsidR="009E40AA" w:rsidRPr="00EF1215">
        <w:rPr>
          <w:rFonts w:ascii="Arial Narrow" w:hAnsi="Arial Narrow" w:cs="Tahoma"/>
          <w:sz w:val="22"/>
          <w:lang w:val="sr-Cyrl-CS"/>
        </w:rPr>
        <w:t>3</w:t>
      </w:r>
      <w:r w:rsidR="00F0781C" w:rsidRPr="00EF1215">
        <w:rPr>
          <w:rFonts w:ascii="Arial Narrow" w:hAnsi="Arial Narrow" w:cs="Tahoma"/>
          <w:sz w:val="22"/>
          <w:lang w:val="sr-Cyrl-CS"/>
        </w:rPr>
        <w:t xml:space="preserve"> </w:t>
      </w:r>
      <w:r w:rsidR="00E33D13" w:rsidRPr="00EF1215">
        <w:rPr>
          <w:rFonts w:ascii="Arial Narrow" w:hAnsi="Arial Narrow" w:cs="Tahoma"/>
          <w:sz w:val="22"/>
          <w:lang w:val="sr-Cyrl-CS"/>
        </w:rPr>
        <w:t>КМ.</w:t>
      </w:r>
      <w:r w:rsidR="00B82005" w:rsidRPr="00EF1215">
        <w:rPr>
          <w:rFonts w:ascii="Arial Narrow" w:hAnsi="Arial Narrow" w:cs="Tahoma"/>
          <w:sz w:val="22"/>
          <w:lang w:val="sr-Cyrl-CS"/>
        </w:rPr>
        <w:t xml:space="preserve"> </w:t>
      </w:r>
    </w:p>
    <w:p w:rsidR="00D75B37" w:rsidRDefault="00D75B37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D75B37" w:rsidRPr="00D75B37" w:rsidRDefault="00D75B37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Compared to December 2015, average net wage paid in December 2016 was really 0.4% higher, while compared to November 2016 it was really 0.3% lower. </w:t>
      </w:r>
    </w:p>
    <w:p w:rsidR="00B82005" w:rsidRPr="00EF1215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B747A8" w:rsidRDefault="00D75B37" w:rsidP="00B747A8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  <w:r>
        <w:rPr>
          <w:rFonts w:ascii="Arial Narrow" w:hAnsi="Arial Narrow" w:cs="Tahoma"/>
          <w:sz w:val="22"/>
          <w:lang w:val="sr-Latn-CS"/>
        </w:rPr>
        <w:t xml:space="preserve">In 2016, average net wage was 836 KM, and average gross wage was 1,344 KM. Compared to 2015, average net wage was nominally 0.6% higher and really 1.8% higher. </w:t>
      </w:r>
    </w:p>
    <w:p w:rsidR="0027782B" w:rsidRDefault="0027782B" w:rsidP="00B747A8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</w:p>
    <w:p w:rsidR="0027782B" w:rsidRPr="0027782B" w:rsidRDefault="0027782B" w:rsidP="00B747A8">
      <w:pPr>
        <w:tabs>
          <w:tab w:val="left" w:pos="1134"/>
        </w:tabs>
        <w:jc w:val="both"/>
        <w:rPr>
          <w:rFonts w:ascii="Arial Narrow" w:hAnsi="Arial Narrow" w:cs="Tahoma"/>
          <w:sz w:val="22"/>
          <w:lang w:val="ru-RU"/>
        </w:rPr>
      </w:pPr>
      <w:r w:rsidRPr="0027782B">
        <w:rPr>
          <w:rFonts w:ascii="Arial Narrow" w:hAnsi="Arial Narrow" w:cs="Tahoma"/>
          <w:sz w:val="22"/>
          <w:lang w:val="sr-Latn-CS"/>
        </w:rPr>
        <w:t xml:space="preserve">In </w:t>
      </w:r>
      <w:r>
        <w:rPr>
          <w:rFonts w:ascii="Arial Narrow" w:hAnsi="Arial Narrow" w:cs="Tahoma"/>
          <w:sz w:val="22"/>
          <w:lang w:val="sr-Latn-CS"/>
        </w:rPr>
        <w:t>December</w:t>
      </w:r>
      <w:r w:rsidRPr="0027782B">
        <w:rPr>
          <w:rFonts w:ascii="Arial Narrow" w:hAnsi="Arial Narrow" w:cs="Tahoma"/>
          <w:sz w:val="22"/>
          <w:lang w:val="sr-Latn-CS"/>
        </w:rPr>
        <w:t xml:space="preserve"> 2016, the highest average net wage, by section of activities, was paid in the section </w:t>
      </w:r>
      <w:r w:rsidRPr="0027782B">
        <w:rPr>
          <w:rFonts w:ascii="Arial Narrow" w:hAnsi="Arial Narrow" w:cs="Tahoma"/>
          <w:i/>
          <w:sz w:val="22"/>
        </w:rPr>
        <w:t>Financial and insurance activities</w:t>
      </w:r>
      <w:r w:rsidRPr="0027782B">
        <w:rPr>
          <w:rFonts w:ascii="Arial Narrow" w:hAnsi="Arial Narrow" w:cs="Tahoma"/>
          <w:sz w:val="22"/>
        </w:rPr>
        <w:t xml:space="preserve"> and it amounted to</w:t>
      </w:r>
      <w:r>
        <w:rPr>
          <w:rFonts w:ascii="Arial Narrow" w:hAnsi="Arial Narrow" w:cs="Tahoma"/>
          <w:sz w:val="22"/>
        </w:rPr>
        <w:t xml:space="preserve"> 1,237 KM. </w:t>
      </w:r>
      <w:r w:rsidRPr="0027782B">
        <w:rPr>
          <w:rFonts w:ascii="Arial Narrow" w:hAnsi="Arial Narrow" w:cs="Tahoma"/>
          <w:sz w:val="22"/>
        </w:rPr>
        <w:t>On the other hand,</w:t>
      </w:r>
      <w:r>
        <w:rPr>
          <w:rFonts w:ascii="Arial Narrow" w:hAnsi="Arial Narrow" w:cs="Tahoma"/>
          <w:sz w:val="22"/>
        </w:rPr>
        <w:t xml:space="preserve"> the lowest average net wage in December </w:t>
      </w:r>
      <w:r w:rsidRPr="0027782B">
        <w:rPr>
          <w:rFonts w:ascii="Arial Narrow" w:hAnsi="Arial Narrow" w:cs="Tahoma"/>
          <w:sz w:val="22"/>
        </w:rPr>
        <w:t xml:space="preserve">2016 was the one paid in the section </w:t>
      </w:r>
      <w:r w:rsidRPr="0027782B">
        <w:rPr>
          <w:rFonts w:ascii="Arial Narrow" w:hAnsi="Arial Narrow" w:cs="Tahoma"/>
          <w:i/>
          <w:sz w:val="22"/>
        </w:rPr>
        <w:t>Administrative and support service activities</w:t>
      </w:r>
      <w:r>
        <w:rPr>
          <w:rFonts w:ascii="Arial Narrow" w:hAnsi="Arial Narrow" w:cs="Tahoma"/>
          <w:i/>
          <w:sz w:val="22"/>
        </w:rPr>
        <w:t xml:space="preserve"> </w:t>
      </w:r>
      <w:r w:rsidRPr="0027782B">
        <w:rPr>
          <w:rFonts w:ascii="Arial Narrow" w:hAnsi="Arial Narrow" w:cs="Tahoma"/>
          <w:sz w:val="22"/>
        </w:rPr>
        <w:t>523 KM</w:t>
      </w:r>
      <w:r>
        <w:rPr>
          <w:rFonts w:ascii="Arial Narrow" w:hAnsi="Arial Narrow" w:cs="Tahoma"/>
          <w:i/>
          <w:sz w:val="22"/>
        </w:rPr>
        <w:t xml:space="preserve">. </w:t>
      </w:r>
    </w:p>
    <w:p w:rsidR="009E40AA" w:rsidRPr="00EF1215" w:rsidRDefault="009E40AA" w:rsidP="00B747A8">
      <w:pPr>
        <w:tabs>
          <w:tab w:val="left" w:pos="1134"/>
        </w:tabs>
        <w:jc w:val="both"/>
        <w:rPr>
          <w:rFonts w:ascii="Arial Narrow" w:hAnsi="Arial Narrow" w:cs="Tahoma"/>
          <w:sz w:val="22"/>
          <w:lang w:val="ru-RU"/>
        </w:rPr>
      </w:pPr>
    </w:p>
    <w:p w:rsidR="00E33D13" w:rsidRDefault="0027782B" w:rsidP="00E33D13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December 2016, compared to November 2016, a nominal increase in net wages was recorded in the sections </w:t>
      </w:r>
      <w:proofErr w:type="gramStart"/>
      <w:r w:rsidRPr="0027782B">
        <w:rPr>
          <w:rFonts w:ascii="Arial Narrow" w:hAnsi="Arial Narrow" w:cs="Tahoma"/>
          <w:i/>
          <w:sz w:val="22"/>
        </w:rPr>
        <w:t>Other</w:t>
      </w:r>
      <w:proofErr w:type="gramEnd"/>
      <w:r w:rsidRPr="0027782B">
        <w:rPr>
          <w:rFonts w:ascii="Arial Narrow" w:hAnsi="Arial Narrow" w:cs="Tahoma"/>
          <w:i/>
          <w:sz w:val="22"/>
        </w:rPr>
        <w:t xml:space="preserve"> service activities</w:t>
      </w:r>
      <w:r>
        <w:rPr>
          <w:rFonts w:ascii="Arial Narrow" w:hAnsi="Arial Narrow" w:cs="Tahoma"/>
          <w:sz w:val="22"/>
        </w:rPr>
        <w:t xml:space="preserve"> 3.8%, </w:t>
      </w:r>
      <w:r w:rsidRPr="0027782B">
        <w:rPr>
          <w:rFonts w:ascii="Arial Narrow" w:hAnsi="Arial Narrow" w:cs="Tahoma"/>
          <w:i/>
          <w:sz w:val="22"/>
        </w:rPr>
        <w:t>Manufacturing</w:t>
      </w:r>
      <w:r>
        <w:rPr>
          <w:rFonts w:ascii="Arial Narrow" w:hAnsi="Arial Narrow" w:cs="Tahoma"/>
          <w:sz w:val="22"/>
        </w:rPr>
        <w:t xml:space="preserve"> 1.3% and </w:t>
      </w:r>
      <w:r w:rsidRPr="0027782B">
        <w:rPr>
          <w:rFonts w:ascii="Arial Narrow" w:hAnsi="Arial Narrow" w:cs="Tahoma"/>
          <w:i/>
          <w:sz w:val="22"/>
        </w:rPr>
        <w:t>Construction</w:t>
      </w:r>
      <w:r>
        <w:rPr>
          <w:rFonts w:ascii="Arial Narrow" w:hAnsi="Arial Narrow" w:cs="Tahoma"/>
          <w:sz w:val="22"/>
        </w:rPr>
        <w:t xml:space="preserve"> 1.1%. </w:t>
      </w:r>
    </w:p>
    <w:p w:rsidR="0027782B" w:rsidRDefault="0027782B" w:rsidP="00E33D13">
      <w:pPr>
        <w:jc w:val="both"/>
        <w:rPr>
          <w:rFonts w:ascii="Arial Narrow" w:hAnsi="Arial Narrow" w:cs="Tahoma"/>
          <w:sz w:val="22"/>
        </w:rPr>
      </w:pPr>
    </w:p>
    <w:p w:rsidR="0027782B" w:rsidRPr="0027782B" w:rsidRDefault="0027782B" w:rsidP="00E33D13">
      <w:pPr>
        <w:jc w:val="both"/>
        <w:rPr>
          <w:rFonts w:ascii="Arial Narrow" w:hAnsi="Arial Narrow" w:cs="Tahoma"/>
          <w:sz w:val="22"/>
        </w:rPr>
      </w:pPr>
      <w:r w:rsidRPr="0027782B">
        <w:rPr>
          <w:rFonts w:ascii="Arial Narrow" w:hAnsi="Arial Narrow" w:cs="Tahoma"/>
          <w:sz w:val="22"/>
        </w:rPr>
        <w:t>A decrease in nominal wages was recorded in the sections</w:t>
      </w:r>
      <w:r>
        <w:rPr>
          <w:rFonts w:ascii="Arial Narrow" w:hAnsi="Arial Narrow" w:cs="Tahoma"/>
          <w:sz w:val="22"/>
        </w:rPr>
        <w:t xml:space="preserve"> </w:t>
      </w:r>
      <w:r w:rsidRPr="0027782B">
        <w:rPr>
          <w:rFonts w:ascii="Arial Narrow" w:hAnsi="Arial Narrow" w:cs="Tahoma"/>
          <w:i/>
          <w:sz w:val="22"/>
        </w:rPr>
        <w:t>Financial and insurance activities</w:t>
      </w:r>
      <w:r>
        <w:rPr>
          <w:rFonts w:ascii="Arial Narrow" w:hAnsi="Arial Narrow" w:cs="Tahoma"/>
          <w:sz w:val="22"/>
        </w:rPr>
        <w:t xml:space="preserve"> 3.4%, </w:t>
      </w:r>
      <w:r w:rsidRPr="0027782B">
        <w:rPr>
          <w:rFonts w:ascii="Arial Narrow" w:hAnsi="Arial Narrow" w:cs="Tahoma"/>
          <w:i/>
          <w:sz w:val="22"/>
        </w:rPr>
        <w:t>Mining and quarrying</w:t>
      </w:r>
      <w:r>
        <w:rPr>
          <w:rFonts w:ascii="Arial Narrow" w:hAnsi="Arial Narrow" w:cs="Tahoma"/>
          <w:sz w:val="22"/>
        </w:rPr>
        <w:t xml:space="preserve"> 2.4% and </w:t>
      </w:r>
      <w:r w:rsidRPr="0027782B">
        <w:rPr>
          <w:rFonts w:ascii="Arial Narrow" w:hAnsi="Arial Narrow" w:cs="Tahoma"/>
          <w:i/>
          <w:sz w:val="22"/>
        </w:rPr>
        <w:t>Arts, entertainment and recreation</w:t>
      </w:r>
      <w:r>
        <w:rPr>
          <w:rFonts w:ascii="Arial Narrow" w:hAnsi="Arial Narrow" w:cs="Tahoma"/>
          <w:sz w:val="22"/>
        </w:rPr>
        <w:t xml:space="preserve"> 1.0%. </w:t>
      </w:r>
    </w:p>
    <w:p w:rsidR="00FF3EA0" w:rsidRPr="00EF1215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396802" w:rsidRPr="00EF1215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EF1215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EF1215">
        <w:rPr>
          <w:rFonts w:ascii="Tahoma" w:hAnsi="Tahoma" w:cs="Tahoma"/>
          <w:i/>
          <w:sz w:val="14"/>
          <w:lang w:val="sr-Cyrl-CS"/>
        </w:rPr>
        <w:t xml:space="preserve"> </w:t>
      </w:r>
      <w:r w:rsidRPr="00EF1215">
        <w:rPr>
          <w:rFonts w:ascii="Tahoma" w:hAnsi="Tahoma" w:cs="Tahoma"/>
          <w:sz w:val="14"/>
          <w:lang w:val="sr-Cyrl-CS"/>
        </w:rPr>
        <w:t xml:space="preserve">   </w:t>
      </w:r>
      <w:r w:rsidRPr="00EF1215">
        <w:rPr>
          <w:rFonts w:ascii="Tahoma" w:hAnsi="Tahoma" w:cs="Tahoma"/>
          <w:sz w:val="14"/>
          <w:lang w:val="sr-Latn-CS"/>
        </w:rPr>
        <w:tab/>
      </w:r>
      <w:r w:rsidRPr="00EF1215">
        <w:rPr>
          <w:rFonts w:ascii="Tahoma" w:hAnsi="Tahoma" w:cs="Tahoma"/>
          <w:sz w:val="14"/>
          <w:lang w:val="sr-Latn-CS"/>
        </w:rPr>
        <w:tab/>
      </w:r>
      <w:r w:rsidRPr="00EF1215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EF1215">
        <w:rPr>
          <w:rFonts w:ascii="Tahoma" w:hAnsi="Tahoma" w:cs="Tahoma"/>
          <w:sz w:val="14"/>
          <w:lang w:val="sr-Cyrl-BA"/>
        </w:rPr>
        <w:t xml:space="preserve">   </w:t>
      </w:r>
      <w:r w:rsidRPr="00EF1215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EF1215" w:rsidRDefault="00AD485B" w:rsidP="00E33D13">
      <w:pPr>
        <w:jc w:val="center"/>
        <w:rPr>
          <w:rFonts w:ascii="Tahoma" w:hAnsi="Tahoma" w:cs="Tahoma"/>
          <w:lang w:val="sr-Cyrl-BA"/>
        </w:rPr>
      </w:pPr>
      <w:r w:rsidRPr="00EF1215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1022086</wp:posOffset>
            </wp:positionH>
            <wp:positionV relativeFrom="paragraph">
              <wp:posOffset>2061210</wp:posOffset>
            </wp:positionV>
            <wp:extent cx="4504690" cy="461010"/>
            <wp:effectExtent l="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D13" w:rsidRPr="00EF1215">
        <w:rPr>
          <w:rFonts w:ascii="Tahoma" w:hAnsi="Tahoma" w:cs="Tahoma"/>
          <w:szCs w:val="18"/>
          <w:lang w:val="sr-Cyrl-BA"/>
        </w:rPr>
        <w:t xml:space="preserve">   </w:t>
      </w:r>
      <w:r w:rsidR="009E40AA" w:rsidRPr="00EF1215">
        <w:rPr>
          <w:noProof/>
        </w:rPr>
        <w:drawing>
          <wp:inline distT="0" distB="0" distL="0" distR="0">
            <wp:extent cx="4572000" cy="27432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EF1215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6A3911" w:rsidRDefault="006A3911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E33D13" w:rsidRPr="00EF1215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="0066022A" w:rsidRPr="00EF1215">
        <w:rPr>
          <w:rFonts w:ascii="Arial Narrow" w:hAnsi="Arial Narrow" w:cs="Tahoma"/>
          <w:sz w:val="16"/>
          <w:szCs w:val="22"/>
          <w:lang w:val="sr-Latn-BA"/>
        </w:rPr>
        <w:t>1</w:t>
      </w:r>
      <w:r w:rsidR="00E33D13" w:rsidRPr="00EF1215">
        <w:rPr>
          <w:rFonts w:ascii="Arial Narrow" w:hAnsi="Arial Narrow" w:cs="Tahoma"/>
          <w:sz w:val="16"/>
          <w:szCs w:val="22"/>
          <w:lang w:val="sr-Cyrl-CS"/>
        </w:rPr>
        <w:t>.</w:t>
      </w:r>
      <w:r w:rsidR="00E33D13" w:rsidRPr="00EF1215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>
        <w:rPr>
          <w:rFonts w:ascii="Arial Narrow" w:hAnsi="Arial Narrow" w:cs="Tahoma"/>
          <w:sz w:val="16"/>
          <w:szCs w:val="22"/>
        </w:rPr>
        <w:t>Average net wages of employed persons by month</w:t>
      </w:r>
    </w:p>
    <w:p w:rsidR="00BE051D" w:rsidRPr="00EF1215" w:rsidRDefault="00BE051D">
      <w:pPr>
        <w:rPr>
          <w:rFonts w:ascii="Arial Narrow" w:hAnsi="Arial Narrow" w:cs="Tahoma"/>
          <w:sz w:val="22"/>
          <w:lang w:val="sr-Latn-BA"/>
        </w:rPr>
      </w:pPr>
    </w:p>
    <w:p w:rsidR="004832EC" w:rsidRPr="00EF1215" w:rsidRDefault="004832EC">
      <w:pPr>
        <w:rPr>
          <w:rFonts w:ascii="Arial Narrow" w:hAnsi="Arial Narrow" w:cs="Tahoma"/>
          <w:sz w:val="22"/>
          <w:lang w:val="sr-Latn-BA"/>
        </w:rPr>
      </w:pPr>
    </w:p>
    <w:p w:rsidR="00A67668" w:rsidRPr="00EF1215" w:rsidRDefault="00A67668">
      <w:pPr>
        <w:rPr>
          <w:rFonts w:ascii="Arial Narrow" w:hAnsi="Arial Narrow" w:cs="Tahoma"/>
          <w:sz w:val="22"/>
          <w:lang w:val="sr-Latn-BA"/>
        </w:rPr>
      </w:pPr>
    </w:p>
    <w:p w:rsidR="00A67668" w:rsidRPr="00EF1215" w:rsidRDefault="00A67668">
      <w:pPr>
        <w:rPr>
          <w:rFonts w:ascii="Arial Narrow" w:hAnsi="Arial Narrow" w:cs="Tahoma"/>
          <w:sz w:val="22"/>
          <w:lang w:val="sr-Latn-BA"/>
        </w:rPr>
      </w:pPr>
    </w:p>
    <w:p w:rsidR="00AD0CFD" w:rsidRPr="009D22C2" w:rsidRDefault="009D22C2" w:rsidP="00AD0CFD">
      <w:pPr>
        <w:jc w:val="both"/>
        <w:rPr>
          <w:rFonts w:ascii="Arial Narrow" w:hAnsi="Arial Narrow" w:cs="Tahoma"/>
          <w:b/>
          <w:sz w:val="30"/>
          <w:szCs w:val="30"/>
        </w:rPr>
      </w:pPr>
      <w:r>
        <w:rPr>
          <w:rFonts w:ascii="Arial Narrow" w:hAnsi="Arial Narrow" w:cs="Tahoma"/>
          <w:b/>
          <w:sz w:val="30"/>
          <w:szCs w:val="30"/>
        </w:rPr>
        <w:lastRenderedPageBreak/>
        <w:t>Monthly inflation</w:t>
      </w:r>
      <w:r w:rsidR="00AD0CFD" w:rsidRPr="00EF1215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0744B4" w:rsidRPr="00EF1215">
        <w:rPr>
          <w:rFonts w:ascii="Arial Narrow" w:hAnsi="Arial Narrow" w:cs="Tahoma"/>
          <w:b/>
          <w:sz w:val="30"/>
          <w:szCs w:val="30"/>
          <w:lang w:val="sr-Cyrl-BA"/>
        </w:rPr>
        <w:t>-</w:t>
      </w:r>
      <w:r>
        <w:rPr>
          <w:rFonts w:ascii="Arial Narrow" w:hAnsi="Arial Narrow" w:cs="Tahoma"/>
          <w:b/>
          <w:sz w:val="30"/>
          <w:szCs w:val="30"/>
          <w:lang w:val="sr-Cyrl-BA"/>
        </w:rPr>
        <w:t>0.</w:t>
      </w:r>
      <w:r w:rsidR="00AD0CFD" w:rsidRPr="00EF1215">
        <w:rPr>
          <w:rFonts w:ascii="Arial Narrow" w:hAnsi="Arial Narrow" w:cs="Tahoma"/>
          <w:b/>
          <w:sz w:val="30"/>
          <w:szCs w:val="30"/>
          <w:lang w:val="sr-Cyrl-BA"/>
        </w:rPr>
        <w:t>1%</w:t>
      </w:r>
      <w:r>
        <w:rPr>
          <w:rFonts w:ascii="Arial Narrow" w:hAnsi="Arial Narrow" w:cs="Tahoma"/>
          <w:b/>
          <w:sz w:val="30"/>
          <w:szCs w:val="30"/>
        </w:rPr>
        <w:t xml:space="preserve"> in December 2016</w:t>
      </w:r>
    </w:p>
    <w:p w:rsidR="00AD0CFD" w:rsidRPr="00EF1215" w:rsidRDefault="009D22C2" w:rsidP="00AD0CF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>
        <w:rPr>
          <w:rFonts w:ascii="Arial Narrow" w:hAnsi="Arial Narrow" w:cs="Tahoma"/>
          <w:b/>
          <w:sz w:val="30"/>
          <w:szCs w:val="30"/>
        </w:rPr>
        <w:t>Annual inflation</w:t>
      </w:r>
      <w:r w:rsidR="00AD0CFD" w:rsidRPr="00EF1215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>
        <w:rPr>
          <w:rFonts w:ascii="Arial Narrow" w:hAnsi="Arial Narrow" w:cs="Tahoma"/>
          <w:b/>
          <w:sz w:val="30"/>
          <w:szCs w:val="30"/>
          <w:lang w:val="sr-Cyrl-CS"/>
        </w:rPr>
        <w:t>December</w:t>
      </w:r>
      <w:r w:rsidR="00AD0CFD" w:rsidRPr="00EF1215">
        <w:rPr>
          <w:rFonts w:ascii="Arial Narrow" w:hAnsi="Arial Narrow" w:cs="Tahoma"/>
          <w:b/>
          <w:sz w:val="30"/>
          <w:szCs w:val="30"/>
          <w:lang w:val="sr-Cyrl-BA"/>
        </w:rPr>
        <w:t xml:space="preserve"> 2016/</w:t>
      </w:r>
      <w:r>
        <w:rPr>
          <w:rFonts w:ascii="Arial Narrow" w:hAnsi="Arial Narrow" w:cs="Tahoma"/>
          <w:b/>
          <w:sz w:val="30"/>
          <w:szCs w:val="30"/>
          <w:lang w:val="sr-Latn-BA"/>
        </w:rPr>
        <w:t>December</w:t>
      </w:r>
      <w:r>
        <w:rPr>
          <w:rFonts w:ascii="Arial Narrow" w:hAnsi="Arial Narrow" w:cs="Tahoma"/>
          <w:b/>
          <w:sz w:val="30"/>
          <w:szCs w:val="30"/>
          <w:lang w:val="sr-Cyrl-BA"/>
        </w:rPr>
        <w:t xml:space="preserve"> 2015) -0.</w:t>
      </w:r>
      <w:r w:rsidR="000744B4" w:rsidRPr="00EF1215">
        <w:rPr>
          <w:rFonts w:ascii="Arial Narrow" w:hAnsi="Arial Narrow" w:cs="Tahoma"/>
          <w:b/>
          <w:sz w:val="30"/>
          <w:szCs w:val="30"/>
          <w:lang w:val="sr-Cyrl-BA"/>
        </w:rPr>
        <w:t>2</w:t>
      </w:r>
      <w:r w:rsidR="00AD0CFD" w:rsidRPr="00EF1215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AD0CFD" w:rsidRPr="00EF1215" w:rsidRDefault="00AD0CFD" w:rsidP="00AD0CF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</w:p>
    <w:p w:rsidR="009A3EC6" w:rsidRDefault="009A3EC6" w:rsidP="00AD0CFD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9A3EC6">
        <w:rPr>
          <w:rFonts w:ascii="Arial Narrow" w:hAnsi="Arial Narrow" w:cs="Tahoma"/>
          <w:sz w:val="22"/>
          <w:szCs w:val="22"/>
        </w:rPr>
        <w:t xml:space="preserve">Prices of products and services for personal consumption in </w:t>
      </w:r>
      <w:proofErr w:type="spellStart"/>
      <w:r w:rsidRPr="009A3EC6">
        <w:rPr>
          <w:rFonts w:ascii="Arial Narrow" w:hAnsi="Arial Narrow" w:cs="Tahoma"/>
          <w:sz w:val="22"/>
          <w:szCs w:val="22"/>
        </w:rPr>
        <w:t>Republika</w:t>
      </w:r>
      <w:proofErr w:type="spellEnd"/>
      <w:r w:rsidRPr="009A3EC6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9A3EC6">
        <w:rPr>
          <w:rFonts w:ascii="Arial Narrow" w:hAnsi="Arial Narrow" w:cs="Tahoma"/>
          <w:sz w:val="22"/>
          <w:szCs w:val="22"/>
        </w:rPr>
        <w:t>Srpska</w:t>
      </w:r>
      <w:proofErr w:type="spellEnd"/>
      <w:r w:rsidRPr="009A3EC6">
        <w:rPr>
          <w:rFonts w:ascii="Arial Narrow" w:hAnsi="Arial Narrow" w:cs="Tahoma"/>
          <w:sz w:val="22"/>
          <w:szCs w:val="22"/>
        </w:rPr>
        <w:t xml:space="preserve">, measured with the consumer price index, in </w:t>
      </w:r>
      <w:r>
        <w:rPr>
          <w:rFonts w:ascii="Arial Narrow" w:hAnsi="Arial Narrow" w:cs="Tahoma"/>
          <w:sz w:val="22"/>
          <w:szCs w:val="22"/>
        </w:rPr>
        <w:t>December</w:t>
      </w:r>
      <w:r w:rsidRPr="009A3EC6">
        <w:rPr>
          <w:rFonts w:ascii="Arial Narrow" w:hAnsi="Arial Narrow" w:cs="Tahoma"/>
          <w:sz w:val="22"/>
          <w:szCs w:val="22"/>
        </w:rPr>
        <w:t xml:space="preserve"> 2016, compared to the previou</w:t>
      </w:r>
      <w:r>
        <w:rPr>
          <w:rFonts w:ascii="Arial Narrow" w:hAnsi="Arial Narrow" w:cs="Tahoma"/>
          <w:sz w:val="22"/>
          <w:szCs w:val="22"/>
        </w:rPr>
        <w:t>s month, were on the average 0.1</w:t>
      </w:r>
      <w:r w:rsidRPr="009A3EC6">
        <w:rPr>
          <w:rFonts w:ascii="Arial Narrow" w:hAnsi="Arial Narrow" w:cs="Tahoma"/>
          <w:sz w:val="22"/>
          <w:szCs w:val="22"/>
        </w:rPr>
        <w:t xml:space="preserve">% </w:t>
      </w:r>
      <w:r>
        <w:rPr>
          <w:rFonts w:ascii="Arial Narrow" w:hAnsi="Arial Narrow" w:cs="Tahoma"/>
          <w:sz w:val="22"/>
          <w:szCs w:val="22"/>
        </w:rPr>
        <w:t>lower, while they were 0.2</w:t>
      </w:r>
      <w:r w:rsidRPr="009A3EC6">
        <w:rPr>
          <w:rFonts w:ascii="Arial Narrow" w:hAnsi="Arial Narrow" w:cs="Tahoma"/>
          <w:sz w:val="22"/>
          <w:szCs w:val="22"/>
        </w:rPr>
        <w:t>% lower at the annual level</w:t>
      </w:r>
      <w:r>
        <w:rPr>
          <w:rFonts w:ascii="Arial Narrow" w:hAnsi="Arial Narrow" w:cs="Tahoma"/>
          <w:sz w:val="22"/>
          <w:szCs w:val="22"/>
        </w:rPr>
        <w:t>.</w:t>
      </w:r>
    </w:p>
    <w:p w:rsidR="009A3EC6" w:rsidRDefault="009A3EC6" w:rsidP="00AD0CFD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9A3EC6">
        <w:rPr>
          <w:rFonts w:ascii="Arial Narrow" w:hAnsi="Arial Narrow" w:cs="Tahoma"/>
          <w:sz w:val="22"/>
          <w:szCs w:val="22"/>
        </w:rPr>
        <w:t>Of the main 12 divisions of products and services, an increase in prices was recorded in five divisions, a decrease was recorded in three divisions, while prices in four divisions remained on the average at the same level</w:t>
      </w:r>
      <w:r>
        <w:rPr>
          <w:rFonts w:ascii="Arial Narrow" w:hAnsi="Arial Narrow" w:cs="Tahoma"/>
          <w:sz w:val="22"/>
          <w:szCs w:val="22"/>
        </w:rPr>
        <w:t>.</w:t>
      </w:r>
    </w:p>
    <w:p w:rsidR="00AD0CFD" w:rsidRPr="009A3EC6" w:rsidRDefault="009A3EC6" w:rsidP="00AD0CFD">
      <w:pPr>
        <w:jc w:val="both"/>
        <w:rPr>
          <w:rFonts w:ascii="Tahoma" w:hAnsi="Tahoma" w:cs="Tahoma"/>
        </w:rPr>
      </w:pPr>
      <w:r>
        <w:rPr>
          <w:rFonts w:ascii="Arial Narrow" w:hAnsi="Arial Narrow" w:cs="Tahoma"/>
          <w:sz w:val="22"/>
          <w:szCs w:val="22"/>
        </w:rPr>
        <w:t xml:space="preserve">The highest increase in prices in December was recorded in the division Transport, by 0.7%, due to higher purchase prices in the group fuels and lubricants (1.4%). An increase in prices was also recorded in the division </w:t>
      </w:r>
      <w:r w:rsidRPr="009A3EC6">
        <w:rPr>
          <w:rFonts w:ascii="Arial Narrow" w:hAnsi="Arial Narrow" w:cs="Tahoma"/>
          <w:i/>
          <w:sz w:val="22"/>
          <w:szCs w:val="22"/>
        </w:rPr>
        <w:t>Health care</w:t>
      </w:r>
      <w:r>
        <w:rPr>
          <w:rFonts w:ascii="Arial Narrow" w:hAnsi="Arial Narrow" w:cs="Tahoma"/>
          <w:sz w:val="22"/>
          <w:szCs w:val="22"/>
        </w:rPr>
        <w:t xml:space="preserve"> (0.4%), due to higher supply prices in the group pharmaceutical products by 0.5%. In the division </w:t>
      </w:r>
      <w:r w:rsidRPr="009A3EC6">
        <w:rPr>
          <w:rFonts w:ascii="Arial Narrow" w:hAnsi="Arial Narrow" w:cs="Tahoma"/>
          <w:i/>
          <w:sz w:val="22"/>
          <w:szCs w:val="22"/>
        </w:rPr>
        <w:t>Furnishing and other equipment</w:t>
      </w:r>
      <w:r>
        <w:rPr>
          <w:rFonts w:ascii="Arial Narrow" w:hAnsi="Arial Narrow" w:cs="Tahoma"/>
          <w:sz w:val="22"/>
          <w:szCs w:val="22"/>
        </w:rPr>
        <w:t xml:space="preserve"> (0.3%), higher prices were recorded in the group </w:t>
      </w:r>
      <w:r w:rsidRPr="009A3EC6">
        <w:rPr>
          <w:rFonts w:ascii="Arial Narrow" w:hAnsi="Arial Narrow" w:cs="Tahoma"/>
          <w:sz w:val="22"/>
          <w:szCs w:val="22"/>
        </w:rPr>
        <w:t>household cleaning and maintenance products</w:t>
      </w:r>
      <w:r>
        <w:rPr>
          <w:rFonts w:ascii="Arial Narrow" w:hAnsi="Arial Narrow" w:cs="Tahoma"/>
          <w:sz w:val="22"/>
          <w:szCs w:val="22"/>
        </w:rPr>
        <w:t xml:space="preserve"> (1.2%), due to new purchases and the end of the discount period. A slight increase in prices by 0.1% was recorded in the division </w:t>
      </w:r>
      <w:r w:rsidRPr="009A3EC6">
        <w:rPr>
          <w:rFonts w:ascii="Arial Narrow" w:hAnsi="Arial Narrow" w:cs="Tahoma"/>
          <w:i/>
          <w:sz w:val="22"/>
          <w:szCs w:val="22"/>
        </w:rPr>
        <w:t>Recreation and culture</w:t>
      </w:r>
      <w:r>
        <w:rPr>
          <w:rFonts w:ascii="Arial Narrow" w:hAnsi="Arial Narrow" w:cs="Tahoma"/>
          <w:sz w:val="22"/>
          <w:szCs w:val="22"/>
        </w:rPr>
        <w:t xml:space="preserve"> and in the </w:t>
      </w:r>
      <w:r>
        <w:rPr>
          <w:rFonts w:ascii="Arial Narrow" w:hAnsi="Arial Narrow" w:cs="Tahoma"/>
          <w:i/>
          <w:sz w:val="22"/>
          <w:szCs w:val="22"/>
        </w:rPr>
        <w:t>division Restaurants and h</w:t>
      </w:r>
      <w:r w:rsidRPr="009A3EC6">
        <w:rPr>
          <w:rFonts w:ascii="Arial Narrow" w:hAnsi="Arial Narrow" w:cs="Tahoma"/>
          <w:i/>
          <w:sz w:val="22"/>
          <w:szCs w:val="22"/>
        </w:rPr>
        <w:t>otels.</w:t>
      </w:r>
      <w:r>
        <w:rPr>
          <w:rFonts w:ascii="Arial Narrow" w:hAnsi="Arial Narrow" w:cs="Tahoma"/>
          <w:sz w:val="22"/>
          <w:szCs w:val="22"/>
        </w:rPr>
        <w:t xml:space="preserve"> </w:t>
      </w:r>
    </w:p>
    <w:p w:rsidR="000744B4" w:rsidRDefault="000744B4" w:rsidP="000744B4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A3EC6" w:rsidRPr="009A3EC6" w:rsidRDefault="009A3EC6" w:rsidP="000744B4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In the divisions </w:t>
      </w:r>
      <w:r w:rsidRPr="009A3EC6">
        <w:rPr>
          <w:rFonts w:ascii="Arial Narrow" w:hAnsi="Arial Narrow" w:cs="Tahoma"/>
          <w:i/>
          <w:sz w:val="22"/>
          <w:szCs w:val="22"/>
        </w:rPr>
        <w:t>Food and non-alcoholic beverages</w:t>
      </w:r>
      <w:r>
        <w:rPr>
          <w:rFonts w:ascii="Arial Narrow" w:hAnsi="Arial Narrow" w:cs="Tahoma"/>
          <w:sz w:val="22"/>
          <w:szCs w:val="22"/>
        </w:rPr>
        <w:t xml:space="preserve">, </w:t>
      </w:r>
      <w:r w:rsidRPr="009A3EC6">
        <w:rPr>
          <w:rFonts w:ascii="Arial Narrow" w:hAnsi="Arial Narrow" w:cs="Tahoma"/>
          <w:i/>
          <w:sz w:val="22"/>
          <w:szCs w:val="22"/>
        </w:rPr>
        <w:t>Housing</w:t>
      </w:r>
      <w:r>
        <w:rPr>
          <w:rFonts w:ascii="Arial Narrow" w:hAnsi="Arial Narrow" w:cs="Tahoma"/>
          <w:sz w:val="22"/>
          <w:szCs w:val="22"/>
        </w:rPr>
        <w:t xml:space="preserve">, </w:t>
      </w:r>
      <w:r w:rsidRPr="009A3EC6">
        <w:rPr>
          <w:rFonts w:ascii="Arial Narrow" w:hAnsi="Arial Narrow" w:cs="Tahoma"/>
          <w:i/>
          <w:sz w:val="22"/>
          <w:szCs w:val="22"/>
        </w:rPr>
        <w:t>Communication</w:t>
      </w:r>
      <w:r>
        <w:rPr>
          <w:rFonts w:ascii="Arial Narrow" w:hAnsi="Arial Narrow" w:cs="Tahoma"/>
          <w:sz w:val="22"/>
          <w:szCs w:val="22"/>
        </w:rPr>
        <w:t xml:space="preserve">, and </w:t>
      </w:r>
      <w:r w:rsidRPr="009A3EC6">
        <w:rPr>
          <w:rFonts w:ascii="Arial Narrow" w:hAnsi="Arial Narrow" w:cs="Tahoma"/>
          <w:i/>
          <w:sz w:val="22"/>
          <w:szCs w:val="22"/>
        </w:rPr>
        <w:t>Education</w:t>
      </w:r>
      <w:r>
        <w:rPr>
          <w:rFonts w:ascii="Arial Narrow" w:hAnsi="Arial Narrow" w:cs="Tahoma"/>
          <w:sz w:val="22"/>
          <w:szCs w:val="22"/>
        </w:rPr>
        <w:t xml:space="preserve"> prices remained on the average at the same level. </w:t>
      </w:r>
    </w:p>
    <w:p w:rsidR="000744B4" w:rsidRPr="009A3EC6" w:rsidRDefault="009A3EC6" w:rsidP="000744B4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The highest decrease in prices in December was recorded in the division </w:t>
      </w:r>
      <w:r w:rsidRPr="001A2717">
        <w:rPr>
          <w:rFonts w:ascii="Arial Narrow" w:hAnsi="Arial Narrow" w:cs="Tahoma"/>
          <w:i/>
          <w:sz w:val="22"/>
          <w:szCs w:val="22"/>
        </w:rPr>
        <w:t>Clothing and footwear</w:t>
      </w:r>
      <w:r>
        <w:rPr>
          <w:rFonts w:ascii="Arial Narrow" w:hAnsi="Arial Narrow" w:cs="Tahoma"/>
          <w:sz w:val="22"/>
          <w:szCs w:val="22"/>
        </w:rPr>
        <w:t xml:space="preserve"> (3.7%), due to numerous discounts (new seasonal and New Year’s discounts), followed by the division </w:t>
      </w:r>
      <w:r w:rsidR="001A2717" w:rsidRPr="001A2717">
        <w:rPr>
          <w:rFonts w:ascii="Arial Narrow" w:hAnsi="Arial Narrow" w:cs="Tahoma"/>
          <w:i/>
          <w:sz w:val="22"/>
          <w:szCs w:val="22"/>
        </w:rPr>
        <w:t>Other goods and services</w:t>
      </w:r>
      <w:r w:rsidR="001A2717">
        <w:rPr>
          <w:rFonts w:ascii="Arial Narrow" w:hAnsi="Arial Narrow" w:cs="Tahoma"/>
          <w:sz w:val="22"/>
          <w:szCs w:val="22"/>
        </w:rPr>
        <w:t xml:space="preserve"> (0.7%), due to discounts in the group personal care products, and the division </w:t>
      </w:r>
      <w:r w:rsidR="001A2717" w:rsidRPr="001A2717">
        <w:rPr>
          <w:rFonts w:ascii="Arial Narrow" w:hAnsi="Arial Narrow" w:cs="Tahoma"/>
          <w:i/>
          <w:sz w:val="22"/>
          <w:szCs w:val="22"/>
        </w:rPr>
        <w:t>Alcoholic beverages and tobacco</w:t>
      </w:r>
      <w:r w:rsidR="001A2717">
        <w:rPr>
          <w:rFonts w:ascii="Arial Narrow" w:hAnsi="Arial Narrow" w:cs="Tahoma"/>
          <w:sz w:val="22"/>
          <w:szCs w:val="22"/>
        </w:rPr>
        <w:t xml:space="preserve"> (0.1%). </w:t>
      </w:r>
    </w:p>
    <w:p w:rsidR="00DD5DBB" w:rsidRPr="00EF1215" w:rsidRDefault="00DD5DBB" w:rsidP="00B8018B">
      <w:pPr>
        <w:jc w:val="both"/>
        <w:rPr>
          <w:rFonts w:ascii="Tahoma" w:hAnsi="Tahoma" w:cs="Tahoma"/>
          <w:lang w:val="sr-Cyrl-BA"/>
        </w:rPr>
      </w:pPr>
    </w:p>
    <w:p w:rsidR="00662317" w:rsidRPr="00EF1215" w:rsidRDefault="004D661D" w:rsidP="009856D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EF1215">
        <w:rPr>
          <w:noProof/>
        </w:rPr>
        <w:drawing>
          <wp:inline distT="0" distB="0" distL="0" distR="0" wp14:anchorId="6A00184B" wp14:editId="6913927B">
            <wp:extent cx="5467350" cy="253619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67668" w:rsidRPr="00680D31" w:rsidRDefault="00BC65CA" w:rsidP="00680D31">
      <w:pPr>
        <w:jc w:val="center"/>
        <w:rPr>
          <w:rFonts w:ascii="Arial Narrow" w:hAnsi="Arial Narrow" w:cs="Tahoma"/>
          <w:sz w:val="16"/>
          <w:szCs w:val="16"/>
        </w:rPr>
      </w:pPr>
      <w:r>
        <w:rPr>
          <w:rFonts w:ascii="Arial Narrow" w:hAnsi="Arial Narrow" w:cs="Tahoma"/>
          <w:sz w:val="16"/>
          <w:szCs w:val="16"/>
        </w:rPr>
        <w:t>Graph</w:t>
      </w:r>
      <w:r w:rsidR="009856D8" w:rsidRPr="00EF1215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C07571" w:rsidRPr="00EF1215">
        <w:rPr>
          <w:rFonts w:ascii="Arial Narrow" w:hAnsi="Arial Narrow" w:cs="Tahoma"/>
          <w:sz w:val="16"/>
          <w:szCs w:val="16"/>
          <w:lang w:val="sr-Cyrl-BA"/>
        </w:rPr>
        <w:t>2</w:t>
      </w:r>
      <w:r w:rsidR="009856D8" w:rsidRPr="00EF1215">
        <w:rPr>
          <w:rFonts w:ascii="Arial Narrow" w:hAnsi="Arial Narrow" w:cs="Tahoma"/>
          <w:sz w:val="16"/>
          <w:szCs w:val="16"/>
          <w:lang w:val="sr-Cyrl-BA"/>
        </w:rPr>
        <w:t xml:space="preserve">. </w:t>
      </w:r>
      <w:r>
        <w:rPr>
          <w:rFonts w:ascii="Arial Narrow" w:hAnsi="Arial Narrow" w:cs="Tahoma"/>
          <w:sz w:val="16"/>
          <w:szCs w:val="16"/>
        </w:rPr>
        <w:t>Monthly and annual inflation</w:t>
      </w:r>
    </w:p>
    <w:p w:rsidR="007A0558" w:rsidRPr="00EF1215" w:rsidRDefault="007A055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06D21" w:rsidRPr="00EF1215" w:rsidRDefault="00680D31" w:rsidP="00F06D2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  <w:lang w:val="sr-Cyrl-BA"/>
        </w:rPr>
      </w:pPr>
      <w:r w:rsidRPr="00E86C2B">
        <w:rPr>
          <w:rFonts w:ascii="Arial Narrow" w:hAnsi="Arial Narrow" w:cs="Tahoma"/>
          <w:b/>
          <w:bCs/>
          <w:sz w:val="28"/>
          <w:szCs w:val="29"/>
        </w:rPr>
        <w:t>Working-day adjusted industrial production</w:t>
      </w:r>
      <w:r w:rsidRPr="00E86C2B">
        <w:rPr>
          <w:rFonts w:ascii="Arial Narrow" w:hAnsi="Arial Narrow" w:cs="Tahoma"/>
          <w:b/>
          <w:sz w:val="28"/>
          <w:szCs w:val="29"/>
          <w:lang w:val="sr-Cyrl-CS"/>
        </w:rPr>
        <w:t xml:space="preserve"> </w:t>
      </w:r>
      <w:r w:rsidR="00F06D21" w:rsidRPr="00EF1215">
        <w:rPr>
          <w:rFonts w:ascii="Arial Narrow" w:hAnsi="Arial Narrow" w:cs="Tahoma"/>
          <w:b/>
          <w:sz w:val="30"/>
          <w:szCs w:val="30"/>
          <w:lang w:val="sr-Cyrl-CS"/>
        </w:rPr>
        <w:t>(</w:t>
      </w:r>
      <w:r>
        <w:rPr>
          <w:rFonts w:ascii="Arial Narrow" w:hAnsi="Arial Narrow" w:cs="Tahoma"/>
          <w:b/>
          <w:sz w:val="30"/>
          <w:szCs w:val="30"/>
        </w:rPr>
        <w:t>December</w:t>
      </w:r>
      <w:r w:rsidR="00F06D21" w:rsidRPr="00EF1215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="00F06D21" w:rsidRPr="00EF1215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F06D21" w:rsidRPr="00EF1215">
        <w:rPr>
          <w:rFonts w:ascii="Arial Narrow" w:hAnsi="Arial Narrow" w:cs="Tahoma"/>
          <w:b/>
          <w:sz w:val="30"/>
          <w:szCs w:val="30"/>
          <w:lang w:val="sr-Latn-BA"/>
        </w:rPr>
        <w:t>6</w:t>
      </w:r>
      <w:r w:rsidR="009034C3" w:rsidRPr="00EF1215">
        <w:rPr>
          <w:rFonts w:ascii="Arial Narrow" w:hAnsi="Arial Narrow" w:cs="Tahoma"/>
          <w:b/>
          <w:sz w:val="30"/>
          <w:szCs w:val="30"/>
          <w:lang w:val="sr-Latn-BA"/>
        </w:rPr>
        <w:t>/</w:t>
      </w:r>
      <w:r>
        <w:rPr>
          <w:rFonts w:ascii="Arial Narrow" w:hAnsi="Arial Narrow" w:cs="Tahoma"/>
          <w:b/>
          <w:sz w:val="30"/>
          <w:szCs w:val="30"/>
          <w:lang w:val="sr-Latn-BA"/>
        </w:rPr>
        <w:t>December</w:t>
      </w:r>
      <w:r w:rsidR="00F06D21" w:rsidRPr="00EF1215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F06D21" w:rsidRPr="00EF1215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>
        <w:rPr>
          <w:rFonts w:ascii="Arial Narrow" w:hAnsi="Arial Narrow" w:cs="Tahoma"/>
          <w:b/>
          <w:bCs/>
          <w:sz w:val="30"/>
          <w:szCs w:val="30"/>
          <w:lang w:val="sr-Latn-BA"/>
        </w:rPr>
        <w:t>5</w:t>
      </w:r>
      <w:r w:rsidR="00F06D21" w:rsidRPr="00EF1215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="00F06D21" w:rsidRPr="00EF1215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>
        <w:rPr>
          <w:rFonts w:ascii="Arial Narrow" w:hAnsi="Arial Narrow" w:cs="Tahoma"/>
          <w:b/>
          <w:bCs/>
          <w:sz w:val="30"/>
          <w:szCs w:val="30"/>
        </w:rPr>
        <w:t>increased by</w:t>
      </w:r>
      <w:r w:rsidR="00F06D21" w:rsidRPr="00EF1215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7E1334" w:rsidRPr="00EF1215">
        <w:rPr>
          <w:rFonts w:ascii="Arial Narrow" w:hAnsi="Arial Narrow" w:cs="Tahoma"/>
          <w:b/>
          <w:bCs/>
          <w:sz w:val="30"/>
          <w:szCs w:val="30"/>
        </w:rPr>
        <w:t>20</w:t>
      </w:r>
      <w:r>
        <w:rPr>
          <w:rFonts w:ascii="Arial Narrow" w:hAnsi="Arial Narrow" w:cs="Tahoma"/>
          <w:b/>
          <w:bCs/>
          <w:sz w:val="30"/>
          <w:szCs w:val="30"/>
          <w:lang w:val="sr-Cyrl-CS"/>
        </w:rPr>
        <w:t>.</w:t>
      </w:r>
      <w:r w:rsidR="007E1334" w:rsidRPr="00EF1215">
        <w:rPr>
          <w:rFonts w:ascii="Arial Narrow" w:hAnsi="Arial Narrow" w:cs="Tahoma"/>
          <w:b/>
          <w:bCs/>
          <w:sz w:val="30"/>
          <w:szCs w:val="30"/>
        </w:rPr>
        <w:t>0</w:t>
      </w:r>
      <w:r w:rsidR="00F06D21" w:rsidRPr="00EF1215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153DA6" w:rsidRPr="00EF1215" w:rsidRDefault="00680D31" w:rsidP="00153DA6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  <w:lang w:val="sr-Cyrl-BA"/>
        </w:rPr>
      </w:pPr>
      <w:r>
        <w:rPr>
          <w:rFonts w:ascii="Arial Narrow" w:hAnsi="Arial Narrow" w:cs="Tahoma"/>
          <w:b/>
          <w:bCs/>
          <w:sz w:val="30"/>
          <w:szCs w:val="30"/>
        </w:rPr>
        <w:t>Seasonally-adjusted industrial production</w:t>
      </w:r>
      <w:r w:rsidR="00153DA6" w:rsidRPr="00EF1215">
        <w:rPr>
          <w:rFonts w:ascii="Arial Narrow" w:hAnsi="Arial Narrow" w:cs="Tahoma"/>
          <w:b/>
          <w:sz w:val="30"/>
          <w:szCs w:val="30"/>
          <w:lang w:val="sr-Cyrl-CS"/>
        </w:rPr>
        <w:t xml:space="preserve"> (</w:t>
      </w:r>
      <w:r>
        <w:rPr>
          <w:rFonts w:ascii="Arial Narrow" w:hAnsi="Arial Narrow" w:cs="Tahoma"/>
          <w:b/>
          <w:sz w:val="30"/>
          <w:szCs w:val="30"/>
        </w:rPr>
        <w:t>December</w:t>
      </w:r>
      <w:r w:rsidR="00153DA6" w:rsidRPr="00EF1215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="00153DA6" w:rsidRPr="00EF1215">
        <w:rPr>
          <w:rFonts w:ascii="Arial Narrow" w:hAnsi="Arial Narrow" w:cs="Tahoma"/>
          <w:b/>
          <w:sz w:val="30"/>
          <w:szCs w:val="30"/>
          <w:lang w:val="sr-Cyrl-CS"/>
        </w:rPr>
        <w:t>1</w:t>
      </w:r>
      <w:r>
        <w:rPr>
          <w:rFonts w:ascii="Arial Narrow" w:hAnsi="Arial Narrow" w:cs="Tahoma"/>
          <w:b/>
          <w:sz w:val="30"/>
          <w:szCs w:val="30"/>
          <w:lang w:val="sr-Latn-BA"/>
        </w:rPr>
        <w:t>6/November</w:t>
      </w:r>
      <w:r w:rsidR="00153DA6" w:rsidRPr="00EF1215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153DA6" w:rsidRPr="00EF1215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="00153DA6" w:rsidRPr="00EF1215">
        <w:rPr>
          <w:rFonts w:ascii="Arial Narrow" w:hAnsi="Arial Narrow" w:cs="Tahoma"/>
          <w:b/>
          <w:bCs/>
          <w:sz w:val="30"/>
          <w:szCs w:val="30"/>
          <w:lang w:val="sr-Cyrl-BA"/>
        </w:rPr>
        <w:t>6</w:t>
      </w:r>
      <w:r w:rsidR="00153DA6" w:rsidRPr="00EF1215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="00153DA6" w:rsidRPr="00EF1215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>
        <w:rPr>
          <w:rFonts w:ascii="Arial Narrow" w:hAnsi="Arial Narrow" w:cs="Tahoma"/>
          <w:b/>
          <w:bCs/>
          <w:sz w:val="30"/>
          <w:szCs w:val="30"/>
        </w:rPr>
        <w:t>increased</w:t>
      </w:r>
      <w:r w:rsidR="00153DA6" w:rsidRPr="00EF1215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7E1334" w:rsidRPr="00EF1215">
        <w:rPr>
          <w:rFonts w:ascii="Arial Narrow" w:hAnsi="Arial Narrow" w:cs="Tahoma"/>
          <w:b/>
          <w:bCs/>
          <w:sz w:val="30"/>
          <w:szCs w:val="30"/>
        </w:rPr>
        <w:t>5</w:t>
      </w:r>
      <w:r>
        <w:rPr>
          <w:rFonts w:ascii="Arial Narrow" w:hAnsi="Arial Narrow" w:cs="Tahoma"/>
          <w:b/>
          <w:bCs/>
          <w:sz w:val="30"/>
          <w:szCs w:val="30"/>
          <w:lang w:val="sr-Cyrl-CS"/>
        </w:rPr>
        <w:t>.</w:t>
      </w:r>
      <w:r w:rsidR="007E1334" w:rsidRPr="00EF1215">
        <w:rPr>
          <w:rFonts w:ascii="Arial Narrow" w:hAnsi="Arial Narrow" w:cs="Tahoma"/>
          <w:b/>
          <w:bCs/>
          <w:sz w:val="30"/>
          <w:szCs w:val="30"/>
        </w:rPr>
        <w:t>3</w:t>
      </w:r>
      <w:r w:rsidR="00153DA6" w:rsidRPr="00EF1215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166F34" w:rsidRPr="00EF1215" w:rsidRDefault="00A20437" w:rsidP="00166F34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BA"/>
        </w:rPr>
      </w:pPr>
      <w:r>
        <w:rPr>
          <w:rFonts w:ascii="Arial Narrow" w:hAnsi="Arial Narrow" w:cs="Tahoma"/>
          <w:b/>
          <w:sz w:val="28"/>
        </w:rPr>
        <w:t>Number of employees in industry</w:t>
      </w:r>
      <w:r w:rsidR="00166F34" w:rsidRPr="00EF1215">
        <w:rPr>
          <w:rFonts w:ascii="Arial Narrow" w:hAnsi="Arial Narrow" w:cs="Tahoma"/>
          <w:b/>
          <w:sz w:val="28"/>
          <w:lang w:val="ru-RU"/>
        </w:rPr>
        <w:t xml:space="preserve"> (</w:t>
      </w:r>
      <w:r>
        <w:rPr>
          <w:rFonts w:ascii="Arial Narrow" w:hAnsi="Arial Narrow" w:cs="Tahoma"/>
          <w:b/>
          <w:sz w:val="28"/>
        </w:rPr>
        <w:t>December</w:t>
      </w:r>
      <w:r w:rsidR="00166F34" w:rsidRPr="00EF1215">
        <w:rPr>
          <w:rFonts w:ascii="Arial Narrow" w:hAnsi="Arial Narrow" w:cs="Tahoma"/>
          <w:b/>
          <w:sz w:val="28"/>
          <w:lang w:val="ru-RU"/>
        </w:rPr>
        <w:t xml:space="preserve"> 201</w:t>
      </w:r>
      <w:r w:rsidR="00A905EA" w:rsidRPr="00EF1215">
        <w:rPr>
          <w:rFonts w:ascii="Arial Narrow" w:hAnsi="Arial Narrow" w:cs="Tahoma"/>
          <w:b/>
          <w:sz w:val="28"/>
          <w:lang w:val="sr-Latn-BA"/>
        </w:rPr>
        <w:t>6</w:t>
      </w:r>
      <w:r w:rsidR="00166F34" w:rsidRPr="00EF1215">
        <w:rPr>
          <w:rFonts w:ascii="Arial Narrow" w:hAnsi="Arial Narrow" w:cs="Tahoma"/>
          <w:b/>
          <w:sz w:val="28"/>
          <w:lang w:val="ru-RU"/>
        </w:rPr>
        <w:t>/</w:t>
      </w:r>
      <w:r>
        <w:rPr>
          <w:rFonts w:ascii="Arial Narrow" w:hAnsi="Arial Narrow" w:cs="Tahoma"/>
          <w:b/>
          <w:sz w:val="28"/>
        </w:rPr>
        <w:t>December</w:t>
      </w:r>
      <w:r w:rsidR="00166F34" w:rsidRPr="00EF1215">
        <w:rPr>
          <w:rFonts w:ascii="Arial Narrow" w:hAnsi="Arial Narrow" w:cs="Tahoma"/>
          <w:b/>
          <w:sz w:val="28"/>
          <w:lang w:val="ru-RU"/>
        </w:rPr>
        <w:t xml:space="preserve"> 201</w:t>
      </w:r>
      <w:r w:rsidR="00A905EA" w:rsidRPr="00EF1215">
        <w:rPr>
          <w:rFonts w:ascii="Arial Narrow" w:hAnsi="Arial Narrow" w:cs="Tahoma"/>
          <w:b/>
          <w:sz w:val="28"/>
          <w:lang w:val="sr-Latn-BA"/>
        </w:rPr>
        <w:t>5</w:t>
      </w:r>
      <w:r w:rsidR="00166F34" w:rsidRPr="00EF1215">
        <w:rPr>
          <w:rFonts w:ascii="Arial Narrow" w:hAnsi="Arial Narrow" w:cs="Tahoma"/>
          <w:b/>
          <w:sz w:val="28"/>
          <w:lang w:val="ru-RU"/>
        </w:rPr>
        <w:t xml:space="preserve">) </w:t>
      </w:r>
      <w:r>
        <w:rPr>
          <w:rFonts w:ascii="Arial Narrow" w:hAnsi="Arial Narrow" w:cs="Tahoma"/>
          <w:b/>
          <w:sz w:val="28"/>
          <w:lang w:val="ru-RU"/>
        </w:rPr>
        <w:t>increased by</w:t>
      </w:r>
      <w:r w:rsidR="00166F34" w:rsidRPr="00EF1215">
        <w:rPr>
          <w:rFonts w:ascii="Arial Narrow" w:hAnsi="Arial Narrow" w:cs="Tahoma"/>
          <w:b/>
          <w:sz w:val="28"/>
          <w:lang w:val="ru-RU"/>
        </w:rPr>
        <w:t xml:space="preserve"> </w:t>
      </w:r>
      <w:r w:rsidR="007E1334" w:rsidRPr="00EF1215">
        <w:rPr>
          <w:rFonts w:ascii="Arial Narrow" w:hAnsi="Arial Narrow" w:cs="Tahoma"/>
          <w:b/>
          <w:sz w:val="28"/>
        </w:rPr>
        <w:t>3</w:t>
      </w:r>
      <w:r>
        <w:rPr>
          <w:rFonts w:ascii="Arial Narrow" w:hAnsi="Arial Narrow" w:cs="Tahoma"/>
          <w:b/>
          <w:sz w:val="28"/>
          <w:lang w:val="ru-RU"/>
        </w:rPr>
        <w:t>.</w:t>
      </w:r>
      <w:r w:rsidR="007E1334" w:rsidRPr="00EF1215">
        <w:rPr>
          <w:rFonts w:ascii="Arial Narrow" w:hAnsi="Arial Narrow" w:cs="Tahoma"/>
          <w:b/>
          <w:sz w:val="28"/>
        </w:rPr>
        <w:t>3</w:t>
      </w:r>
      <w:r w:rsidR="00166F34" w:rsidRPr="00EF1215">
        <w:rPr>
          <w:rFonts w:ascii="Arial Narrow" w:hAnsi="Arial Narrow" w:cs="Tahoma"/>
          <w:b/>
          <w:sz w:val="28"/>
          <w:lang w:val="ru-RU"/>
        </w:rPr>
        <w:t>%</w:t>
      </w:r>
    </w:p>
    <w:p w:rsidR="00166F34" w:rsidRPr="00EF1215" w:rsidRDefault="00166F34" w:rsidP="00166F34">
      <w:pPr>
        <w:jc w:val="both"/>
        <w:rPr>
          <w:rFonts w:ascii="Arial Narrow" w:hAnsi="Arial Narrow" w:cs="Tahoma"/>
          <w:sz w:val="22"/>
          <w:lang w:val="sr-Cyrl-BA"/>
        </w:rPr>
      </w:pPr>
    </w:p>
    <w:p w:rsidR="00A20437" w:rsidRDefault="00A20437" w:rsidP="00166F34">
      <w:pPr>
        <w:jc w:val="both"/>
        <w:rPr>
          <w:rFonts w:ascii="Arial Narrow" w:hAnsi="Arial Narrow" w:cs="Tahoma"/>
          <w:b/>
          <w:sz w:val="22"/>
          <w:lang w:val="sr-Cyrl-CS"/>
        </w:rPr>
      </w:pPr>
      <w:r>
        <w:rPr>
          <w:rFonts w:ascii="Arial Narrow" w:hAnsi="Arial Narrow" w:cs="Tahoma"/>
          <w:b/>
          <w:sz w:val="22"/>
        </w:rPr>
        <w:t xml:space="preserve">Working-day adjusted industrial production </w:t>
      </w:r>
      <w:r>
        <w:rPr>
          <w:rFonts w:ascii="Arial Narrow" w:hAnsi="Arial Narrow" w:cs="Tahoma"/>
          <w:sz w:val="22"/>
        </w:rPr>
        <w:t xml:space="preserve">in December 2016, compared to December 2015, increased by 20.0%. In the section </w:t>
      </w:r>
      <w:r w:rsidRPr="00EC5A92">
        <w:rPr>
          <w:rFonts w:ascii="Arial Narrow" w:hAnsi="Arial Narrow" w:cs="Tahoma"/>
          <w:i/>
          <w:sz w:val="22"/>
        </w:rPr>
        <w:t>Electricity, gas, steam and air-conditioning supply</w:t>
      </w:r>
      <w:r>
        <w:rPr>
          <w:rFonts w:ascii="Arial Narrow" w:hAnsi="Arial Narrow" w:cs="Tahoma"/>
          <w:sz w:val="22"/>
        </w:rPr>
        <w:t xml:space="preserve"> an increase by 46.5% was recorded, in the section </w:t>
      </w:r>
      <w:r>
        <w:rPr>
          <w:rFonts w:ascii="Arial Narrow" w:hAnsi="Arial Narrow" w:cs="Tahoma"/>
          <w:i/>
          <w:sz w:val="22"/>
        </w:rPr>
        <w:t>Mining and quarrying</w:t>
      </w:r>
      <w:r>
        <w:rPr>
          <w:rFonts w:ascii="Arial Narrow" w:hAnsi="Arial Narrow" w:cs="Tahoma"/>
          <w:sz w:val="22"/>
        </w:rPr>
        <w:t xml:space="preserve"> an increase by 23.9% and in the section </w:t>
      </w:r>
      <w:r>
        <w:rPr>
          <w:rFonts w:ascii="Arial Narrow" w:hAnsi="Arial Narrow" w:cs="Tahoma"/>
          <w:i/>
          <w:sz w:val="22"/>
        </w:rPr>
        <w:t>Manufacturing</w:t>
      </w:r>
      <w:r>
        <w:rPr>
          <w:rFonts w:ascii="Arial Narrow" w:hAnsi="Arial Narrow" w:cs="Tahoma"/>
          <w:sz w:val="22"/>
        </w:rPr>
        <w:t xml:space="preserve"> an increase by 8.9% was recorded. </w:t>
      </w:r>
      <w:r w:rsidRPr="00650F89">
        <w:rPr>
          <w:rFonts w:ascii="Arial Narrow" w:hAnsi="Arial Narrow" w:cs="Tahoma"/>
          <w:sz w:val="22"/>
          <w:szCs w:val="22"/>
        </w:rPr>
        <w:t>By main industrial group, based on economic purpose of products, working day-adjusted production</w:t>
      </w:r>
      <w:r>
        <w:rPr>
          <w:rFonts w:ascii="Arial Narrow" w:hAnsi="Arial Narrow" w:cs="Tahoma"/>
          <w:sz w:val="22"/>
          <w:szCs w:val="22"/>
        </w:rPr>
        <w:t xml:space="preserve"> of energy in December 2016, compared to December 2015, was 52.4% higher, production of capital goods was 14.8% higher and production of intermediate goods was 12.4% higher, while production of consumer durables was 8.4% lower and production of consumer non-durables was 15.3% lower.</w:t>
      </w:r>
    </w:p>
    <w:p w:rsidR="00F06D21" w:rsidRPr="00EF1215" w:rsidRDefault="00F06D21" w:rsidP="00166F34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0E1A58" w:rsidRDefault="000E1A58" w:rsidP="00372F3D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b/>
          <w:sz w:val="22"/>
        </w:rPr>
        <w:lastRenderedPageBreak/>
        <w:t xml:space="preserve">Seasonally-adjusted industrial production </w:t>
      </w:r>
      <w:r>
        <w:rPr>
          <w:rFonts w:ascii="Arial Narrow" w:hAnsi="Arial Narrow" w:cs="Tahoma"/>
          <w:sz w:val="22"/>
        </w:rPr>
        <w:t xml:space="preserve">in December 2016, compared to November 2016, increased by 5.3%. In the section Mining and quarrying an increase by 10.9% was recorded, in the section </w:t>
      </w:r>
      <w:r w:rsidRPr="00EC5A92">
        <w:rPr>
          <w:rFonts w:ascii="Arial Narrow" w:hAnsi="Arial Narrow" w:cs="Tahoma"/>
          <w:i/>
          <w:sz w:val="22"/>
        </w:rPr>
        <w:t>Electricity, gas, steam and air-conditioning supply</w:t>
      </w:r>
      <w:r>
        <w:rPr>
          <w:rFonts w:ascii="Arial Narrow" w:hAnsi="Arial Narrow" w:cs="Tahoma"/>
          <w:sz w:val="22"/>
        </w:rPr>
        <w:t xml:space="preserve"> an increase by 6.3% and in the section </w:t>
      </w:r>
      <w:r w:rsidRPr="000E1A58">
        <w:rPr>
          <w:rFonts w:ascii="Arial Narrow" w:hAnsi="Arial Narrow" w:cs="Tahoma"/>
          <w:i/>
          <w:sz w:val="22"/>
        </w:rPr>
        <w:t>Manufacturing</w:t>
      </w:r>
      <w:r>
        <w:rPr>
          <w:rFonts w:ascii="Arial Narrow" w:hAnsi="Arial Narrow" w:cs="Tahoma"/>
          <w:sz w:val="22"/>
        </w:rPr>
        <w:t xml:space="preserve"> an increase by 6.1%. B</w:t>
      </w:r>
      <w:r w:rsidRPr="000E1A58">
        <w:rPr>
          <w:rFonts w:ascii="Arial Narrow" w:hAnsi="Arial Narrow" w:cs="Tahoma"/>
          <w:sz w:val="22"/>
        </w:rPr>
        <w:t>y main industrial group, based on economic purpose of products</w:t>
      </w:r>
      <w:r>
        <w:rPr>
          <w:rFonts w:ascii="Arial Narrow" w:hAnsi="Arial Narrow" w:cs="Tahoma"/>
          <w:sz w:val="22"/>
        </w:rPr>
        <w:t xml:space="preserve">, seasonally-adjusted production of energy in December 2016, compared to November 2016, was 7.9% higher, production of intermediate goods was 4.2% higher and production of capital goods was 3.0% higher, while production of consumer non-durables was 2.8% lower and production of consumer durables was 5.1% lower. </w:t>
      </w:r>
    </w:p>
    <w:p w:rsidR="000E1A58" w:rsidRDefault="000E1A58" w:rsidP="00372F3D">
      <w:pPr>
        <w:jc w:val="both"/>
        <w:rPr>
          <w:rFonts w:ascii="Arial Narrow" w:hAnsi="Arial Narrow" w:cs="Tahoma"/>
          <w:sz w:val="22"/>
        </w:rPr>
      </w:pPr>
    </w:p>
    <w:p w:rsidR="000E1A58" w:rsidRDefault="000E1A58" w:rsidP="000E1A58">
      <w:pPr>
        <w:jc w:val="both"/>
        <w:rPr>
          <w:rFonts w:ascii="Arial Narrow" w:hAnsi="Arial Narrow" w:cs="Tahoma"/>
          <w:b/>
          <w:sz w:val="22"/>
          <w:lang w:val="ru-RU"/>
        </w:rPr>
      </w:pPr>
      <w:r>
        <w:rPr>
          <w:rFonts w:ascii="Arial Narrow" w:hAnsi="Arial Narrow" w:cs="Tahoma"/>
          <w:b/>
          <w:sz w:val="22"/>
        </w:rPr>
        <w:t xml:space="preserve">Number of employees in industry </w:t>
      </w:r>
      <w:r>
        <w:rPr>
          <w:rFonts w:ascii="Arial Narrow" w:hAnsi="Arial Narrow" w:cs="Tahoma"/>
          <w:sz w:val="22"/>
        </w:rPr>
        <w:t xml:space="preserve">in December 2016, compared to the average </w:t>
      </w:r>
      <w:proofErr w:type="spellStart"/>
      <w:r>
        <w:rPr>
          <w:rFonts w:ascii="Arial Narrow" w:hAnsi="Arial Narrow" w:cs="Tahoma"/>
          <w:sz w:val="22"/>
        </w:rPr>
        <w:t>montly</w:t>
      </w:r>
      <w:proofErr w:type="spellEnd"/>
      <w:r>
        <w:rPr>
          <w:rFonts w:ascii="Arial Narrow" w:hAnsi="Arial Narrow" w:cs="Tahoma"/>
          <w:sz w:val="22"/>
        </w:rPr>
        <w:t xml:space="preserve"> number of e</w:t>
      </w:r>
      <w:r w:rsidR="00F35A6E">
        <w:rPr>
          <w:rFonts w:ascii="Arial Narrow" w:hAnsi="Arial Narrow" w:cs="Tahoma"/>
          <w:sz w:val="22"/>
        </w:rPr>
        <w:t>mployed persons in 2015 and compared to the same month of the previous year was 3.3</w:t>
      </w:r>
      <w:r>
        <w:rPr>
          <w:rFonts w:ascii="Arial Narrow" w:hAnsi="Arial Narrow" w:cs="Tahoma"/>
          <w:sz w:val="22"/>
        </w:rPr>
        <w:t xml:space="preserve">% higher. </w:t>
      </w:r>
      <w:r w:rsidR="00F35A6E">
        <w:rPr>
          <w:rFonts w:ascii="Arial Narrow" w:hAnsi="Arial Narrow" w:cs="Tahoma"/>
          <w:sz w:val="22"/>
        </w:rPr>
        <w:t>C</w:t>
      </w:r>
      <w:r>
        <w:rPr>
          <w:rFonts w:ascii="Arial Narrow" w:hAnsi="Arial Narrow" w:cs="Tahoma"/>
          <w:sz w:val="22"/>
        </w:rPr>
        <w:t xml:space="preserve">ompared to </w:t>
      </w:r>
      <w:r w:rsidR="00F35A6E">
        <w:rPr>
          <w:rFonts w:ascii="Arial Narrow" w:hAnsi="Arial Narrow" w:cs="Tahoma"/>
          <w:sz w:val="22"/>
        </w:rPr>
        <w:t>November</w:t>
      </w:r>
      <w:r>
        <w:rPr>
          <w:rFonts w:ascii="Arial Narrow" w:hAnsi="Arial Narrow" w:cs="Tahoma"/>
          <w:sz w:val="22"/>
        </w:rPr>
        <w:t xml:space="preserve"> 2016 it </w:t>
      </w:r>
      <w:r w:rsidR="00F35A6E">
        <w:rPr>
          <w:rFonts w:ascii="Arial Narrow" w:hAnsi="Arial Narrow" w:cs="Tahoma"/>
          <w:sz w:val="22"/>
        </w:rPr>
        <w:t>remained unchanged</w:t>
      </w:r>
      <w:r>
        <w:rPr>
          <w:rFonts w:ascii="Arial Narrow" w:hAnsi="Arial Narrow" w:cs="Tahoma"/>
          <w:sz w:val="22"/>
        </w:rPr>
        <w:t xml:space="preserve">. Number of employees in industry in the period January – </w:t>
      </w:r>
      <w:r w:rsidR="00F35A6E">
        <w:rPr>
          <w:rFonts w:ascii="Arial Narrow" w:hAnsi="Arial Narrow" w:cs="Tahoma"/>
          <w:sz w:val="22"/>
        </w:rPr>
        <w:t>December</w:t>
      </w:r>
      <w:r>
        <w:rPr>
          <w:rFonts w:ascii="Arial Narrow" w:hAnsi="Arial Narrow" w:cs="Tahoma"/>
          <w:sz w:val="22"/>
        </w:rPr>
        <w:t xml:space="preserve"> 2016, compared to the same peri</w:t>
      </w:r>
      <w:r w:rsidR="00F35A6E">
        <w:rPr>
          <w:rFonts w:ascii="Arial Narrow" w:hAnsi="Arial Narrow" w:cs="Tahoma"/>
          <w:sz w:val="22"/>
        </w:rPr>
        <w:t>od of the previous year, was 1.3</w:t>
      </w:r>
      <w:r>
        <w:rPr>
          <w:rFonts w:ascii="Arial Narrow" w:hAnsi="Arial Narrow" w:cs="Tahoma"/>
          <w:sz w:val="22"/>
        </w:rPr>
        <w:t xml:space="preserve">% higher. During the same period, in the section </w:t>
      </w:r>
      <w:r>
        <w:rPr>
          <w:rFonts w:ascii="Arial Narrow" w:hAnsi="Arial Narrow" w:cs="Tahoma"/>
          <w:i/>
          <w:sz w:val="22"/>
          <w:szCs w:val="22"/>
        </w:rPr>
        <w:t xml:space="preserve">Manufacturing </w:t>
      </w:r>
      <w:r w:rsidR="00F35A6E">
        <w:rPr>
          <w:rFonts w:ascii="Arial Narrow" w:hAnsi="Arial Narrow" w:cs="Tahoma"/>
          <w:sz w:val="22"/>
          <w:szCs w:val="22"/>
        </w:rPr>
        <w:t>an increase by 1.4</w:t>
      </w:r>
      <w:r>
        <w:rPr>
          <w:rFonts w:ascii="Arial Narrow" w:hAnsi="Arial Narrow" w:cs="Tahoma"/>
          <w:sz w:val="22"/>
          <w:szCs w:val="22"/>
        </w:rPr>
        <w:t>% was recorded</w:t>
      </w:r>
      <w:r w:rsidR="00F35A6E">
        <w:rPr>
          <w:rFonts w:ascii="Arial Narrow" w:hAnsi="Arial Narrow" w:cs="Tahoma"/>
          <w:sz w:val="22"/>
          <w:szCs w:val="22"/>
        </w:rPr>
        <w:t xml:space="preserve">, </w:t>
      </w:r>
      <w:r>
        <w:rPr>
          <w:rFonts w:ascii="Arial Narrow" w:hAnsi="Arial Narrow" w:cs="Tahoma"/>
          <w:sz w:val="22"/>
          <w:szCs w:val="22"/>
        </w:rPr>
        <w:t xml:space="preserve">in the section </w:t>
      </w:r>
      <w:r w:rsidRPr="007D414B">
        <w:rPr>
          <w:rFonts w:ascii="Arial Narrow" w:hAnsi="Arial Narrow" w:cs="Tahoma"/>
          <w:i/>
          <w:sz w:val="22"/>
          <w:szCs w:val="22"/>
        </w:rPr>
        <w:t>Mining and quarrying</w:t>
      </w:r>
      <w:r w:rsidR="00F35A6E">
        <w:rPr>
          <w:rFonts w:ascii="Arial Narrow" w:hAnsi="Arial Narrow" w:cs="Tahoma"/>
          <w:sz w:val="22"/>
          <w:szCs w:val="22"/>
        </w:rPr>
        <w:t xml:space="preserve"> an increase by 1.1</w:t>
      </w:r>
      <w:r>
        <w:rPr>
          <w:rFonts w:ascii="Arial Narrow" w:hAnsi="Arial Narrow" w:cs="Tahoma"/>
          <w:sz w:val="22"/>
          <w:szCs w:val="22"/>
        </w:rPr>
        <w:t xml:space="preserve">%, </w:t>
      </w:r>
      <w:r w:rsidR="00F35A6E">
        <w:rPr>
          <w:rFonts w:ascii="Arial Narrow" w:hAnsi="Arial Narrow" w:cs="Tahoma"/>
          <w:sz w:val="22"/>
          <w:szCs w:val="22"/>
        </w:rPr>
        <w:t>and</w:t>
      </w:r>
      <w:r>
        <w:rPr>
          <w:rFonts w:ascii="Arial Narrow" w:hAnsi="Arial Narrow" w:cs="Tahoma"/>
          <w:sz w:val="22"/>
          <w:szCs w:val="22"/>
        </w:rPr>
        <w:t xml:space="preserve"> in the section </w:t>
      </w:r>
      <w:r w:rsidRPr="00EC5A92">
        <w:rPr>
          <w:rFonts w:ascii="Arial Narrow" w:hAnsi="Arial Narrow" w:cs="Tahoma"/>
          <w:i/>
          <w:sz w:val="22"/>
        </w:rPr>
        <w:t>Electricity, gas, steam and air-conditioning supply</w:t>
      </w:r>
      <w:r>
        <w:rPr>
          <w:rFonts w:ascii="Arial Narrow" w:hAnsi="Arial Narrow" w:cs="Tahoma"/>
          <w:i/>
          <w:sz w:val="22"/>
        </w:rPr>
        <w:t xml:space="preserve"> </w:t>
      </w:r>
      <w:r>
        <w:rPr>
          <w:rFonts w:ascii="Arial Narrow" w:hAnsi="Arial Narrow" w:cs="Tahoma"/>
          <w:sz w:val="22"/>
        </w:rPr>
        <w:t>a</w:t>
      </w:r>
      <w:r w:rsidR="00F35A6E">
        <w:rPr>
          <w:rFonts w:ascii="Arial Narrow" w:hAnsi="Arial Narrow" w:cs="Tahoma"/>
          <w:sz w:val="22"/>
        </w:rPr>
        <w:t>n</w:t>
      </w:r>
      <w:r>
        <w:rPr>
          <w:rFonts w:ascii="Arial Narrow" w:hAnsi="Arial Narrow" w:cs="Tahoma"/>
          <w:sz w:val="22"/>
        </w:rPr>
        <w:t xml:space="preserve"> </w:t>
      </w:r>
      <w:r w:rsidR="00F35A6E">
        <w:rPr>
          <w:rFonts w:ascii="Arial Narrow" w:hAnsi="Arial Narrow" w:cs="Tahoma"/>
          <w:sz w:val="22"/>
        </w:rPr>
        <w:t>increase by 0.7</w:t>
      </w:r>
      <w:r>
        <w:rPr>
          <w:rFonts w:ascii="Arial Narrow" w:hAnsi="Arial Narrow" w:cs="Tahoma"/>
          <w:sz w:val="22"/>
        </w:rPr>
        <w:t>% was recorded</w:t>
      </w:r>
      <w:r w:rsidR="00F35A6E">
        <w:rPr>
          <w:rFonts w:ascii="Arial Narrow" w:hAnsi="Arial Narrow" w:cs="Tahoma"/>
          <w:sz w:val="22"/>
        </w:rPr>
        <w:t>.</w:t>
      </w:r>
    </w:p>
    <w:p w:rsidR="007679D9" w:rsidRDefault="007679D9" w:rsidP="00166F34">
      <w:pPr>
        <w:jc w:val="both"/>
        <w:rPr>
          <w:rFonts w:ascii="Arial Narrow" w:hAnsi="Arial Narrow" w:cs="Tahoma"/>
          <w:sz w:val="22"/>
        </w:rPr>
      </w:pPr>
    </w:p>
    <w:p w:rsidR="002E42F2" w:rsidRPr="00EF1215" w:rsidRDefault="002E42F2" w:rsidP="00166F34">
      <w:pPr>
        <w:jc w:val="both"/>
        <w:rPr>
          <w:rFonts w:ascii="Arial Narrow" w:hAnsi="Arial Narrow" w:cs="Tahoma"/>
          <w:sz w:val="22"/>
          <w:lang w:val="sr-Latn-CS"/>
        </w:rPr>
      </w:pPr>
    </w:p>
    <w:p w:rsidR="000213F8" w:rsidRPr="00EF1215" w:rsidRDefault="007E1334" w:rsidP="00DC2009">
      <w:pPr>
        <w:jc w:val="center"/>
        <w:rPr>
          <w:rFonts w:ascii="Arial Narrow" w:hAnsi="Arial Narrow" w:cs="Tahoma"/>
          <w:sz w:val="22"/>
          <w:szCs w:val="22"/>
          <w:lang w:val="sr-Latn-BA"/>
        </w:rPr>
      </w:pPr>
      <w:r w:rsidRPr="00EF1215">
        <w:rPr>
          <w:noProof/>
        </w:rPr>
        <w:drawing>
          <wp:inline distT="0" distB="0" distL="0" distR="0" wp14:anchorId="63BB553A" wp14:editId="24C189CF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85D9D" w:rsidRPr="00EF1215" w:rsidRDefault="00BC65CA" w:rsidP="00B85D9D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>
        <w:rPr>
          <w:rFonts w:ascii="Arial Narrow" w:hAnsi="Arial Narrow" w:cs="Tahoma"/>
          <w:sz w:val="16"/>
          <w:szCs w:val="16"/>
          <w:lang w:val="sr-Latn-CS"/>
        </w:rPr>
        <w:t>Graph</w:t>
      </w:r>
      <w:r w:rsidR="00B85D9D" w:rsidRPr="00EF1215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="007A0558" w:rsidRPr="00EF1215">
        <w:rPr>
          <w:rFonts w:ascii="Arial Narrow" w:hAnsi="Arial Narrow" w:cs="Tahoma"/>
          <w:sz w:val="16"/>
          <w:szCs w:val="16"/>
          <w:lang w:val="sr-Latn-CS"/>
        </w:rPr>
        <w:t>3</w:t>
      </w:r>
      <w:r w:rsidR="00B85D9D" w:rsidRPr="00EF1215">
        <w:rPr>
          <w:rFonts w:ascii="Arial Narrow" w:hAnsi="Arial Narrow" w:cs="Tahoma"/>
          <w:sz w:val="16"/>
          <w:szCs w:val="16"/>
          <w:lang w:val="sr-Latn-CS"/>
        </w:rPr>
        <w:t xml:space="preserve">. </w:t>
      </w:r>
      <w:r w:rsidRPr="00BC65CA">
        <w:rPr>
          <w:rFonts w:ascii="Arial Narrow" w:hAnsi="Arial Narrow" w:cs="Tahoma"/>
          <w:sz w:val="16"/>
          <w:szCs w:val="16"/>
          <w:lang w:val="sr-Latn-CS"/>
        </w:rPr>
        <w:t>Indices of industrial production</w:t>
      </w:r>
      <w:r w:rsidR="00B85D9D" w:rsidRPr="00EF1215">
        <w:rPr>
          <w:rFonts w:ascii="Arial Narrow" w:hAnsi="Arial Narrow" w:cs="Tahoma"/>
          <w:sz w:val="16"/>
          <w:szCs w:val="16"/>
          <w:lang w:val="sr-Latn-CS"/>
        </w:rPr>
        <w:t xml:space="preserve">, </w:t>
      </w:r>
      <w:r>
        <w:rPr>
          <w:rFonts w:ascii="Arial Narrow" w:hAnsi="Arial Narrow" w:cs="Tahoma"/>
          <w:sz w:val="16"/>
          <w:szCs w:val="16"/>
        </w:rPr>
        <w:t>December</w:t>
      </w:r>
      <w:r w:rsidR="00F06D21" w:rsidRPr="00EF1215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="00B85D9D" w:rsidRPr="00EF1215">
        <w:rPr>
          <w:rFonts w:ascii="Arial Narrow" w:hAnsi="Arial Narrow" w:cs="Tahoma"/>
          <w:sz w:val="16"/>
          <w:szCs w:val="16"/>
          <w:lang w:val="sr-Latn-CS"/>
        </w:rPr>
        <w:t>20</w:t>
      </w:r>
      <w:r w:rsidR="00B85D9D" w:rsidRPr="00EF1215">
        <w:rPr>
          <w:rFonts w:ascii="Arial Narrow" w:hAnsi="Arial Narrow" w:cs="Tahoma"/>
          <w:sz w:val="16"/>
          <w:szCs w:val="16"/>
          <w:lang w:val="sr-Latn-BA"/>
        </w:rPr>
        <w:t>1</w:t>
      </w:r>
      <w:r w:rsidR="00BE098B" w:rsidRPr="00EF1215">
        <w:rPr>
          <w:rFonts w:ascii="Arial Narrow" w:hAnsi="Arial Narrow" w:cs="Tahoma"/>
          <w:sz w:val="16"/>
          <w:szCs w:val="16"/>
          <w:lang w:val="sr-Cyrl-CS"/>
        </w:rPr>
        <w:t>2</w:t>
      </w:r>
      <w:r w:rsidR="00B85D9D" w:rsidRPr="00EF1215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>
        <w:rPr>
          <w:rFonts w:ascii="Arial Narrow" w:hAnsi="Arial Narrow" w:cs="Tahoma"/>
          <w:sz w:val="16"/>
          <w:szCs w:val="16"/>
        </w:rPr>
        <w:t>December</w:t>
      </w:r>
      <w:r w:rsidR="00B85D9D" w:rsidRPr="00EF1215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BE098B" w:rsidRPr="00EF1215">
        <w:rPr>
          <w:rFonts w:ascii="Arial Narrow" w:hAnsi="Arial Narrow" w:cs="Tahoma"/>
          <w:sz w:val="16"/>
          <w:szCs w:val="16"/>
          <w:lang w:val="sr-Cyrl-CS"/>
        </w:rPr>
        <w:t>6</w:t>
      </w:r>
      <w:r w:rsidR="00B85D9D" w:rsidRPr="00EF1215">
        <w:rPr>
          <w:rFonts w:ascii="Arial Narrow" w:hAnsi="Arial Narrow" w:cs="Tahoma"/>
          <w:sz w:val="16"/>
          <w:szCs w:val="16"/>
          <w:lang w:val="sr-Latn-CS"/>
        </w:rPr>
        <w:t xml:space="preserve"> (</w:t>
      </w:r>
      <w:r w:rsidR="00B85D9D" w:rsidRPr="00EF1215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B85D9D" w:rsidRPr="00EF1215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7679D9" w:rsidRPr="00EF1215" w:rsidRDefault="007679D9" w:rsidP="00B85D9D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</w:p>
    <w:p w:rsidR="000213F8" w:rsidRPr="00EF1215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6E4C93" w:rsidRPr="00EF1215" w:rsidRDefault="006E4C93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EF1215" w:rsidRDefault="004A58BC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4A58BC">
        <w:rPr>
          <w:rFonts w:ascii="Arial Narrow" w:hAnsi="Arial Narrow" w:cs="Tahoma"/>
          <w:b/>
          <w:sz w:val="30"/>
          <w:szCs w:val="30"/>
        </w:rPr>
        <w:t>Coverage of import with export (in the period</w:t>
      </w:r>
      <w:r w:rsidRPr="004A58BC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Pr="004A58BC">
        <w:rPr>
          <w:rFonts w:ascii="Arial Narrow" w:hAnsi="Arial Narrow" w:cs="Tahoma"/>
          <w:b/>
          <w:sz w:val="30"/>
          <w:szCs w:val="30"/>
          <w:lang w:val="sr-Latn-CS"/>
        </w:rPr>
        <w:t>January</w:t>
      </w:r>
      <w:r w:rsidRPr="004A58BC">
        <w:rPr>
          <w:rFonts w:ascii="Arial Narrow" w:hAnsi="Arial Narrow" w:cs="Tahoma"/>
          <w:b/>
          <w:sz w:val="30"/>
          <w:szCs w:val="30"/>
          <w:lang w:val="sr-Latn-BA"/>
        </w:rPr>
        <w:t xml:space="preserve"> </w:t>
      </w:r>
      <w:r w:rsidR="0031402B" w:rsidRPr="00EF1215">
        <w:rPr>
          <w:rFonts w:ascii="Arial Narrow" w:hAnsi="Arial Narrow" w:cs="Tahoma"/>
          <w:b/>
          <w:sz w:val="30"/>
          <w:szCs w:val="30"/>
          <w:lang w:val="sr-Latn-BA"/>
        </w:rPr>
        <w:t>-</w:t>
      </w:r>
      <w:r>
        <w:rPr>
          <w:rFonts w:ascii="Arial Narrow" w:hAnsi="Arial Narrow" w:cs="Tahoma"/>
          <w:b/>
          <w:sz w:val="30"/>
          <w:szCs w:val="30"/>
          <w:lang w:val="sr-Latn-BA"/>
        </w:rPr>
        <w:t xml:space="preserve"> </w:t>
      </w:r>
      <w:r>
        <w:rPr>
          <w:rFonts w:ascii="Arial Narrow" w:hAnsi="Arial Narrow" w:cs="Tahoma"/>
          <w:b/>
          <w:sz w:val="30"/>
          <w:szCs w:val="30"/>
          <w:lang w:val="sr-Latn-CS"/>
        </w:rPr>
        <w:t>December</w:t>
      </w:r>
      <w:r w:rsidR="00F442FA" w:rsidRPr="00EF1215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F442FA" w:rsidRPr="00EF1215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="00384927" w:rsidRPr="00EF1215">
        <w:rPr>
          <w:rFonts w:ascii="Arial Narrow" w:hAnsi="Arial Narrow" w:cs="Tahoma"/>
          <w:b/>
          <w:sz w:val="30"/>
          <w:szCs w:val="30"/>
          <w:lang w:val="sr-Latn-BA"/>
        </w:rPr>
        <w:t>6</w:t>
      </w:r>
      <w:r w:rsidR="00F442FA" w:rsidRPr="00EF1215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="00F442FA" w:rsidRPr="00EF1215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482652" w:rsidRPr="00EF1215">
        <w:rPr>
          <w:rFonts w:ascii="Arial Narrow" w:hAnsi="Arial Narrow" w:cs="Tahoma"/>
          <w:b/>
          <w:sz w:val="30"/>
          <w:szCs w:val="30"/>
          <w:lang w:val="sr-Cyrl-CS"/>
        </w:rPr>
        <w:t>6</w:t>
      </w:r>
      <w:r w:rsidR="001D519A" w:rsidRPr="00EF1215">
        <w:rPr>
          <w:rFonts w:ascii="Arial Narrow" w:hAnsi="Arial Narrow" w:cs="Tahoma"/>
          <w:b/>
          <w:sz w:val="30"/>
          <w:szCs w:val="30"/>
          <w:lang w:val="sr-Latn-BA"/>
        </w:rPr>
        <w:t>5</w:t>
      </w:r>
      <w:r>
        <w:rPr>
          <w:rFonts w:ascii="Arial Narrow" w:hAnsi="Arial Narrow" w:cs="Tahoma"/>
          <w:b/>
          <w:sz w:val="30"/>
          <w:szCs w:val="30"/>
          <w:lang w:val="hr-HR"/>
        </w:rPr>
        <w:t>.</w:t>
      </w:r>
      <w:r w:rsidR="004C7F77" w:rsidRPr="00EF1215">
        <w:rPr>
          <w:rFonts w:ascii="Arial Narrow" w:hAnsi="Arial Narrow" w:cs="Tahoma"/>
          <w:b/>
          <w:sz w:val="30"/>
          <w:szCs w:val="30"/>
          <w:lang w:val="hr-HR"/>
        </w:rPr>
        <w:t>0</w:t>
      </w:r>
      <w:r w:rsidR="00F442FA" w:rsidRPr="00EF1215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EF1215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417540" w:rsidRPr="00417540" w:rsidRDefault="00417540" w:rsidP="00F442FA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December 2016, the value of export was 260 million KM and the value of import was 449 million KM. </w:t>
      </w:r>
    </w:p>
    <w:p w:rsidR="003A0849" w:rsidRDefault="003A0849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417540" w:rsidRPr="00417540" w:rsidRDefault="00417540" w:rsidP="00F442FA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the total external trade of </w:t>
      </w:r>
      <w:proofErr w:type="spellStart"/>
      <w:r>
        <w:rPr>
          <w:rFonts w:ascii="Arial Narrow" w:hAnsi="Arial Narrow" w:cs="Tahoma"/>
          <w:sz w:val="22"/>
        </w:rPr>
        <w:t>Republika</w:t>
      </w:r>
      <w:proofErr w:type="spellEnd"/>
      <w:r>
        <w:rPr>
          <w:rFonts w:ascii="Arial Narrow" w:hAnsi="Arial Narrow" w:cs="Tahoma"/>
          <w:sz w:val="22"/>
        </w:rPr>
        <w:t xml:space="preserve"> </w:t>
      </w:r>
      <w:proofErr w:type="spellStart"/>
      <w:r>
        <w:rPr>
          <w:rFonts w:ascii="Arial Narrow" w:hAnsi="Arial Narrow" w:cs="Tahoma"/>
          <w:sz w:val="22"/>
        </w:rPr>
        <w:t>Srpska</w:t>
      </w:r>
      <w:proofErr w:type="spellEnd"/>
      <w:r>
        <w:rPr>
          <w:rFonts w:ascii="Arial Narrow" w:hAnsi="Arial Narrow" w:cs="Tahoma"/>
          <w:sz w:val="22"/>
        </w:rPr>
        <w:t xml:space="preserve"> in December of the current year, the percentage of </w:t>
      </w:r>
      <w:r w:rsidR="00C63987">
        <w:rPr>
          <w:rFonts w:ascii="Arial Narrow" w:hAnsi="Arial Narrow" w:cs="Tahoma"/>
          <w:sz w:val="22"/>
        </w:rPr>
        <w:t>coverage of import with export was 58.0%. The percentage of coverage of import with export for the period January – December 2016 was 65.0%.</w:t>
      </w:r>
    </w:p>
    <w:p w:rsidR="00384927" w:rsidRDefault="00384927" w:rsidP="00F442FA">
      <w:pPr>
        <w:jc w:val="both"/>
        <w:rPr>
          <w:rFonts w:ascii="Arial Narrow" w:hAnsi="Arial Narrow" w:cs="Tahoma"/>
          <w:sz w:val="22"/>
        </w:rPr>
      </w:pPr>
    </w:p>
    <w:p w:rsidR="00C63987" w:rsidRPr="00C63987" w:rsidRDefault="00C63987" w:rsidP="00F442FA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the period January – December 2016, the value of </w:t>
      </w:r>
      <w:r w:rsidRPr="00C63987">
        <w:rPr>
          <w:rFonts w:ascii="Arial Narrow" w:hAnsi="Arial Narrow" w:cs="Tahoma"/>
          <w:sz w:val="22"/>
        </w:rPr>
        <w:t xml:space="preserve">export was two billion and </w:t>
      </w:r>
      <w:r>
        <w:rPr>
          <w:rFonts w:ascii="Arial Narrow" w:hAnsi="Arial Narrow" w:cs="Tahoma"/>
          <w:sz w:val="22"/>
        </w:rPr>
        <w:t>865</w:t>
      </w:r>
      <w:r w:rsidRPr="00C63987">
        <w:rPr>
          <w:rFonts w:ascii="Arial Narrow" w:hAnsi="Arial Narrow" w:cs="Tahoma"/>
          <w:sz w:val="22"/>
        </w:rPr>
        <w:t xml:space="preserve"> million KM, whic</w:t>
      </w:r>
      <w:r>
        <w:rPr>
          <w:rFonts w:ascii="Arial Narrow" w:hAnsi="Arial Narrow" w:cs="Tahoma"/>
          <w:sz w:val="22"/>
        </w:rPr>
        <w:t>h represented an increase by 9.6</w:t>
      </w:r>
      <w:r w:rsidRPr="00C63987">
        <w:rPr>
          <w:rFonts w:ascii="Arial Narrow" w:hAnsi="Arial Narrow" w:cs="Tahoma"/>
          <w:sz w:val="22"/>
        </w:rPr>
        <w:t xml:space="preserve">% compared to the same period of the previous year. During the same period, the value of import was </w:t>
      </w:r>
      <w:r>
        <w:rPr>
          <w:rFonts w:ascii="Arial Narrow" w:hAnsi="Arial Narrow" w:cs="Tahoma"/>
          <w:sz w:val="22"/>
        </w:rPr>
        <w:t>four</w:t>
      </w:r>
      <w:r w:rsidRPr="00C63987">
        <w:rPr>
          <w:rFonts w:ascii="Arial Narrow" w:hAnsi="Arial Narrow" w:cs="Tahoma"/>
          <w:sz w:val="22"/>
        </w:rPr>
        <w:t xml:space="preserve"> billion and </w:t>
      </w:r>
      <w:r>
        <w:rPr>
          <w:rFonts w:ascii="Arial Narrow" w:hAnsi="Arial Narrow" w:cs="Tahoma"/>
          <w:sz w:val="22"/>
        </w:rPr>
        <w:t>406</w:t>
      </w:r>
      <w:r w:rsidRPr="00C63987">
        <w:rPr>
          <w:rFonts w:ascii="Arial Narrow" w:hAnsi="Arial Narrow" w:cs="Tahoma"/>
          <w:sz w:val="22"/>
        </w:rPr>
        <w:t xml:space="preserve"> million KM, which represented </w:t>
      </w:r>
      <w:r>
        <w:rPr>
          <w:rFonts w:ascii="Arial Narrow" w:hAnsi="Arial Narrow" w:cs="Tahoma"/>
          <w:sz w:val="22"/>
        </w:rPr>
        <w:t>an increase by 0</w:t>
      </w:r>
      <w:r w:rsidRPr="00C63987">
        <w:rPr>
          <w:rFonts w:ascii="Arial Narrow" w:hAnsi="Arial Narrow" w:cs="Tahoma"/>
          <w:sz w:val="22"/>
        </w:rPr>
        <w:t>.8% compared to the same period of the previous year</w:t>
      </w:r>
      <w:r>
        <w:rPr>
          <w:rFonts w:ascii="Arial Narrow" w:hAnsi="Arial Narrow" w:cs="Tahoma"/>
          <w:sz w:val="22"/>
        </w:rPr>
        <w:t>.</w:t>
      </w:r>
    </w:p>
    <w:p w:rsidR="00F442FA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C63987" w:rsidRPr="00EF1215" w:rsidRDefault="00C63987" w:rsidP="00F442FA">
      <w:pPr>
        <w:jc w:val="both"/>
        <w:rPr>
          <w:rFonts w:ascii="Arial Narrow" w:hAnsi="Arial Narrow" w:cs="Tahoma"/>
          <w:sz w:val="22"/>
          <w:lang w:val="ru-RU"/>
        </w:rPr>
      </w:pPr>
      <w:r w:rsidRPr="00C63987">
        <w:rPr>
          <w:rFonts w:ascii="Arial Narrow" w:hAnsi="Arial Narrow" w:cs="Tahoma"/>
          <w:sz w:val="22"/>
        </w:rPr>
        <w:t xml:space="preserve">In terms of the geographical distribution of external trade of </w:t>
      </w:r>
      <w:proofErr w:type="spellStart"/>
      <w:r w:rsidRPr="00C63987">
        <w:rPr>
          <w:rFonts w:ascii="Arial Narrow" w:hAnsi="Arial Narrow" w:cs="Tahoma"/>
          <w:sz w:val="22"/>
        </w:rPr>
        <w:t>Republika</w:t>
      </w:r>
      <w:proofErr w:type="spellEnd"/>
      <w:r w:rsidRPr="00C63987">
        <w:rPr>
          <w:rFonts w:ascii="Arial Narrow" w:hAnsi="Arial Narrow" w:cs="Tahoma"/>
          <w:sz w:val="22"/>
        </w:rPr>
        <w:t xml:space="preserve"> </w:t>
      </w:r>
      <w:proofErr w:type="spellStart"/>
      <w:r w:rsidRPr="00C63987">
        <w:rPr>
          <w:rFonts w:ascii="Arial Narrow" w:hAnsi="Arial Narrow" w:cs="Tahoma"/>
          <w:sz w:val="22"/>
        </w:rPr>
        <w:t>Srpska</w:t>
      </w:r>
      <w:proofErr w:type="spellEnd"/>
      <w:r w:rsidRPr="00C63987">
        <w:rPr>
          <w:rFonts w:ascii="Arial Narrow" w:hAnsi="Arial Narrow" w:cs="Tahoma"/>
          <w:sz w:val="22"/>
        </w:rPr>
        <w:t xml:space="preserve">, in the period January – </w:t>
      </w:r>
      <w:r>
        <w:rPr>
          <w:rFonts w:ascii="Arial Narrow" w:hAnsi="Arial Narrow" w:cs="Tahoma"/>
          <w:sz w:val="22"/>
        </w:rPr>
        <w:t>December</w:t>
      </w:r>
      <w:r w:rsidRPr="00C63987">
        <w:rPr>
          <w:rFonts w:ascii="Arial Narrow" w:hAnsi="Arial Narrow" w:cs="Tahoma"/>
          <w:sz w:val="22"/>
        </w:rPr>
        <w:t xml:space="preserve"> 2016, the highest value of export was that of export to Italy, with </w:t>
      </w:r>
      <w:r w:rsidR="00FF29A0">
        <w:rPr>
          <w:rFonts w:ascii="Arial Narrow" w:hAnsi="Arial Narrow" w:cs="Tahoma"/>
          <w:sz w:val="22"/>
        </w:rPr>
        <w:t>499 million KM or 17.4</w:t>
      </w:r>
      <w:r w:rsidRPr="00C63987">
        <w:rPr>
          <w:rFonts w:ascii="Arial Narrow" w:hAnsi="Arial Narrow" w:cs="Tahoma"/>
          <w:sz w:val="22"/>
        </w:rPr>
        <w:t xml:space="preserve">%, followed by Serbia, with </w:t>
      </w:r>
      <w:r w:rsidR="00FF29A0">
        <w:rPr>
          <w:rFonts w:ascii="Arial Narrow" w:hAnsi="Arial Narrow" w:cs="Tahoma"/>
          <w:sz w:val="22"/>
        </w:rPr>
        <w:t>359</w:t>
      </w:r>
      <w:r w:rsidRPr="00C63987">
        <w:rPr>
          <w:rFonts w:ascii="Arial Narrow" w:hAnsi="Arial Narrow" w:cs="Tahoma"/>
          <w:sz w:val="22"/>
        </w:rPr>
        <w:t xml:space="preserve"> million KM or 12.5% of the total </w:t>
      </w:r>
      <w:proofErr w:type="spellStart"/>
      <w:r w:rsidRPr="00C63987">
        <w:rPr>
          <w:rFonts w:ascii="Arial Narrow" w:hAnsi="Arial Narrow" w:cs="Tahoma"/>
          <w:sz w:val="22"/>
        </w:rPr>
        <w:t>realised</w:t>
      </w:r>
      <w:proofErr w:type="spellEnd"/>
      <w:r w:rsidRPr="00C63987">
        <w:rPr>
          <w:rFonts w:ascii="Arial Narrow" w:hAnsi="Arial Narrow" w:cs="Tahoma"/>
          <w:sz w:val="22"/>
        </w:rPr>
        <w:t xml:space="preserve"> export. During the same period, the highest value of import was that of import form Serbia, with </w:t>
      </w:r>
      <w:r w:rsidR="00FF29A0">
        <w:rPr>
          <w:rFonts w:ascii="Arial Narrow" w:hAnsi="Arial Narrow" w:cs="Tahoma"/>
          <w:sz w:val="22"/>
        </w:rPr>
        <w:t>804 million KM or 18.3</w:t>
      </w:r>
      <w:r w:rsidRPr="00C63987">
        <w:rPr>
          <w:rFonts w:ascii="Arial Narrow" w:hAnsi="Arial Narrow" w:cs="Tahoma"/>
          <w:sz w:val="22"/>
        </w:rPr>
        <w:t xml:space="preserve">%, followed by </w:t>
      </w:r>
      <w:r w:rsidR="00FF29A0">
        <w:rPr>
          <w:rFonts w:ascii="Arial Narrow" w:hAnsi="Arial Narrow" w:cs="Tahoma"/>
          <w:sz w:val="22"/>
        </w:rPr>
        <w:t>Russia</w:t>
      </w:r>
      <w:r w:rsidRPr="00C63987">
        <w:rPr>
          <w:rFonts w:ascii="Arial Narrow" w:hAnsi="Arial Narrow" w:cs="Tahoma"/>
          <w:sz w:val="22"/>
        </w:rPr>
        <w:t xml:space="preserve">, with </w:t>
      </w:r>
      <w:r w:rsidR="00FF29A0">
        <w:rPr>
          <w:rFonts w:ascii="Arial Narrow" w:hAnsi="Arial Narrow" w:cs="Tahoma"/>
          <w:sz w:val="22"/>
        </w:rPr>
        <w:t>556</w:t>
      </w:r>
      <w:r w:rsidRPr="00C63987">
        <w:rPr>
          <w:rFonts w:ascii="Arial Narrow" w:hAnsi="Arial Narrow" w:cs="Tahoma"/>
          <w:sz w:val="22"/>
        </w:rPr>
        <w:t xml:space="preserve"> million KM or 12.6% of the total </w:t>
      </w:r>
      <w:proofErr w:type="spellStart"/>
      <w:r w:rsidRPr="00C63987">
        <w:rPr>
          <w:rFonts w:ascii="Arial Narrow" w:hAnsi="Arial Narrow" w:cs="Tahoma"/>
          <w:sz w:val="22"/>
        </w:rPr>
        <w:t>realised</w:t>
      </w:r>
      <w:proofErr w:type="spellEnd"/>
      <w:r w:rsidRPr="00C63987">
        <w:rPr>
          <w:rFonts w:ascii="Arial Narrow" w:hAnsi="Arial Narrow" w:cs="Tahoma"/>
          <w:sz w:val="22"/>
        </w:rPr>
        <w:t xml:space="preserve"> import</w:t>
      </w:r>
      <w:r>
        <w:rPr>
          <w:rFonts w:ascii="Arial Narrow" w:hAnsi="Arial Narrow" w:cs="Tahoma"/>
          <w:sz w:val="22"/>
        </w:rPr>
        <w:t>.</w:t>
      </w:r>
    </w:p>
    <w:p w:rsidR="00F442FA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ru-RU"/>
        </w:rPr>
      </w:pPr>
    </w:p>
    <w:p w:rsidR="00FF29A0" w:rsidRDefault="00FF29A0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ru-RU"/>
        </w:rPr>
      </w:pPr>
    </w:p>
    <w:p w:rsidR="00FF29A0" w:rsidRPr="00EF1215" w:rsidRDefault="00FF29A0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FF29A0" w:rsidRDefault="00FF29A0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FF29A0" w:rsidRDefault="00FF29A0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  <w:r w:rsidRPr="00FF29A0">
        <w:rPr>
          <w:rFonts w:ascii="Arial Narrow" w:hAnsi="Arial Narrow" w:cs="Tahoma"/>
          <w:bCs/>
          <w:sz w:val="22"/>
          <w:szCs w:val="22"/>
        </w:rPr>
        <w:lastRenderedPageBreak/>
        <w:t xml:space="preserve">By group of products, in the period January – </w:t>
      </w:r>
      <w:r>
        <w:rPr>
          <w:rFonts w:ascii="Arial Narrow" w:hAnsi="Arial Narrow" w:cs="Tahoma"/>
          <w:bCs/>
          <w:sz w:val="22"/>
          <w:szCs w:val="22"/>
        </w:rPr>
        <w:t>December</w:t>
      </w:r>
      <w:r w:rsidRPr="00FF29A0">
        <w:rPr>
          <w:rFonts w:ascii="Arial Narrow" w:hAnsi="Arial Narrow" w:cs="Tahoma"/>
          <w:bCs/>
          <w:sz w:val="22"/>
          <w:szCs w:val="22"/>
        </w:rPr>
        <w:t xml:space="preserve"> 2016, the highest share in export was that of processed wood, with the total value of </w:t>
      </w:r>
      <w:r>
        <w:rPr>
          <w:rFonts w:ascii="Arial Narrow" w:hAnsi="Arial Narrow" w:cs="Tahoma"/>
          <w:bCs/>
          <w:sz w:val="22"/>
          <w:szCs w:val="22"/>
        </w:rPr>
        <w:t>17</w:t>
      </w:r>
      <w:r w:rsidRPr="00FF29A0">
        <w:rPr>
          <w:rFonts w:ascii="Arial Narrow" w:hAnsi="Arial Narrow" w:cs="Tahoma"/>
          <w:bCs/>
          <w:sz w:val="22"/>
          <w:szCs w:val="22"/>
        </w:rPr>
        <w:t>3</w:t>
      </w:r>
      <w:r>
        <w:rPr>
          <w:rFonts w:ascii="Arial Narrow" w:hAnsi="Arial Narrow" w:cs="Tahoma"/>
          <w:bCs/>
          <w:sz w:val="22"/>
          <w:szCs w:val="22"/>
        </w:rPr>
        <w:t xml:space="preserve"> million KM, which was 6.0</w:t>
      </w:r>
      <w:r w:rsidRPr="00FF29A0">
        <w:rPr>
          <w:rFonts w:ascii="Arial Narrow" w:hAnsi="Arial Narrow" w:cs="Tahoma"/>
          <w:bCs/>
          <w:sz w:val="22"/>
          <w:szCs w:val="22"/>
        </w:rPr>
        <w:t xml:space="preserve">% of the total export, while the highest share in import was that of petroleum and oils obtained from bituminous minerals (crude), with the total value of </w:t>
      </w:r>
      <w:r>
        <w:rPr>
          <w:rFonts w:ascii="Arial Narrow" w:hAnsi="Arial Narrow" w:cs="Tahoma"/>
          <w:bCs/>
          <w:sz w:val="22"/>
          <w:szCs w:val="22"/>
        </w:rPr>
        <w:t>516</w:t>
      </w:r>
      <w:r w:rsidRPr="00FF29A0">
        <w:rPr>
          <w:rFonts w:ascii="Arial Narrow" w:hAnsi="Arial Narrow" w:cs="Tahoma"/>
          <w:bCs/>
          <w:sz w:val="22"/>
          <w:szCs w:val="22"/>
        </w:rPr>
        <w:t xml:space="preserve"> million KM, which was </w:t>
      </w:r>
      <w:r>
        <w:rPr>
          <w:rFonts w:ascii="Arial Narrow" w:hAnsi="Arial Narrow" w:cs="Tahoma"/>
          <w:bCs/>
          <w:sz w:val="22"/>
          <w:szCs w:val="22"/>
        </w:rPr>
        <w:t>11.7</w:t>
      </w:r>
      <w:r w:rsidRPr="00FF29A0">
        <w:rPr>
          <w:rFonts w:ascii="Arial Narrow" w:hAnsi="Arial Narrow" w:cs="Tahoma"/>
          <w:bCs/>
          <w:sz w:val="22"/>
          <w:szCs w:val="22"/>
        </w:rPr>
        <w:t>% of the total import</w:t>
      </w:r>
      <w:r>
        <w:rPr>
          <w:rFonts w:ascii="Arial Narrow" w:hAnsi="Arial Narrow" w:cs="Tahoma"/>
          <w:bCs/>
          <w:sz w:val="22"/>
          <w:szCs w:val="22"/>
        </w:rPr>
        <w:t>.</w:t>
      </w:r>
    </w:p>
    <w:p w:rsidR="00F442FA" w:rsidRPr="00EF1215" w:rsidRDefault="00F442FA" w:rsidP="00F442FA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EF1215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115CDB" w:rsidRPr="00EF1215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52DE1" w:rsidRPr="00EF1215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EF1215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EF1215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797731" w:rsidRPr="00EF1215" w:rsidRDefault="0079773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EF1215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EF1215" w:rsidRDefault="006A391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110490</wp:posOffset>
                </wp:positionV>
                <wp:extent cx="704215" cy="250825"/>
                <wp:effectExtent l="0" t="3175" r="635" b="3175"/>
                <wp:wrapNone/>
                <wp:docPr id="2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934" w:rsidRPr="000A1309" w:rsidRDefault="00BC65CA" w:rsidP="008809BE">
                            <w:pPr>
                              <w:jc w:val="right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thous</w:t>
                            </w:r>
                            <w:proofErr w:type="spellEnd"/>
                            <w:proofErr w:type="gramEnd"/>
                            <w:r w:rsidR="00786934"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>.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281.45pt;margin-top:8.7pt;width:55.45pt;height:1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" stroked="f">
                <v:textbox>
                  <w:txbxContent>
                    <w:p w:rsidR="00786934" w:rsidRPr="000A1309" w:rsidRDefault="00BC65CA" w:rsidP="008809BE">
                      <w:pPr>
                        <w:jc w:val="right"/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thous</w:t>
                      </w:r>
                      <w:proofErr w:type="spellEnd"/>
                      <w:proofErr w:type="gramEnd"/>
                      <w:r w:rsidR="00786934"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>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353834" w:rsidRPr="00EF1215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EF1215" w:rsidRDefault="00BA70D8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EF1215" w:rsidRDefault="006A391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3652520</wp:posOffset>
                </wp:positionH>
                <wp:positionV relativeFrom="paragraph">
                  <wp:posOffset>2768600</wp:posOffset>
                </wp:positionV>
                <wp:extent cx="561340" cy="208280"/>
                <wp:effectExtent l="0" t="0" r="3810" b="1270"/>
                <wp:wrapNone/>
                <wp:docPr id="2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934" w:rsidRPr="000A1309" w:rsidRDefault="00786934" w:rsidP="00955DB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" o:spid="_x0000_s1027" type="#_x0000_t202" style="position:absolute;left:0;text-align:left;margin-left:287.6pt;margin-top:218pt;width:44.2pt;height:16.4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" stroked="f">
                <v:textbox style="mso-fit-shape-to-text:t">
                  <w:txbxContent>
                    <w:p w:rsidR="00786934" w:rsidRPr="000A1309" w:rsidRDefault="00786934" w:rsidP="00955DB6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1648460</wp:posOffset>
                </wp:positionH>
                <wp:positionV relativeFrom="paragraph">
                  <wp:posOffset>2768600</wp:posOffset>
                </wp:positionV>
                <wp:extent cx="480695" cy="208280"/>
                <wp:effectExtent l="0" t="0" r="0" b="1270"/>
                <wp:wrapNone/>
                <wp:docPr id="2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934" w:rsidRPr="000A1309" w:rsidRDefault="00786934" w:rsidP="00115CDB">
                            <w:pP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2" o:spid="_x0000_s1028" type="#_x0000_t202" style="position:absolute;left:0;text-align:left;margin-left:129.8pt;margin-top:218pt;width:37.85pt;height:16.4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" stroked="f">
                <v:textbox style="mso-fit-shape-to-text:t">
                  <w:txbxContent>
                    <w:p w:rsidR="00786934" w:rsidRPr="000A1309" w:rsidRDefault="00786934" w:rsidP="00115CDB">
                      <w:pP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C7F77" w:rsidRPr="00EF1215">
        <w:rPr>
          <w:noProof/>
        </w:rPr>
        <w:drawing>
          <wp:inline distT="0" distB="0" distL="0" distR="0">
            <wp:extent cx="4019910" cy="27813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1E3A" w:rsidRPr="00EF1215" w:rsidRDefault="00101E3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EF1215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273D4A" w:rsidRDefault="00273D4A" w:rsidP="00777348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273D4A" w:rsidRDefault="00273D4A" w:rsidP="00777348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777348" w:rsidRPr="00E25CDE" w:rsidRDefault="00E25CDE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bookmarkStart w:id="0" w:name="_GoBack"/>
      <w:bookmarkEnd w:id="0"/>
      <w:r>
        <w:rPr>
          <w:rFonts w:ascii="Arial Narrow" w:hAnsi="Arial Narrow" w:cs="Tahoma"/>
          <w:sz w:val="16"/>
          <w:szCs w:val="22"/>
        </w:rPr>
        <w:t>Graph</w:t>
      </w:r>
      <w:r w:rsidR="00777348" w:rsidRPr="00EF1215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097E02" w:rsidRPr="00EF1215">
        <w:rPr>
          <w:rFonts w:ascii="Arial Narrow" w:hAnsi="Arial Narrow" w:cs="Tahoma"/>
          <w:sz w:val="16"/>
          <w:szCs w:val="22"/>
          <w:lang w:val="sr-Cyrl-BA"/>
        </w:rPr>
        <w:t>4</w:t>
      </w:r>
      <w:r w:rsidR="00777348" w:rsidRPr="00EF1215">
        <w:rPr>
          <w:rFonts w:ascii="Arial Narrow" w:hAnsi="Arial Narrow" w:cs="Tahoma"/>
          <w:sz w:val="16"/>
          <w:szCs w:val="22"/>
          <w:lang w:val="ru-RU"/>
        </w:rPr>
        <w:t xml:space="preserve">. </w:t>
      </w:r>
      <w:r>
        <w:rPr>
          <w:rFonts w:ascii="Arial Narrow" w:hAnsi="Arial Narrow" w:cs="Tahoma"/>
          <w:iCs/>
          <w:sz w:val="16"/>
          <w:szCs w:val="22"/>
          <w:lang w:val="sr-Cyrl-CS"/>
        </w:rPr>
        <w:t>Export and import by month</w:t>
      </w:r>
    </w:p>
    <w:p w:rsidR="002E1D1D" w:rsidRPr="00EF1215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EF1215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EF1215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612FE" w:rsidRPr="00DC2DC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DC2DC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DC2DCC" w:rsidRPr="00DC2DCC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A34A14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DC2DCC">
              <w:rPr>
                <w:rFonts w:ascii="Arial Narrow" w:hAnsi="Arial Narrow" w:cs="Tahoma"/>
                <w:b/>
                <w:sz w:val="22"/>
                <w:lang w:val="sr-Cyrl-CS"/>
              </w:rPr>
              <w:t xml:space="preserve">: </w:t>
            </w: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C2DCC" w:rsidRPr="00DC2DCC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A34A14" w:rsidRPr="00300B5A" w:rsidRDefault="00A34A14" w:rsidP="00A34A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Tahoma"/>
                <w:b/>
                <w:sz w:val="18"/>
                <w:szCs w:val="18"/>
              </w:rPr>
              <w:t>Labour</w:t>
            </w:r>
            <w:proofErr w:type="spellEnd"/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 statistics</w:t>
            </w:r>
          </w:p>
          <w:p w:rsidR="00A34A14" w:rsidRDefault="00A34A14" w:rsidP="00A34A14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D4E75">
              <w:rPr>
                <w:rFonts w:ascii="Arial Narrow" w:hAnsi="Arial Narrow" w:cs="Tahoma"/>
                <w:sz w:val="18"/>
                <w:szCs w:val="18"/>
              </w:rPr>
              <w:t xml:space="preserve">Biljana </w:t>
            </w:r>
            <w:proofErr w:type="spellStart"/>
            <w:r w:rsidRPr="00ED4E75">
              <w:rPr>
                <w:rFonts w:ascii="Arial Narrow" w:hAnsi="Arial Narrow" w:cs="Tahoma"/>
                <w:sz w:val="18"/>
                <w:szCs w:val="18"/>
              </w:rPr>
              <w:t>Glušac</w:t>
            </w:r>
            <w:proofErr w:type="spellEnd"/>
            <w:r w:rsidRPr="00ED4E7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</w:p>
          <w:p w:rsidR="0066022A" w:rsidRPr="00DC2DCC" w:rsidRDefault="00273D4A" w:rsidP="00A34A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DC2DCC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DC2DCC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DC2DCC" w:rsidRPr="00DC2DCC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A34A14" w:rsidRPr="00A34A14" w:rsidRDefault="00A34A14" w:rsidP="00A34A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Price</w:t>
            </w:r>
            <w:r w:rsidRPr="00A34A14">
              <w:rPr>
                <w:rFonts w:ascii="Arial Narrow" w:hAnsi="Arial Narrow" w:cs="Tahoma"/>
                <w:b/>
                <w:sz w:val="18"/>
                <w:szCs w:val="18"/>
              </w:rPr>
              <w:t xml:space="preserve"> statistics</w:t>
            </w:r>
          </w:p>
          <w:p w:rsidR="00A34A14" w:rsidRPr="00A34A14" w:rsidRDefault="00A34A14" w:rsidP="00A34A14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A34A14">
              <w:rPr>
                <w:rFonts w:ascii="Arial Narrow" w:hAnsi="Arial Narrow" w:cs="Tahoma"/>
                <w:sz w:val="18"/>
                <w:szCs w:val="18"/>
              </w:rPr>
              <w:t xml:space="preserve">Biljana </w:t>
            </w:r>
            <w:proofErr w:type="spellStart"/>
            <w:r w:rsidRPr="00A34A14">
              <w:rPr>
                <w:rFonts w:ascii="Arial Narrow" w:hAnsi="Arial Narrow" w:cs="Tahoma"/>
                <w:sz w:val="18"/>
                <w:szCs w:val="18"/>
              </w:rPr>
              <w:t>Tešić</w:t>
            </w:r>
            <w:proofErr w:type="spellEnd"/>
            <w:r w:rsidRPr="00A34A14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</w:p>
          <w:p w:rsidR="0066022A" w:rsidRPr="00DC2DCC" w:rsidRDefault="00273D4A" w:rsidP="00252DE1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A34A14" w:rsidRPr="00B01149">
                <w:rPr>
                  <w:rStyle w:val="Hyperlink"/>
                  <w:rFonts w:ascii="Arial Narrow" w:hAnsi="Arial Narrow" w:cs="Tahoma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DC2DCC" w:rsidRPr="000744B4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A34A14" w:rsidRPr="00ED4E75" w:rsidRDefault="00A34A14" w:rsidP="00A34A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A34A14" w:rsidRDefault="00A34A14" w:rsidP="00A34A14">
            <w:pPr>
              <w:jc w:val="both"/>
            </w:pPr>
            <w:r>
              <w:rPr>
                <w:rFonts w:ascii="Arial Narrow" w:hAnsi="Arial Narrow" w:cs="Tahoma"/>
                <w:sz w:val="18"/>
                <w:szCs w:val="18"/>
              </w:rPr>
              <w:t>Mirjana Bandur</w:t>
            </w:r>
            <w:r>
              <w:t xml:space="preserve"> </w:t>
            </w:r>
          </w:p>
          <w:p w:rsidR="0066022A" w:rsidRPr="00DC2DCC" w:rsidRDefault="00273D4A" w:rsidP="00A34A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6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proofErr w:type="spellStart"/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</w:tc>
      </w:tr>
      <w:tr w:rsidR="0066022A" w:rsidRPr="00DC2DCC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A34A14" w:rsidRPr="00ED4E75" w:rsidRDefault="00A34A14" w:rsidP="00A34A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66022A" w:rsidRPr="00DC2DCC" w:rsidRDefault="00A34A14" w:rsidP="00A34A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ED4E75">
              <w:rPr>
                <w:rFonts w:ascii="Arial Narrow" w:hAnsi="Arial Narrow" w:cs="Tahoma"/>
                <w:sz w:val="18"/>
                <w:szCs w:val="18"/>
                <w:lang w:val="sr-Latn-BA"/>
              </w:rPr>
              <w:t>Sanja Stojčević Uvalić, MSc</w:t>
            </w:r>
          </w:p>
          <w:p w:rsidR="0066022A" w:rsidRPr="00DC2DCC" w:rsidRDefault="00273D4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DC2DC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DC2DC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DC2DC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A34A14" w:rsidRDefault="00A34A14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9E2A9A" w:rsidRPr="00DC2DC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A34A14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DC2DC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C2DC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DC2DC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 xml:space="preserve">- </w:t>
            </w:r>
            <w:r w:rsidR="00A34A14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9E2A9A" w:rsidRPr="00DC2DC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DC2DC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</w:t>
            </w:r>
            <w:r w:rsidR="00A34A14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0C537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A19B5" w:rsidRDefault="006A391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9525" r="18415" b="9525"/>
                <wp:wrapNone/>
                <wp:docPr id="2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D76AD" id="Line 4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h7BXJh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9277A6" w:rsidTr="009277A6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A6" w:rsidRDefault="009277A6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277A6" w:rsidTr="009277A6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A6" w:rsidRDefault="00A34A14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300B5A">
              <w:rPr>
                <w:rFonts w:ascii="Arial Narrow" w:hAnsi="Arial Narrow" w:cs="Tahoma"/>
                <w:sz w:val="18"/>
              </w:rPr>
              <w:t>The Release prepared by the Publications Division</w:t>
            </w:r>
          </w:p>
        </w:tc>
      </w:tr>
      <w:tr w:rsidR="009277A6" w:rsidRPr="000744B4" w:rsidTr="009277A6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A14" w:rsidRPr="00300B5A" w:rsidRDefault="00A34A14" w:rsidP="00A34A1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Latn-BA"/>
              </w:rPr>
            </w:pPr>
            <w:r w:rsidRPr="00300B5A">
              <w:rPr>
                <w:rFonts w:ascii="Arial Narrow" w:hAnsi="Arial Narrow" w:cs="Tahoma"/>
                <w:sz w:val="18"/>
                <w:szCs w:val="18"/>
                <w:lang w:val="sr-Latn-BA"/>
              </w:rPr>
              <w:t>Vladan Sibinović, Head of the Division and Editor in Chief</w:t>
            </w:r>
          </w:p>
          <w:p w:rsidR="00A34A14" w:rsidRPr="00300B5A" w:rsidRDefault="00A34A14" w:rsidP="00A34A1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300B5A">
              <w:rPr>
                <w:rFonts w:ascii="Arial Narrow" w:hAnsi="Arial Narrow" w:cs="Tahoma"/>
                <w:sz w:val="18"/>
                <w:szCs w:val="18"/>
                <w:lang w:val="sr-Latn-BA"/>
              </w:rPr>
              <w:t>Published by the Republlika Srpska Institute of Statistics</w:t>
            </w:r>
            <w:r w:rsidRPr="00300B5A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,</w:t>
            </w:r>
          </w:p>
          <w:p w:rsidR="00A34A14" w:rsidRPr="00300B5A" w:rsidRDefault="00A34A14" w:rsidP="00A34A1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300B5A">
              <w:rPr>
                <w:rFonts w:ascii="Arial Narrow" w:hAnsi="Arial Narrow" w:cs="Tahoma"/>
                <w:sz w:val="18"/>
                <w:szCs w:val="18"/>
                <w:lang w:val="sr-Latn-BA"/>
              </w:rPr>
              <w:t>Republika Srpska</w:t>
            </w:r>
            <w:r w:rsidRPr="00300B5A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 w:rsidRPr="00300B5A">
              <w:rPr>
                <w:rFonts w:ascii="Arial Narrow" w:hAnsi="Arial Narrow" w:cs="Tahoma"/>
                <w:sz w:val="18"/>
                <w:szCs w:val="18"/>
                <w:lang w:val="sr-Latn-BA"/>
              </w:rPr>
              <w:t>Banja Luka</w:t>
            </w:r>
            <w:r w:rsidRPr="00300B5A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, </w:t>
            </w:r>
            <w:r w:rsidRPr="00300B5A">
              <w:rPr>
                <w:rFonts w:ascii="Arial Narrow" w:hAnsi="Arial Narrow" w:cs="Tahoma"/>
                <w:sz w:val="18"/>
                <w:szCs w:val="18"/>
                <w:lang w:val="sr-Latn-BA"/>
              </w:rPr>
              <w:t>Veljka Mlađenovića</w:t>
            </w:r>
            <w:r w:rsidRPr="00300B5A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12d</w:t>
            </w:r>
          </w:p>
          <w:p w:rsidR="00A34A14" w:rsidRPr="00300B5A" w:rsidRDefault="00A34A14" w:rsidP="00A34A1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Latn-BA"/>
              </w:rPr>
            </w:pPr>
            <w:r w:rsidRPr="00300B5A">
              <w:rPr>
                <w:rFonts w:ascii="Arial Narrow" w:hAnsi="Arial Narrow" w:cs="Tahoma"/>
                <w:sz w:val="18"/>
                <w:szCs w:val="18"/>
                <w:lang w:val="sr-Latn-BA"/>
              </w:rPr>
              <w:t>Radmila Čičković, PhD, Director General of the Institute</w:t>
            </w:r>
          </w:p>
          <w:p w:rsidR="00A34A14" w:rsidRPr="00300B5A" w:rsidRDefault="00A34A14" w:rsidP="00A34A1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300B5A">
              <w:rPr>
                <w:rFonts w:ascii="Arial Narrow" w:hAnsi="Arial Narrow" w:cs="Tahoma"/>
                <w:sz w:val="18"/>
                <w:szCs w:val="18"/>
                <w:lang w:val="sr-Latn-BA"/>
              </w:rPr>
              <w:t>The Release is published online at</w:t>
            </w:r>
            <w:r w:rsidRPr="00300B5A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: </w:t>
            </w:r>
            <w:r w:rsidRPr="00300B5A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300B5A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300B5A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300B5A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300B5A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300B5A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300B5A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9277A6" w:rsidRDefault="00A34A14" w:rsidP="00A34A1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300B5A">
              <w:rPr>
                <w:rFonts w:ascii="Arial Narrow" w:hAnsi="Arial Narrow" w:cs="Tahoma"/>
                <w:sz w:val="18"/>
                <w:szCs w:val="18"/>
              </w:rPr>
              <w:t>telephone</w:t>
            </w:r>
            <w:r w:rsidRPr="00300B5A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+387 51 332 700</w:t>
            </w:r>
            <w:r w:rsidRPr="00300B5A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300B5A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300B5A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300B5A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300B5A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300B5A">
                <w:rPr>
                  <w:rStyle w:val="Hyperlink"/>
                  <w:rFonts w:ascii="Arial Narrow" w:hAnsi="Arial Narrow" w:cs="Tahoma"/>
                  <w:sz w:val="18"/>
                  <w:szCs w:val="18"/>
                  <w:lang w:val="pt-BR"/>
                </w:rPr>
                <w:t>stat</w:t>
              </w:r>
              <w:r w:rsidRPr="00300B5A">
                <w:rPr>
                  <w:rStyle w:val="Hyperlink"/>
                  <w:rFonts w:ascii="Arial Narrow" w:hAnsi="Arial Narrow" w:cs="Tahoma"/>
                  <w:sz w:val="18"/>
                  <w:szCs w:val="18"/>
                  <w:lang w:val="ru-RU"/>
                </w:rPr>
                <w:t>@</w:t>
              </w:r>
              <w:r w:rsidRPr="00300B5A">
                <w:rPr>
                  <w:rStyle w:val="Hyperlink"/>
                  <w:rFonts w:ascii="Arial Narrow" w:hAnsi="Arial Narrow" w:cs="Tahoma"/>
                  <w:sz w:val="18"/>
                  <w:szCs w:val="18"/>
                  <w:lang w:val="pt-BR"/>
                </w:rPr>
                <w:t>rzs</w:t>
              </w:r>
              <w:r w:rsidRPr="00300B5A">
                <w:rPr>
                  <w:rStyle w:val="Hyperlink"/>
                  <w:rFonts w:ascii="Arial Narrow" w:hAnsi="Arial Narrow" w:cs="Tahoma"/>
                  <w:sz w:val="18"/>
                  <w:szCs w:val="18"/>
                  <w:lang w:val="ru-RU"/>
                </w:rPr>
                <w:t>.</w:t>
              </w:r>
              <w:r w:rsidRPr="00300B5A">
                <w:rPr>
                  <w:rStyle w:val="Hyperlink"/>
                  <w:rFonts w:ascii="Arial Narrow" w:hAnsi="Arial Narrow" w:cs="Tahoma"/>
                  <w:sz w:val="18"/>
                  <w:szCs w:val="18"/>
                  <w:lang w:val="pt-BR"/>
                </w:rPr>
                <w:t>rs</w:t>
              </w:r>
              <w:r w:rsidRPr="00300B5A">
                <w:rPr>
                  <w:rStyle w:val="Hyperlink"/>
                  <w:rFonts w:ascii="Arial Narrow" w:hAnsi="Arial Narrow" w:cs="Tahoma"/>
                  <w:sz w:val="18"/>
                  <w:szCs w:val="18"/>
                  <w:lang w:val="ru-RU"/>
                </w:rPr>
                <w:t>.</w:t>
              </w:r>
              <w:r w:rsidRPr="00300B5A">
                <w:rPr>
                  <w:rStyle w:val="Hyperlink"/>
                  <w:rFonts w:ascii="Arial Narrow" w:hAnsi="Arial Narrow" w:cs="Tahoma"/>
                  <w:sz w:val="18"/>
                  <w:szCs w:val="18"/>
                  <w:lang w:val="pt-BR"/>
                </w:rPr>
                <w:t>ba</w:t>
              </w:r>
            </w:hyperlink>
          </w:p>
          <w:p w:rsidR="009277A6" w:rsidRDefault="009277A6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277A6" w:rsidRDefault="00A34A14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A34A14">
              <w:rPr>
                <w:rFonts w:ascii="Arial Narrow" w:hAnsi="Arial Narrow" w:cs="Tahoma"/>
                <w:b/>
                <w:bCs/>
                <w:sz w:val="18"/>
                <w:lang w:val="sr-Latn-BA"/>
              </w:rPr>
              <w:t>Data may be used provided the source is acknowledged</w:t>
            </w:r>
          </w:p>
        </w:tc>
      </w:tr>
    </w:tbl>
    <w:p w:rsidR="009E2A9A" w:rsidRPr="00CA19B5" w:rsidRDefault="006A3911" w:rsidP="009E2A9A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0795" r="15240" b="17780"/>
                <wp:wrapNone/>
                <wp:docPr id="2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3DBD3" id="Line 4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GhIDfw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-8409305</wp:posOffset>
                </wp:positionV>
                <wp:extent cx="914400" cy="914400"/>
                <wp:effectExtent l="9525" t="9525" r="9525" b="9525"/>
                <wp:wrapNone/>
                <wp:docPr id="1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5CA" w:rsidRDefault="00BC65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margin-left:-42.55pt;margin-top:-662.15pt;width:1in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">
                <v:textbox>
                  <w:txbxContent>
                    <w:p w:rsidR="00BC65CA" w:rsidRDefault="00BC65CA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-8409305</wp:posOffset>
                </wp:positionV>
                <wp:extent cx="914400" cy="914400"/>
                <wp:effectExtent l="9525" t="9525" r="9525" b="9525"/>
                <wp:wrapNone/>
                <wp:docPr id="1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5CA" w:rsidRDefault="00BC65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0" type="#_x0000_t202" style="position:absolute;margin-left:-42.55pt;margin-top:-662.15pt;width:1in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">
                <v:textbox>
                  <w:txbxContent>
                    <w:p w:rsidR="00BC65CA" w:rsidRDefault="00BC65CA"/>
                  </w:txbxContent>
                </v:textbox>
              </v:shape>
            </w:pict>
          </mc:Fallback>
        </mc:AlternateContent>
      </w:r>
    </w:p>
    <w:sectPr w:rsidR="009E2A9A" w:rsidRPr="00CA19B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934" w:rsidRDefault="00786934">
      <w:r>
        <w:separator/>
      </w:r>
    </w:p>
  </w:endnote>
  <w:endnote w:type="continuationSeparator" w:id="0">
    <w:p w:rsidR="00786934" w:rsidRDefault="0078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Times New Roman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34" w:rsidRDefault="006A3911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1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6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934" w:rsidRPr="00175687" w:rsidRDefault="004B5F41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786934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273D4A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9776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dF4wwAAANsAAAAPAAAAZHJzL2Rvd25yZXYueG1sRE/fa8Iw&#10;EH4f7H8IN/BtphMZ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TL3ReMMAAADbAAAADwAA&#10;AAAAAAAAAAAAAAAHAgAAZHJzL2Rvd25yZXYueG1sUEsFBgAAAAADAAMAtwAAAPcCAAAAAA==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" filled="f" stroked="f">
                <v:textbox inset="4.32pt,0,4.32pt,0">
                  <w:txbxContent>
                    <w:p w:rsidR="00786934" w:rsidRPr="00175687" w:rsidRDefault="004B5F41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786934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273D4A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34" w:rsidRDefault="006A3911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6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8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1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934" w:rsidRPr="00175687" w:rsidRDefault="004B5F41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786934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273D4A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" filled="f" stroked="f">
                <v:textbox inset="4.32pt,0,4.32pt,0">
                  <w:txbxContent>
                    <w:p w:rsidR="00786934" w:rsidRPr="00175687" w:rsidRDefault="004B5F41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786934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273D4A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934" w:rsidRDefault="00786934">
      <w:r>
        <w:separator/>
      </w:r>
    </w:p>
  </w:footnote>
  <w:footnote w:type="continuationSeparator" w:id="0">
    <w:p w:rsidR="00786934" w:rsidRDefault="00786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786934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786934" w:rsidRPr="00A34A14" w:rsidRDefault="00A34A14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</w:t>
          </w: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Srpska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Institute of Statistics</w:t>
          </w:r>
        </w:p>
        <w:p w:rsidR="00786934" w:rsidRPr="00A34A14" w:rsidRDefault="00A34A14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786934" w:rsidRPr="005D5311" w:rsidRDefault="00786934" w:rsidP="006C418B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431915">
            <w:rPr>
              <w:rFonts w:ascii="Arial Narrow" w:hAnsi="Arial Narrow" w:cs="Tahoma"/>
              <w:color w:val="1F497D" w:themeColor="text2"/>
              <w:sz w:val="16"/>
            </w:rPr>
            <w:t>2</w:t>
          </w:r>
          <w:r w:rsidR="006C418B">
            <w:rPr>
              <w:rFonts w:ascii="Arial Narrow" w:hAnsi="Arial Narrow" w:cs="Tahoma"/>
              <w:color w:val="1F497D" w:themeColor="text2"/>
              <w:sz w:val="16"/>
              <w:lang w:val="sr-Latn-BA"/>
            </w:rPr>
            <w:t>3</w:t>
          </w:r>
          <w:r w:rsidR="00A34A14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 January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</w:rPr>
            <w:t xml:space="preserve"> 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>201</w:t>
          </w:r>
          <w:r w:rsidR="006C418B"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7</w:t>
          </w:r>
          <w:r w:rsidR="00A34A14">
            <w:rPr>
              <w:rFonts w:ascii="Arial Narrow" w:hAnsi="Arial Narrow" w:cs="Tahoma"/>
              <w:color w:val="1F497D" w:themeColor="text2"/>
              <w:sz w:val="16"/>
              <w:szCs w:val="16"/>
              <w:lang w:val="sr-Cyrl-CS"/>
            </w:rPr>
            <w:t>,</w:t>
          </w:r>
          <w:r w:rsidR="00A34A14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 No.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CS"/>
            </w:rPr>
            <w:t xml:space="preserve"> </w:t>
          </w:r>
          <w:r w:rsidR="005A718D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Latn-BA"/>
            </w:rPr>
            <w:t>3</w:t>
          </w:r>
          <w:r w:rsidRPr="00A64260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/1</w:t>
          </w:r>
          <w:r w:rsidR="006C418B">
            <w:rPr>
              <w:rFonts w:ascii="Arial Narrow" w:hAnsi="Arial Narrow" w:cs="Tahoma"/>
              <w:b/>
              <w:color w:val="1F497D" w:themeColor="text2"/>
              <w:sz w:val="22"/>
              <w:szCs w:val="22"/>
            </w:rPr>
            <w:t>7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786934" w:rsidRDefault="006A3911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7D390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0V7Fw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>
      <o:colormru v:ext="edit" colors="#963,#969696,#777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986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5E48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A58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35"/>
    <w:rsid w:val="000F4CE7"/>
    <w:rsid w:val="000F4DE8"/>
    <w:rsid w:val="000F55DE"/>
    <w:rsid w:val="000F5794"/>
    <w:rsid w:val="000F57F7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976"/>
    <w:rsid w:val="00195AC9"/>
    <w:rsid w:val="00195F3F"/>
    <w:rsid w:val="00196133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717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988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3D4A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82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2F2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07FD0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EDA"/>
    <w:rsid w:val="00315794"/>
    <w:rsid w:val="00316671"/>
    <w:rsid w:val="003169EF"/>
    <w:rsid w:val="003170C4"/>
    <w:rsid w:val="00317BE9"/>
    <w:rsid w:val="00317F21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9C1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3311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40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8BC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C7B"/>
    <w:rsid w:val="005012BF"/>
    <w:rsid w:val="00501D76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22A"/>
    <w:rsid w:val="00660381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31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11"/>
    <w:rsid w:val="006A398F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37E66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97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75D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3EC6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C2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437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A14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9A0"/>
    <w:rsid w:val="00A41CCC"/>
    <w:rsid w:val="00A41DC8"/>
    <w:rsid w:val="00A41E8B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5CA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98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B37"/>
    <w:rsid w:val="00D75FB0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5DBB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5CDE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F25"/>
    <w:rsid w:val="00EB0297"/>
    <w:rsid w:val="00EB077E"/>
    <w:rsid w:val="00EB14E1"/>
    <w:rsid w:val="00EB1C9A"/>
    <w:rsid w:val="00EB21F8"/>
    <w:rsid w:val="00EB2360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215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5A6E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F23"/>
    <w:rsid w:val="00F6075A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987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6E91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A0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,"/>
  <w14:docId w14:val="765F91B9"/>
  <w15:docId w15:val="{DDA7A95C-E3C8-4EB0-A064-89537149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  <w:style w:type="paragraph" w:styleId="NormalWeb">
    <w:name w:val="Normal (Web)"/>
    <w:basedOn w:val="Normal"/>
    <w:uiPriority w:val="99"/>
    <w:semiHidden/>
    <w:unhideWhenUsed/>
    <w:rsid w:val="00BC65CA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biljana.tes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krajina\Publikovanje\01%20Saopstenja\2016\Cijene\Indeksi%20potrosackih%20cijena\Grafikon_2016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</c:lvl>
                <c:lvl>
                  <c:pt idx="0">
                    <c:v>2015</c:v>
                  </c:pt>
                  <c:pt idx="1">
                    <c:v>2016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834</c:v>
                </c:pt>
                <c:pt idx="1">
                  <c:v>816</c:v>
                </c:pt>
                <c:pt idx="2">
                  <c:v>838</c:v>
                </c:pt>
                <c:pt idx="3">
                  <c:v>837</c:v>
                </c:pt>
                <c:pt idx="4">
                  <c:v>832</c:v>
                </c:pt>
                <c:pt idx="5">
                  <c:v>841</c:v>
                </c:pt>
                <c:pt idx="6">
                  <c:v>845</c:v>
                </c:pt>
                <c:pt idx="7">
                  <c:v>838</c:v>
                </c:pt>
                <c:pt idx="8">
                  <c:v>838</c:v>
                </c:pt>
                <c:pt idx="9">
                  <c:v>834</c:v>
                </c:pt>
                <c:pt idx="10">
                  <c:v>837</c:v>
                </c:pt>
                <c:pt idx="11">
                  <c:v>839</c:v>
                </c:pt>
                <c:pt idx="12">
                  <c:v>835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BF4-42DE-95EF-6201DA9B0F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17000"/>
        <c:axId val="4717384"/>
      </c:lineChart>
      <c:catAx>
        <c:axId val="471700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4717384"/>
        <c:crosses val="autoZero"/>
        <c:auto val="1"/>
        <c:lblAlgn val="ctr"/>
        <c:lblOffset val="100"/>
        <c:noMultiLvlLbl val="0"/>
      </c:catAx>
      <c:valAx>
        <c:axId val="4717384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crossAx val="47170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170731707317069E-2"/>
          <c:y val="5.8577405857740801E-2"/>
          <c:w val="0.90069686411149863"/>
          <c:h val="0.76569037656904126"/>
        </c:manualLayout>
      </c:layout>
      <c:lineChart>
        <c:grouping val="standard"/>
        <c:varyColors val="0"/>
        <c:ser>
          <c:idx val="0"/>
          <c:order val="0"/>
          <c:tx>
            <c:strRef>
              <c:f>okt!$C$3</c:f>
              <c:strCache>
                <c:ptCount val="1"/>
                <c:pt idx="0">
                  <c:v>Мјесечна инфлација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okt!$A$4:$B$16</c:f>
              <c:multiLvlStrCache>
                <c:ptCount val="13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</c:lvl>
                <c:lvl>
                  <c:pt idx="0">
                    <c:v>2015</c:v>
                  </c:pt>
                  <c:pt idx="1">
                    <c:v>2016</c:v>
                  </c:pt>
                </c:lvl>
              </c:multiLvlStrCache>
            </c:multiLvlStrRef>
          </c:cat>
          <c:val>
            <c:numRef>
              <c:f>okt!$C$4:$C$16</c:f>
              <c:numCache>
                <c:formatCode>General</c:formatCode>
                <c:ptCount val="13"/>
                <c:pt idx="0">
                  <c:v>-0.2</c:v>
                </c:pt>
                <c:pt idx="1">
                  <c:v>0.2</c:v>
                </c:pt>
                <c:pt idx="2">
                  <c:v>-0.2</c:v>
                </c:pt>
                <c:pt idx="3" formatCode="0\.0">
                  <c:v>0</c:v>
                </c:pt>
                <c:pt idx="4" formatCode="0\.0">
                  <c:v>-1</c:v>
                </c:pt>
                <c:pt idx="5">
                  <c:v>0.1</c:v>
                </c:pt>
                <c:pt idx="6">
                  <c:v>-0.2</c:v>
                </c:pt>
                <c:pt idx="7">
                  <c:v>-0.3</c:v>
                </c:pt>
                <c:pt idx="8">
                  <c:v>-0.3</c:v>
                </c:pt>
                <c:pt idx="9">
                  <c:v>0.1</c:v>
                </c:pt>
                <c:pt idx="10">
                  <c:v>1.4</c:v>
                </c:pt>
                <c:pt idx="11">
                  <c:v>0.1</c:v>
                </c:pt>
                <c:pt idx="12">
                  <c:v>-0.1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065-4A5C-B51C-180F2C9A13EB}"/>
            </c:ext>
          </c:extLst>
        </c:ser>
        <c:ser>
          <c:idx val="1"/>
          <c:order val="1"/>
          <c:tx>
            <c:strRef>
              <c:f>okt!$D$3</c:f>
              <c:strCache>
                <c:ptCount val="1"/>
                <c:pt idx="0">
                  <c:v>Годишња инфлација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okt!$A$4:$B$16</c:f>
              <c:multiLvlStrCache>
                <c:ptCount val="13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</c:lvl>
                <c:lvl>
                  <c:pt idx="0">
                    <c:v>2015</c:v>
                  </c:pt>
                  <c:pt idx="1">
                    <c:v>2016</c:v>
                  </c:pt>
                </c:lvl>
              </c:multiLvlStrCache>
            </c:multiLvlStrRef>
          </c:cat>
          <c:val>
            <c:numRef>
              <c:f>okt!$D$4:$D$16</c:f>
              <c:numCache>
                <c:formatCode>General</c:formatCode>
                <c:ptCount val="13"/>
                <c:pt idx="0">
                  <c:v>-1.6</c:v>
                </c:pt>
                <c:pt idx="1">
                  <c:v>-0.9</c:v>
                </c:pt>
                <c:pt idx="2">
                  <c:v>-1.3</c:v>
                </c:pt>
                <c:pt idx="3">
                  <c:v>-1.8</c:v>
                </c:pt>
                <c:pt idx="4">
                  <c:v>-1.7</c:v>
                </c:pt>
                <c:pt idx="5">
                  <c:v>-1.6</c:v>
                </c:pt>
                <c:pt idx="6">
                  <c:v>-1.6</c:v>
                </c:pt>
                <c:pt idx="7" formatCode="0\.0">
                  <c:v>-1</c:v>
                </c:pt>
                <c:pt idx="8">
                  <c:v>-1.3</c:v>
                </c:pt>
                <c:pt idx="9">
                  <c:v>-1.2</c:v>
                </c:pt>
                <c:pt idx="10">
                  <c:v>-0.7</c:v>
                </c:pt>
                <c:pt idx="11">
                  <c:v>-0.3</c:v>
                </c:pt>
                <c:pt idx="12">
                  <c:v>-0.2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065-4A5C-B51C-180F2C9A13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8391504"/>
        <c:axId val="148395984"/>
      </c:lineChart>
      <c:catAx>
        <c:axId val="148391504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Narrow" panose="020B0606020202030204" pitchFamily="34" charset="0"/>
                <a:ea typeface="Calibri"/>
                <a:cs typeface="Calibri"/>
              </a:defRPr>
            </a:pPr>
            <a:endParaRPr lang="en-US"/>
          </a:p>
        </c:txPr>
        <c:crossAx val="14839598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8395984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Narrow" panose="020B0606020202030204" pitchFamily="34" charset="0"/>
                <a:ea typeface="Calibri"/>
                <a:cs typeface="Calibri"/>
              </a:defRPr>
            </a:pPr>
            <a:endParaRPr lang="en-US"/>
          </a:p>
        </c:txPr>
        <c:crossAx val="148391504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16027874564459929"/>
          <c:y val="0.87082439996205296"/>
          <c:w val="0.7526132404181185"/>
          <c:h val="8.3682008368201166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 Narrow" panose="020B0606020202030204" pitchFamily="34" charset="0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  <c:pt idx="13">
                    <c:v>I</c:v>
                  </c:pt>
                  <c:pt idx="14">
                    <c:v>II</c:v>
                  </c:pt>
                  <c:pt idx="15">
                    <c:v>III</c:v>
                  </c:pt>
                  <c:pt idx="16">
                    <c:v>IV</c:v>
                  </c:pt>
                  <c:pt idx="17">
                    <c:v>V</c:v>
                  </c:pt>
                  <c:pt idx="18">
                    <c:v>VI</c:v>
                  </c:pt>
                  <c:pt idx="19">
                    <c:v>VII</c:v>
                  </c:pt>
                  <c:pt idx="20">
                    <c:v>VIII</c:v>
                  </c:pt>
                  <c:pt idx="21">
                    <c:v>IX</c:v>
                  </c:pt>
                  <c:pt idx="22">
                    <c:v>X</c:v>
                  </c:pt>
                  <c:pt idx="23">
                    <c:v>XI</c:v>
                  </c:pt>
                  <c:pt idx="24">
                    <c:v>XII</c:v>
                  </c:pt>
                  <c:pt idx="25">
                    <c:v>I</c:v>
                  </c:pt>
                  <c:pt idx="26">
                    <c:v>II</c:v>
                  </c:pt>
                  <c:pt idx="27">
                    <c:v>III</c:v>
                  </c:pt>
                  <c:pt idx="28">
                    <c:v>IV</c:v>
                  </c:pt>
                  <c:pt idx="29">
                    <c:v>V</c:v>
                  </c:pt>
                  <c:pt idx="30">
                    <c:v>VI</c:v>
                  </c:pt>
                  <c:pt idx="31">
                    <c:v>VII</c:v>
                  </c:pt>
                  <c:pt idx="32">
                    <c:v>VIII</c:v>
                  </c:pt>
                  <c:pt idx="33">
                    <c:v>IX</c:v>
                  </c:pt>
                  <c:pt idx="34">
                    <c:v>X</c:v>
                  </c:pt>
                  <c:pt idx="35">
                    <c:v>XI</c:v>
                  </c:pt>
                  <c:pt idx="36">
                    <c:v>XII</c:v>
                  </c:pt>
                  <c:pt idx="37">
                    <c:v>I</c:v>
                  </c:pt>
                  <c:pt idx="38">
                    <c:v>II</c:v>
                  </c:pt>
                  <c:pt idx="39">
                    <c:v>III</c:v>
                  </c:pt>
                  <c:pt idx="40">
                    <c:v>IV</c:v>
                  </c:pt>
                  <c:pt idx="41">
                    <c:v>V</c:v>
                  </c:pt>
                  <c:pt idx="42">
                    <c:v>VI</c:v>
                  </c:pt>
                  <c:pt idx="43">
                    <c:v>VII</c:v>
                  </c:pt>
                  <c:pt idx="44">
                    <c:v>VIII</c:v>
                  </c:pt>
                  <c:pt idx="45">
                    <c:v>IX</c:v>
                  </c:pt>
                  <c:pt idx="46">
                    <c:v>X</c:v>
                  </c:pt>
                  <c:pt idx="47">
                    <c:v>XI</c:v>
                  </c:pt>
                  <c:pt idx="48">
                    <c:v>XII</c:v>
                  </c:pt>
                </c:lvl>
                <c:lvl>
                  <c:pt idx="0">
                    <c:v>2012</c:v>
                  </c:pt>
                  <c:pt idx="1">
                    <c:v>2013</c:v>
                  </c:pt>
                  <c:pt idx="13">
                    <c:v>2014</c:v>
                  </c:pt>
                  <c:pt idx="25">
                    <c:v>2015</c:v>
                  </c:pt>
                  <c:pt idx="37">
                    <c:v>2016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0\.0</c:formatCode>
                <c:ptCount val="49"/>
                <c:pt idx="0">
                  <c:v>102.3</c:v>
                </c:pt>
                <c:pt idx="1">
                  <c:v>102</c:v>
                </c:pt>
                <c:pt idx="2">
                  <c:v>100.3</c:v>
                </c:pt>
                <c:pt idx="3">
                  <c:v>99.8</c:v>
                </c:pt>
                <c:pt idx="4">
                  <c:v>109.6</c:v>
                </c:pt>
                <c:pt idx="5">
                  <c:v>102.8</c:v>
                </c:pt>
                <c:pt idx="6">
                  <c:v>105.3</c:v>
                </c:pt>
                <c:pt idx="7">
                  <c:v>110.5</c:v>
                </c:pt>
                <c:pt idx="8">
                  <c:v>106.7</c:v>
                </c:pt>
                <c:pt idx="9">
                  <c:v>100.8</c:v>
                </c:pt>
                <c:pt idx="10">
                  <c:v>102.1</c:v>
                </c:pt>
                <c:pt idx="11">
                  <c:v>105.4</c:v>
                </c:pt>
                <c:pt idx="12">
                  <c:v>106.1</c:v>
                </c:pt>
                <c:pt idx="13">
                  <c:v>106.9</c:v>
                </c:pt>
                <c:pt idx="14">
                  <c:v>104.9</c:v>
                </c:pt>
                <c:pt idx="15">
                  <c:v>101.2</c:v>
                </c:pt>
                <c:pt idx="16">
                  <c:v>103.7</c:v>
                </c:pt>
                <c:pt idx="17">
                  <c:v>102.6</c:v>
                </c:pt>
                <c:pt idx="18">
                  <c:v>104.5</c:v>
                </c:pt>
                <c:pt idx="19">
                  <c:v>106.2</c:v>
                </c:pt>
                <c:pt idx="20">
                  <c:v>99.7</c:v>
                </c:pt>
                <c:pt idx="21">
                  <c:v>109.4</c:v>
                </c:pt>
                <c:pt idx="22">
                  <c:v>108.5</c:v>
                </c:pt>
                <c:pt idx="23">
                  <c:v>108.1</c:v>
                </c:pt>
                <c:pt idx="24">
                  <c:v>105.5</c:v>
                </c:pt>
                <c:pt idx="25">
                  <c:v>109.2</c:v>
                </c:pt>
                <c:pt idx="26">
                  <c:v>109.9</c:v>
                </c:pt>
                <c:pt idx="27">
                  <c:v>103.2</c:v>
                </c:pt>
                <c:pt idx="28">
                  <c:v>106.9</c:v>
                </c:pt>
                <c:pt idx="29">
                  <c:v>109.5</c:v>
                </c:pt>
                <c:pt idx="30">
                  <c:v>109.5</c:v>
                </c:pt>
                <c:pt idx="31">
                  <c:v>108</c:v>
                </c:pt>
                <c:pt idx="32">
                  <c:v>110.2</c:v>
                </c:pt>
                <c:pt idx="33">
                  <c:v>105.6</c:v>
                </c:pt>
                <c:pt idx="34">
                  <c:v>109.8</c:v>
                </c:pt>
                <c:pt idx="35">
                  <c:v>108.6</c:v>
                </c:pt>
                <c:pt idx="36">
                  <c:v>105.7</c:v>
                </c:pt>
                <c:pt idx="37">
                  <c:v>103.3</c:v>
                </c:pt>
                <c:pt idx="38">
                  <c:v>114.4</c:v>
                </c:pt>
                <c:pt idx="39">
                  <c:v>121.1</c:v>
                </c:pt>
                <c:pt idx="40">
                  <c:v>111.9</c:v>
                </c:pt>
                <c:pt idx="41">
                  <c:v>116.3</c:v>
                </c:pt>
                <c:pt idx="42">
                  <c:v>114.3</c:v>
                </c:pt>
                <c:pt idx="43">
                  <c:v>115.8</c:v>
                </c:pt>
                <c:pt idx="44">
                  <c:v>118.4</c:v>
                </c:pt>
                <c:pt idx="45">
                  <c:v>120.4</c:v>
                </c:pt>
                <c:pt idx="46">
                  <c:v>117.5</c:v>
                </c:pt>
                <c:pt idx="47">
                  <c:v>119.3</c:v>
                </c:pt>
                <c:pt idx="48">
                  <c:v>125.6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889-41C4-83B0-52708035A4CE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  <c:pt idx="13">
                    <c:v>I</c:v>
                  </c:pt>
                  <c:pt idx="14">
                    <c:v>II</c:v>
                  </c:pt>
                  <c:pt idx="15">
                    <c:v>III</c:v>
                  </c:pt>
                  <c:pt idx="16">
                    <c:v>IV</c:v>
                  </c:pt>
                  <c:pt idx="17">
                    <c:v>V</c:v>
                  </c:pt>
                  <c:pt idx="18">
                    <c:v>VI</c:v>
                  </c:pt>
                  <c:pt idx="19">
                    <c:v>VII</c:v>
                  </c:pt>
                  <c:pt idx="20">
                    <c:v>VIII</c:v>
                  </c:pt>
                  <c:pt idx="21">
                    <c:v>IX</c:v>
                  </c:pt>
                  <c:pt idx="22">
                    <c:v>X</c:v>
                  </c:pt>
                  <c:pt idx="23">
                    <c:v>XI</c:v>
                  </c:pt>
                  <c:pt idx="24">
                    <c:v>XII</c:v>
                  </c:pt>
                  <c:pt idx="25">
                    <c:v>I</c:v>
                  </c:pt>
                  <c:pt idx="26">
                    <c:v>II</c:v>
                  </c:pt>
                  <c:pt idx="27">
                    <c:v>III</c:v>
                  </c:pt>
                  <c:pt idx="28">
                    <c:v>IV</c:v>
                  </c:pt>
                  <c:pt idx="29">
                    <c:v>V</c:v>
                  </c:pt>
                  <c:pt idx="30">
                    <c:v>VI</c:v>
                  </c:pt>
                  <c:pt idx="31">
                    <c:v>VII</c:v>
                  </c:pt>
                  <c:pt idx="32">
                    <c:v>VIII</c:v>
                  </c:pt>
                  <c:pt idx="33">
                    <c:v>IX</c:v>
                  </c:pt>
                  <c:pt idx="34">
                    <c:v>X</c:v>
                  </c:pt>
                  <c:pt idx="35">
                    <c:v>XI</c:v>
                  </c:pt>
                  <c:pt idx="36">
                    <c:v>XII</c:v>
                  </c:pt>
                  <c:pt idx="37">
                    <c:v>I</c:v>
                  </c:pt>
                  <c:pt idx="38">
                    <c:v>II</c:v>
                  </c:pt>
                  <c:pt idx="39">
                    <c:v>III</c:v>
                  </c:pt>
                  <c:pt idx="40">
                    <c:v>IV</c:v>
                  </c:pt>
                  <c:pt idx="41">
                    <c:v>V</c:v>
                  </c:pt>
                  <c:pt idx="42">
                    <c:v>VI</c:v>
                  </c:pt>
                  <c:pt idx="43">
                    <c:v>VII</c:v>
                  </c:pt>
                  <c:pt idx="44">
                    <c:v>VIII</c:v>
                  </c:pt>
                  <c:pt idx="45">
                    <c:v>IX</c:v>
                  </c:pt>
                  <c:pt idx="46">
                    <c:v>X</c:v>
                  </c:pt>
                  <c:pt idx="47">
                    <c:v>XI</c:v>
                  </c:pt>
                  <c:pt idx="48">
                    <c:v>XII</c:v>
                  </c:pt>
                </c:lvl>
                <c:lvl>
                  <c:pt idx="0">
                    <c:v>2012</c:v>
                  </c:pt>
                  <c:pt idx="1">
                    <c:v>2013</c:v>
                  </c:pt>
                  <c:pt idx="13">
                    <c:v>2014</c:v>
                  </c:pt>
                  <c:pt idx="25">
                    <c:v>2015</c:v>
                  </c:pt>
                  <c:pt idx="37">
                    <c:v>2016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0\.0</c:formatCode>
                <c:ptCount val="49"/>
                <c:pt idx="0">
                  <c:v>101.9</c:v>
                </c:pt>
                <c:pt idx="1">
                  <c:v>102.2</c:v>
                </c:pt>
                <c:pt idx="2">
                  <c:v>102.4</c:v>
                </c:pt>
                <c:pt idx="3">
                  <c:v>102.8</c:v>
                </c:pt>
                <c:pt idx="4">
                  <c:v>103.3</c:v>
                </c:pt>
                <c:pt idx="5">
                  <c:v>103.6</c:v>
                </c:pt>
                <c:pt idx="6">
                  <c:v>103.8</c:v>
                </c:pt>
                <c:pt idx="7">
                  <c:v>104.1</c:v>
                </c:pt>
                <c:pt idx="8">
                  <c:v>104.1</c:v>
                </c:pt>
                <c:pt idx="9">
                  <c:v>104.1</c:v>
                </c:pt>
                <c:pt idx="10">
                  <c:v>104.1</c:v>
                </c:pt>
                <c:pt idx="11">
                  <c:v>104.3</c:v>
                </c:pt>
                <c:pt idx="12">
                  <c:v>104.4</c:v>
                </c:pt>
                <c:pt idx="13">
                  <c:v>104.4</c:v>
                </c:pt>
                <c:pt idx="14">
                  <c:v>104.4</c:v>
                </c:pt>
                <c:pt idx="15">
                  <c:v>104.4</c:v>
                </c:pt>
                <c:pt idx="16">
                  <c:v>104.5</c:v>
                </c:pt>
                <c:pt idx="17">
                  <c:v>104.6</c:v>
                </c:pt>
                <c:pt idx="18">
                  <c:v>104.9</c:v>
                </c:pt>
                <c:pt idx="19">
                  <c:v>105.1</c:v>
                </c:pt>
                <c:pt idx="20">
                  <c:v>105.4</c:v>
                </c:pt>
                <c:pt idx="21">
                  <c:v>105.8</c:v>
                </c:pt>
                <c:pt idx="22">
                  <c:v>106.1</c:v>
                </c:pt>
                <c:pt idx="23">
                  <c:v>106.4</c:v>
                </c:pt>
                <c:pt idx="24">
                  <c:v>106.6</c:v>
                </c:pt>
                <c:pt idx="25">
                  <c:v>106.9</c:v>
                </c:pt>
                <c:pt idx="26">
                  <c:v>107.1</c:v>
                </c:pt>
                <c:pt idx="27">
                  <c:v>107.3</c:v>
                </c:pt>
                <c:pt idx="28">
                  <c:v>107.6</c:v>
                </c:pt>
                <c:pt idx="29">
                  <c:v>107.9</c:v>
                </c:pt>
                <c:pt idx="30">
                  <c:v>108.2</c:v>
                </c:pt>
                <c:pt idx="31">
                  <c:v>108.5</c:v>
                </c:pt>
                <c:pt idx="32">
                  <c:v>108.8</c:v>
                </c:pt>
                <c:pt idx="33">
                  <c:v>109.1</c:v>
                </c:pt>
                <c:pt idx="34">
                  <c:v>109.5</c:v>
                </c:pt>
                <c:pt idx="35">
                  <c:v>110</c:v>
                </c:pt>
                <c:pt idx="36">
                  <c:v>110.5</c:v>
                </c:pt>
                <c:pt idx="37">
                  <c:v>111.3</c:v>
                </c:pt>
                <c:pt idx="38">
                  <c:v>112.3</c:v>
                </c:pt>
                <c:pt idx="39">
                  <c:v>113.3</c:v>
                </c:pt>
                <c:pt idx="40">
                  <c:v>114.1</c:v>
                </c:pt>
                <c:pt idx="41">
                  <c:v>115</c:v>
                </c:pt>
                <c:pt idx="42">
                  <c:v>115.9</c:v>
                </c:pt>
                <c:pt idx="43">
                  <c:v>116.8</c:v>
                </c:pt>
                <c:pt idx="44">
                  <c:v>117.9</c:v>
                </c:pt>
                <c:pt idx="45">
                  <c:v>118.9</c:v>
                </c:pt>
                <c:pt idx="46">
                  <c:v>119.9</c:v>
                </c:pt>
                <c:pt idx="47">
                  <c:v>121.1</c:v>
                </c:pt>
                <c:pt idx="48">
                  <c:v>122.3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889-41C4-83B0-52708035A4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8577600"/>
        <c:axId val="148577984"/>
      </c:lineChart>
      <c:catAx>
        <c:axId val="148577600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48577984"/>
        <c:crosses val="autoZero"/>
        <c:auto val="1"/>
        <c:lblAlgn val="ctr"/>
        <c:lblOffset val="100"/>
        <c:noMultiLvlLbl val="0"/>
      </c:catAx>
      <c:valAx>
        <c:axId val="148577984"/>
        <c:scaling>
          <c:orientation val="minMax"/>
          <c:max val="130"/>
          <c:min val="95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\.0" sourceLinked="1"/>
        <c:majorTickMark val="out"/>
        <c:minorTickMark val="none"/>
        <c:tickLblPos val="nextTo"/>
        <c:spPr>
          <a:ln w="9525">
            <a:solidFill>
              <a:schemeClr val="bg1">
                <a:lumMod val="50000"/>
              </a:schemeClr>
            </a:solidFill>
          </a:ln>
        </c:spPr>
        <c:crossAx val="148577600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2888009851849092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zaDec2016!$A$2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zaDec2016!$B$1:$N$1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</c:v>
                </c:pt>
              </c:strCache>
            </c:strRef>
          </c:cat>
          <c:val>
            <c:numRef>
              <c:f>zaDec2016!$B$2:$N$2</c:f>
              <c:numCache>
                <c:formatCode>General</c:formatCode>
                <c:ptCount val="13"/>
                <c:pt idx="0">
                  <c:v>346357</c:v>
                </c:pt>
                <c:pt idx="1">
                  <c:v>227458</c:v>
                </c:pt>
                <c:pt idx="2">
                  <c:v>330459</c:v>
                </c:pt>
                <c:pt idx="3">
                  <c:v>354355</c:v>
                </c:pt>
                <c:pt idx="4">
                  <c:v>421365</c:v>
                </c:pt>
                <c:pt idx="5">
                  <c:v>315075</c:v>
                </c:pt>
                <c:pt idx="6">
                  <c:v>413259</c:v>
                </c:pt>
                <c:pt idx="7">
                  <c:v>384444</c:v>
                </c:pt>
                <c:pt idx="8">
                  <c:v>357467</c:v>
                </c:pt>
                <c:pt idx="9">
                  <c:v>380274</c:v>
                </c:pt>
                <c:pt idx="10">
                  <c:v>372983</c:v>
                </c:pt>
                <c:pt idx="11">
                  <c:v>399617</c:v>
                </c:pt>
                <c:pt idx="12">
                  <c:v>448853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937-41B6-9EA5-70E7A7E8D0E4}"/>
            </c:ext>
          </c:extLst>
        </c:ser>
        <c:ser>
          <c:idx val="1"/>
          <c:order val="1"/>
          <c:tx>
            <c:strRef>
              <c:f>zaDec2016!$A$3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zaDec2016!$B$1:$N$1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</c:v>
                </c:pt>
              </c:strCache>
            </c:strRef>
          </c:cat>
          <c:val>
            <c:numRef>
              <c:f>zaDec2016!$B$3:$N$3</c:f>
              <c:numCache>
                <c:formatCode>0</c:formatCode>
                <c:ptCount val="13"/>
                <c:pt idx="0">
                  <c:v>226207</c:v>
                </c:pt>
                <c:pt idx="1">
                  <c:v>183779</c:v>
                </c:pt>
                <c:pt idx="2">
                  <c:v>211524</c:v>
                </c:pt>
                <c:pt idx="3">
                  <c:v>239782</c:v>
                </c:pt>
                <c:pt idx="4">
                  <c:v>228100</c:v>
                </c:pt>
                <c:pt idx="5">
                  <c:v>234236</c:v>
                </c:pt>
                <c:pt idx="6">
                  <c:v>248861</c:v>
                </c:pt>
                <c:pt idx="7">
                  <c:v>245925</c:v>
                </c:pt>
                <c:pt idx="8">
                  <c:v>229795</c:v>
                </c:pt>
                <c:pt idx="9">
                  <c:v>265272</c:v>
                </c:pt>
                <c:pt idx="10">
                  <c:v>250736</c:v>
                </c:pt>
                <c:pt idx="11">
                  <c:v>267042</c:v>
                </c:pt>
                <c:pt idx="12">
                  <c:v>260279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937-41B6-9EA5-70E7A7E8D0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7235368"/>
        <c:axId val="127234976"/>
      </c:lineChart>
      <c:catAx>
        <c:axId val="127235368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27234976"/>
        <c:crosses val="autoZero"/>
        <c:auto val="1"/>
        <c:lblAlgn val="ctr"/>
        <c:lblOffset val="100"/>
        <c:noMultiLvlLbl val="0"/>
      </c:catAx>
      <c:valAx>
        <c:axId val="127234976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##0" sourceLinked="0"/>
        <c:majorTickMark val="out"/>
        <c:minorTickMark val="none"/>
        <c:tickLblPos val="nextTo"/>
        <c:crossAx val="127235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405319003371008"/>
          <c:y val="0.34220861281228737"/>
          <c:w val="0.22336803871080096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png"/><Relationship Id="rId1" Type="http://schemas.openxmlformats.org/officeDocument/2006/relationships/image" Target="../media/image3.png"/></Relationships>
</file>

<file path=word/drawing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png"/><Relationship Id="rId1" Type="http://schemas.openxmlformats.org/officeDocument/2006/relationships/image" Target="../media/image5.png"/></Relationships>
</file>

<file path=word/drawings/_rels/drawing3.xml.rels><?xml version="1.0" encoding="UTF-8" standalone="yes"?>
<Relationships xmlns="http://schemas.openxmlformats.org/package/2006/relationships"><Relationship Id="rId2" Type="http://schemas.openxmlformats.org/officeDocument/2006/relationships/image" Target="../media/image8.png"/><Relationship Id="rId1" Type="http://schemas.openxmlformats.org/officeDocument/2006/relationships/image" Target="../media/image7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0.32818</cdr:x>
      <cdr:y>0.87414</cdr:y>
    </cdr:from>
    <cdr:to>
      <cdr:x>0.49018</cdr:x>
      <cdr:y>0.97929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794294" y="2216988"/>
          <a:ext cx="885714" cy="266667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0.65006</cdr:x>
      <cdr:y>0.87754</cdr:y>
    </cdr:from>
    <cdr:to>
      <cdr:x>0.81206</cdr:x>
      <cdr:y>0.98269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3554083" y="2225615"/>
          <a:ext cx="885714" cy="266667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0.38919</cdr:x>
      <cdr:y>0.89082</cdr:y>
    </cdr:from>
    <cdr:to>
      <cdr:x>0.52732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522287" y="2719745"/>
          <a:ext cx="895194" cy="33333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0.57318</cdr:x>
      <cdr:y>0.911</cdr:y>
    </cdr:from>
    <cdr:to>
      <cdr:x>0.70985</cdr:x>
      <cdr:y>0.98587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3714677" y="2781363"/>
          <a:ext cx="885733" cy="228585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0.83662</cdr:x>
      <cdr:y>0.34398</cdr:y>
    </cdr:from>
    <cdr:to>
      <cdr:x>0.98283</cdr:x>
      <cdr:y>0.44051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362848" y="956714"/>
          <a:ext cx="587691" cy="268481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0.83764</cdr:x>
      <cdr:y>0.45075</cdr:y>
    </cdr:from>
    <cdr:to>
      <cdr:x>0.9798</cdr:x>
      <cdr:y>0.53292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3366935" y="1253658"/>
          <a:ext cx="571422" cy="228553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A1995-7CC0-4802-A171-350D2755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4188</TotalTime>
  <Pages>5</Pages>
  <Words>1259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9280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dc:description/>
  <cp:lastModifiedBy>Vladan Sibinovic</cp:lastModifiedBy>
  <cp:revision>16</cp:revision>
  <cp:lastPrinted>2017-01-20T12:39:00Z</cp:lastPrinted>
  <dcterms:created xsi:type="dcterms:W3CDTF">2014-03-14T12:01:00Z</dcterms:created>
  <dcterms:modified xsi:type="dcterms:W3CDTF">2017-06-22T09:53:00Z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