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072954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43D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072954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February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7</w:t>
            </w:r>
            <w:r w:rsidR="00072954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072954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5A718D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</w:t>
            </w:r>
            <w:r w:rsidR="00443D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6C418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7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07295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072954" w:rsidRDefault="00072954" w:rsidP="006D71F8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February 2017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785D42" w:rsidRDefault="008B1AF4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Average net wage in January </w:t>
      </w:r>
      <w:r w:rsidR="00E33D13" w:rsidRPr="00785D4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8</w:t>
      </w:r>
      <w:r w:rsidR="002E75DE" w:rsidRPr="00785D4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9E40AA" w:rsidRPr="00785D4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="00E33D13" w:rsidRPr="00785D4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785D42" w:rsidRDefault="008B1AF4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0B5E48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0B5E48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>
        <w:rPr>
          <w:rFonts w:ascii="Arial Narrow" w:hAnsi="Arial Narrow" w:cs="Tahoma"/>
          <w:b/>
          <w:sz w:val="28"/>
          <w:szCs w:val="28"/>
          <w:lang w:val="ru-RU"/>
        </w:rPr>
        <w:t xml:space="preserve"> 1,</w:t>
      </w:r>
      <w:r w:rsidR="005F6D3F" w:rsidRPr="00785D42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9E40AA" w:rsidRPr="00785D42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="002E75DE" w:rsidRPr="00785D42">
        <w:rPr>
          <w:rFonts w:ascii="Arial Narrow" w:hAnsi="Arial Narrow" w:cs="Tahoma"/>
          <w:b/>
          <w:sz w:val="28"/>
          <w:szCs w:val="28"/>
          <w:lang w:val="ru-RU"/>
        </w:rPr>
        <w:t>8</w:t>
      </w:r>
      <w:r w:rsidR="00E33D13" w:rsidRPr="00785D42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785D42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0B5E48"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Pr="000B5E4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0B5E48">
        <w:rPr>
          <w:rFonts w:ascii="Arial Narrow" w:hAnsi="Arial Narrow" w:cs="Tahoma"/>
          <w:b/>
          <w:i/>
          <w:sz w:val="28"/>
          <w:szCs w:val="28"/>
        </w:rPr>
        <w:t xml:space="preserve">Administrative and support services </w:t>
      </w:r>
      <w:r w:rsidR="00E33D13" w:rsidRPr="00785D42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9E40AA" w:rsidRPr="00785D42">
        <w:rPr>
          <w:rFonts w:ascii="Arial Narrow" w:hAnsi="Arial Narrow" w:cs="Tahoma"/>
          <w:b/>
          <w:sz w:val="28"/>
          <w:szCs w:val="28"/>
          <w:lang w:val="sr-Cyrl-BA"/>
        </w:rPr>
        <w:t>2</w:t>
      </w:r>
      <w:r w:rsidR="002E75DE" w:rsidRPr="00785D42">
        <w:rPr>
          <w:rFonts w:ascii="Arial Narrow" w:hAnsi="Arial Narrow" w:cs="Tahoma"/>
          <w:b/>
          <w:sz w:val="28"/>
          <w:szCs w:val="28"/>
          <w:lang w:val="sr-Cyrl-BA"/>
        </w:rPr>
        <w:t>7</w:t>
      </w:r>
      <w:r w:rsidR="00E33D13" w:rsidRPr="00785D42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785D4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785D42">
        <w:rPr>
          <w:rFonts w:ascii="Tahoma" w:hAnsi="Tahoma" w:cs="Tahoma"/>
          <w:b/>
          <w:lang w:val="sr-Cyrl-CS"/>
        </w:rPr>
        <w:tab/>
      </w:r>
      <w:r w:rsidRPr="00785D42">
        <w:rPr>
          <w:rFonts w:ascii="Tahoma" w:hAnsi="Tahoma" w:cs="Tahoma"/>
          <w:b/>
          <w:lang w:val="sr-Cyrl-CS"/>
        </w:rPr>
        <w:tab/>
      </w:r>
    </w:p>
    <w:p w:rsidR="00980511" w:rsidRDefault="0098051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monthly net wage of employed persons in Republika Srpska paid in January 2017 was 815 KM, while average monthly gross wage was 1,304 KM. </w:t>
      </w:r>
    </w:p>
    <w:p w:rsidR="00DF7370" w:rsidRDefault="00DF737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DF7370" w:rsidRPr="00980511" w:rsidRDefault="00DF737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January 2016, average net wage paid in January 2017 was really 0.6% lower and compared to December 2016 it was really 3.3% lower. </w:t>
      </w:r>
    </w:p>
    <w:p w:rsidR="00B82005" w:rsidRPr="00785D42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443D15" w:rsidRDefault="00DF737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>The decre</w:t>
      </w:r>
      <w:r w:rsidR="0092466E">
        <w:rPr>
          <w:rFonts w:ascii="Arial Narrow" w:hAnsi="Arial Narrow" w:cs="Tahoma"/>
          <w:sz w:val="22"/>
          <w:lang w:val="sr-Latn-CS"/>
        </w:rPr>
        <w:t>ase in net wages in January 2017, compared to December 2016</w:t>
      </w:r>
      <w:r>
        <w:rPr>
          <w:rFonts w:ascii="Arial Narrow" w:hAnsi="Arial Narrow" w:cs="Tahoma"/>
          <w:sz w:val="22"/>
          <w:lang w:val="sr-Latn-CS"/>
        </w:rPr>
        <w:t xml:space="preserve">, occurred mainly due to a large number of entities which had no payments in January, while their average wages are high and they employ a significant number of workers. </w:t>
      </w:r>
    </w:p>
    <w:p w:rsidR="0092466E" w:rsidRDefault="0092466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92466E" w:rsidRPr="0092466E" w:rsidRDefault="0092466E" w:rsidP="0092466E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  <w:r w:rsidRPr="0092466E">
        <w:rPr>
          <w:rFonts w:ascii="Arial Narrow" w:hAnsi="Arial Narrow" w:cs="Tahoma"/>
          <w:sz w:val="22"/>
          <w:lang w:val="sr-Latn-CS"/>
        </w:rPr>
        <w:t xml:space="preserve">In </w:t>
      </w:r>
      <w:r>
        <w:rPr>
          <w:rFonts w:ascii="Arial Narrow" w:hAnsi="Arial Narrow" w:cs="Tahoma"/>
          <w:sz w:val="22"/>
          <w:lang w:val="sr-Latn-CS"/>
        </w:rPr>
        <w:t>January 2017</w:t>
      </w:r>
      <w:r w:rsidRPr="0092466E">
        <w:rPr>
          <w:rFonts w:ascii="Arial Narrow" w:hAnsi="Arial Narrow" w:cs="Tahoma"/>
          <w:sz w:val="22"/>
          <w:lang w:val="sr-Latn-CS"/>
        </w:rPr>
        <w:t xml:space="preserve">, the highest average net wage, by section of activities, was paid in the section </w:t>
      </w:r>
      <w:r w:rsidRPr="0092466E">
        <w:rPr>
          <w:rFonts w:ascii="Arial Narrow" w:hAnsi="Arial Narrow" w:cs="Tahoma"/>
          <w:i/>
          <w:sz w:val="22"/>
        </w:rPr>
        <w:t>Financial and insurance activities</w:t>
      </w:r>
      <w:r w:rsidRPr="0092466E">
        <w:rPr>
          <w:rFonts w:ascii="Arial Narrow" w:hAnsi="Arial Narrow" w:cs="Tahoma"/>
          <w:sz w:val="22"/>
        </w:rPr>
        <w:t xml:space="preserve"> and it amounted to</w:t>
      </w:r>
      <w:r>
        <w:rPr>
          <w:rFonts w:ascii="Arial Narrow" w:hAnsi="Arial Narrow" w:cs="Tahoma"/>
          <w:sz w:val="22"/>
        </w:rPr>
        <w:t xml:space="preserve"> 1,238</w:t>
      </w:r>
      <w:r w:rsidRPr="0092466E">
        <w:rPr>
          <w:rFonts w:ascii="Arial Narrow" w:hAnsi="Arial Narrow" w:cs="Tahoma"/>
          <w:sz w:val="22"/>
        </w:rPr>
        <w:t xml:space="preserve"> KM. On the other hand, the lowest average net wage in </w:t>
      </w:r>
      <w:r>
        <w:rPr>
          <w:rFonts w:ascii="Arial Narrow" w:hAnsi="Arial Narrow" w:cs="Tahoma"/>
          <w:sz w:val="22"/>
        </w:rPr>
        <w:t>January</w:t>
      </w:r>
      <w:r w:rsidRPr="0092466E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2017</w:t>
      </w:r>
      <w:r w:rsidRPr="0092466E">
        <w:rPr>
          <w:rFonts w:ascii="Arial Narrow" w:hAnsi="Arial Narrow" w:cs="Tahoma"/>
          <w:sz w:val="22"/>
        </w:rPr>
        <w:t xml:space="preserve"> was the one paid in the section </w:t>
      </w:r>
      <w:r w:rsidRPr="0092466E">
        <w:rPr>
          <w:rFonts w:ascii="Arial Narrow" w:hAnsi="Arial Narrow" w:cs="Tahoma"/>
          <w:i/>
          <w:sz w:val="22"/>
        </w:rPr>
        <w:t xml:space="preserve">Administrative and support service activities </w:t>
      </w:r>
      <w:r>
        <w:rPr>
          <w:rFonts w:ascii="Arial Narrow" w:hAnsi="Arial Narrow" w:cs="Tahoma"/>
          <w:sz w:val="22"/>
        </w:rPr>
        <w:t>527</w:t>
      </w:r>
      <w:r w:rsidRPr="0092466E">
        <w:rPr>
          <w:rFonts w:ascii="Arial Narrow" w:hAnsi="Arial Narrow" w:cs="Tahoma"/>
          <w:sz w:val="22"/>
        </w:rPr>
        <w:t xml:space="preserve"> KM</w:t>
      </w:r>
      <w:r w:rsidRPr="0092466E">
        <w:rPr>
          <w:rFonts w:ascii="Arial Narrow" w:hAnsi="Arial Narrow" w:cs="Tahoma"/>
          <w:i/>
          <w:sz w:val="22"/>
        </w:rPr>
        <w:t xml:space="preserve">. </w:t>
      </w:r>
    </w:p>
    <w:p w:rsidR="0092466E" w:rsidRPr="00785D42" w:rsidRDefault="0092466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785D42" w:rsidRDefault="000157B0" w:rsidP="00E33D13">
      <w:pPr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 xml:space="preserve">In January 2017, compared to December 2016, a nominal increase in net wages was recorded in the sections </w:t>
      </w:r>
      <w:r w:rsidRPr="000157B0">
        <w:rPr>
          <w:rFonts w:ascii="Arial Narrow" w:hAnsi="Arial Narrow" w:cs="Tahoma"/>
          <w:i/>
          <w:sz w:val="22"/>
          <w:lang w:val="sr-Latn-CS"/>
        </w:rPr>
        <w:t xml:space="preserve">Other service activities </w:t>
      </w:r>
      <w:r>
        <w:rPr>
          <w:rFonts w:ascii="Arial Narrow" w:hAnsi="Arial Narrow" w:cs="Tahoma"/>
          <w:sz w:val="22"/>
          <w:lang w:val="sr-Latn-CS"/>
        </w:rPr>
        <w:t xml:space="preserve">17.6%, </w:t>
      </w:r>
      <w:r w:rsidRPr="000157B0">
        <w:rPr>
          <w:rFonts w:ascii="Arial Narrow" w:hAnsi="Arial Narrow" w:cs="Tahoma"/>
          <w:i/>
          <w:sz w:val="22"/>
          <w:lang w:val="sr-Latn-CS"/>
        </w:rPr>
        <w:t>Professional, scientific and technical activities</w:t>
      </w:r>
      <w:r>
        <w:rPr>
          <w:rFonts w:ascii="Arial Narrow" w:hAnsi="Arial Narrow" w:cs="Tahoma"/>
          <w:sz w:val="22"/>
          <w:lang w:val="sr-Latn-CS"/>
        </w:rPr>
        <w:t xml:space="preserve"> 13.8% and </w:t>
      </w:r>
      <w:r w:rsidRPr="000157B0">
        <w:rPr>
          <w:rFonts w:ascii="Arial Narrow" w:hAnsi="Arial Narrow" w:cs="Tahoma"/>
          <w:i/>
          <w:sz w:val="22"/>
          <w:lang w:val="sr-Latn-CS"/>
        </w:rPr>
        <w:t>Construction</w:t>
      </w:r>
      <w:r>
        <w:rPr>
          <w:rFonts w:ascii="Arial Narrow" w:hAnsi="Arial Narrow" w:cs="Tahoma"/>
          <w:sz w:val="22"/>
          <w:lang w:val="sr-Latn-CS"/>
        </w:rPr>
        <w:t xml:space="preserve"> 2.0%, </w:t>
      </w:r>
    </w:p>
    <w:p w:rsidR="00FF3EA0" w:rsidRPr="00785D42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0157B0" w:rsidRPr="000157B0" w:rsidRDefault="000157B0" w:rsidP="00E33D13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0157B0">
        <w:rPr>
          <w:rFonts w:ascii="Arial Narrow" w:hAnsi="Arial Narrow" w:cs="Tahoma"/>
          <w:i/>
          <w:sz w:val="22"/>
          <w:szCs w:val="22"/>
        </w:rPr>
        <w:t xml:space="preserve">Information and communication </w:t>
      </w:r>
      <w:r>
        <w:rPr>
          <w:rFonts w:ascii="Arial Narrow" w:hAnsi="Arial Narrow" w:cs="Tahoma"/>
          <w:sz w:val="22"/>
          <w:szCs w:val="22"/>
        </w:rPr>
        <w:t xml:space="preserve">36.2%, </w:t>
      </w:r>
      <w:r w:rsidRPr="000157B0">
        <w:rPr>
          <w:rFonts w:ascii="Arial Narrow" w:hAnsi="Arial Narrow" w:cs="Tahoma"/>
          <w:i/>
          <w:sz w:val="22"/>
          <w:szCs w:val="22"/>
        </w:rPr>
        <w:t xml:space="preserve">Education </w:t>
      </w:r>
      <w:r>
        <w:rPr>
          <w:rFonts w:ascii="Arial Narrow" w:hAnsi="Arial Narrow" w:cs="Tahoma"/>
          <w:sz w:val="22"/>
          <w:szCs w:val="22"/>
        </w:rPr>
        <w:t xml:space="preserve">6.7% and </w:t>
      </w:r>
      <w:r w:rsidRPr="000157B0">
        <w:rPr>
          <w:rFonts w:ascii="Arial Narrow" w:hAnsi="Arial Narrow" w:cs="Tahoma"/>
          <w:i/>
          <w:sz w:val="22"/>
          <w:szCs w:val="22"/>
        </w:rPr>
        <w:t xml:space="preserve">Real estate activities </w:t>
      </w:r>
      <w:r>
        <w:rPr>
          <w:rFonts w:ascii="Arial Narrow" w:hAnsi="Arial Narrow" w:cs="Tahoma"/>
          <w:sz w:val="22"/>
          <w:szCs w:val="22"/>
        </w:rPr>
        <w:t xml:space="preserve">4.2%. </w:t>
      </w:r>
    </w:p>
    <w:p w:rsidR="00396802" w:rsidRPr="00785D42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785D42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85D42">
        <w:rPr>
          <w:rFonts w:ascii="Tahoma" w:hAnsi="Tahoma" w:cs="Tahoma"/>
          <w:i/>
          <w:sz w:val="14"/>
          <w:lang w:val="sr-Cyrl-CS"/>
        </w:rPr>
        <w:t xml:space="preserve"> </w:t>
      </w:r>
      <w:r w:rsidRPr="00785D42">
        <w:rPr>
          <w:rFonts w:ascii="Tahoma" w:hAnsi="Tahoma" w:cs="Tahoma"/>
          <w:sz w:val="14"/>
          <w:lang w:val="sr-Cyrl-CS"/>
        </w:rPr>
        <w:t xml:space="preserve">   </w:t>
      </w:r>
      <w:r w:rsidRPr="00785D42">
        <w:rPr>
          <w:rFonts w:ascii="Tahoma" w:hAnsi="Tahoma" w:cs="Tahoma"/>
          <w:sz w:val="14"/>
          <w:lang w:val="sr-Latn-CS"/>
        </w:rPr>
        <w:tab/>
      </w:r>
      <w:r w:rsidRPr="00785D42">
        <w:rPr>
          <w:rFonts w:ascii="Tahoma" w:hAnsi="Tahoma" w:cs="Tahoma"/>
          <w:sz w:val="14"/>
          <w:lang w:val="sr-Latn-CS"/>
        </w:rPr>
        <w:tab/>
      </w:r>
      <w:r w:rsidRPr="00785D4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785D42">
        <w:rPr>
          <w:rFonts w:ascii="Tahoma" w:hAnsi="Tahoma" w:cs="Tahoma"/>
          <w:sz w:val="14"/>
          <w:lang w:val="sr-Cyrl-BA"/>
        </w:rPr>
        <w:t xml:space="preserve">   </w:t>
      </w:r>
      <w:r w:rsidRPr="00785D42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785D42" w:rsidRDefault="00AD485B" w:rsidP="00E33D13">
      <w:pPr>
        <w:jc w:val="center"/>
        <w:rPr>
          <w:rFonts w:ascii="Tahoma" w:hAnsi="Tahoma" w:cs="Tahoma"/>
          <w:lang w:val="sr-Cyrl-BA"/>
        </w:rPr>
      </w:pPr>
      <w:r w:rsidRPr="00785D42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1022086</wp:posOffset>
            </wp:positionH>
            <wp:positionV relativeFrom="paragraph">
              <wp:posOffset>2061210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785D42">
        <w:rPr>
          <w:rFonts w:ascii="Tahoma" w:hAnsi="Tahoma" w:cs="Tahoma"/>
          <w:szCs w:val="18"/>
          <w:lang w:val="sr-Cyrl-BA"/>
        </w:rPr>
        <w:t xml:space="preserve">   </w:t>
      </w:r>
      <w:r w:rsidR="00432D2B" w:rsidRPr="00785D42">
        <w:rPr>
          <w:noProof/>
        </w:rPr>
        <w:drawing>
          <wp:inline distT="0" distB="0" distL="0" distR="0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785D42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37988" w:rsidRDefault="00D37988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785D4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785D42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785D42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785D4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785D42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Default="004832EC">
      <w:pPr>
        <w:rPr>
          <w:rFonts w:ascii="Arial Narrow" w:hAnsi="Arial Narrow" w:cs="Tahoma"/>
          <w:sz w:val="22"/>
          <w:lang w:val="sr-Latn-BA"/>
        </w:rPr>
      </w:pPr>
    </w:p>
    <w:p w:rsidR="00F749B0" w:rsidRPr="00785D42" w:rsidRDefault="00F749B0">
      <w:pPr>
        <w:rPr>
          <w:rFonts w:ascii="Arial Narrow" w:hAnsi="Arial Narrow" w:cs="Tahoma"/>
          <w:sz w:val="22"/>
          <w:lang w:val="sr-Latn-BA"/>
        </w:rPr>
      </w:pPr>
    </w:p>
    <w:p w:rsidR="00A67668" w:rsidRPr="00785D42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785D42" w:rsidRDefault="00A67668">
      <w:pPr>
        <w:rPr>
          <w:rFonts w:ascii="Arial Narrow" w:hAnsi="Arial Narrow" w:cs="Tahoma"/>
          <w:sz w:val="22"/>
          <w:lang w:val="sr-Latn-BA"/>
        </w:rPr>
      </w:pPr>
    </w:p>
    <w:p w:rsidR="00AD0CFD" w:rsidRPr="00F749B0" w:rsidRDefault="00F749B0" w:rsidP="00AD0CFD">
      <w:pPr>
        <w:jc w:val="both"/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 w:rsidR="00AD0CFD"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Cyrl-BA"/>
        </w:rPr>
        <w:t>0.</w:t>
      </w:r>
      <w:r w:rsidR="00B21A93" w:rsidRPr="00785D42">
        <w:rPr>
          <w:rFonts w:ascii="Arial Narrow" w:hAnsi="Arial Narrow" w:cs="Tahoma"/>
          <w:b/>
          <w:sz w:val="30"/>
          <w:szCs w:val="30"/>
          <w:lang w:val="sr-Cyrl-BA"/>
        </w:rPr>
        <w:t>9</w:t>
      </w:r>
      <w:r w:rsidR="00AD0CFD" w:rsidRPr="00785D42">
        <w:rPr>
          <w:rFonts w:ascii="Arial Narrow" w:hAnsi="Arial Narrow" w:cs="Tahoma"/>
          <w:b/>
          <w:sz w:val="30"/>
          <w:szCs w:val="30"/>
          <w:lang w:val="sr-Cyrl-BA"/>
        </w:rPr>
        <w:t>%</w:t>
      </w:r>
      <w:r>
        <w:rPr>
          <w:rFonts w:ascii="Arial Narrow" w:hAnsi="Arial Narrow" w:cs="Tahoma"/>
          <w:b/>
          <w:sz w:val="30"/>
          <w:szCs w:val="30"/>
        </w:rPr>
        <w:t xml:space="preserve"> in January 2017</w:t>
      </w:r>
    </w:p>
    <w:p w:rsidR="00AD0CFD" w:rsidRPr="00785D42" w:rsidRDefault="00F749B0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AD0CFD"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January</w:t>
      </w:r>
      <w:r w:rsidR="00B21A93"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 2017</w:t>
      </w:r>
      <w:r w:rsidR="00AD0CFD" w:rsidRPr="00785D42">
        <w:rPr>
          <w:rFonts w:ascii="Arial Narrow" w:hAnsi="Arial Narrow" w:cs="Tahoma"/>
          <w:b/>
          <w:sz w:val="30"/>
          <w:szCs w:val="30"/>
          <w:lang w:val="sr-Cyrl-BA"/>
        </w:rPr>
        <w:t>/</w:t>
      </w:r>
      <w:r w:rsidR="00B21A93"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sr-Latn-BA"/>
        </w:rPr>
        <w:t>January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2016) 0.</w:t>
      </w:r>
      <w:r w:rsidR="00B21A93" w:rsidRPr="00785D42">
        <w:rPr>
          <w:rFonts w:ascii="Arial Narrow" w:hAnsi="Arial Narrow" w:cs="Tahoma"/>
          <w:b/>
          <w:sz w:val="30"/>
          <w:szCs w:val="30"/>
          <w:lang w:val="sr-Cyrl-BA"/>
        </w:rPr>
        <w:t>4</w:t>
      </w:r>
      <w:r w:rsidR="00AD0CFD" w:rsidRPr="00785D42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D0CFD" w:rsidRPr="00785D42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9C2255" w:rsidRDefault="009C2255" w:rsidP="00A84EEC">
      <w:pPr>
        <w:jc w:val="both"/>
        <w:rPr>
          <w:rFonts w:ascii="Arial Narrow" w:hAnsi="Arial Narrow" w:cs="Tahoma"/>
          <w:sz w:val="22"/>
          <w:szCs w:val="22"/>
        </w:rPr>
      </w:pPr>
      <w:r w:rsidRPr="009C2255">
        <w:rPr>
          <w:rFonts w:ascii="Arial Narrow" w:hAnsi="Arial Narrow" w:cs="Tahoma"/>
          <w:sz w:val="22"/>
          <w:szCs w:val="22"/>
        </w:rPr>
        <w:t xml:space="preserve">Prices of products and services for personal consumption in Republika Srpska, measured with the consumer price index, in </w:t>
      </w:r>
      <w:r>
        <w:rPr>
          <w:rFonts w:ascii="Arial Narrow" w:hAnsi="Arial Narrow" w:cs="Tahoma"/>
          <w:sz w:val="22"/>
          <w:szCs w:val="22"/>
        </w:rPr>
        <w:t>January 2017</w:t>
      </w:r>
      <w:r w:rsidRPr="009C2255">
        <w:rPr>
          <w:rFonts w:ascii="Arial Narrow" w:hAnsi="Arial Narrow" w:cs="Tahoma"/>
          <w:sz w:val="22"/>
          <w:szCs w:val="22"/>
        </w:rPr>
        <w:t>, compared to the previou</w:t>
      </w:r>
      <w:r>
        <w:rPr>
          <w:rFonts w:ascii="Arial Narrow" w:hAnsi="Arial Narrow" w:cs="Tahoma"/>
          <w:sz w:val="22"/>
          <w:szCs w:val="22"/>
        </w:rPr>
        <w:t>s month, were on the average 0.9</w:t>
      </w:r>
      <w:r w:rsidRPr="009C2255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higher, while they were 0.4% high</w:t>
      </w:r>
      <w:r w:rsidRPr="009C2255">
        <w:rPr>
          <w:rFonts w:ascii="Arial Narrow" w:hAnsi="Arial Narrow" w:cs="Tahoma"/>
          <w:sz w:val="22"/>
          <w:szCs w:val="22"/>
        </w:rPr>
        <w:t>er at the annual level</w:t>
      </w:r>
      <w:r>
        <w:rPr>
          <w:rFonts w:ascii="Arial Narrow" w:hAnsi="Arial Narrow" w:cs="Tahoma"/>
          <w:sz w:val="22"/>
          <w:szCs w:val="22"/>
        </w:rPr>
        <w:t>.</w:t>
      </w:r>
    </w:p>
    <w:p w:rsidR="009C2255" w:rsidRDefault="009C2255" w:rsidP="00A84EEC">
      <w:pPr>
        <w:jc w:val="both"/>
        <w:rPr>
          <w:rFonts w:ascii="Arial Narrow" w:hAnsi="Arial Narrow" w:cs="Tahoma"/>
          <w:sz w:val="22"/>
          <w:szCs w:val="22"/>
        </w:rPr>
      </w:pPr>
    </w:p>
    <w:p w:rsidR="009C2255" w:rsidRDefault="009C2255" w:rsidP="00A84EE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C2255"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</w:t>
      </w:r>
      <w:r>
        <w:rPr>
          <w:rFonts w:ascii="Arial Narrow" w:hAnsi="Arial Narrow" w:cs="Tahoma"/>
          <w:sz w:val="22"/>
          <w:szCs w:val="22"/>
        </w:rPr>
        <w:t>nine</w:t>
      </w:r>
      <w:r w:rsidRPr="009C2255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>
        <w:rPr>
          <w:rFonts w:ascii="Arial Narrow" w:hAnsi="Arial Narrow" w:cs="Tahoma"/>
          <w:sz w:val="22"/>
          <w:szCs w:val="22"/>
        </w:rPr>
        <w:t>two</w:t>
      </w:r>
      <w:r w:rsidRPr="009C2255">
        <w:rPr>
          <w:rFonts w:ascii="Arial Narrow" w:hAnsi="Arial Narrow" w:cs="Tahoma"/>
          <w:sz w:val="22"/>
          <w:szCs w:val="22"/>
        </w:rPr>
        <w:t xml:space="preserve"> divisions, while prices in </w:t>
      </w:r>
      <w:r>
        <w:rPr>
          <w:rFonts w:ascii="Arial Narrow" w:hAnsi="Arial Narrow" w:cs="Tahoma"/>
          <w:sz w:val="22"/>
          <w:szCs w:val="22"/>
        </w:rPr>
        <w:t>one division</w:t>
      </w:r>
      <w:r w:rsidRPr="009C2255">
        <w:rPr>
          <w:rFonts w:ascii="Arial Narrow" w:hAnsi="Arial Narrow" w:cs="Tahoma"/>
          <w:sz w:val="22"/>
          <w:szCs w:val="22"/>
        </w:rPr>
        <w:t xml:space="preserve"> remained on the average at the same level</w:t>
      </w:r>
      <w:r>
        <w:rPr>
          <w:rFonts w:ascii="Arial Narrow" w:hAnsi="Arial Narrow" w:cs="Tahoma"/>
          <w:sz w:val="22"/>
          <w:szCs w:val="22"/>
        </w:rPr>
        <w:t>.</w:t>
      </w:r>
    </w:p>
    <w:p w:rsidR="00A84EEC" w:rsidRPr="00785D42" w:rsidRDefault="00A84EEC" w:rsidP="00A84EE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D5DBB" w:rsidRDefault="009C2255" w:rsidP="00B8018B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January was recorded in the division </w:t>
      </w:r>
      <w:r w:rsidRPr="009C2255">
        <w:rPr>
          <w:rFonts w:ascii="Arial Narrow" w:hAnsi="Arial Narrow" w:cs="Tahoma"/>
          <w:i/>
          <w:sz w:val="22"/>
          <w:szCs w:val="22"/>
        </w:rPr>
        <w:t>Alcoholic beverages and tobacco</w:t>
      </w:r>
      <w:r>
        <w:rPr>
          <w:rFonts w:ascii="Arial Narrow" w:hAnsi="Arial Narrow" w:cs="Tahoma"/>
          <w:sz w:val="22"/>
          <w:szCs w:val="22"/>
        </w:rPr>
        <w:t xml:space="preserve"> (3.6%), due to an averageincrease by 5.0% recorded in prices of cigarettes, as a result of the increase in excise duties on tobacco and tobacco products introduced on 1 January 2017. An increase in prices by 2.0% was recorded in the division </w:t>
      </w:r>
      <w:r w:rsidRPr="00C5702F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, due to higher prices in several groups, namely vegetables 13.2%, coffee 5.2%, fruit 2.6%, oils and fats 2.0%, fish 1.9% and other food products 1.7%. </w:t>
      </w:r>
      <w:r w:rsidR="00C5702F">
        <w:rPr>
          <w:rFonts w:ascii="Arial Narrow" w:hAnsi="Arial Narrow" w:cs="Tahoma"/>
          <w:sz w:val="22"/>
          <w:szCs w:val="22"/>
        </w:rPr>
        <w:t xml:space="preserve">An increase in prices was also recorded in the division Transport, by 1.2%, due to higher purchase prices in the group fuels and lubricants by 2.3%. </w:t>
      </w:r>
    </w:p>
    <w:p w:rsidR="00C5702F" w:rsidRDefault="00C5702F" w:rsidP="00B8018B">
      <w:pPr>
        <w:jc w:val="both"/>
        <w:rPr>
          <w:rFonts w:ascii="Arial Narrow" w:hAnsi="Arial Narrow" w:cs="Tahoma"/>
          <w:sz w:val="22"/>
          <w:szCs w:val="22"/>
        </w:rPr>
      </w:pPr>
    </w:p>
    <w:p w:rsidR="00C5702F" w:rsidRPr="009C2255" w:rsidRDefault="00C5702F" w:rsidP="00B8018B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 </w:t>
      </w:r>
      <w:r w:rsidRPr="00C5702F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, an increase by 1.0% was recorded as a result of a cable operator increasing its prices. In the division </w:t>
      </w:r>
      <w:r w:rsidRPr="00C5702F">
        <w:rPr>
          <w:rFonts w:ascii="Arial Narrow" w:hAnsi="Arial Narrow" w:cs="Tahoma"/>
          <w:i/>
          <w:sz w:val="22"/>
          <w:szCs w:val="22"/>
        </w:rPr>
        <w:t>Other goods and services</w:t>
      </w:r>
      <w:r>
        <w:rPr>
          <w:rFonts w:ascii="Arial Narrow" w:hAnsi="Arial Narrow" w:cs="Tahoma"/>
          <w:sz w:val="22"/>
          <w:szCs w:val="22"/>
        </w:rPr>
        <w:t xml:space="preserve">, higher prices were recorded in the group personal care products (1.8%), as the discount period finished. An increase by 0.3% was recorded in the division </w:t>
      </w:r>
      <w:r w:rsidRPr="00C5702F">
        <w:rPr>
          <w:rFonts w:ascii="Arial Narrow" w:hAnsi="Arial Narrow" w:cs="Tahoma"/>
          <w:i/>
          <w:sz w:val="22"/>
          <w:szCs w:val="22"/>
        </w:rPr>
        <w:t>Health care</w:t>
      </w:r>
      <w:r>
        <w:rPr>
          <w:rFonts w:ascii="Arial Narrow" w:hAnsi="Arial Narrow" w:cs="Tahoma"/>
          <w:sz w:val="22"/>
          <w:szCs w:val="22"/>
        </w:rPr>
        <w:t xml:space="preserve">, due to higher purchase prices in the group pharmaceutical products, while in the division </w:t>
      </w:r>
      <w:r w:rsidRPr="00C5702F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 an increase by 1.3% was recorded in the group preschool and primary education. Higher prices in January were also recorded in the division </w:t>
      </w:r>
      <w:r w:rsidRPr="00C5702F">
        <w:rPr>
          <w:rFonts w:ascii="Arial Narrow" w:hAnsi="Arial Narrow" w:cs="Tahoma"/>
          <w:i/>
          <w:sz w:val="22"/>
          <w:szCs w:val="22"/>
        </w:rPr>
        <w:t xml:space="preserve">Restaurants and hotels </w:t>
      </w:r>
      <w:r>
        <w:rPr>
          <w:rFonts w:ascii="Arial Narrow" w:hAnsi="Arial Narrow" w:cs="Tahoma"/>
          <w:sz w:val="22"/>
          <w:szCs w:val="22"/>
        </w:rPr>
        <w:t xml:space="preserve">(0.2%) and in the division </w:t>
      </w:r>
      <w:r w:rsidRPr="00C5702F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 (0.1%). </w:t>
      </w:r>
    </w:p>
    <w:p w:rsidR="00785D42" w:rsidRDefault="00785D42" w:rsidP="00B21A9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84EEC" w:rsidRDefault="008D0A56" w:rsidP="00B21A93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division </w:t>
      </w:r>
      <w:r w:rsidRPr="008D0A56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prices remained on the average at the same level. </w:t>
      </w:r>
    </w:p>
    <w:p w:rsidR="008D0A56" w:rsidRDefault="008D0A56" w:rsidP="00B21A93">
      <w:pPr>
        <w:jc w:val="both"/>
        <w:rPr>
          <w:rFonts w:ascii="Arial Narrow" w:hAnsi="Arial Narrow" w:cs="Tahoma"/>
          <w:sz w:val="22"/>
          <w:szCs w:val="22"/>
        </w:rPr>
      </w:pPr>
    </w:p>
    <w:p w:rsidR="008D0A56" w:rsidRPr="008D0A56" w:rsidRDefault="008D0A56" w:rsidP="00B21A93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January was recorded in the division </w:t>
      </w:r>
      <w:r w:rsidRPr="008D0A56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(4.4%), due to numerous discounts, followed by the division </w:t>
      </w:r>
      <w:r w:rsidRPr="008D0A56">
        <w:rPr>
          <w:rFonts w:ascii="Arial Narrow" w:hAnsi="Arial Narrow" w:cs="Tahoma"/>
          <w:i/>
          <w:sz w:val="22"/>
          <w:szCs w:val="22"/>
        </w:rPr>
        <w:t>Furnishing and other equipment</w:t>
      </w:r>
      <w:r>
        <w:rPr>
          <w:rFonts w:ascii="Arial Narrow" w:hAnsi="Arial Narrow" w:cs="Tahoma"/>
          <w:sz w:val="22"/>
          <w:szCs w:val="22"/>
        </w:rPr>
        <w:t xml:space="preserve"> (0.5%), as a result of sales and dis</w:t>
      </w:r>
      <w:r w:rsidR="00AF50DC">
        <w:rPr>
          <w:rFonts w:ascii="Arial Narrow" w:hAnsi="Arial Narrow" w:cs="Tahoma"/>
          <w:sz w:val="22"/>
          <w:szCs w:val="22"/>
        </w:rPr>
        <w:t xml:space="preserve">counts in the group </w:t>
      </w:r>
      <w:r w:rsidR="00510771">
        <w:rPr>
          <w:rFonts w:ascii="Arial Narrow" w:hAnsi="Arial Narrow" w:cs="Tahoma"/>
          <w:sz w:val="22"/>
          <w:szCs w:val="22"/>
        </w:rPr>
        <w:t>equipment</w:t>
      </w:r>
      <w:r w:rsidR="00AF50DC">
        <w:rPr>
          <w:rFonts w:ascii="Arial Narrow" w:hAnsi="Arial Narrow" w:cs="Tahoma"/>
          <w:sz w:val="22"/>
          <w:szCs w:val="22"/>
        </w:rPr>
        <w:t>.</w:t>
      </w:r>
    </w:p>
    <w:p w:rsidR="00A84EEC" w:rsidRPr="00785D42" w:rsidRDefault="00A84EEC" w:rsidP="00B21A93">
      <w:pPr>
        <w:jc w:val="both"/>
        <w:rPr>
          <w:rFonts w:ascii="Tahoma" w:hAnsi="Tahoma" w:cs="Tahoma"/>
          <w:lang w:val="sr-Cyrl-BA"/>
        </w:rPr>
      </w:pPr>
    </w:p>
    <w:p w:rsidR="00662317" w:rsidRPr="00785D42" w:rsidRDefault="00785D42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noProof/>
        </w:rPr>
        <w:drawing>
          <wp:inline distT="0" distB="0" distL="0" distR="0" wp14:anchorId="1DE6EA38" wp14:editId="16FC7FA4">
            <wp:extent cx="4532244" cy="2520563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2517" w:rsidRPr="003C17DE" w:rsidRDefault="00D37988" w:rsidP="003C17DE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785D42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C07571" w:rsidRPr="00785D42">
        <w:rPr>
          <w:rFonts w:ascii="Arial Narrow" w:hAnsi="Arial Narrow" w:cs="Tahoma"/>
          <w:sz w:val="16"/>
          <w:szCs w:val="16"/>
          <w:lang w:val="sr-Cyrl-BA"/>
        </w:rPr>
        <w:t>2</w:t>
      </w:r>
      <w:r w:rsidR="009856D8" w:rsidRPr="00785D42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 w:rsidR="003C17DE">
        <w:rPr>
          <w:rFonts w:ascii="Arial Narrow" w:hAnsi="Arial Narrow" w:cs="Tahoma"/>
          <w:sz w:val="16"/>
          <w:szCs w:val="16"/>
        </w:rPr>
        <w:t>Monthly and annual inflation</w:t>
      </w:r>
    </w:p>
    <w:p w:rsidR="00CF2517" w:rsidRDefault="00CF2517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F2517" w:rsidRPr="00785D42" w:rsidRDefault="00CF2517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40FA5" w:rsidRDefault="00F40FA5" w:rsidP="00F442FA">
      <w:pPr>
        <w:rPr>
          <w:rFonts w:ascii="Arial Narrow" w:hAnsi="Arial Narrow" w:cs="Tahoma"/>
          <w:b/>
          <w:sz w:val="30"/>
          <w:szCs w:val="30"/>
        </w:rPr>
      </w:pPr>
    </w:p>
    <w:p w:rsidR="00F40FA5" w:rsidRDefault="00F40FA5" w:rsidP="00F442FA">
      <w:pPr>
        <w:rPr>
          <w:rFonts w:ascii="Arial Narrow" w:hAnsi="Arial Narrow" w:cs="Tahoma"/>
          <w:b/>
          <w:sz w:val="30"/>
          <w:szCs w:val="30"/>
        </w:rPr>
      </w:pPr>
    </w:p>
    <w:p w:rsidR="00F40FA5" w:rsidRDefault="00F40FA5" w:rsidP="00F442FA">
      <w:pPr>
        <w:rPr>
          <w:rFonts w:ascii="Arial Narrow" w:hAnsi="Arial Narrow" w:cs="Tahoma"/>
          <w:b/>
          <w:sz w:val="30"/>
          <w:szCs w:val="30"/>
        </w:rPr>
      </w:pPr>
    </w:p>
    <w:p w:rsidR="00F40FA5" w:rsidRDefault="00F40FA5" w:rsidP="00F442FA">
      <w:pPr>
        <w:rPr>
          <w:rFonts w:ascii="Arial Narrow" w:hAnsi="Arial Narrow" w:cs="Tahoma"/>
          <w:b/>
          <w:sz w:val="30"/>
          <w:szCs w:val="30"/>
        </w:rPr>
      </w:pPr>
    </w:p>
    <w:p w:rsidR="00F40FA5" w:rsidRDefault="00F40FA5" w:rsidP="00F442FA">
      <w:pPr>
        <w:rPr>
          <w:rFonts w:ascii="Arial Narrow" w:hAnsi="Arial Narrow" w:cs="Tahoma"/>
          <w:b/>
          <w:sz w:val="30"/>
          <w:szCs w:val="30"/>
        </w:rPr>
      </w:pPr>
    </w:p>
    <w:p w:rsidR="00F442FA" w:rsidRPr="00785D42" w:rsidRDefault="003C17DE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>
        <w:rPr>
          <w:rFonts w:ascii="Arial Narrow" w:hAnsi="Arial Narrow" w:cs="Tahoma"/>
          <w:b/>
          <w:sz w:val="30"/>
          <w:szCs w:val="30"/>
        </w:rPr>
        <w:lastRenderedPageBreak/>
        <w:t>Coverage of import with export</w:t>
      </w:r>
      <w:r w:rsidR="00384927" w:rsidRPr="00785D42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in January</w:t>
      </w:r>
      <w:r w:rsidR="00F442FA" w:rsidRPr="00785D4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785D42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785D42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="00F442FA" w:rsidRPr="00785D42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785D4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D9297E" w:rsidRPr="00785D42">
        <w:rPr>
          <w:rFonts w:ascii="Arial Narrow" w:hAnsi="Arial Narrow" w:cs="Tahoma"/>
          <w:b/>
          <w:sz w:val="30"/>
          <w:szCs w:val="30"/>
          <w:lang w:val="sr-Cyrl-CS"/>
        </w:rPr>
        <w:t>92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D9297E" w:rsidRPr="00785D42">
        <w:rPr>
          <w:rFonts w:ascii="Arial Narrow" w:hAnsi="Arial Narrow" w:cs="Tahoma"/>
          <w:b/>
          <w:sz w:val="30"/>
          <w:szCs w:val="30"/>
          <w:lang w:val="sr-Cyrl-BA"/>
        </w:rPr>
        <w:t>4</w:t>
      </w:r>
      <w:r w:rsidR="00F442FA" w:rsidRPr="00785D42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785D42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C17DE" w:rsidRPr="003C17DE" w:rsidRDefault="003C17DE" w:rsidP="003C17DE">
      <w:pPr>
        <w:jc w:val="both"/>
        <w:rPr>
          <w:rFonts w:ascii="Arial Narrow" w:hAnsi="Arial Narrow" w:cs="Tahoma"/>
          <w:sz w:val="22"/>
        </w:rPr>
      </w:pPr>
      <w:r w:rsidRPr="003C17DE">
        <w:rPr>
          <w:rFonts w:ascii="Arial Narrow" w:hAnsi="Arial Narrow" w:cs="Tahoma"/>
          <w:sz w:val="22"/>
        </w:rPr>
        <w:t xml:space="preserve">In the total external trade of Republika Srpska in </w:t>
      </w:r>
      <w:r>
        <w:rPr>
          <w:rFonts w:ascii="Arial Narrow" w:hAnsi="Arial Narrow" w:cs="Tahoma"/>
          <w:sz w:val="22"/>
        </w:rPr>
        <w:t>January</w:t>
      </w:r>
      <w:r w:rsidRPr="003C17DE">
        <w:rPr>
          <w:rFonts w:ascii="Arial Narrow" w:hAnsi="Arial Narrow" w:cs="Tahoma"/>
          <w:sz w:val="22"/>
        </w:rPr>
        <w:t xml:space="preserve"> of the current year, the percentage of cover</w:t>
      </w:r>
      <w:r>
        <w:rPr>
          <w:rFonts w:ascii="Arial Narrow" w:hAnsi="Arial Narrow" w:cs="Tahoma"/>
          <w:sz w:val="22"/>
        </w:rPr>
        <w:t>age of import with export was 92.4</w:t>
      </w:r>
      <w:r w:rsidRPr="003C17DE">
        <w:rPr>
          <w:rFonts w:ascii="Arial Narrow" w:hAnsi="Arial Narrow" w:cs="Tahoma"/>
          <w:sz w:val="22"/>
        </w:rPr>
        <w:t xml:space="preserve">%. </w:t>
      </w:r>
    </w:p>
    <w:p w:rsidR="003C17DE" w:rsidRDefault="003C17DE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84927" w:rsidRDefault="003C17DE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January 2017, the value of export was 227 million KM, which represented an increase by 23.3% compared to the same month of the previous year. During the same month, the value of import was 245 million KM, which represented an increase by 7.9% compared to the same month of the previous year. </w:t>
      </w:r>
    </w:p>
    <w:p w:rsidR="003C17DE" w:rsidRDefault="003C17DE" w:rsidP="00F442FA">
      <w:pPr>
        <w:jc w:val="both"/>
        <w:rPr>
          <w:rFonts w:ascii="Arial Narrow" w:hAnsi="Arial Narrow" w:cs="Tahoma"/>
          <w:sz w:val="22"/>
        </w:rPr>
      </w:pPr>
    </w:p>
    <w:p w:rsidR="003C17DE" w:rsidRPr="003C17DE" w:rsidRDefault="003C17DE" w:rsidP="00F442FA">
      <w:pPr>
        <w:jc w:val="both"/>
        <w:rPr>
          <w:rFonts w:ascii="Arial Narrow" w:hAnsi="Arial Narrow" w:cs="Tahoma"/>
          <w:sz w:val="22"/>
        </w:rPr>
      </w:pPr>
      <w:r w:rsidRPr="003C17DE">
        <w:rPr>
          <w:rFonts w:ascii="Arial Narrow" w:hAnsi="Arial Narrow" w:cs="Tahoma"/>
          <w:sz w:val="22"/>
        </w:rPr>
        <w:t xml:space="preserve">In terms of the geographical distribution of external trade of Republika Srpska, in </w:t>
      </w:r>
      <w:r>
        <w:rPr>
          <w:rFonts w:ascii="Arial Narrow" w:hAnsi="Arial Narrow" w:cs="Tahoma"/>
          <w:sz w:val="22"/>
        </w:rPr>
        <w:t>January 2017</w:t>
      </w:r>
      <w:r w:rsidRPr="003C17DE">
        <w:rPr>
          <w:rFonts w:ascii="Arial Narrow" w:hAnsi="Arial Narrow" w:cs="Tahoma"/>
          <w:sz w:val="22"/>
        </w:rPr>
        <w:t xml:space="preserve">, the highest value of export was that of export to </w:t>
      </w:r>
      <w:r>
        <w:rPr>
          <w:rFonts w:ascii="Arial Narrow" w:hAnsi="Arial Narrow" w:cs="Tahoma"/>
          <w:sz w:val="22"/>
        </w:rPr>
        <w:t>Croatia</w:t>
      </w:r>
      <w:r w:rsidRPr="003C17DE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36</w:t>
      </w:r>
      <w:r w:rsidRPr="003C17DE">
        <w:rPr>
          <w:rFonts w:ascii="Arial Narrow" w:hAnsi="Arial Narrow" w:cs="Tahoma"/>
          <w:sz w:val="22"/>
        </w:rPr>
        <w:t xml:space="preserve"> million KM</w:t>
      </w:r>
      <w:r>
        <w:rPr>
          <w:rFonts w:ascii="Arial Narrow" w:hAnsi="Arial Narrow" w:cs="Tahoma"/>
          <w:sz w:val="22"/>
        </w:rPr>
        <w:t xml:space="preserve"> (</w:t>
      </w:r>
      <w:r w:rsidRPr="003C17DE">
        <w:rPr>
          <w:rFonts w:ascii="Arial Narrow" w:hAnsi="Arial Narrow" w:cs="Tahoma"/>
          <w:i/>
          <w:sz w:val="22"/>
        </w:rPr>
        <w:t>36.334 million KM</w:t>
      </w:r>
      <w:r>
        <w:rPr>
          <w:rFonts w:ascii="Arial Narrow" w:hAnsi="Arial Narrow" w:cs="Tahoma"/>
          <w:sz w:val="22"/>
        </w:rPr>
        <w:t>) or 16.0</w:t>
      </w:r>
      <w:r w:rsidRPr="003C17DE">
        <w:rPr>
          <w:rFonts w:ascii="Arial Narrow" w:hAnsi="Arial Narrow" w:cs="Tahoma"/>
          <w:sz w:val="22"/>
        </w:rPr>
        <w:t>%</w:t>
      </w:r>
      <w:r>
        <w:rPr>
          <w:rFonts w:ascii="Arial Narrow" w:hAnsi="Arial Narrow" w:cs="Tahoma"/>
          <w:sz w:val="22"/>
        </w:rPr>
        <w:t xml:space="preserve"> (</w:t>
      </w:r>
      <w:r w:rsidRPr="003C17DE">
        <w:rPr>
          <w:rFonts w:ascii="Arial Narrow" w:hAnsi="Arial Narrow" w:cs="Tahoma"/>
          <w:i/>
          <w:sz w:val="22"/>
        </w:rPr>
        <w:t>16.04%</w:t>
      </w:r>
      <w:r>
        <w:rPr>
          <w:rFonts w:ascii="Arial Narrow" w:hAnsi="Arial Narrow" w:cs="Tahoma"/>
          <w:sz w:val="22"/>
        </w:rPr>
        <w:t>)</w:t>
      </w:r>
      <w:r w:rsidRPr="003C17DE">
        <w:rPr>
          <w:rFonts w:ascii="Arial Narrow" w:hAnsi="Arial Narrow" w:cs="Tahoma"/>
          <w:sz w:val="22"/>
        </w:rPr>
        <w:t xml:space="preserve">, followed by </w:t>
      </w:r>
      <w:r>
        <w:rPr>
          <w:rFonts w:ascii="Arial Narrow" w:hAnsi="Arial Narrow" w:cs="Tahoma"/>
          <w:sz w:val="22"/>
        </w:rPr>
        <w:t>Italy</w:t>
      </w:r>
      <w:r w:rsidRPr="003C17DE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36</w:t>
      </w:r>
      <w:r w:rsidRPr="003C17DE">
        <w:rPr>
          <w:rFonts w:ascii="Arial Narrow" w:hAnsi="Arial Narrow" w:cs="Tahoma"/>
          <w:sz w:val="22"/>
        </w:rPr>
        <w:t xml:space="preserve"> million KM</w:t>
      </w:r>
      <w:r>
        <w:rPr>
          <w:rFonts w:ascii="Arial Narrow" w:hAnsi="Arial Narrow" w:cs="Tahoma"/>
          <w:sz w:val="22"/>
        </w:rPr>
        <w:t xml:space="preserve"> (</w:t>
      </w:r>
      <w:r w:rsidRPr="003C17DE">
        <w:rPr>
          <w:rFonts w:ascii="Arial Narrow" w:hAnsi="Arial Narrow" w:cs="Tahoma"/>
          <w:i/>
          <w:sz w:val="22"/>
        </w:rPr>
        <w:t>36.139 million KM</w:t>
      </w:r>
      <w:r>
        <w:rPr>
          <w:rFonts w:ascii="Arial Narrow" w:hAnsi="Arial Narrow" w:cs="Tahoma"/>
          <w:sz w:val="22"/>
        </w:rPr>
        <w:t>) or 16.0</w:t>
      </w:r>
      <w:r w:rsidRPr="003C17DE">
        <w:rPr>
          <w:rFonts w:ascii="Arial Narrow" w:hAnsi="Arial Narrow" w:cs="Tahoma"/>
          <w:sz w:val="22"/>
        </w:rPr>
        <w:t>%</w:t>
      </w:r>
      <w:r>
        <w:rPr>
          <w:rFonts w:ascii="Arial Narrow" w:hAnsi="Arial Narrow" w:cs="Tahoma"/>
          <w:sz w:val="22"/>
        </w:rPr>
        <w:t xml:space="preserve"> (</w:t>
      </w:r>
      <w:r w:rsidRPr="003C17DE">
        <w:rPr>
          <w:rFonts w:ascii="Arial Narrow" w:hAnsi="Arial Narrow" w:cs="Tahoma"/>
          <w:i/>
          <w:sz w:val="22"/>
        </w:rPr>
        <w:t>15.95%)</w:t>
      </w:r>
      <w:r w:rsidRPr="003C17DE">
        <w:rPr>
          <w:rFonts w:ascii="Arial Narrow" w:hAnsi="Arial Narrow" w:cs="Tahoma"/>
          <w:sz w:val="22"/>
        </w:rPr>
        <w:t xml:space="preserve"> of the total realised export. During the same </w:t>
      </w:r>
      <w:r>
        <w:rPr>
          <w:rFonts w:ascii="Arial Narrow" w:hAnsi="Arial Narrow" w:cs="Tahoma"/>
          <w:sz w:val="22"/>
        </w:rPr>
        <w:t>month</w:t>
      </w:r>
      <w:r w:rsidRPr="003C17DE">
        <w:rPr>
          <w:rFonts w:ascii="Arial Narrow" w:hAnsi="Arial Narrow" w:cs="Tahoma"/>
          <w:sz w:val="22"/>
        </w:rPr>
        <w:t xml:space="preserve">, the highest value of import was that of import form Serbia, with </w:t>
      </w:r>
      <w:r>
        <w:rPr>
          <w:rFonts w:ascii="Arial Narrow" w:hAnsi="Arial Narrow" w:cs="Tahoma"/>
          <w:sz w:val="22"/>
        </w:rPr>
        <w:t>37 million KM or 15.2</w:t>
      </w:r>
      <w:r w:rsidRPr="003C17DE">
        <w:rPr>
          <w:rFonts w:ascii="Arial Narrow" w:hAnsi="Arial Narrow" w:cs="Tahoma"/>
          <w:sz w:val="22"/>
        </w:rPr>
        <w:t xml:space="preserve">%, followed by </w:t>
      </w:r>
      <w:r>
        <w:rPr>
          <w:rFonts w:ascii="Arial Narrow" w:hAnsi="Arial Narrow" w:cs="Tahoma"/>
          <w:sz w:val="22"/>
        </w:rPr>
        <w:t>Italy</w:t>
      </w:r>
      <w:r w:rsidRPr="003C17DE">
        <w:rPr>
          <w:rFonts w:ascii="Arial Narrow" w:hAnsi="Arial Narrow" w:cs="Tahoma"/>
          <w:sz w:val="22"/>
        </w:rPr>
        <w:t xml:space="preserve">, with </w:t>
      </w:r>
      <w:r>
        <w:rPr>
          <w:rFonts w:ascii="Arial Narrow" w:hAnsi="Arial Narrow" w:cs="Tahoma"/>
          <w:sz w:val="22"/>
        </w:rPr>
        <w:t>33 million KM or 13.5</w:t>
      </w:r>
      <w:r w:rsidRPr="003C17DE">
        <w:rPr>
          <w:rFonts w:ascii="Arial Narrow" w:hAnsi="Arial Narrow" w:cs="Tahoma"/>
          <w:sz w:val="22"/>
        </w:rPr>
        <w:t>% of the total realised import</w:t>
      </w:r>
    </w:p>
    <w:p w:rsidR="00F442FA" w:rsidRPr="00785D42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785D42" w:rsidRDefault="003C17DE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3C17DE">
        <w:rPr>
          <w:rFonts w:ascii="Arial Narrow" w:hAnsi="Arial Narrow" w:cs="Tahoma"/>
          <w:bCs/>
          <w:sz w:val="22"/>
        </w:rPr>
        <w:t xml:space="preserve">By group of products, in </w:t>
      </w:r>
      <w:r>
        <w:rPr>
          <w:rFonts w:ascii="Arial Narrow" w:hAnsi="Arial Narrow" w:cs="Tahoma"/>
          <w:bCs/>
          <w:sz w:val="22"/>
        </w:rPr>
        <w:t>January 2017</w:t>
      </w:r>
      <w:r w:rsidRPr="003C17DE">
        <w:rPr>
          <w:rFonts w:ascii="Arial Narrow" w:hAnsi="Arial Narrow" w:cs="Tahoma"/>
          <w:bCs/>
          <w:sz w:val="22"/>
        </w:rPr>
        <w:t xml:space="preserve">, the highest share in export was that of </w:t>
      </w:r>
      <w:r>
        <w:rPr>
          <w:rFonts w:ascii="Arial Narrow" w:hAnsi="Arial Narrow" w:cs="Tahoma"/>
          <w:bCs/>
          <w:sz w:val="22"/>
        </w:rPr>
        <w:t>electricity</w:t>
      </w:r>
      <w:r w:rsidRPr="003C17DE">
        <w:rPr>
          <w:rFonts w:ascii="Arial Narrow" w:hAnsi="Arial Narrow" w:cs="Tahoma"/>
          <w:bCs/>
          <w:sz w:val="22"/>
        </w:rPr>
        <w:t xml:space="preserve">, with the total value of </w:t>
      </w:r>
      <w:r>
        <w:rPr>
          <w:rFonts w:ascii="Arial Narrow" w:hAnsi="Arial Narrow" w:cs="Tahoma"/>
          <w:bCs/>
          <w:sz w:val="22"/>
        </w:rPr>
        <w:t>19</w:t>
      </w:r>
      <w:r w:rsidRPr="003C17DE">
        <w:rPr>
          <w:rFonts w:ascii="Arial Narrow" w:hAnsi="Arial Narrow" w:cs="Tahoma"/>
          <w:bCs/>
          <w:sz w:val="22"/>
        </w:rPr>
        <w:t xml:space="preserve"> million KM, which was </w:t>
      </w:r>
      <w:r>
        <w:rPr>
          <w:rFonts w:ascii="Arial Narrow" w:hAnsi="Arial Narrow" w:cs="Tahoma"/>
          <w:bCs/>
          <w:sz w:val="22"/>
        </w:rPr>
        <w:t>8.4</w:t>
      </w:r>
      <w:r w:rsidRPr="003C17DE">
        <w:rPr>
          <w:rFonts w:ascii="Arial Narrow" w:hAnsi="Arial Narrow" w:cs="Tahoma"/>
          <w:bCs/>
          <w:sz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bCs/>
          <w:sz w:val="22"/>
        </w:rPr>
        <w:t>13</w:t>
      </w:r>
      <w:r w:rsidRPr="003C17DE">
        <w:rPr>
          <w:rFonts w:ascii="Arial Narrow" w:hAnsi="Arial Narrow" w:cs="Tahoma"/>
          <w:bCs/>
          <w:sz w:val="22"/>
        </w:rPr>
        <w:t xml:space="preserve"> million KM, which was </w:t>
      </w:r>
      <w:r>
        <w:rPr>
          <w:rFonts w:ascii="Arial Narrow" w:hAnsi="Arial Narrow" w:cs="Tahoma"/>
          <w:bCs/>
          <w:sz w:val="22"/>
        </w:rPr>
        <w:t>5.4</w:t>
      </w:r>
      <w:r w:rsidRPr="003C17DE">
        <w:rPr>
          <w:rFonts w:ascii="Arial Narrow" w:hAnsi="Arial Narrow" w:cs="Tahoma"/>
          <w:bCs/>
          <w:sz w:val="22"/>
        </w:rPr>
        <w:t>% of the total import</w:t>
      </w:r>
    </w:p>
    <w:p w:rsidR="00115CDB" w:rsidRPr="00785D42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785D42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85D42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785D42" w:rsidRDefault="00D37988" w:rsidP="00D37988">
      <w:pPr>
        <w:tabs>
          <w:tab w:val="left" w:pos="300"/>
          <w:tab w:val="left" w:pos="1100"/>
          <w:tab w:val="center" w:pos="5103"/>
          <w:tab w:val="left" w:pos="7538"/>
        </w:tabs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sz w:val="16"/>
          <w:szCs w:val="16"/>
          <w:lang w:val="sr-Latn-BA"/>
        </w:rPr>
        <w:tab/>
      </w:r>
      <w:r>
        <w:rPr>
          <w:rFonts w:ascii="Tahoma" w:hAnsi="Tahoma" w:cs="Tahoma"/>
          <w:sz w:val="16"/>
          <w:szCs w:val="16"/>
          <w:lang w:val="sr-Latn-BA"/>
        </w:rPr>
        <w:tab/>
      </w:r>
      <w:r>
        <w:rPr>
          <w:rFonts w:ascii="Tahoma" w:hAnsi="Tahoma" w:cs="Tahoma"/>
          <w:sz w:val="16"/>
          <w:szCs w:val="16"/>
          <w:lang w:val="sr-Latn-BA"/>
        </w:rPr>
        <w:tab/>
      </w:r>
      <w:r w:rsidR="00F162F8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281.45pt;margin-top:8.7pt;width:55.45pt;height:19.75pt;z-index:251664384;mso-position-horizontal-relative:text;mso-position-vertical-relative:text;mso-width-relative:margin;mso-height-relative:margin" stroked="f">
            <v:textbox style="mso-next-textbox:#_x0000_s1068">
              <w:txbxContent>
                <w:p w:rsidR="00E263D9" w:rsidRPr="000A1309" w:rsidRDefault="00D37988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r w:rsidR="00E263D9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  <w:r>
        <w:rPr>
          <w:rFonts w:ascii="Tahoma" w:hAnsi="Tahoma" w:cs="Tahoma"/>
          <w:sz w:val="16"/>
          <w:szCs w:val="16"/>
          <w:lang w:val="sr-Latn-BA"/>
        </w:rPr>
        <w:tab/>
      </w:r>
    </w:p>
    <w:p w:rsidR="00353834" w:rsidRPr="00785D42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785D42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785D42" w:rsidRDefault="00F162F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2.2pt;margin-top:188.6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E263D9" w:rsidRPr="00707105" w:rsidRDefault="00E263D9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7</w:t>
                  </w:r>
                </w:p>
              </w:txbxContent>
            </v:textbox>
          </v:shape>
        </w:pict>
      </w:r>
      <w:r w:rsidR="00FF5345" w:rsidRPr="00785D42">
        <w:rPr>
          <w:noProof/>
        </w:rPr>
        <w:drawing>
          <wp:inline distT="0" distB="0" distL="0" distR="0">
            <wp:extent cx="4069080" cy="240792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101E3A" w:rsidRPr="00785D42" w:rsidRDefault="00F162F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5.8pt;margin-top:.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E263D9" w:rsidRPr="00707105" w:rsidRDefault="00E263D9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</w:p>
    <w:p w:rsidR="003A0849" w:rsidRPr="00785D42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D37988" w:rsidRDefault="00D3798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785D42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785D42">
        <w:rPr>
          <w:rFonts w:ascii="Arial Narrow" w:hAnsi="Arial Narrow" w:cs="Tahoma"/>
          <w:sz w:val="16"/>
          <w:szCs w:val="22"/>
          <w:lang w:val="sr-Cyrl-BA"/>
        </w:rPr>
        <w:t>3</w:t>
      </w:r>
      <w:r w:rsidR="00777348" w:rsidRPr="00785D42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2E1D1D" w:rsidRPr="00785D42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0648A2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64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64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648A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C17DE" w:rsidRDefault="003C17D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3C17DE" w:rsidRDefault="003C17D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5B0E21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5B0E21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B0E21" w:rsidRPr="00300B5A" w:rsidRDefault="005B0E21" w:rsidP="005B0E2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5B0E21" w:rsidRDefault="005B0E21" w:rsidP="005B0E2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ED4E75">
              <w:rPr>
                <w:rFonts w:ascii="Arial Narrow" w:hAnsi="Arial Narrow" w:cs="Tahoma"/>
                <w:sz w:val="18"/>
                <w:szCs w:val="18"/>
              </w:rPr>
              <w:t xml:space="preserve">Biljana Glušac </w:t>
            </w:r>
          </w:p>
          <w:p w:rsidR="0066022A" w:rsidRPr="00DC2DCC" w:rsidRDefault="00F162F8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B0E21" w:rsidRPr="005B0E21" w:rsidRDefault="005B0E21" w:rsidP="005B0E2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B0E21">
              <w:rPr>
                <w:rFonts w:ascii="Arial Narrow" w:hAnsi="Arial Narrow" w:cs="Tahoma"/>
                <w:b/>
                <w:sz w:val="18"/>
                <w:szCs w:val="18"/>
              </w:rPr>
              <w:t>Price statistics</w:t>
            </w:r>
          </w:p>
          <w:p w:rsidR="005B0E21" w:rsidRPr="005B0E21" w:rsidRDefault="005B0E21" w:rsidP="005B0E2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B0E21">
              <w:rPr>
                <w:rFonts w:ascii="Arial Narrow" w:hAnsi="Arial Narrow" w:cs="Tahoma"/>
                <w:sz w:val="18"/>
                <w:szCs w:val="18"/>
              </w:rPr>
              <w:t xml:space="preserve">Biljana Tešić </w:t>
            </w:r>
          </w:p>
          <w:p w:rsidR="0066022A" w:rsidRPr="00DC2DCC" w:rsidRDefault="00F162F8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5B0E21" w:rsidRPr="006A3AB4">
                <w:rPr>
                  <w:rStyle w:val="Hyperlink"/>
                  <w:rFonts w:ascii="Arial Narrow" w:hAnsi="Arial Narrow" w:cs="Tahoma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5B0E21" w:rsidRPr="00ED4E75" w:rsidRDefault="005B0E21" w:rsidP="005B0E2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5B0E21" w:rsidRPr="00DC2DCC" w:rsidRDefault="005B0E21" w:rsidP="005B0E2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D4E75"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DC2DCC" w:rsidRDefault="00F162F8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5B0E21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5B0E21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B0E21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5B0E21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5B0E21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F162F8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5B0E21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5B0E21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9277A6" w:rsidRPr="00B21A93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E21" w:rsidRPr="005B0E21" w:rsidRDefault="005B0E21" w:rsidP="005B0E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5B0E21">
              <w:rPr>
                <w:rFonts w:ascii="Arial Narrow" w:hAnsi="Arial Narrow" w:cs="Tahoma"/>
                <w:sz w:val="18"/>
                <w:szCs w:val="18"/>
                <w:lang w:val="sr-Latn-BA"/>
              </w:rPr>
              <w:t>Vladan Sibinović, Head of the Division and Editor in Chief</w:t>
            </w:r>
          </w:p>
          <w:p w:rsidR="005B0E21" w:rsidRPr="005B0E21" w:rsidRDefault="005B0E21" w:rsidP="005B0E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B0E21">
              <w:rPr>
                <w:rFonts w:ascii="Arial Narrow" w:hAnsi="Arial Narrow" w:cs="Tahoma"/>
                <w:sz w:val="18"/>
                <w:szCs w:val="18"/>
                <w:lang w:val="sr-Latn-BA"/>
              </w:rPr>
              <w:t>Published by the Republlika Srpska Institute of Statistics</w:t>
            </w:r>
            <w:r w:rsidRPr="005B0E21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,</w:t>
            </w:r>
          </w:p>
          <w:p w:rsidR="005B0E21" w:rsidRPr="005B0E21" w:rsidRDefault="005B0E21" w:rsidP="005B0E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B0E21">
              <w:rPr>
                <w:rFonts w:ascii="Arial Narrow" w:hAnsi="Arial Narrow" w:cs="Tahoma"/>
                <w:sz w:val="18"/>
                <w:szCs w:val="18"/>
                <w:lang w:val="sr-Latn-BA"/>
              </w:rPr>
              <w:t>Republika Srpska</w:t>
            </w:r>
            <w:r w:rsidRPr="005B0E21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Pr="005B0E21">
              <w:rPr>
                <w:rFonts w:ascii="Arial Narrow" w:hAnsi="Arial Narrow" w:cs="Tahoma"/>
                <w:sz w:val="18"/>
                <w:szCs w:val="18"/>
                <w:lang w:val="sr-Latn-BA"/>
              </w:rPr>
              <w:t>Banja Luka</w:t>
            </w:r>
            <w:r w:rsidRPr="005B0E21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, </w:t>
            </w:r>
            <w:r w:rsidRPr="005B0E21">
              <w:rPr>
                <w:rFonts w:ascii="Arial Narrow" w:hAnsi="Arial Narrow" w:cs="Tahoma"/>
                <w:sz w:val="18"/>
                <w:szCs w:val="18"/>
                <w:lang w:val="sr-Latn-BA"/>
              </w:rPr>
              <w:t>Veljka Mlađenovića</w:t>
            </w:r>
            <w:r w:rsidRPr="005B0E21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12d</w:t>
            </w:r>
          </w:p>
          <w:p w:rsidR="005B0E21" w:rsidRPr="005B0E21" w:rsidRDefault="005B0E21" w:rsidP="005B0E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5B0E21">
              <w:rPr>
                <w:rFonts w:ascii="Arial Narrow" w:hAnsi="Arial Narrow" w:cs="Tahoma"/>
                <w:sz w:val="18"/>
                <w:szCs w:val="18"/>
                <w:lang w:val="sr-Latn-BA"/>
              </w:rPr>
              <w:t>Radmila Čičković, PhD, Director General of the Institute</w:t>
            </w:r>
          </w:p>
          <w:p w:rsidR="005B0E21" w:rsidRPr="005B0E21" w:rsidRDefault="005B0E21" w:rsidP="005B0E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5B0E21">
              <w:rPr>
                <w:rFonts w:ascii="Arial Narrow" w:hAnsi="Arial Narrow" w:cs="Tahoma"/>
                <w:sz w:val="18"/>
                <w:szCs w:val="18"/>
                <w:lang w:val="sr-Latn-BA"/>
              </w:rPr>
              <w:t>The Release is published online at</w:t>
            </w:r>
            <w:r w:rsidRPr="005B0E21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: </w:t>
            </w:r>
            <w:r w:rsidRPr="005B0E21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5B0E21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5B0E21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5B0E21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5B0E21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5B0E21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5B0E21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5B0E21" w:rsidRPr="005B0E21" w:rsidRDefault="005B0E21" w:rsidP="005B0E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5B0E21">
              <w:rPr>
                <w:rFonts w:ascii="Arial Narrow" w:hAnsi="Arial Narrow" w:cs="Tahoma"/>
                <w:sz w:val="18"/>
                <w:szCs w:val="18"/>
              </w:rPr>
              <w:t>telephone</w:t>
            </w:r>
            <w:r w:rsidRPr="005B0E21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+387 51 332 700</w:t>
            </w:r>
            <w:r w:rsidRPr="005B0E21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5B0E21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5B0E21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5B0E21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5B0E21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5B0E21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stat</w:t>
              </w:r>
              <w:r w:rsidRPr="005B0E21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@</w:t>
              </w:r>
              <w:r w:rsidRPr="005B0E21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rzs</w:t>
              </w:r>
              <w:r w:rsidRPr="005B0E21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5B0E21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rs</w:t>
              </w:r>
              <w:r w:rsidRPr="005B0E21">
                <w:rPr>
                  <w:rStyle w:val="Hyperlink"/>
                  <w:rFonts w:ascii="Arial Narrow" w:hAnsi="Arial Narrow" w:cs="Tahoma"/>
                  <w:sz w:val="18"/>
                  <w:szCs w:val="18"/>
                  <w:lang w:val="ru-RU"/>
                </w:rPr>
                <w:t>.</w:t>
              </w:r>
              <w:r w:rsidRPr="005B0E21">
                <w:rPr>
                  <w:rStyle w:val="Hyperlink"/>
                  <w:rFonts w:ascii="Arial Narrow" w:hAnsi="Arial Narrow" w:cs="Tahoma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5B0E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5B0E21">
              <w:rPr>
                <w:rFonts w:ascii="Arial Narrow" w:hAnsi="Arial Narrow" w:cs="Tahoma"/>
                <w:b/>
                <w:bCs/>
                <w:sz w:val="18"/>
                <w:lang w:val="sr-Latn-BA"/>
              </w:rPr>
              <w:t>Data may be used provided the source is acknowledged</w:t>
            </w:r>
          </w:p>
        </w:tc>
      </w:tr>
    </w:tbl>
    <w:p w:rsidR="009E2A9A" w:rsidRPr="00CA19B5" w:rsidRDefault="00F162F8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D9" w:rsidRDefault="00E263D9">
      <w:r>
        <w:separator/>
      </w:r>
    </w:p>
  </w:endnote>
  <w:endnote w:type="continuationSeparator" w:id="0">
    <w:p w:rsidR="00E263D9" w:rsidRDefault="00E2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9" w:rsidRDefault="00F162F8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E263D9" w:rsidRPr="00175687" w:rsidRDefault="00E263D9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162F8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D9" w:rsidRDefault="00F162F8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E263D9" w:rsidRPr="00175687" w:rsidRDefault="00E263D9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162F8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D9" w:rsidRDefault="00E263D9">
      <w:r>
        <w:separator/>
      </w:r>
    </w:p>
  </w:footnote>
  <w:footnote w:type="continuationSeparator" w:id="0">
    <w:p w:rsidR="00E263D9" w:rsidRDefault="00E2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E263D9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E263D9" w:rsidRPr="00072954" w:rsidRDefault="00072954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E263D9" w:rsidRPr="00072954" w:rsidRDefault="00072954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E263D9" w:rsidRPr="005D5311" w:rsidRDefault="00E263D9" w:rsidP="00432D2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Cyrl-BA"/>
            </w:rPr>
            <w:t>2</w:t>
          </w:r>
          <w:r w:rsidR="00072954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February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7</w:t>
          </w:r>
          <w:r w:rsidR="00072954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 xml:space="preserve">, </w:t>
          </w:r>
          <w:r w:rsidR="00072954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3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3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E263D9" w:rsidRDefault="00F162F8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57B0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2954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7DE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1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0E21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D42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AF4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0A56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6E"/>
    <w:rsid w:val="009246F2"/>
    <w:rsid w:val="00924A3A"/>
    <w:rsid w:val="00924AD7"/>
    <w:rsid w:val="00924AF0"/>
    <w:rsid w:val="00924D9F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11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255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66D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0DC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2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17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88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370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33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2F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0FA5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B0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,"/>
  <w15:docId w15:val="{58DF8A9F-51DE-4DAC-8C06-50386D30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7\Cijene\Indeksi%20potrosackih%20cijena\Grafikon_2017_ja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816</c:v>
                </c:pt>
                <c:pt idx="1">
                  <c:v>838</c:v>
                </c:pt>
                <c:pt idx="2">
                  <c:v>837</c:v>
                </c:pt>
                <c:pt idx="3">
                  <c:v>832</c:v>
                </c:pt>
                <c:pt idx="4">
                  <c:v>841</c:v>
                </c:pt>
                <c:pt idx="5">
                  <c:v>845</c:v>
                </c:pt>
                <c:pt idx="6">
                  <c:v>838</c:v>
                </c:pt>
                <c:pt idx="7">
                  <c:v>838</c:v>
                </c:pt>
                <c:pt idx="8">
                  <c:v>834</c:v>
                </c:pt>
                <c:pt idx="9">
                  <c:v>837</c:v>
                </c:pt>
                <c:pt idx="10">
                  <c:v>839</c:v>
                </c:pt>
                <c:pt idx="11">
                  <c:v>835</c:v>
                </c:pt>
                <c:pt idx="12">
                  <c:v>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3C-439D-B842-29CFB27E1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4152040"/>
        <c:axId val="291094112"/>
      </c:lineChart>
      <c:catAx>
        <c:axId val="31415204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91094112"/>
        <c:crosses val="autoZero"/>
        <c:auto val="1"/>
        <c:lblAlgn val="ctr"/>
        <c:lblOffset val="100"/>
        <c:noMultiLvlLbl val="0"/>
      </c:catAx>
      <c:valAx>
        <c:axId val="291094112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314152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29E-2"/>
          <c:w val="0.90069686411149863"/>
          <c:h val="0.76569037656904182"/>
        </c:manualLayout>
      </c:layout>
      <c:lineChart>
        <c:grouping val="standard"/>
        <c:varyColors val="0"/>
        <c:ser>
          <c:idx val="0"/>
          <c:order val="0"/>
          <c:tx>
            <c:strRef>
              <c:f>jan!$C$3</c:f>
              <c:strCache>
                <c:ptCount val="1"/>
                <c:pt idx="0">
                  <c:v>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jan!$A$4:$B$16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jan!$C$4:$C$16</c:f>
              <c:numCache>
                <c:formatCode>General</c:formatCode>
                <c:ptCount val="13"/>
                <c:pt idx="0">
                  <c:v>0.2</c:v>
                </c:pt>
                <c:pt idx="1">
                  <c:v>-0.2</c:v>
                </c:pt>
                <c:pt idx="2" formatCode="0\.0">
                  <c:v>0</c:v>
                </c:pt>
                <c:pt idx="3" formatCode="0\.0">
                  <c:v>-1</c:v>
                </c:pt>
                <c:pt idx="4">
                  <c:v>0.1</c:v>
                </c:pt>
                <c:pt idx="5">
                  <c:v>-0.2</c:v>
                </c:pt>
                <c:pt idx="6">
                  <c:v>-0.3</c:v>
                </c:pt>
                <c:pt idx="7">
                  <c:v>-0.3</c:v>
                </c:pt>
                <c:pt idx="8">
                  <c:v>0.1</c:v>
                </c:pt>
                <c:pt idx="9">
                  <c:v>1.4</c:v>
                </c:pt>
                <c:pt idx="10">
                  <c:v>0.1</c:v>
                </c:pt>
                <c:pt idx="11">
                  <c:v>-0.1</c:v>
                </c:pt>
                <c:pt idx="12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26-49C7-A894-5A99C9C6BDA5}"/>
            </c:ext>
          </c:extLst>
        </c:ser>
        <c:ser>
          <c:idx val="1"/>
          <c:order val="1"/>
          <c:tx>
            <c:strRef>
              <c:f>jan!$D$3</c:f>
              <c:strCache>
                <c:ptCount val="1"/>
                <c:pt idx="0">
                  <c:v>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jan!$A$4:$B$16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jan!$D$4:$D$16</c:f>
              <c:numCache>
                <c:formatCode>General</c:formatCode>
                <c:ptCount val="13"/>
                <c:pt idx="0">
                  <c:v>-0.9</c:v>
                </c:pt>
                <c:pt idx="1">
                  <c:v>-1.3</c:v>
                </c:pt>
                <c:pt idx="2">
                  <c:v>-1.8</c:v>
                </c:pt>
                <c:pt idx="3">
                  <c:v>-1.7</c:v>
                </c:pt>
                <c:pt idx="4">
                  <c:v>-1.6</c:v>
                </c:pt>
                <c:pt idx="5">
                  <c:v>-1.6</c:v>
                </c:pt>
                <c:pt idx="6" formatCode="0\.0">
                  <c:v>-1</c:v>
                </c:pt>
                <c:pt idx="7">
                  <c:v>-1.3</c:v>
                </c:pt>
                <c:pt idx="8">
                  <c:v>-1.2</c:v>
                </c:pt>
                <c:pt idx="9">
                  <c:v>-0.7</c:v>
                </c:pt>
                <c:pt idx="10">
                  <c:v>-0.3</c:v>
                </c:pt>
                <c:pt idx="11">
                  <c:v>-0.2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26-49C7-A894-5A99C9C6BD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4749768"/>
        <c:axId val="314754248"/>
      </c:lineChart>
      <c:catAx>
        <c:axId val="3147497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147542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14754248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14749768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48"/>
          <c:y val="0.87484060194481672"/>
          <c:w val="0.52264808362369652"/>
          <c:h val="8.3682008368201222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zaJan2017!$A$2</c:f>
              <c:strCache>
                <c:ptCount val="1"/>
                <c:pt idx="0">
                  <c:v>import</c:v>
                </c:pt>
              </c:strCache>
            </c:strRef>
          </c:tx>
          <c:marker>
            <c:symbol val="none"/>
          </c:marker>
          <c:cat>
            <c:strRef>
              <c:f>zaJan2017!$B$1:$N$1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zaJan2017!$B$2:$N$2</c:f>
              <c:numCache>
                <c:formatCode>General</c:formatCode>
                <c:ptCount val="13"/>
                <c:pt idx="0">
                  <c:v>227458</c:v>
                </c:pt>
                <c:pt idx="1">
                  <c:v>330459</c:v>
                </c:pt>
                <c:pt idx="2">
                  <c:v>354355</c:v>
                </c:pt>
                <c:pt idx="3">
                  <c:v>421365</c:v>
                </c:pt>
                <c:pt idx="4">
                  <c:v>315075</c:v>
                </c:pt>
                <c:pt idx="5">
                  <c:v>413259</c:v>
                </c:pt>
                <c:pt idx="6">
                  <c:v>384444</c:v>
                </c:pt>
                <c:pt idx="7">
                  <c:v>357467</c:v>
                </c:pt>
                <c:pt idx="8">
                  <c:v>380274</c:v>
                </c:pt>
                <c:pt idx="9">
                  <c:v>372983</c:v>
                </c:pt>
                <c:pt idx="10">
                  <c:v>399617</c:v>
                </c:pt>
                <c:pt idx="11">
                  <c:v>448853</c:v>
                </c:pt>
                <c:pt idx="12">
                  <c:v>245314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96-4998-AB41-DF00192CA2E9}"/>
            </c:ext>
          </c:extLst>
        </c:ser>
        <c:ser>
          <c:idx val="1"/>
          <c:order val="1"/>
          <c:tx>
            <c:strRef>
              <c:f>zaJan2017!$A$3</c:f>
              <c:strCache>
                <c:ptCount val="1"/>
                <c:pt idx="0">
                  <c:v>export</c:v>
                </c:pt>
              </c:strCache>
            </c:strRef>
          </c:tx>
          <c:marker>
            <c:symbol val="none"/>
          </c:marker>
          <c:cat>
            <c:strRef>
              <c:f>zaJan2017!$B$1:$N$1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zaJan2017!$B$3:$N$3</c:f>
              <c:numCache>
                <c:formatCode>0</c:formatCode>
                <c:ptCount val="13"/>
                <c:pt idx="0">
                  <c:v>183779</c:v>
                </c:pt>
                <c:pt idx="1">
                  <c:v>211524</c:v>
                </c:pt>
                <c:pt idx="2">
                  <c:v>239782</c:v>
                </c:pt>
                <c:pt idx="3">
                  <c:v>228100</c:v>
                </c:pt>
                <c:pt idx="4">
                  <c:v>234236</c:v>
                </c:pt>
                <c:pt idx="5">
                  <c:v>248861</c:v>
                </c:pt>
                <c:pt idx="6">
                  <c:v>245925</c:v>
                </c:pt>
                <c:pt idx="7">
                  <c:v>229795</c:v>
                </c:pt>
                <c:pt idx="8">
                  <c:v>265272</c:v>
                </c:pt>
                <c:pt idx="9">
                  <c:v>250736</c:v>
                </c:pt>
                <c:pt idx="10">
                  <c:v>267042</c:v>
                </c:pt>
                <c:pt idx="11">
                  <c:v>260279</c:v>
                </c:pt>
                <c:pt idx="12">
                  <c:v>226565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96-4998-AB41-DF00192CA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4781528"/>
        <c:axId val="314781912"/>
      </c:lineChart>
      <c:catAx>
        <c:axId val="31478152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14781912"/>
        <c:crosses val="autoZero"/>
        <c:auto val="1"/>
        <c:lblAlgn val="ctr"/>
        <c:lblOffset val="100"/>
        <c:noMultiLvlLbl val="0"/>
      </c:catAx>
      <c:valAx>
        <c:axId val="31478191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##0" sourceLinked="0"/>
        <c:majorTickMark val="out"/>
        <c:minorTickMark val="none"/>
        <c:tickLblPos val="nextTo"/>
        <c:crossAx val="314781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2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7A38-BA74-4B3E-B198-CEFB8F05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7095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674</cp:revision>
  <cp:lastPrinted>2015-12-17T11:01:00Z</cp:lastPrinted>
  <dcterms:created xsi:type="dcterms:W3CDTF">2014-03-14T12:01:00Z</dcterms:created>
  <dcterms:modified xsi:type="dcterms:W3CDTF">2017-06-22T09:52:00Z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