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BFB" w:rsidRPr="003643A8" w:rsidRDefault="00B94BFB">
      <w:pPr>
        <w:rPr>
          <w:lang w:val="sr-Cyrl-CS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CA19B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CA19B5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page"/>
            </w:r>
            <w:r w:rsidRPr="00CA19B5">
              <w:rPr>
                <w:rFonts w:ascii="Tahoma" w:hAnsi="Tahoma" w:cs="Tahoma"/>
              </w:rPr>
              <w:br w:type="page"/>
            </w:r>
            <w:r w:rsidR="00F63259" w:rsidRPr="009F4CF9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2920" cy="687705"/>
                  <wp:effectExtent l="0" t="0" r="508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2920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CA19B5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CA19B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CA19B5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9F4CF9" w:rsidRDefault="004551B9" w:rsidP="00623E28">
            <w:pPr>
              <w:jc w:val="right"/>
              <w:outlineLvl w:val="0"/>
              <w:rPr>
                <w:rFonts w:ascii="Tahoma" w:hAnsi="Tahoma" w:cs="Tahoma"/>
                <w:color w:val="1F497D"/>
                <w:sz w:val="16"/>
                <w:lang w:val="bs-Latn-BA"/>
              </w:rPr>
            </w:pPr>
            <w:r w:rsidRPr="009F4CF9">
              <w:rPr>
                <w:rFonts w:ascii="Tahoma" w:hAnsi="Tahoma" w:cs="Tahoma"/>
                <w:color w:val="1F497D"/>
                <w:sz w:val="16"/>
                <w:lang w:val="sr-Cyrl-CS"/>
              </w:rPr>
              <w:t xml:space="preserve"> </w:t>
            </w:r>
            <w:r w:rsidR="009062FA" w:rsidRPr="009F4CF9">
              <w:rPr>
                <w:rFonts w:ascii="Tahoma" w:hAnsi="Tahoma" w:cs="Tahoma"/>
                <w:color w:val="1F497D"/>
                <w:sz w:val="16"/>
              </w:rPr>
              <w:t xml:space="preserve">        </w:t>
            </w:r>
            <w:r w:rsidR="009820C8" w:rsidRPr="009F4CF9">
              <w:rPr>
                <w:rFonts w:ascii="Tahoma" w:hAnsi="Tahoma" w:cs="Tahoma"/>
                <w:color w:val="1F497D"/>
                <w:sz w:val="16"/>
              </w:rPr>
              <w:t xml:space="preserve"> </w:t>
            </w:r>
            <w:r w:rsidRPr="009F4CF9">
              <w:rPr>
                <w:rFonts w:ascii="Tahoma" w:hAnsi="Tahoma" w:cs="Tahoma"/>
                <w:color w:val="1F497D"/>
                <w:sz w:val="16"/>
                <w:lang w:val="sr-Cyrl-CS"/>
              </w:rPr>
              <w:t xml:space="preserve"> </w:t>
            </w:r>
            <w:r w:rsidR="00431915" w:rsidRPr="009F4CF9">
              <w:rPr>
                <w:rFonts w:ascii="Arial Narrow" w:hAnsi="Arial Narrow" w:cs="Tahoma"/>
                <w:color w:val="1F497D"/>
                <w:sz w:val="16"/>
              </w:rPr>
              <w:t>2</w:t>
            </w:r>
            <w:r w:rsidR="00210E04">
              <w:rPr>
                <w:rFonts w:ascii="Arial Narrow" w:hAnsi="Arial Narrow" w:cs="Tahoma"/>
                <w:color w:val="1F497D"/>
                <w:sz w:val="16"/>
              </w:rPr>
              <w:t>2</w:t>
            </w:r>
            <w:r w:rsidR="00623E28">
              <w:rPr>
                <w:rFonts w:ascii="Arial Narrow" w:hAnsi="Arial Narrow" w:cs="Tahoma"/>
                <w:color w:val="1F497D"/>
                <w:sz w:val="16"/>
                <w:szCs w:val="16"/>
                <w:lang w:val="sr-Cyrl-BA"/>
              </w:rPr>
              <w:t xml:space="preserve"> August </w:t>
            </w:r>
            <w:r w:rsidR="00431915" w:rsidRPr="009F4CF9">
              <w:rPr>
                <w:rFonts w:ascii="Arial Narrow" w:hAnsi="Arial Narrow" w:cs="Tahoma"/>
                <w:color w:val="1F497D"/>
                <w:sz w:val="16"/>
                <w:szCs w:val="16"/>
                <w:lang w:val="sr-Cyrl-BA"/>
              </w:rPr>
              <w:t>201</w:t>
            </w:r>
            <w:r w:rsidR="006C418B" w:rsidRPr="009F4CF9">
              <w:rPr>
                <w:rFonts w:ascii="Arial Narrow" w:hAnsi="Arial Narrow" w:cs="Tahoma"/>
                <w:color w:val="1F497D"/>
                <w:sz w:val="16"/>
                <w:szCs w:val="16"/>
                <w:lang w:val="sr-Latn-BA"/>
              </w:rPr>
              <w:t>7</w:t>
            </w:r>
            <w:r w:rsidR="00623E28">
              <w:rPr>
                <w:rFonts w:ascii="Arial Narrow" w:hAnsi="Arial Narrow" w:cs="Tahoma"/>
                <w:color w:val="1F497D"/>
                <w:sz w:val="16"/>
                <w:szCs w:val="16"/>
                <w:lang w:val="sr-Cyrl-CS"/>
              </w:rPr>
              <w:t xml:space="preserve">, No. </w:t>
            </w:r>
            <w:r w:rsidR="0036508C">
              <w:rPr>
                <w:rFonts w:ascii="Arial Narrow" w:hAnsi="Arial Narrow" w:cs="Tahoma"/>
                <w:b/>
                <w:color w:val="1F497D"/>
                <w:sz w:val="22"/>
                <w:szCs w:val="22"/>
                <w:lang w:val="sr-Latn-CS"/>
              </w:rPr>
              <w:t>2</w:t>
            </w:r>
            <w:r w:rsidR="00210E04">
              <w:rPr>
                <w:rFonts w:ascii="Arial Narrow" w:hAnsi="Arial Narrow" w:cs="Tahoma"/>
                <w:b/>
                <w:color w:val="1F497D"/>
                <w:sz w:val="22"/>
                <w:szCs w:val="22"/>
                <w:lang w:val="sr-Latn-CS"/>
              </w:rPr>
              <w:t>25</w:t>
            </w:r>
            <w:r w:rsidR="00431915" w:rsidRPr="009F4CF9">
              <w:rPr>
                <w:rFonts w:ascii="Arial Narrow" w:hAnsi="Arial Narrow" w:cs="Tahoma"/>
                <w:b/>
                <w:color w:val="1F497D"/>
                <w:sz w:val="22"/>
                <w:szCs w:val="22"/>
                <w:lang w:val="sr-Cyrl-BA"/>
              </w:rPr>
              <w:t>/1</w:t>
            </w:r>
            <w:r w:rsidR="006C418B" w:rsidRPr="009F4CF9">
              <w:rPr>
                <w:rFonts w:ascii="Arial Narrow" w:hAnsi="Arial Narrow" w:cs="Tahoma"/>
                <w:b/>
                <w:color w:val="1F497D"/>
                <w:sz w:val="22"/>
                <w:szCs w:val="22"/>
              </w:rPr>
              <w:t>7</w:t>
            </w:r>
            <w:r w:rsidR="00F6075A" w:rsidRPr="009F4CF9">
              <w:rPr>
                <w:rFonts w:ascii="Tahoma" w:hAnsi="Tahoma" w:cs="Tahoma"/>
                <w:color w:val="1F497D"/>
                <w:sz w:val="18"/>
                <w:lang w:val="sr-Cyrl-BA"/>
              </w:rPr>
              <w:t xml:space="preserve"> </w:t>
            </w:r>
          </w:p>
        </w:tc>
      </w:tr>
      <w:tr w:rsidR="004C20B5" w:rsidRPr="00CA19B5" w:rsidTr="005074F6">
        <w:trPr>
          <w:cantSplit/>
        </w:trPr>
        <w:tc>
          <w:tcPr>
            <w:tcW w:w="5251" w:type="dxa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CA19B5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CA19B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9F4CF9" w:rsidRDefault="00623E28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  <w:lang w:val="sr-Cyrl-BA"/>
              </w:rPr>
            </w:pPr>
            <w:r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</w:rPr>
              <w:t>PRESS RELEASE</w:t>
            </w:r>
            <w:r w:rsidR="00353834" w:rsidRPr="009F4CF9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CA19B5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9F4CF9" w:rsidRDefault="00623E28" w:rsidP="0036508C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>August</w:t>
            </w:r>
            <w:r w:rsidR="00353834" w:rsidRPr="009F4CF9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9F4CF9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201</w:t>
            </w:r>
            <w:r w:rsidR="006D71F8" w:rsidRPr="009F4CF9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7</w:t>
            </w:r>
          </w:p>
        </w:tc>
      </w:tr>
    </w:tbl>
    <w:p w:rsidR="000F689B" w:rsidRPr="00D266AF" w:rsidRDefault="000F689B" w:rsidP="000F689B">
      <w:pPr>
        <w:jc w:val="both"/>
        <w:rPr>
          <w:rFonts w:ascii="Arial Narrow" w:hAnsi="Arial Narrow"/>
          <w:color w:val="FF0000"/>
          <w:spacing w:val="-2"/>
          <w:sz w:val="22"/>
          <w:szCs w:val="24"/>
          <w:lang w:val="sr-Cyrl-BA"/>
        </w:rPr>
      </w:pPr>
    </w:p>
    <w:p w:rsidR="00E33D13" w:rsidRPr="00AB2D0C" w:rsidRDefault="00B91794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Average net wage in July</w:t>
      </w:r>
      <w:r w:rsidR="00E33D13" w:rsidRPr="00AB2D0C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8</w:t>
      </w:r>
      <w:r w:rsidR="00F912E6" w:rsidRPr="00AB2D0C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30</w:t>
      </w:r>
      <w:r w:rsidR="00E33D13" w:rsidRPr="00AB2D0C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AB2D0C" w:rsidRDefault="003C5EB7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3C5EB7">
        <w:rPr>
          <w:rFonts w:ascii="Arial Narrow" w:hAnsi="Arial Narrow" w:cs="Tahoma"/>
          <w:b/>
          <w:sz w:val="28"/>
          <w:szCs w:val="28"/>
        </w:rPr>
        <w:t xml:space="preserve">The highest average net wage was that in the section </w:t>
      </w:r>
      <w:r w:rsidRPr="003C5EB7">
        <w:rPr>
          <w:rFonts w:ascii="Arial Narrow" w:hAnsi="Arial Narrow" w:cs="Tahoma"/>
          <w:b/>
          <w:i/>
          <w:sz w:val="28"/>
          <w:szCs w:val="28"/>
        </w:rPr>
        <w:t xml:space="preserve">Financial and insurance activities </w:t>
      </w:r>
      <w:r>
        <w:rPr>
          <w:rFonts w:ascii="Arial Narrow" w:hAnsi="Arial Narrow" w:cs="Tahoma"/>
          <w:b/>
          <w:sz w:val="28"/>
          <w:szCs w:val="28"/>
          <w:lang w:val="ru-RU"/>
        </w:rPr>
        <w:t>1,</w:t>
      </w:r>
      <w:r w:rsidR="003A11CF" w:rsidRPr="00AB2D0C">
        <w:rPr>
          <w:rFonts w:ascii="Arial Narrow" w:hAnsi="Arial Narrow" w:cs="Tahoma"/>
          <w:b/>
          <w:sz w:val="28"/>
          <w:szCs w:val="28"/>
          <w:lang w:val="ru-RU"/>
        </w:rPr>
        <w:t>3</w:t>
      </w:r>
      <w:r w:rsidR="00F912E6" w:rsidRPr="00AB2D0C">
        <w:rPr>
          <w:rFonts w:ascii="Arial Narrow" w:hAnsi="Arial Narrow" w:cs="Tahoma"/>
          <w:b/>
          <w:sz w:val="28"/>
          <w:szCs w:val="28"/>
          <w:lang w:val="ru-RU"/>
        </w:rPr>
        <w:t>85</w:t>
      </w:r>
      <w:r w:rsidR="00E33D13" w:rsidRPr="00AB2D0C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="00E33D13" w:rsidRPr="00AB2D0C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Pr="003C5EB7">
        <w:rPr>
          <w:rFonts w:ascii="Arial Narrow" w:hAnsi="Arial Narrow" w:cs="Tahoma"/>
          <w:b/>
          <w:sz w:val="28"/>
          <w:szCs w:val="28"/>
        </w:rPr>
        <w:t xml:space="preserve">while the lowest one was that in the section </w:t>
      </w:r>
      <w:r>
        <w:rPr>
          <w:rFonts w:ascii="Arial Narrow" w:hAnsi="Arial Narrow" w:cs="Tahoma"/>
          <w:b/>
          <w:i/>
          <w:sz w:val="28"/>
          <w:szCs w:val="28"/>
        </w:rPr>
        <w:t xml:space="preserve">Administrative and support service activities </w:t>
      </w:r>
      <w:r w:rsidR="00E33D13" w:rsidRPr="00AB2D0C">
        <w:rPr>
          <w:rFonts w:ascii="Arial Narrow" w:hAnsi="Arial Narrow" w:cs="Tahoma"/>
          <w:b/>
          <w:sz w:val="28"/>
          <w:szCs w:val="28"/>
          <w:lang w:val="sr-Cyrl-BA"/>
        </w:rPr>
        <w:t>5</w:t>
      </w:r>
      <w:r w:rsidR="00EE2F33" w:rsidRPr="00AB2D0C">
        <w:rPr>
          <w:rFonts w:ascii="Arial Narrow" w:hAnsi="Arial Narrow" w:cs="Tahoma"/>
          <w:b/>
          <w:sz w:val="28"/>
          <w:szCs w:val="28"/>
          <w:lang w:val="sr-Cyrl-BA"/>
        </w:rPr>
        <w:t>4</w:t>
      </w:r>
      <w:r w:rsidR="00F912E6" w:rsidRPr="00AB2D0C">
        <w:rPr>
          <w:rFonts w:ascii="Arial Narrow" w:hAnsi="Arial Narrow" w:cs="Tahoma"/>
          <w:b/>
          <w:sz w:val="28"/>
          <w:szCs w:val="28"/>
          <w:lang w:val="sr-Cyrl-BA"/>
        </w:rPr>
        <w:t>1</w:t>
      </w:r>
      <w:r w:rsidR="00E33D13" w:rsidRPr="00AB2D0C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AB2D0C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AB2D0C">
        <w:rPr>
          <w:rFonts w:ascii="Tahoma" w:hAnsi="Tahoma" w:cs="Tahoma"/>
          <w:b/>
          <w:lang w:val="sr-Cyrl-CS"/>
        </w:rPr>
        <w:tab/>
      </w:r>
      <w:r w:rsidRPr="00AB2D0C">
        <w:rPr>
          <w:rFonts w:ascii="Tahoma" w:hAnsi="Tahoma" w:cs="Tahoma"/>
          <w:b/>
          <w:lang w:val="sr-Cyrl-CS"/>
        </w:rPr>
        <w:tab/>
      </w:r>
    </w:p>
    <w:p w:rsidR="00B82005" w:rsidRPr="00AB2D0C" w:rsidRDefault="00FD36F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FD36FE">
        <w:rPr>
          <w:rFonts w:ascii="Arial Narrow" w:hAnsi="Arial Narrow" w:cs="Tahoma"/>
          <w:sz w:val="22"/>
        </w:rPr>
        <w:t xml:space="preserve">Average monthly net wage of employed persons in </w:t>
      </w:r>
      <w:proofErr w:type="spellStart"/>
      <w:r w:rsidRPr="00FD36FE">
        <w:rPr>
          <w:rFonts w:ascii="Arial Narrow" w:hAnsi="Arial Narrow" w:cs="Tahoma"/>
          <w:sz w:val="22"/>
        </w:rPr>
        <w:t>Republika</w:t>
      </w:r>
      <w:proofErr w:type="spellEnd"/>
      <w:r w:rsidRPr="00FD36FE">
        <w:rPr>
          <w:rFonts w:ascii="Arial Narrow" w:hAnsi="Arial Narrow" w:cs="Tahoma"/>
          <w:sz w:val="22"/>
        </w:rPr>
        <w:t xml:space="preserve"> </w:t>
      </w:r>
      <w:proofErr w:type="spellStart"/>
      <w:r w:rsidRPr="00FD36FE">
        <w:rPr>
          <w:rFonts w:ascii="Arial Narrow" w:hAnsi="Arial Narrow" w:cs="Tahoma"/>
          <w:sz w:val="22"/>
        </w:rPr>
        <w:t>Srpska</w:t>
      </w:r>
      <w:proofErr w:type="spellEnd"/>
      <w:r w:rsidRPr="00FD36FE">
        <w:rPr>
          <w:rFonts w:ascii="Arial Narrow" w:hAnsi="Arial Narrow" w:cs="Tahoma"/>
          <w:sz w:val="22"/>
        </w:rPr>
        <w:t xml:space="preserve"> paid in </w:t>
      </w:r>
      <w:r>
        <w:rPr>
          <w:rFonts w:ascii="Arial Narrow" w:hAnsi="Arial Narrow" w:cs="Tahoma"/>
          <w:sz w:val="22"/>
        </w:rPr>
        <w:t>July</w:t>
      </w:r>
      <w:r w:rsidR="00E33D13" w:rsidRPr="00AB2D0C">
        <w:rPr>
          <w:rFonts w:ascii="Arial Narrow" w:hAnsi="Arial Narrow" w:cs="Tahoma"/>
          <w:sz w:val="22"/>
          <w:lang w:val="sr-Cyrl-CS"/>
        </w:rPr>
        <w:t xml:space="preserve"> 201</w:t>
      </w:r>
      <w:r w:rsidR="002E75DE" w:rsidRPr="00AB2D0C">
        <w:rPr>
          <w:rFonts w:ascii="Arial Narrow" w:hAnsi="Arial Narrow" w:cs="Tahoma"/>
          <w:sz w:val="22"/>
          <w:lang w:val="sr-Cyrl-CS"/>
        </w:rPr>
        <w:t>7</w:t>
      </w:r>
      <w:r>
        <w:rPr>
          <w:rFonts w:ascii="Arial Narrow" w:hAnsi="Arial Narrow" w:cs="Tahoma"/>
          <w:sz w:val="22"/>
          <w:lang w:val="sr-Cyrl-CS"/>
        </w:rPr>
        <w:t xml:space="preserve"> </w:t>
      </w:r>
      <w:r>
        <w:rPr>
          <w:rFonts w:ascii="Arial Narrow" w:hAnsi="Arial Narrow" w:cs="Tahoma"/>
          <w:sz w:val="22"/>
        </w:rPr>
        <w:t>was</w:t>
      </w:r>
      <w:r w:rsidR="00E33D13" w:rsidRPr="00AB2D0C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E33D13" w:rsidRPr="00AB2D0C">
        <w:rPr>
          <w:rFonts w:ascii="Arial Narrow" w:hAnsi="Arial Narrow" w:cs="Tahoma"/>
          <w:sz w:val="22"/>
          <w:lang w:val="sr-Cyrl-CS"/>
        </w:rPr>
        <w:t>8</w:t>
      </w:r>
      <w:r w:rsidR="00F912E6" w:rsidRPr="00AB2D0C">
        <w:rPr>
          <w:rFonts w:ascii="Arial Narrow" w:hAnsi="Arial Narrow" w:cs="Tahoma"/>
          <w:sz w:val="22"/>
          <w:lang w:val="sr-Cyrl-CS"/>
        </w:rPr>
        <w:t>30</w:t>
      </w:r>
      <w:r w:rsidR="00E33D13" w:rsidRPr="00AB2D0C">
        <w:rPr>
          <w:rFonts w:ascii="Arial Narrow" w:hAnsi="Arial Narrow" w:cs="Tahoma"/>
          <w:sz w:val="22"/>
          <w:lang w:val="sr-Cyrl-CS"/>
        </w:rPr>
        <w:t xml:space="preserve"> КМ</w:t>
      </w:r>
      <w:r w:rsidR="00E33D13" w:rsidRPr="00AB2D0C">
        <w:rPr>
          <w:rFonts w:ascii="Arial Narrow" w:hAnsi="Arial Narrow" w:cs="Tahoma"/>
          <w:sz w:val="22"/>
          <w:lang w:val="hr-HR"/>
        </w:rPr>
        <w:t>,</w:t>
      </w:r>
      <w:r w:rsidR="00E33D13" w:rsidRPr="00AB2D0C">
        <w:rPr>
          <w:rFonts w:ascii="Arial Narrow" w:hAnsi="Arial Narrow" w:cs="Tahoma"/>
          <w:sz w:val="22"/>
          <w:lang w:val="ru-RU"/>
        </w:rPr>
        <w:t xml:space="preserve"> </w:t>
      </w:r>
      <w:r>
        <w:rPr>
          <w:rFonts w:ascii="Arial Narrow" w:hAnsi="Arial Narrow" w:cs="Tahoma"/>
          <w:sz w:val="22"/>
        </w:rPr>
        <w:t>while average monthly gross wage was</w:t>
      </w:r>
      <w:r w:rsidR="00E33D13" w:rsidRPr="00AB2D0C">
        <w:rPr>
          <w:rFonts w:ascii="Arial Narrow" w:hAnsi="Arial Narrow" w:cs="Tahoma"/>
          <w:sz w:val="22"/>
          <w:lang w:val="ru-RU"/>
        </w:rPr>
        <w:t xml:space="preserve"> </w:t>
      </w:r>
      <w:r>
        <w:rPr>
          <w:rFonts w:ascii="Arial Narrow" w:hAnsi="Arial Narrow" w:cs="Tahoma"/>
          <w:sz w:val="22"/>
          <w:lang w:val="sr-Cyrl-CS"/>
        </w:rPr>
        <w:t>1,</w:t>
      </w:r>
      <w:r w:rsidR="00E33D13" w:rsidRPr="00AB2D0C">
        <w:rPr>
          <w:rFonts w:ascii="Arial Narrow" w:hAnsi="Arial Narrow" w:cs="Tahoma"/>
          <w:sz w:val="22"/>
          <w:lang w:val="sr-Cyrl-CS"/>
        </w:rPr>
        <w:t>3</w:t>
      </w:r>
      <w:r w:rsidR="00F912E6" w:rsidRPr="00AB2D0C">
        <w:rPr>
          <w:rFonts w:ascii="Arial Narrow" w:hAnsi="Arial Narrow" w:cs="Tahoma"/>
          <w:sz w:val="22"/>
          <w:lang w:val="sr-Cyrl-CS"/>
        </w:rPr>
        <w:t>30</w:t>
      </w:r>
      <w:r w:rsidR="00F0781C" w:rsidRPr="00AB2D0C">
        <w:rPr>
          <w:rFonts w:ascii="Arial Narrow" w:hAnsi="Arial Narrow" w:cs="Tahoma"/>
          <w:sz w:val="22"/>
          <w:lang w:val="sr-Cyrl-CS"/>
        </w:rPr>
        <w:t xml:space="preserve"> </w:t>
      </w:r>
      <w:r w:rsidR="00E33D13" w:rsidRPr="00AB2D0C">
        <w:rPr>
          <w:rFonts w:ascii="Arial Narrow" w:hAnsi="Arial Narrow" w:cs="Tahoma"/>
          <w:sz w:val="22"/>
          <w:lang w:val="sr-Cyrl-CS"/>
        </w:rPr>
        <w:t>КМ.</w:t>
      </w:r>
      <w:r w:rsidR="00B82005" w:rsidRPr="00AB2D0C">
        <w:rPr>
          <w:rFonts w:ascii="Arial Narrow" w:hAnsi="Arial Narrow" w:cs="Tahoma"/>
          <w:sz w:val="22"/>
          <w:lang w:val="sr-Cyrl-CS"/>
        </w:rPr>
        <w:t xml:space="preserve"> </w:t>
      </w:r>
    </w:p>
    <w:p w:rsidR="00B82005" w:rsidRPr="00AB2D0C" w:rsidRDefault="00B82005" w:rsidP="00F17452">
      <w:pPr>
        <w:tabs>
          <w:tab w:val="left" w:pos="1134"/>
        </w:tabs>
        <w:ind w:firstLine="720"/>
        <w:jc w:val="both"/>
        <w:rPr>
          <w:rFonts w:ascii="Arial Narrow" w:hAnsi="Arial Narrow" w:cs="Tahoma"/>
          <w:sz w:val="22"/>
          <w:lang w:val="sr-Cyrl-CS"/>
        </w:rPr>
      </w:pPr>
    </w:p>
    <w:p w:rsidR="00FD36FE" w:rsidRPr="00FD36FE" w:rsidRDefault="00FD36F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Average net wage paid in July 2017, compared to June 2017, was really 0.6% higher, while compared to July 2016 it was really 1.2% lower. </w:t>
      </w:r>
    </w:p>
    <w:p w:rsidR="00443D15" w:rsidRDefault="00443D15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E84638" w:rsidRDefault="00E84638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In July 2017, the highest average wage, by section of economic activities, was paid in the section </w:t>
      </w:r>
      <w:r w:rsidRPr="00E84638">
        <w:rPr>
          <w:rFonts w:ascii="Arial Narrow" w:hAnsi="Arial Narrow" w:cs="Tahoma"/>
          <w:i/>
          <w:sz w:val="22"/>
        </w:rPr>
        <w:t>Financial and insurance activities</w:t>
      </w:r>
      <w:r>
        <w:rPr>
          <w:rFonts w:ascii="Arial Narrow" w:hAnsi="Arial Narrow" w:cs="Tahoma"/>
          <w:sz w:val="22"/>
        </w:rPr>
        <w:t>, and it amounted to 1,385 KM. On the other hand, the l</w:t>
      </w:r>
      <w:r w:rsidRPr="00E84638">
        <w:rPr>
          <w:rFonts w:ascii="Arial Narrow" w:hAnsi="Arial Narrow" w:cs="Tahoma"/>
          <w:sz w:val="22"/>
        </w:rPr>
        <w:t xml:space="preserve">owest average net wage in </w:t>
      </w:r>
      <w:r>
        <w:rPr>
          <w:rFonts w:ascii="Arial Narrow" w:hAnsi="Arial Narrow" w:cs="Tahoma"/>
          <w:sz w:val="22"/>
        </w:rPr>
        <w:t>July</w:t>
      </w:r>
      <w:r w:rsidRPr="00E84638">
        <w:rPr>
          <w:rFonts w:ascii="Arial Narrow" w:hAnsi="Arial Narrow" w:cs="Tahoma"/>
          <w:sz w:val="22"/>
        </w:rPr>
        <w:t xml:space="preserve"> 2017 was the one paid in the section</w:t>
      </w:r>
      <w:r>
        <w:rPr>
          <w:rFonts w:ascii="Arial Narrow" w:hAnsi="Arial Narrow" w:cs="Tahoma"/>
          <w:sz w:val="22"/>
        </w:rPr>
        <w:t xml:space="preserve"> </w:t>
      </w:r>
      <w:r w:rsidRPr="00E84638">
        <w:rPr>
          <w:rFonts w:ascii="Arial Narrow" w:hAnsi="Arial Narrow" w:cs="Tahoma"/>
          <w:i/>
          <w:sz w:val="22"/>
        </w:rPr>
        <w:t>Administrative and support service activities</w:t>
      </w:r>
      <w:r>
        <w:rPr>
          <w:rFonts w:ascii="Arial Narrow" w:hAnsi="Arial Narrow" w:cs="Tahoma"/>
          <w:sz w:val="22"/>
        </w:rPr>
        <w:t xml:space="preserve"> 541 KM. </w:t>
      </w:r>
    </w:p>
    <w:p w:rsidR="00FB5CA0" w:rsidRDefault="00FB5CA0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FB5CA0" w:rsidRPr="00FB5CA0" w:rsidRDefault="00FB5CA0" w:rsidP="00FB5CA0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FB5CA0">
        <w:rPr>
          <w:rFonts w:ascii="Arial Narrow" w:hAnsi="Arial Narrow" w:cs="Tahoma"/>
          <w:sz w:val="22"/>
        </w:rPr>
        <w:t xml:space="preserve">In </w:t>
      </w:r>
      <w:r>
        <w:rPr>
          <w:rFonts w:ascii="Arial Narrow" w:hAnsi="Arial Narrow" w:cs="Tahoma"/>
          <w:sz w:val="22"/>
        </w:rPr>
        <w:t>July</w:t>
      </w:r>
      <w:r w:rsidRPr="00FB5CA0">
        <w:rPr>
          <w:rFonts w:ascii="Arial Narrow" w:hAnsi="Arial Narrow" w:cs="Tahoma"/>
          <w:sz w:val="22"/>
        </w:rPr>
        <w:t xml:space="preserve"> 2017, compared to </w:t>
      </w:r>
      <w:r>
        <w:rPr>
          <w:rFonts w:ascii="Arial Narrow" w:hAnsi="Arial Narrow" w:cs="Tahoma"/>
          <w:sz w:val="22"/>
        </w:rPr>
        <w:t>June</w:t>
      </w:r>
      <w:r w:rsidRPr="00FB5CA0">
        <w:rPr>
          <w:rFonts w:ascii="Arial Narrow" w:hAnsi="Arial Narrow" w:cs="Tahoma"/>
          <w:sz w:val="22"/>
        </w:rPr>
        <w:t xml:space="preserve"> 2017, a nominal increase in net wages was recorded in the sections </w:t>
      </w:r>
      <w:r>
        <w:rPr>
          <w:rFonts w:ascii="Arial Narrow" w:hAnsi="Arial Narrow" w:cs="Tahoma"/>
          <w:i/>
          <w:sz w:val="22"/>
        </w:rPr>
        <w:t>Financial and insurance activities</w:t>
      </w:r>
      <w:r>
        <w:rPr>
          <w:rFonts w:ascii="Arial Narrow" w:hAnsi="Arial Narrow" w:cs="Tahoma"/>
          <w:sz w:val="22"/>
        </w:rPr>
        <w:t xml:space="preserve"> 6.5</w:t>
      </w:r>
      <w:r w:rsidRPr="00FB5CA0">
        <w:rPr>
          <w:rFonts w:ascii="Arial Narrow" w:hAnsi="Arial Narrow" w:cs="Tahoma"/>
          <w:sz w:val="22"/>
        </w:rPr>
        <w:t xml:space="preserve">%, </w:t>
      </w:r>
      <w:r>
        <w:rPr>
          <w:rFonts w:ascii="Arial Narrow" w:hAnsi="Arial Narrow" w:cs="Tahoma"/>
          <w:i/>
          <w:sz w:val="22"/>
        </w:rPr>
        <w:t xml:space="preserve">Public administration and </w:t>
      </w:r>
      <w:proofErr w:type="spellStart"/>
      <w:r>
        <w:rPr>
          <w:rFonts w:ascii="Arial Narrow" w:hAnsi="Arial Narrow" w:cs="Tahoma"/>
          <w:i/>
          <w:sz w:val="22"/>
        </w:rPr>
        <w:t>defence</w:t>
      </w:r>
      <w:proofErr w:type="spellEnd"/>
      <w:r>
        <w:rPr>
          <w:rFonts w:ascii="Arial Narrow" w:hAnsi="Arial Narrow" w:cs="Tahoma"/>
          <w:i/>
          <w:sz w:val="22"/>
        </w:rPr>
        <w:t>; compulsory social security</w:t>
      </w:r>
      <w:r>
        <w:rPr>
          <w:rFonts w:ascii="Arial Narrow" w:hAnsi="Arial Narrow" w:cs="Tahoma"/>
          <w:sz w:val="22"/>
        </w:rPr>
        <w:t xml:space="preserve"> 1.8</w:t>
      </w:r>
      <w:r w:rsidRPr="00FB5CA0">
        <w:rPr>
          <w:rFonts w:ascii="Arial Narrow" w:hAnsi="Arial Narrow" w:cs="Tahoma"/>
          <w:sz w:val="22"/>
        </w:rPr>
        <w:t xml:space="preserve">% and </w:t>
      </w:r>
      <w:r>
        <w:rPr>
          <w:rFonts w:ascii="Arial Narrow" w:hAnsi="Arial Narrow" w:cs="Tahoma"/>
          <w:i/>
          <w:sz w:val="22"/>
        </w:rPr>
        <w:t>Human health and social work activities</w:t>
      </w:r>
      <w:r w:rsidRPr="00FB5CA0">
        <w:rPr>
          <w:rFonts w:ascii="Arial Narrow" w:hAnsi="Arial Narrow" w:cs="Tahoma"/>
          <w:sz w:val="22"/>
        </w:rPr>
        <w:t xml:space="preserve"> 1.3%.</w:t>
      </w:r>
    </w:p>
    <w:p w:rsidR="00FB5CA0" w:rsidRPr="00E84638" w:rsidRDefault="00FB5CA0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FF3EA0" w:rsidRPr="00FB5CA0" w:rsidRDefault="00FB5CA0" w:rsidP="00E33D13">
      <w:pPr>
        <w:jc w:val="both"/>
        <w:rPr>
          <w:rFonts w:ascii="Arial Narrow" w:hAnsi="Arial Narrow" w:cs="Tahoma"/>
          <w:sz w:val="22"/>
        </w:rPr>
      </w:pPr>
      <w:r w:rsidRPr="00FB5CA0">
        <w:rPr>
          <w:rFonts w:ascii="Arial Narrow" w:hAnsi="Arial Narrow" w:cs="Tahoma"/>
          <w:sz w:val="22"/>
          <w:szCs w:val="22"/>
        </w:rPr>
        <w:t xml:space="preserve">A decrease in nominal wages was recorded in the sections </w:t>
      </w:r>
      <w:r>
        <w:rPr>
          <w:rFonts w:ascii="Arial Narrow" w:hAnsi="Arial Narrow" w:cs="Tahoma"/>
          <w:i/>
          <w:sz w:val="22"/>
          <w:szCs w:val="22"/>
        </w:rPr>
        <w:t>Real estate activities</w:t>
      </w:r>
      <w:r>
        <w:rPr>
          <w:rFonts w:ascii="Arial Narrow" w:hAnsi="Arial Narrow" w:cs="Tahoma"/>
          <w:sz w:val="22"/>
          <w:szCs w:val="22"/>
        </w:rPr>
        <w:t xml:space="preserve"> 4.3</w:t>
      </w:r>
      <w:r w:rsidRPr="00FB5CA0">
        <w:rPr>
          <w:rFonts w:ascii="Arial Narrow" w:hAnsi="Arial Narrow" w:cs="Tahoma"/>
          <w:sz w:val="22"/>
          <w:szCs w:val="22"/>
        </w:rPr>
        <w:t xml:space="preserve">%, </w:t>
      </w:r>
      <w:r>
        <w:rPr>
          <w:rFonts w:ascii="Arial Narrow" w:hAnsi="Arial Narrow" w:cs="Tahoma"/>
          <w:i/>
          <w:sz w:val="22"/>
          <w:szCs w:val="22"/>
        </w:rPr>
        <w:t>Administrative and support service activities</w:t>
      </w:r>
      <w:r w:rsidRPr="00FB5CA0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>3.0</w:t>
      </w:r>
      <w:r w:rsidRPr="00FB5CA0">
        <w:rPr>
          <w:rFonts w:ascii="Arial Narrow" w:hAnsi="Arial Narrow" w:cs="Tahoma"/>
          <w:sz w:val="22"/>
          <w:szCs w:val="22"/>
        </w:rPr>
        <w:t xml:space="preserve">% and </w:t>
      </w:r>
      <w:r>
        <w:rPr>
          <w:rFonts w:ascii="Arial Narrow" w:hAnsi="Arial Narrow" w:cs="Tahoma"/>
          <w:i/>
          <w:sz w:val="22"/>
          <w:szCs w:val="22"/>
        </w:rPr>
        <w:t>Professional, scientific and technical activities</w:t>
      </w:r>
      <w:r>
        <w:rPr>
          <w:rFonts w:ascii="Arial Narrow" w:hAnsi="Arial Narrow" w:cs="Tahoma"/>
          <w:sz w:val="22"/>
          <w:szCs w:val="22"/>
        </w:rPr>
        <w:t xml:space="preserve"> 2</w:t>
      </w:r>
      <w:r w:rsidRPr="00FB5CA0">
        <w:rPr>
          <w:rFonts w:ascii="Arial Narrow" w:hAnsi="Arial Narrow" w:cs="Tahoma"/>
          <w:sz w:val="22"/>
          <w:szCs w:val="22"/>
        </w:rPr>
        <w:t xml:space="preserve">.8%. </w:t>
      </w:r>
    </w:p>
    <w:p w:rsidR="00E33D13" w:rsidRPr="00AB2D0C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396802" w:rsidRPr="00AB2D0C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AB2D0C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AB2D0C">
        <w:rPr>
          <w:rFonts w:ascii="Tahoma" w:hAnsi="Tahoma" w:cs="Tahoma"/>
          <w:i/>
          <w:sz w:val="14"/>
          <w:lang w:val="sr-Cyrl-CS"/>
        </w:rPr>
        <w:t xml:space="preserve"> </w:t>
      </w:r>
      <w:r w:rsidRPr="00AB2D0C">
        <w:rPr>
          <w:rFonts w:ascii="Tahoma" w:hAnsi="Tahoma" w:cs="Tahoma"/>
          <w:sz w:val="14"/>
          <w:lang w:val="sr-Cyrl-CS"/>
        </w:rPr>
        <w:t xml:space="preserve">   </w:t>
      </w:r>
      <w:r w:rsidRPr="00AB2D0C">
        <w:rPr>
          <w:rFonts w:ascii="Tahoma" w:hAnsi="Tahoma" w:cs="Tahoma"/>
          <w:sz w:val="14"/>
          <w:lang w:val="sr-Latn-CS"/>
        </w:rPr>
        <w:tab/>
      </w:r>
      <w:r w:rsidRPr="00AB2D0C">
        <w:rPr>
          <w:rFonts w:ascii="Tahoma" w:hAnsi="Tahoma" w:cs="Tahoma"/>
          <w:sz w:val="14"/>
          <w:lang w:val="sr-Latn-CS"/>
        </w:rPr>
        <w:tab/>
      </w:r>
      <w:r w:rsidRPr="00AB2D0C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AB2D0C">
        <w:rPr>
          <w:rFonts w:ascii="Tahoma" w:hAnsi="Tahoma" w:cs="Tahoma"/>
          <w:sz w:val="14"/>
          <w:lang w:val="sr-Cyrl-BA"/>
        </w:rPr>
        <w:t xml:space="preserve">   </w:t>
      </w:r>
      <w:r w:rsidRPr="00AB2D0C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E33D13" w:rsidRPr="00AB2D0C" w:rsidRDefault="00F63259" w:rsidP="00E33D13">
      <w:pPr>
        <w:jc w:val="center"/>
        <w:rPr>
          <w:rFonts w:ascii="Tahoma" w:hAnsi="Tahoma" w:cs="Tahoma"/>
          <w:lang w:val="sr-Cyrl-BA"/>
        </w:rPr>
      </w:pPr>
      <w:r w:rsidRPr="00AB2D0C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1004240</wp:posOffset>
            </wp:positionH>
            <wp:positionV relativeFrom="paragraph">
              <wp:posOffset>2049145</wp:posOffset>
            </wp:positionV>
            <wp:extent cx="4504690" cy="461010"/>
            <wp:effectExtent l="0" t="0" r="0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D13" w:rsidRPr="00AB2D0C">
        <w:rPr>
          <w:rFonts w:ascii="Tahoma" w:hAnsi="Tahoma" w:cs="Tahoma"/>
          <w:szCs w:val="18"/>
          <w:lang w:val="sr-Cyrl-BA"/>
        </w:rPr>
        <w:t xml:space="preserve">  </w:t>
      </w:r>
      <w:r w:rsidRPr="00AB2D0C">
        <w:rPr>
          <w:noProof/>
        </w:rPr>
        <w:drawing>
          <wp:inline distT="0" distB="0" distL="0" distR="0">
            <wp:extent cx="4572000" cy="2743200"/>
            <wp:effectExtent l="0" t="0" r="0" b="0"/>
            <wp:docPr id="15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AB2D0C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697253" w:rsidRDefault="00697253" w:rsidP="00E33D13">
      <w:pPr>
        <w:jc w:val="center"/>
        <w:outlineLvl w:val="0"/>
        <w:rPr>
          <w:rFonts w:ascii="Arial Narrow" w:hAnsi="Arial Narrow" w:cs="Tahoma"/>
          <w:sz w:val="16"/>
          <w:szCs w:val="22"/>
        </w:rPr>
      </w:pPr>
      <w:r>
        <w:rPr>
          <w:rFonts w:ascii="Arial Narrow" w:hAnsi="Arial Narrow" w:cs="Tahoma"/>
          <w:sz w:val="16"/>
          <w:szCs w:val="22"/>
        </w:rPr>
        <w:t>Graph</w:t>
      </w:r>
      <w:r w:rsidR="00E33D13" w:rsidRPr="00AB2D0C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="0066022A" w:rsidRPr="00AB2D0C">
        <w:rPr>
          <w:rFonts w:ascii="Arial Narrow" w:hAnsi="Arial Narrow" w:cs="Tahoma"/>
          <w:sz w:val="16"/>
          <w:szCs w:val="22"/>
          <w:lang w:val="sr-Latn-BA"/>
        </w:rPr>
        <w:t>1</w:t>
      </w:r>
      <w:r w:rsidR="00E33D13" w:rsidRPr="00AB2D0C">
        <w:rPr>
          <w:rFonts w:ascii="Arial Narrow" w:hAnsi="Arial Narrow" w:cs="Tahoma"/>
          <w:sz w:val="16"/>
          <w:szCs w:val="22"/>
          <w:lang w:val="sr-Cyrl-CS"/>
        </w:rPr>
        <w:t>.</w:t>
      </w:r>
      <w:r w:rsidR="00E33D13" w:rsidRPr="00AB2D0C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>
        <w:rPr>
          <w:rFonts w:ascii="Arial Narrow" w:hAnsi="Arial Narrow" w:cs="Tahoma"/>
          <w:sz w:val="16"/>
          <w:szCs w:val="22"/>
        </w:rPr>
        <w:t>Average net wages of employed persons by month</w:t>
      </w:r>
    </w:p>
    <w:p w:rsidR="00BE051D" w:rsidRPr="00AB2D0C" w:rsidRDefault="00BE051D">
      <w:pPr>
        <w:rPr>
          <w:rFonts w:ascii="Arial Narrow" w:hAnsi="Arial Narrow" w:cs="Tahoma"/>
          <w:sz w:val="22"/>
          <w:lang w:val="sr-Latn-BA"/>
        </w:rPr>
      </w:pPr>
    </w:p>
    <w:p w:rsidR="006577DF" w:rsidRPr="00AB2D0C" w:rsidRDefault="006577DF" w:rsidP="003C35DD">
      <w:pPr>
        <w:rPr>
          <w:rFonts w:ascii="Arial Narrow" w:hAnsi="Arial Narrow" w:cs="Tahoma"/>
          <w:b/>
          <w:sz w:val="30"/>
          <w:szCs w:val="30"/>
          <w:lang w:val="sr-Cyrl-CS"/>
        </w:rPr>
      </w:pPr>
    </w:p>
    <w:p w:rsidR="006577DF" w:rsidRPr="00AB2D0C" w:rsidRDefault="006577DF" w:rsidP="003C35DD">
      <w:pPr>
        <w:rPr>
          <w:rFonts w:ascii="Arial Narrow" w:hAnsi="Arial Narrow" w:cs="Tahoma"/>
          <w:b/>
          <w:sz w:val="30"/>
          <w:szCs w:val="30"/>
          <w:lang w:val="sr-Cyrl-CS"/>
        </w:rPr>
      </w:pPr>
    </w:p>
    <w:p w:rsidR="006577DF" w:rsidRPr="00AB2D0C" w:rsidRDefault="006577DF" w:rsidP="003C35DD">
      <w:pPr>
        <w:rPr>
          <w:rFonts w:ascii="Arial Narrow" w:hAnsi="Arial Narrow" w:cs="Tahoma"/>
          <w:b/>
          <w:sz w:val="30"/>
          <w:szCs w:val="30"/>
          <w:lang w:val="sr-Cyrl-CS"/>
        </w:rPr>
      </w:pPr>
    </w:p>
    <w:p w:rsidR="00984E8A" w:rsidRPr="00AB2D0C" w:rsidRDefault="00984E8A" w:rsidP="003C35DD">
      <w:pPr>
        <w:rPr>
          <w:rFonts w:ascii="Arial Narrow" w:hAnsi="Arial Narrow" w:cs="Tahoma"/>
          <w:b/>
          <w:sz w:val="30"/>
          <w:szCs w:val="30"/>
          <w:lang w:val="sr-Cyrl-BA"/>
        </w:rPr>
      </w:pPr>
    </w:p>
    <w:p w:rsidR="00984E8A" w:rsidRPr="00AB2D0C" w:rsidRDefault="00984E8A" w:rsidP="003C35DD">
      <w:pPr>
        <w:rPr>
          <w:rFonts w:ascii="Arial Narrow" w:hAnsi="Arial Narrow" w:cs="Tahoma"/>
          <w:b/>
          <w:sz w:val="30"/>
          <w:szCs w:val="30"/>
          <w:lang w:val="sr-Cyrl-BA"/>
        </w:rPr>
      </w:pPr>
    </w:p>
    <w:p w:rsidR="00625E3C" w:rsidRPr="00E06B95" w:rsidRDefault="00E06B95" w:rsidP="00625E3C">
      <w:pPr>
        <w:rPr>
          <w:rFonts w:ascii="Arial Narrow" w:hAnsi="Arial Narrow" w:cs="Tahoma"/>
          <w:b/>
          <w:sz w:val="32"/>
          <w:szCs w:val="22"/>
        </w:rPr>
      </w:pPr>
      <w:r>
        <w:rPr>
          <w:rFonts w:ascii="Arial Narrow" w:hAnsi="Arial Narrow" w:cs="Tahoma"/>
          <w:b/>
          <w:sz w:val="32"/>
          <w:szCs w:val="22"/>
        </w:rPr>
        <w:t>Monthly inflation</w:t>
      </w:r>
      <w:r w:rsidR="00625E3C" w:rsidRPr="005261CF">
        <w:rPr>
          <w:rFonts w:ascii="Arial Narrow" w:hAnsi="Arial Narrow" w:cs="Tahoma"/>
          <w:b/>
          <w:sz w:val="32"/>
          <w:szCs w:val="22"/>
          <w:lang w:val="sr-Cyrl-BA"/>
        </w:rPr>
        <w:t xml:space="preserve"> </w:t>
      </w:r>
      <w:r>
        <w:rPr>
          <w:rFonts w:ascii="Arial Narrow" w:hAnsi="Arial Narrow" w:cs="Tahoma"/>
          <w:b/>
          <w:sz w:val="32"/>
          <w:szCs w:val="22"/>
          <w:lang w:val="sr-Cyrl-BA"/>
        </w:rPr>
        <w:t>-0.</w:t>
      </w:r>
      <w:r w:rsidR="00625E3C" w:rsidRPr="005261CF">
        <w:rPr>
          <w:rFonts w:ascii="Arial Narrow" w:hAnsi="Arial Narrow" w:cs="Tahoma"/>
          <w:b/>
          <w:sz w:val="32"/>
          <w:szCs w:val="22"/>
          <w:lang w:val="sr-Cyrl-CS"/>
        </w:rPr>
        <w:t>3</w:t>
      </w:r>
      <w:r w:rsidR="00625E3C" w:rsidRPr="005261CF">
        <w:rPr>
          <w:rFonts w:ascii="Arial Narrow" w:hAnsi="Arial Narrow" w:cs="Tahoma"/>
          <w:b/>
          <w:sz w:val="32"/>
          <w:szCs w:val="22"/>
          <w:lang w:val="sr-Cyrl-BA"/>
        </w:rPr>
        <w:t>%</w:t>
      </w:r>
      <w:r>
        <w:rPr>
          <w:rFonts w:ascii="Arial Narrow" w:hAnsi="Arial Narrow" w:cs="Tahoma"/>
          <w:b/>
          <w:sz w:val="32"/>
          <w:szCs w:val="22"/>
        </w:rPr>
        <w:t xml:space="preserve"> in July 2017</w:t>
      </w:r>
    </w:p>
    <w:p w:rsidR="00625E3C" w:rsidRPr="005261CF" w:rsidRDefault="00E06B95" w:rsidP="00625E3C">
      <w:pPr>
        <w:rPr>
          <w:rFonts w:ascii="Arial Narrow" w:hAnsi="Arial Narrow" w:cs="Tahoma"/>
          <w:b/>
          <w:sz w:val="32"/>
          <w:szCs w:val="22"/>
          <w:lang w:val="sr-Cyrl-CS"/>
        </w:rPr>
      </w:pPr>
      <w:r>
        <w:rPr>
          <w:rFonts w:ascii="Arial Narrow" w:hAnsi="Arial Narrow" w:cs="Tahoma"/>
          <w:b/>
          <w:sz w:val="32"/>
          <w:szCs w:val="22"/>
        </w:rPr>
        <w:t>Annual inflation</w:t>
      </w:r>
      <w:r>
        <w:rPr>
          <w:rFonts w:ascii="Arial Narrow" w:hAnsi="Arial Narrow" w:cs="Tahoma"/>
          <w:b/>
          <w:sz w:val="32"/>
          <w:szCs w:val="22"/>
          <w:lang w:val="sr-Cyrl-BA"/>
        </w:rPr>
        <w:t xml:space="preserve"> (July 2017/July 2016) 0.</w:t>
      </w:r>
      <w:r w:rsidR="00625E3C" w:rsidRPr="005261CF">
        <w:rPr>
          <w:rFonts w:ascii="Arial Narrow" w:hAnsi="Arial Narrow" w:cs="Tahoma"/>
          <w:b/>
          <w:sz w:val="32"/>
          <w:szCs w:val="22"/>
          <w:lang w:val="sr-Cyrl-BA"/>
        </w:rPr>
        <w:t>3%</w:t>
      </w:r>
    </w:p>
    <w:p w:rsidR="00625E3C" w:rsidRPr="00AB2D0C" w:rsidRDefault="00625E3C" w:rsidP="00625E3C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DF3391" w:rsidRDefault="00DF3391" w:rsidP="00625E3C">
      <w:pPr>
        <w:jc w:val="both"/>
        <w:rPr>
          <w:rFonts w:ascii="Arial Narrow" w:hAnsi="Arial Narrow" w:cs="Tahoma"/>
          <w:sz w:val="22"/>
        </w:rPr>
      </w:pPr>
      <w:r w:rsidRPr="00DF3391">
        <w:rPr>
          <w:rFonts w:ascii="Arial Narrow" w:hAnsi="Arial Narrow" w:cs="Tahoma"/>
          <w:sz w:val="22"/>
        </w:rPr>
        <w:t xml:space="preserve">Prices of products and services for personal consumption in </w:t>
      </w:r>
      <w:proofErr w:type="spellStart"/>
      <w:r w:rsidRPr="00DF3391">
        <w:rPr>
          <w:rFonts w:ascii="Arial Narrow" w:hAnsi="Arial Narrow" w:cs="Tahoma"/>
          <w:sz w:val="22"/>
        </w:rPr>
        <w:t>Republika</w:t>
      </w:r>
      <w:proofErr w:type="spellEnd"/>
      <w:r w:rsidRPr="00DF3391">
        <w:rPr>
          <w:rFonts w:ascii="Arial Narrow" w:hAnsi="Arial Narrow" w:cs="Tahoma"/>
          <w:sz w:val="22"/>
        </w:rPr>
        <w:t xml:space="preserve"> </w:t>
      </w:r>
      <w:proofErr w:type="spellStart"/>
      <w:r w:rsidRPr="00DF3391">
        <w:rPr>
          <w:rFonts w:ascii="Arial Narrow" w:hAnsi="Arial Narrow" w:cs="Tahoma"/>
          <w:sz w:val="22"/>
        </w:rPr>
        <w:t>Srpska</w:t>
      </w:r>
      <w:proofErr w:type="spellEnd"/>
      <w:r w:rsidRPr="00DF3391">
        <w:rPr>
          <w:rFonts w:ascii="Arial Narrow" w:hAnsi="Arial Narrow" w:cs="Tahoma"/>
          <w:sz w:val="22"/>
        </w:rPr>
        <w:t xml:space="preserve">, measured with the consumer price index, in </w:t>
      </w:r>
      <w:r>
        <w:rPr>
          <w:rFonts w:ascii="Arial Narrow" w:hAnsi="Arial Narrow" w:cs="Tahoma"/>
          <w:sz w:val="22"/>
        </w:rPr>
        <w:t>July</w:t>
      </w:r>
      <w:r w:rsidRPr="00DF3391">
        <w:rPr>
          <w:rFonts w:ascii="Arial Narrow" w:hAnsi="Arial Narrow" w:cs="Tahoma"/>
          <w:sz w:val="22"/>
        </w:rPr>
        <w:t xml:space="preserve"> 2017, compared to the previous month, were </w:t>
      </w:r>
      <w:r>
        <w:rPr>
          <w:rFonts w:ascii="Arial Narrow" w:hAnsi="Arial Narrow" w:cs="Tahoma"/>
          <w:sz w:val="22"/>
        </w:rPr>
        <w:t>on the average 0.3% lower, while they were 0.3</w:t>
      </w:r>
      <w:r w:rsidRPr="00DF3391">
        <w:rPr>
          <w:rFonts w:ascii="Arial Narrow" w:hAnsi="Arial Narrow" w:cs="Tahoma"/>
          <w:sz w:val="22"/>
        </w:rPr>
        <w:t>% higher at the annual level</w:t>
      </w:r>
      <w:r>
        <w:rPr>
          <w:rFonts w:ascii="Arial Narrow" w:hAnsi="Arial Narrow" w:cs="Tahoma"/>
          <w:sz w:val="22"/>
        </w:rPr>
        <w:t>.</w:t>
      </w:r>
    </w:p>
    <w:p w:rsidR="00DF3391" w:rsidRDefault="00DF3391" w:rsidP="00625E3C">
      <w:pPr>
        <w:jc w:val="both"/>
        <w:rPr>
          <w:rFonts w:ascii="Arial Narrow" w:hAnsi="Arial Narrow" w:cs="Tahoma"/>
          <w:sz w:val="22"/>
        </w:rPr>
      </w:pPr>
    </w:p>
    <w:p w:rsidR="00DF3391" w:rsidRDefault="00DF3391" w:rsidP="00625E3C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DF3391">
        <w:rPr>
          <w:rFonts w:ascii="Arial Narrow" w:hAnsi="Arial Narrow" w:cs="Tahoma"/>
          <w:sz w:val="22"/>
        </w:rPr>
        <w:t xml:space="preserve">Of the 12 main divisions of products and services, an increase in prices was recorded in </w:t>
      </w:r>
      <w:r>
        <w:rPr>
          <w:rFonts w:ascii="Arial Narrow" w:hAnsi="Arial Narrow" w:cs="Tahoma"/>
          <w:sz w:val="22"/>
        </w:rPr>
        <w:t>four</w:t>
      </w:r>
      <w:r w:rsidRPr="00DF3391">
        <w:rPr>
          <w:rFonts w:ascii="Arial Narrow" w:hAnsi="Arial Narrow" w:cs="Tahoma"/>
          <w:sz w:val="22"/>
        </w:rPr>
        <w:t xml:space="preserve"> divisions, a decrease was recorded in four divisions, while prices in </w:t>
      </w:r>
      <w:r>
        <w:rPr>
          <w:rFonts w:ascii="Arial Narrow" w:hAnsi="Arial Narrow" w:cs="Tahoma"/>
          <w:sz w:val="22"/>
        </w:rPr>
        <w:t>four</w:t>
      </w:r>
      <w:r w:rsidRPr="00DF3391">
        <w:rPr>
          <w:rFonts w:ascii="Arial Narrow" w:hAnsi="Arial Narrow" w:cs="Tahoma"/>
          <w:sz w:val="22"/>
        </w:rPr>
        <w:t xml:space="preserve"> divisions remained on the average at the same leve</w:t>
      </w:r>
      <w:r>
        <w:rPr>
          <w:rFonts w:ascii="Arial Narrow" w:hAnsi="Arial Narrow" w:cs="Tahoma"/>
          <w:sz w:val="22"/>
        </w:rPr>
        <w:t>l.</w:t>
      </w:r>
    </w:p>
    <w:p w:rsidR="00625E3C" w:rsidRPr="00AB2D0C" w:rsidRDefault="00625E3C" w:rsidP="00625E3C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625E3C" w:rsidRDefault="00E528A6" w:rsidP="00625E3C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The highest increase in prices in July was recorded in the division </w:t>
      </w:r>
      <w:r w:rsidRPr="005043ED">
        <w:rPr>
          <w:rFonts w:ascii="Arial Narrow" w:hAnsi="Arial Narrow" w:cs="Tahoma"/>
          <w:i/>
          <w:sz w:val="22"/>
          <w:szCs w:val="22"/>
        </w:rPr>
        <w:t>Alcoholic beverages and tobacco</w:t>
      </w:r>
      <w:r>
        <w:rPr>
          <w:rFonts w:ascii="Arial Narrow" w:hAnsi="Arial Narrow" w:cs="Tahoma"/>
          <w:sz w:val="22"/>
          <w:szCs w:val="22"/>
        </w:rPr>
        <w:t xml:space="preserve"> (2.2%), due to an increase in prices of cigarettes by 2.7%. Higher prices were also recorded in the division </w:t>
      </w:r>
      <w:r w:rsidRPr="005043ED">
        <w:rPr>
          <w:rFonts w:ascii="Arial Narrow" w:hAnsi="Arial Narrow" w:cs="Tahoma"/>
          <w:i/>
          <w:sz w:val="22"/>
          <w:szCs w:val="22"/>
        </w:rPr>
        <w:t>Recreation and culture</w:t>
      </w:r>
      <w:r>
        <w:rPr>
          <w:rFonts w:ascii="Arial Narrow" w:hAnsi="Arial Narrow" w:cs="Tahoma"/>
          <w:sz w:val="22"/>
          <w:szCs w:val="22"/>
        </w:rPr>
        <w:t xml:space="preserve"> (0.4%), due to an increase in prices in the group travel arrangements by 22.2%, in the division </w:t>
      </w:r>
      <w:r w:rsidRPr="005043ED">
        <w:rPr>
          <w:rFonts w:ascii="Arial Narrow" w:hAnsi="Arial Narrow" w:cs="Tahoma"/>
          <w:i/>
          <w:sz w:val="22"/>
          <w:szCs w:val="22"/>
        </w:rPr>
        <w:t>Health care</w:t>
      </w:r>
      <w:r>
        <w:rPr>
          <w:rFonts w:ascii="Arial Narrow" w:hAnsi="Arial Narrow" w:cs="Tahoma"/>
          <w:sz w:val="22"/>
          <w:szCs w:val="22"/>
        </w:rPr>
        <w:t xml:space="preserve"> (0.2%), due to an increase in prices recorded in the group pharmaceutical products by 0.3%, and in the division </w:t>
      </w:r>
      <w:r w:rsidRPr="005043ED">
        <w:rPr>
          <w:rFonts w:ascii="Arial Narrow" w:hAnsi="Arial Narrow" w:cs="Tahoma"/>
          <w:i/>
          <w:sz w:val="22"/>
          <w:szCs w:val="22"/>
        </w:rPr>
        <w:t>Furnishing and other equipment</w:t>
      </w:r>
      <w:r>
        <w:rPr>
          <w:rFonts w:ascii="Arial Narrow" w:hAnsi="Arial Narrow" w:cs="Tahoma"/>
          <w:sz w:val="22"/>
          <w:szCs w:val="22"/>
        </w:rPr>
        <w:t xml:space="preserve"> (0.2%), due to an increase in prices in the groups </w:t>
      </w:r>
      <w:r w:rsidR="005043ED">
        <w:rPr>
          <w:rFonts w:ascii="Arial Narrow" w:hAnsi="Arial Narrow" w:cs="Tahoma"/>
          <w:sz w:val="22"/>
          <w:szCs w:val="22"/>
        </w:rPr>
        <w:t xml:space="preserve">carpets and other textile floor coverings by 1.5%, </w:t>
      </w:r>
      <w:r w:rsidR="0095135A">
        <w:rPr>
          <w:rFonts w:ascii="Arial Narrow" w:hAnsi="Arial Narrow" w:cs="Tahoma"/>
          <w:sz w:val="22"/>
          <w:szCs w:val="22"/>
        </w:rPr>
        <w:t xml:space="preserve">household </w:t>
      </w:r>
      <w:r w:rsidR="005043ED">
        <w:rPr>
          <w:rFonts w:ascii="Arial Narrow" w:hAnsi="Arial Narrow" w:cs="Tahoma"/>
          <w:sz w:val="22"/>
          <w:szCs w:val="22"/>
        </w:rPr>
        <w:t xml:space="preserve">cleaning and routine maintenance </w:t>
      </w:r>
      <w:r w:rsidR="0095135A">
        <w:rPr>
          <w:rFonts w:ascii="Arial Narrow" w:hAnsi="Arial Narrow" w:cs="Tahoma"/>
          <w:sz w:val="22"/>
          <w:szCs w:val="22"/>
        </w:rPr>
        <w:t xml:space="preserve">products by 0.4% and kitchen utensils and tableware by 0.4%. </w:t>
      </w:r>
    </w:p>
    <w:p w:rsidR="0095135A" w:rsidRDefault="0095135A" w:rsidP="00625E3C">
      <w:pPr>
        <w:jc w:val="both"/>
        <w:rPr>
          <w:rFonts w:ascii="Arial Narrow" w:hAnsi="Arial Narrow" w:cs="Tahoma"/>
          <w:sz w:val="22"/>
          <w:szCs w:val="22"/>
        </w:rPr>
      </w:pPr>
    </w:p>
    <w:p w:rsidR="0095135A" w:rsidRPr="00E528A6" w:rsidRDefault="0095135A" w:rsidP="00625E3C">
      <w:pPr>
        <w:jc w:val="both"/>
        <w:rPr>
          <w:rFonts w:ascii="Arial Narrow" w:hAnsi="Arial Narrow" w:cs="Tahoma"/>
          <w:sz w:val="22"/>
          <w:szCs w:val="22"/>
        </w:rPr>
      </w:pPr>
      <w:r w:rsidRPr="0095135A">
        <w:rPr>
          <w:rFonts w:ascii="Arial Narrow" w:hAnsi="Arial Narrow" w:cs="Tahoma"/>
          <w:sz w:val="22"/>
          <w:szCs w:val="22"/>
        </w:rPr>
        <w:t xml:space="preserve">In the divisions </w:t>
      </w:r>
      <w:r>
        <w:rPr>
          <w:rFonts w:ascii="Arial Narrow" w:hAnsi="Arial Narrow" w:cs="Tahoma"/>
          <w:i/>
          <w:sz w:val="22"/>
          <w:szCs w:val="22"/>
        </w:rPr>
        <w:t>Housing</w:t>
      </w:r>
      <w:r w:rsidRPr="0095135A">
        <w:rPr>
          <w:rFonts w:ascii="Arial Narrow" w:hAnsi="Arial Narrow" w:cs="Tahoma"/>
          <w:sz w:val="22"/>
          <w:szCs w:val="22"/>
        </w:rPr>
        <w:t xml:space="preserve">, </w:t>
      </w:r>
      <w:r w:rsidRPr="0095135A">
        <w:rPr>
          <w:rFonts w:ascii="Arial Narrow" w:hAnsi="Arial Narrow" w:cs="Tahoma"/>
          <w:i/>
          <w:sz w:val="22"/>
          <w:szCs w:val="22"/>
        </w:rPr>
        <w:t>Communication</w:t>
      </w:r>
      <w:r>
        <w:rPr>
          <w:rFonts w:ascii="Arial Narrow" w:hAnsi="Arial Narrow" w:cs="Tahoma"/>
          <w:sz w:val="22"/>
          <w:szCs w:val="22"/>
        </w:rPr>
        <w:t xml:space="preserve">, </w:t>
      </w:r>
      <w:r w:rsidRPr="0095135A">
        <w:rPr>
          <w:rFonts w:ascii="Arial Narrow" w:hAnsi="Arial Narrow" w:cs="Tahoma"/>
          <w:i/>
          <w:sz w:val="22"/>
          <w:szCs w:val="22"/>
        </w:rPr>
        <w:t>Education</w:t>
      </w:r>
      <w:r w:rsidRPr="0095135A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 xml:space="preserve">and </w:t>
      </w:r>
      <w:r w:rsidRPr="0095135A">
        <w:rPr>
          <w:rFonts w:ascii="Arial Narrow" w:hAnsi="Arial Narrow" w:cs="Tahoma"/>
          <w:i/>
          <w:sz w:val="22"/>
          <w:szCs w:val="22"/>
        </w:rPr>
        <w:t>Restaurants and hotels</w:t>
      </w:r>
      <w:r>
        <w:rPr>
          <w:rFonts w:ascii="Arial Narrow" w:hAnsi="Arial Narrow" w:cs="Tahoma"/>
          <w:sz w:val="22"/>
          <w:szCs w:val="22"/>
        </w:rPr>
        <w:t xml:space="preserve"> </w:t>
      </w:r>
      <w:r w:rsidRPr="0095135A">
        <w:rPr>
          <w:rFonts w:ascii="Arial Narrow" w:hAnsi="Arial Narrow" w:cs="Tahoma"/>
          <w:sz w:val="22"/>
          <w:szCs w:val="22"/>
        </w:rPr>
        <w:t>prices remained on the average at the same level</w:t>
      </w:r>
      <w:r>
        <w:rPr>
          <w:rFonts w:ascii="Arial Narrow" w:hAnsi="Arial Narrow" w:cs="Tahoma"/>
          <w:sz w:val="22"/>
          <w:szCs w:val="22"/>
        </w:rPr>
        <w:t>.</w:t>
      </w:r>
    </w:p>
    <w:p w:rsidR="00625E3C" w:rsidRPr="00AB2D0C" w:rsidRDefault="00625E3C" w:rsidP="00625E3C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625E3C" w:rsidRDefault="00B7494D" w:rsidP="00625E3C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The highest decrease in prices in July was recorded in the division </w:t>
      </w:r>
      <w:r w:rsidRPr="003E3F17">
        <w:rPr>
          <w:rFonts w:ascii="Arial Narrow" w:hAnsi="Arial Narrow" w:cs="Tahoma"/>
          <w:i/>
          <w:sz w:val="22"/>
          <w:szCs w:val="22"/>
        </w:rPr>
        <w:t>Clothing and footwear</w:t>
      </w:r>
      <w:r>
        <w:rPr>
          <w:rFonts w:ascii="Arial Narrow" w:hAnsi="Arial Narrow" w:cs="Tahoma"/>
          <w:sz w:val="22"/>
          <w:szCs w:val="22"/>
        </w:rPr>
        <w:t xml:space="preserve"> (4.5%), due to numerous discounts on clothing by 3.0% and footwear by 7.3%. A decrease in prices was also recorded in the division </w:t>
      </w:r>
      <w:r w:rsidRPr="003E3F17">
        <w:rPr>
          <w:rFonts w:ascii="Arial Narrow" w:hAnsi="Arial Narrow" w:cs="Tahoma"/>
          <w:i/>
          <w:sz w:val="22"/>
          <w:szCs w:val="22"/>
        </w:rPr>
        <w:t>Food and non-alcoholic beverages</w:t>
      </w:r>
      <w:r>
        <w:rPr>
          <w:rFonts w:ascii="Arial Narrow" w:hAnsi="Arial Narrow" w:cs="Tahoma"/>
          <w:sz w:val="22"/>
          <w:szCs w:val="22"/>
        </w:rPr>
        <w:t xml:space="preserve"> (0.7%)</w:t>
      </w:r>
      <w:r w:rsidR="003E3F17">
        <w:rPr>
          <w:rFonts w:ascii="Arial Narrow" w:hAnsi="Arial Narrow" w:cs="Tahoma"/>
          <w:sz w:val="22"/>
          <w:szCs w:val="22"/>
        </w:rPr>
        <w:t xml:space="preserve">, as a result of lower seasonal prices in the </w:t>
      </w:r>
      <w:proofErr w:type="gramStart"/>
      <w:r w:rsidR="003E3F17">
        <w:rPr>
          <w:rFonts w:ascii="Arial Narrow" w:hAnsi="Arial Narrow" w:cs="Tahoma"/>
          <w:sz w:val="22"/>
          <w:szCs w:val="22"/>
        </w:rPr>
        <w:t>groups</w:t>
      </w:r>
      <w:proofErr w:type="gramEnd"/>
      <w:r w:rsidR="003E3F17">
        <w:rPr>
          <w:rFonts w:ascii="Arial Narrow" w:hAnsi="Arial Narrow" w:cs="Tahoma"/>
          <w:sz w:val="22"/>
          <w:szCs w:val="22"/>
        </w:rPr>
        <w:t xml:space="preserve"> vegetables by 5.4%, fruit by 4.2%, milk and dairy products by 0.3%, sugar and other confectionery by 0.2% and non-alcoholic beverages by 0.2%. Lower prices in July were also recorded in the division Transport (0.5%), due to corrections of purchase prices of fuels and lubricants by 1.1% and in the division </w:t>
      </w:r>
      <w:proofErr w:type="gramStart"/>
      <w:r w:rsidR="003E3F17">
        <w:rPr>
          <w:rFonts w:ascii="Arial Narrow" w:hAnsi="Arial Narrow" w:cs="Tahoma"/>
          <w:sz w:val="22"/>
          <w:szCs w:val="22"/>
        </w:rPr>
        <w:t>Other</w:t>
      </w:r>
      <w:proofErr w:type="gramEnd"/>
      <w:r w:rsidR="003E3F17">
        <w:rPr>
          <w:rFonts w:ascii="Arial Narrow" w:hAnsi="Arial Narrow" w:cs="Tahoma"/>
          <w:sz w:val="22"/>
          <w:szCs w:val="22"/>
        </w:rPr>
        <w:t xml:space="preserve"> goods and services (0.1%), due to lower prices in the group other personal items by 2.8%. </w:t>
      </w:r>
    </w:p>
    <w:p w:rsidR="00B7494D" w:rsidRPr="00B7494D" w:rsidRDefault="00B7494D" w:rsidP="00625E3C">
      <w:pPr>
        <w:jc w:val="both"/>
        <w:rPr>
          <w:rFonts w:ascii="Arial Narrow" w:hAnsi="Arial Narrow" w:cs="Tahoma"/>
          <w:sz w:val="22"/>
          <w:szCs w:val="22"/>
        </w:rPr>
      </w:pPr>
    </w:p>
    <w:p w:rsidR="00625E3C" w:rsidRPr="00AB2D0C" w:rsidRDefault="005261CF" w:rsidP="009856D8">
      <w:pPr>
        <w:jc w:val="center"/>
        <w:rPr>
          <w:rFonts w:ascii="Arial Narrow" w:hAnsi="Arial Narrow" w:cs="Tahoma"/>
          <w:noProof/>
          <w:sz w:val="16"/>
          <w:szCs w:val="16"/>
        </w:rPr>
      </w:pPr>
      <w:r>
        <w:rPr>
          <w:rFonts w:ascii="Arial Narrow" w:hAnsi="Arial Narrow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2312467</wp:posOffset>
                </wp:positionH>
                <wp:positionV relativeFrom="paragraph">
                  <wp:posOffset>2622372</wp:posOffset>
                </wp:positionV>
                <wp:extent cx="2428647" cy="190195"/>
                <wp:effectExtent l="0" t="0" r="0" b="63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647" cy="190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1CF" w:rsidRPr="005261CF" w:rsidRDefault="005261CF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182.1pt;margin-top:206.5pt;width:191.2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" fillcolor="white [3201]" stroked="f" strokeweight=".5pt">
                <v:textbox>
                  <w:txbxContent>
                    <w:p w:rsidR="005261CF" w:rsidRPr="005261CF" w:rsidRDefault="005261CF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C28E8">
        <w:rPr>
          <w:rFonts w:ascii="Arial Narrow" w:hAnsi="Arial Narrow" w:cs="Tahoma"/>
          <w:noProof/>
          <w:sz w:val="16"/>
          <w:szCs w:val="16"/>
        </w:rPr>
        <w:drawing>
          <wp:inline distT="0" distB="0" distL="0" distR="0" wp14:anchorId="160349CC" wp14:editId="1732D920">
            <wp:extent cx="5595582" cy="2811439"/>
            <wp:effectExtent l="0" t="0" r="5715" b="8255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25E3C" w:rsidRPr="00AB2D0C" w:rsidRDefault="00625E3C" w:rsidP="009856D8">
      <w:pPr>
        <w:jc w:val="center"/>
        <w:rPr>
          <w:rFonts w:ascii="Arial Narrow" w:hAnsi="Arial Narrow" w:cs="Tahoma"/>
          <w:noProof/>
          <w:sz w:val="16"/>
          <w:szCs w:val="16"/>
        </w:rPr>
      </w:pPr>
    </w:p>
    <w:p w:rsidR="009856D8" w:rsidRPr="00697253" w:rsidRDefault="00697253" w:rsidP="009856D8">
      <w:pPr>
        <w:jc w:val="center"/>
        <w:rPr>
          <w:rFonts w:ascii="Arial Narrow" w:hAnsi="Arial Narrow" w:cs="Tahoma"/>
          <w:sz w:val="16"/>
          <w:szCs w:val="16"/>
        </w:rPr>
      </w:pPr>
      <w:r>
        <w:rPr>
          <w:rFonts w:ascii="Arial Narrow" w:hAnsi="Arial Narrow" w:cs="Tahoma"/>
          <w:sz w:val="16"/>
          <w:szCs w:val="16"/>
        </w:rPr>
        <w:t>Graph</w:t>
      </w:r>
      <w:r w:rsidR="009856D8" w:rsidRPr="00AB2D0C">
        <w:rPr>
          <w:rFonts w:ascii="Arial Narrow" w:hAnsi="Arial Narrow" w:cs="Tahoma"/>
          <w:sz w:val="16"/>
          <w:szCs w:val="16"/>
          <w:lang w:val="sr-Cyrl-BA"/>
        </w:rPr>
        <w:t xml:space="preserve"> </w:t>
      </w:r>
      <w:r w:rsidR="00C07571" w:rsidRPr="00AB2D0C">
        <w:rPr>
          <w:rFonts w:ascii="Arial Narrow" w:hAnsi="Arial Narrow" w:cs="Tahoma"/>
          <w:sz w:val="16"/>
          <w:szCs w:val="16"/>
          <w:lang w:val="sr-Cyrl-BA"/>
        </w:rPr>
        <w:t>2</w:t>
      </w:r>
      <w:r w:rsidR="009856D8" w:rsidRPr="00AB2D0C">
        <w:rPr>
          <w:rFonts w:ascii="Arial Narrow" w:hAnsi="Arial Narrow" w:cs="Tahoma"/>
          <w:sz w:val="16"/>
          <w:szCs w:val="16"/>
          <w:lang w:val="sr-Cyrl-BA"/>
        </w:rPr>
        <w:t xml:space="preserve">. </w:t>
      </w:r>
      <w:r>
        <w:rPr>
          <w:rFonts w:ascii="Arial Narrow" w:hAnsi="Arial Narrow" w:cs="Tahoma"/>
          <w:sz w:val="16"/>
          <w:szCs w:val="16"/>
        </w:rPr>
        <w:t>Monthly and annual inflation</w:t>
      </w:r>
    </w:p>
    <w:p w:rsidR="00A67668" w:rsidRPr="00AB2D0C" w:rsidRDefault="00A67668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331254" w:rsidRDefault="00331254" w:rsidP="00231339">
      <w:pPr>
        <w:jc w:val="both"/>
        <w:rPr>
          <w:rFonts w:ascii="Arial Narrow" w:hAnsi="Arial Narrow" w:cs="Tahoma"/>
          <w:b/>
          <w:bCs/>
          <w:sz w:val="30"/>
          <w:szCs w:val="30"/>
        </w:rPr>
      </w:pPr>
    </w:p>
    <w:p w:rsidR="00331254" w:rsidRDefault="00331254" w:rsidP="00231339">
      <w:pPr>
        <w:jc w:val="both"/>
        <w:rPr>
          <w:rFonts w:ascii="Arial Narrow" w:hAnsi="Arial Narrow" w:cs="Tahoma"/>
          <w:b/>
          <w:bCs/>
          <w:sz w:val="30"/>
          <w:szCs w:val="30"/>
        </w:rPr>
      </w:pPr>
    </w:p>
    <w:p w:rsidR="00331254" w:rsidRDefault="00331254" w:rsidP="00231339">
      <w:pPr>
        <w:jc w:val="both"/>
        <w:rPr>
          <w:rFonts w:ascii="Arial Narrow" w:hAnsi="Arial Narrow" w:cs="Tahoma"/>
          <w:b/>
          <w:bCs/>
          <w:sz w:val="30"/>
          <w:szCs w:val="30"/>
        </w:rPr>
      </w:pPr>
    </w:p>
    <w:p w:rsidR="00331254" w:rsidRDefault="00331254" w:rsidP="00231339">
      <w:pPr>
        <w:jc w:val="both"/>
        <w:rPr>
          <w:rFonts w:ascii="Arial Narrow" w:hAnsi="Arial Narrow" w:cs="Tahoma"/>
          <w:b/>
          <w:bCs/>
          <w:sz w:val="30"/>
          <w:szCs w:val="30"/>
        </w:rPr>
      </w:pPr>
    </w:p>
    <w:p w:rsidR="00331254" w:rsidRDefault="00331254" w:rsidP="00231339">
      <w:pPr>
        <w:jc w:val="both"/>
        <w:rPr>
          <w:rFonts w:ascii="Arial Narrow" w:hAnsi="Arial Narrow" w:cs="Tahoma"/>
          <w:b/>
          <w:bCs/>
          <w:sz w:val="30"/>
          <w:szCs w:val="30"/>
        </w:rPr>
      </w:pPr>
    </w:p>
    <w:p w:rsidR="000D2964" w:rsidRPr="00AB2D0C" w:rsidRDefault="00D3084C" w:rsidP="00231339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D3084C">
        <w:rPr>
          <w:rFonts w:ascii="Arial Narrow" w:hAnsi="Arial Narrow" w:cs="Tahoma"/>
          <w:b/>
          <w:bCs/>
          <w:sz w:val="30"/>
          <w:szCs w:val="30"/>
        </w:rPr>
        <w:lastRenderedPageBreak/>
        <w:t>Working-day adjusted industrial production</w:t>
      </w:r>
      <w:r w:rsidRPr="00D3084C">
        <w:rPr>
          <w:rFonts w:ascii="Arial Narrow" w:hAnsi="Arial Narrow" w:cs="Tahoma"/>
          <w:b/>
          <w:sz w:val="30"/>
          <w:szCs w:val="30"/>
          <w:lang w:val="sr-Cyrl-CS"/>
        </w:rPr>
        <w:t xml:space="preserve"> (</w:t>
      </w:r>
      <w:r w:rsidRPr="00D3084C">
        <w:rPr>
          <w:rFonts w:ascii="Arial Narrow" w:hAnsi="Arial Narrow" w:cs="Tahoma"/>
          <w:b/>
          <w:sz w:val="30"/>
          <w:szCs w:val="30"/>
        </w:rPr>
        <w:t>January-</w:t>
      </w:r>
      <w:r>
        <w:rPr>
          <w:rFonts w:ascii="Arial Narrow" w:hAnsi="Arial Narrow" w:cs="Tahoma"/>
          <w:b/>
          <w:sz w:val="30"/>
          <w:szCs w:val="30"/>
        </w:rPr>
        <w:t>July</w:t>
      </w:r>
      <w:r w:rsidRPr="00D3084C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Pr="00D3084C">
        <w:rPr>
          <w:rFonts w:ascii="Arial Narrow" w:hAnsi="Arial Narrow" w:cs="Tahoma"/>
          <w:b/>
          <w:sz w:val="30"/>
          <w:szCs w:val="30"/>
          <w:lang w:val="sr-Latn-BA"/>
        </w:rPr>
        <w:t>20</w:t>
      </w:r>
      <w:r w:rsidRPr="00D3084C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Pr="00D3084C">
        <w:rPr>
          <w:rFonts w:ascii="Arial Narrow" w:hAnsi="Arial Narrow" w:cs="Tahoma"/>
          <w:b/>
          <w:sz w:val="30"/>
          <w:szCs w:val="30"/>
          <w:lang w:val="sr-Cyrl-BA"/>
        </w:rPr>
        <w:t>7</w:t>
      </w:r>
      <w:r w:rsidRPr="00D3084C">
        <w:rPr>
          <w:rFonts w:ascii="Arial Narrow" w:hAnsi="Arial Narrow" w:cs="Tahoma"/>
          <w:b/>
          <w:sz w:val="30"/>
          <w:szCs w:val="30"/>
          <w:lang w:val="sr-Latn-BA"/>
        </w:rPr>
        <w:t>/January-</w:t>
      </w:r>
      <w:r>
        <w:rPr>
          <w:rFonts w:ascii="Arial Narrow" w:hAnsi="Arial Narrow" w:cs="Tahoma"/>
          <w:b/>
          <w:sz w:val="30"/>
          <w:szCs w:val="30"/>
          <w:lang w:val="sr-Latn-BA"/>
        </w:rPr>
        <w:t>July</w:t>
      </w:r>
      <w:r w:rsidRPr="00D3084C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Pr="00D3084C">
        <w:rPr>
          <w:rFonts w:ascii="Arial Narrow" w:hAnsi="Arial Narrow" w:cs="Tahoma"/>
          <w:b/>
          <w:bCs/>
          <w:sz w:val="30"/>
          <w:szCs w:val="30"/>
          <w:lang w:val="ru-RU"/>
        </w:rPr>
        <w:t>201</w:t>
      </w:r>
      <w:r w:rsidRPr="00D3084C">
        <w:rPr>
          <w:rFonts w:ascii="Arial Narrow" w:hAnsi="Arial Narrow" w:cs="Tahoma"/>
          <w:b/>
          <w:bCs/>
          <w:sz w:val="30"/>
          <w:szCs w:val="30"/>
          <w:lang w:val="sr-Cyrl-BA"/>
        </w:rPr>
        <w:t>6</w:t>
      </w:r>
      <w:r w:rsidRPr="00D3084C">
        <w:rPr>
          <w:rFonts w:ascii="Arial Narrow" w:hAnsi="Arial Narrow" w:cs="Tahoma"/>
          <w:b/>
          <w:bCs/>
          <w:sz w:val="30"/>
          <w:szCs w:val="30"/>
          <w:lang w:val="hr-HR"/>
        </w:rPr>
        <w:t>)</w:t>
      </w:r>
      <w:r w:rsidRPr="00D3084C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Pr="00D3084C">
        <w:rPr>
          <w:rFonts w:ascii="Arial Narrow" w:hAnsi="Arial Narrow" w:cs="Tahoma"/>
          <w:b/>
          <w:bCs/>
          <w:sz w:val="30"/>
          <w:szCs w:val="30"/>
        </w:rPr>
        <w:t>increased by</w:t>
      </w:r>
      <w:r w:rsidRPr="00AB2D0C">
        <w:rPr>
          <w:rFonts w:ascii="Arial Narrow" w:hAnsi="Arial Narrow" w:cs="Tahoma"/>
          <w:b/>
          <w:bCs/>
          <w:sz w:val="30"/>
          <w:szCs w:val="30"/>
        </w:rPr>
        <w:t xml:space="preserve"> </w:t>
      </w:r>
      <w:r w:rsidR="00231339" w:rsidRPr="00AB2D0C">
        <w:rPr>
          <w:rFonts w:ascii="Arial Narrow" w:hAnsi="Arial Narrow" w:cs="Tahoma"/>
          <w:b/>
          <w:bCs/>
          <w:sz w:val="30"/>
          <w:szCs w:val="30"/>
        </w:rPr>
        <w:t>3</w:t>
      </w:r>
      <w:r>
        <w:rPr>
          <w:rFonts w:ascii="Arial Narrow" w:hAnsi="Arial Narrow" w:cs="Tahoma"/>
          <w:b/>
          <w:bCs/>
          <w:sz w:val="30"/>
          <w:szCs w:val="30"/>
          <w:lang w:val="sr-Cyrl-CS"/>
        </w:rPr>
        <w:t>.</w:t>
      </w:r>
      <w:r w:rsidR="00231339" w:rsidRPr="00AB2D0C">
        <w:rPr>
          <w:rFonts w:ascii="Arial Narrow" w:hAnsi="Arial Narrow" w:cs="Tahoma"/>
          <w:b/>
          <w:bCs/>
          <w:sz w:val="30"/>
          <w:szCs w:val="30"/>
        </w:rPr>
        <w:t>3</w:t>
      </w:r>
      <w:r w:rsidR="00E10AD2" w:rsidRPr="00AB2D0C">
        <w:rPr>
          <w:rFonts w:ascii="Arial Narrow" w:hAnsi="Arial Narrow" w:cs="Tahoma"/>
          <w:b/>
          <w:bCs/>
          <w:sz w:val="30"/>
          <w:szCs w:val="30"/>
          <w:lang w:val="sr-Cyrl-CS"/>
        </w:rPr>
        <w:t>%</w:t>
      </w:r>
    </w:p>
    <w:p w:rsidR="002E27E1" w:rsidRPr="00AB2D0C" w:rsidRDefault="00D3084C" w:rsidP="002E27E1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ru-RU"/>
        </w:rPr>
      </w:pPr>
      <w:r>
        <w:rPr>
          <w:rFonts w:ascii="Arial Narrow" w:hAnsi="Arial Narrow" w:cs="Tahoma"/>
          <w:b/>
          <w:sz w:val="28"/>
        </w:rPr>
        <w:t>Number of employees in industry</w:t>
      </w:r>
      <w:r w:rsidR="002E27E1" w:rsidRPr="00AB2D0C">
        <w:rPr>
          <w:rFonts w:ascii="Arial Narrow" w:hAnsi="Arial Narrow" w:cs="Tahoma"/>
          <w:b/>
          <w:sz w:val="28"/>
          <w:lang w:val="ru-RU"/>
        </w:rPr>
        <w:t xml:space="preserve"> (</w:t>
      </w:r>
      <w:r>
        <w:rPr>
          <w:rFonts w:ascii="Arial Narrow" w:hAnsi="Arial Narrow" w:cs="Tahoma"/>
          <w:b/>
          <w:sz w:val="30"/>
          <w:szCs w:val="30"/>
        </w:rPr>
        <w:t>January</w:t>
      </w:r>
      <w:r w:rsidR="005261CF" w:rsidRPr="00AB2D0C">
        <w:rPr>
          <w:rFonts w:ascii="Arial Narrow" w:hAnsi="Arial Narrow" w:cs="Tahoma"/>
          <w:b/>
          <w:sz w:val="30"/>
          <w:szCs w:val="30"/>
          <w:lang w:val="sr-Cyrl-BA"/>
        </w:rPr>
        <w:t>-</w:t>
      </w:r>
      <w:r>
        <w:rPr>
          <w:rFonts w:ascii="Arial Narrow" w:hAnsi="Arial Narrow" w:cs="Tahoma"/>
          <w:b/>
          <w:sz w:val="30"/>
          <w:szCs w:val="30"/>
        </w:rPr>
        <w:t>July</w:t>
      </w:r>
      <w:r w:rsidR="005261CF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="005261CF" w:rsidRPr="00AB2D0C">
        <w:rPr>
          <w:rFonts w:ascii="Arial Narrow" w:hAnsi="Arial Narrow" w:cs="Tahoma"/>
          <w:b/>
          <w:sz w:val="30"/>
          <w:szCs w:val="30"/>
          <w:lang w:val="sr-Latn-BA"/>
        </w:rPr>
        <w:t>20</w:t>
      </w:r>
      <w:r w:rsidR="005261CF" w:rsidRPr="00AB2D0C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="005261CF" w:rsidRPr="00AB2D0C">
        <w:rPr>
          <w:rFonts w:ascii="Arial Narrow" w:hAnsi="Arial Narrow" w:cs="Tahoma"/>
          <w:b/>
          <w:sz w:val="30"/>
          <w:szCs w:val="30"/>
          <w:lang w:val="sr-Cyrl-BA"/>
        </w:rPr>
        <w:t>7</w:t>
      </w:r>
      <w:r>
        <w:rPr>
          <w:rFonts w:ascii="Arial Narrow" w:hAnsi="Arial Narrow" w:cs="Tahoma"/>
          <w:b/>
          <w:sz w:val="30"/>
          <w:szCs w:val="30"/>
          <w:lang w:val="sr-Latn-BA"/>
        </w:rPr>
        <w:t xml:space="preserve">/January-July </w:t>
      </w:r>
      <w:r w:rsidR="005261CF" w:rsidRPr="00AB2D0C">
        <w:rPr>
          <w:rFonts w:ascii="Arial Narrow" w:hAnsi="Arial Narrow" w:cs="Tahoma"/>
          <w:b/>
          <w:bCs/>
          <w:sz w:val="30"/>
          <w:szCs w:val="30"/>
          <w:lang w:val="ru-RU"/>
        </w:rPr>
        <w:t>201</w:t>
      </w:r>
      <w:r w:rsidR="005261CF" w:rsidRPr="00AB2D0C">
        <w:rPr>
          <w:rFonts w:ascii="Arial Narrow" w:hAnsi="Arial Narrow" w:cs="Tahoma"/>
          <w:b/>
          <w:bCs/>
          <w:sz w:val="30"/>
          <w:szCs w:val="30"/>
          <w:lang w:val="sr-Cyrl-BA"/>
        </w:rPr>
        <w:t>6</w:t>
      </w:r>
      <w:r w:rsidR="002E27E1" w:rsidRPr="00AB2D0C">
        <w:rPr>
          <w:rFonts w:ascii="Arial Narrow" w:hAnsi="Arial Narrow" w:cs="Tahoma"/>
          <w:b/>
          <w:sz w:val="28"/>
          <w:lang w:val="ru-RU"/>
        </w:rPr>
        <w:t xml:space="preserve">) </w:t>
      </w:r>
      <w:r>
        <w:rPr>
          <w:rFonts w:ascii="Arial Narrow" w:hAnsi="Arial Narrow" w:cs="Tahoma"/>
          <w:b/>
          <w:sz w:val="28"/>
        </w:rPr>
        <w:t>increased by</w:t>
      </w:r>
      <w:r w:rsidR="002E27E1" w:rsidRPr="00AB2D0C">
        <w:rPr>
          <w:rFonts w:ascii="Arial Narrow" w:hAnsi="Arial Narrow" w:cs="Tahoma"/>
          <w:b/>
          <w:sz w:val="28"/>
          <w:lang w:val="ru-RU"/>
        </w:rPr>
        <w:t xml:space="preserve"> </w:t>
      </w:r>
      <w:r w:rsidR="003F7F90" w:rsidRPr="00AB2D0C">
        <w:rPr>
          <w:rFonts w:ascii="Arial Narrow" w:hAnsi="Arial Narrow" w:cs="Tahoma"/>
          <w:b/>
          <w:sz w:val="28"/>
          <w:lang w:val="ru-RU"/>
        </w:rPr>
        <w:t>4</w:t>
      </w:r>
      <w:r>
        <w:rPr>
          <w:rFonts w:ascii="Arial Narrow" w:hAnsi="Arial Narrow" w:cs="Tahoma"/>
          <w:b/>
          <w:sz w:val="28"/>
          <w:lang w:val="ru-RU"/>
        </w:rPr>
        <w:t>.</w:t>
      </w:r>
      <w:r w:rsidR="005261CF">
        <w:rPr>
          <w:rFonts w:ascii="Arial Narrow" w:hAnsi="Arial Narrow" w:cs="Tahoma"/>
          <w:b/>
          <w:sz w:val="28"/>
          <w:lang w:val="ru-RU"/>
        </w:rPr>
        <w:t>2</w:t>
      </w:r>
      <w:r w:rsidR="002E27E1" w:rsidRPr="00AB2D0C">
        <w:rPr>
          <w:rFonts w:ascii="Arial Narrow" w:hAnsi="Arial Narrow" w:cs="Tahoma"/>
          <w:b/>
          <w:sz w:val="28"/>
          <w:lang w:val="ru-RU"/>
        </w:rPr>
        <w:t>%</w:t>
      </w:r>
    </w:p>
    <w:p w:rsidR="000D2964" w:rsidRPr="00AB2D0C" w:rsidRDefault="000D2964" w:rsidP="002E27E1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pacing w:val="-4"/>
          <w:sz w:val="36"/>
          <w:szCs w:val="28"/>
          <w:lang w:val="sr-Cyrl-BA"/>
        </w:rPr>
      </w:pPr>
    </w:p>
    <w:p w:rsidR="00F9288B" w:rsidRDefault="00F9288B" w:rsidP="006D0A24">
      <w:pPr>
        <w:jc w:val="both"/>
        <w:rPr>
          <w:rFonts w:ascii="Arial Narrow" w:hAnsi="Arial Narrow" w:cs="Tahoma"/>
          <w:sz w:val="22"/>
        </w:rPr>
      </w:pPr>
      <w:r w:rsidRPr="00F9288B">
        <w:rPr>
          <w:rFonts w:ascii="Arial Narrow" w:hAnsi="Arial Narrow" w:cs="Tahoma"/>
          <w:b/>
          <w:sz w:val="22"/>
        </w:rPr>
        <w:t xml:space="preserve">Working-day adjusted industrial production </w:t>
      </w:r>
      <w:r w:rsidRPr="00F9288B">
        <w:rPr>
          <w:rFonts w:ascii="Arial Narrow" w:hAnsi="Arial Narrow" w:cs="Tahoma"/>
          <w:sz w:val="22"/>
        </w:rPr>
        <w:t xml:space="preserve">in </w:t>
      </w:r>
      <w:r>
        <w:rPr>
          <w:rFonts w:ascii="Arial Narrow" w:hAnsi="Arial Narrow" w:cs="Tahoma"/>
          <w:sz w:val="22"/>
        </w:rPr>
        <w:t>the period January-July</w:t>
      </w:r>
      <w:r w:rsidRPr="00F9288B">
        <w:rPr>
          <w:rFonts w:ascii="Arial Narrow" w:hAnsi="Arial Narrow" w:cs="Tahoma"/>
          <w:sz w:val="22"/>
        </w:rPr>
        <w:t xml:space="preserve"> 2017, compared to the same </w:t>
      </w:r>
      <w:r>
        <w:rPr>
          <w:rFonts w:ascii="Arial Narrow" w:hAnsi="Arial Narrow" w:cs="Tahoma"/>
          <w:sz w:val="22"/>
        </w:rPr>
        <w:t>period</w:t>
      </w:r>
      <w:r w:rsidRPr="00F9288B">
        <w:rPr>
          <w:rFonts w:ascii="Arial Narrow" w:hAnsi="Arial Narrow" w:cs="Tahoma"/>
          <w:sz w:val="22"/>
        </w:rPr>
        <w:t xml:space="preserve"> of 2016, increased by </w:t>
      </w:r>
      <w:r>
        <w:rPr>
          <w:rFonts w:ascii="Arial Narrow" w:hAnsi="Arial Narrow" w:cs="Tahoma"/>
          <w:sz w:val="22"/>
        </w:rPr>
        <w:t>3.3</w:t>
      </w:r>
      <w:r w:rsidRPr="00F9288B">
        <w:rPr>
          <w:rFonts w:ascii="Arial Narrow" w:hAnsi="Arial Narrow" w:cs="Tahoma"/>
          <w:sz w:val="22"/>
        </w:rPr>
        <w:t xml:space="preserve">%. In the section </w:t>
      </w:r>
      <w:r>
        <w:rPr>
          <w:rFonts w:ascii="Arial Narrow" w:hAnsi="Arial Narrow" w:cs="Tahoma"/>
          <w:i/>
          <w:sz w:val="22"/>
        </w:rPr>
        <w:t>Manufacturing</w:t>
      </w:r>
      <w:r w:rsidRPr="00F9288B">
        <w:rPr>
          <w:rFonts w:ascii="Arial Narrow" w:hAnsi="Arial Narrow" w:cs="Tahoma"/>
          <w:sz w:val="22"/>
        </w:rPr>
        <w:t xml:space="preserve"> an increase by </w:t>
      </w:r>
      <w:r>
        <w:rPr>
          <w:rFonts w:ascii="Arial Narrow" w:hAnsi="Arial Narrow" w:cs="Tahoma"/>
          <w:sz w:val="22"/>
        </w:rPr>
        <w:t>5.5</w:t>
      </w:r>
      <w:r w:rsidRPr="00F9288B">
        <w:rPr>
          <w:rFonts w:ascii="Arial Narrow" w:hAnsi="Arial Narrow" w:cs="Tahoma"/>
          <w:sz w:val="22"/>
        </w:rPr>
        <w:t xml:space="preserve">% was recorded and in the section </w:t>
      </w:r>
      <w:r>
        <w:rPr>
          <w:rFonts w:ascii="Arial Narrow" w:hAnsi="Arial Narrow" w:cs="Tahoma"/>
          <w:i/>
          <w:sz w:val="22"/>
        </w:rPr>
        <w:t>Minin</w:t>
      </w:r>
      <w:r w:rsidRPr="00F9288B">
        <w:rPr>
          <w:rFonts w:ascii="Arial Narrow" w:hAnsi="Arial Narrow" w:cs="Tahoma"/>
          <w:i/>
          <w:sz w:val="22"/>
        </w:rPr>
        <w:t>g</w:t>
      </w:r>
      <w:r>
        <w:rPr>
          <w:rFonts w:ascii="Arial Narrow" w:hAnsi="Arial Narrow" w:cs="Tahoma"/>
          <w:i/>
          <w:sz w:val="22"/>
        </w:rPr>
        <w:t xml:space="preserve"> and quarrying</w:t>
      </w:r>
      <w:r w:rsidRPr="00F9288B">
        <w:rPr>
          <w:rFonts w:ascii="Arial Narrow" w:hAnsi="Arial Narrow" w:cs="Tahoma"/>
          <w:i/>
          <w:sz w:val="22"/>
        </w:rPr>
        <w:t xml:space="preserve"> </w:t>
      </w:r>
      <w:r w:rsidRPr="00F9288B">
        <w:rPr>
          <w:rFonts w:ascii="Arial Narrow" w:hAnsi="Arial Narrow" w:cs="Tahoma"/>
          <w:sz w:val="22"/>
        </w:rPr>
        <w:t xml:space="preserve">an increase by </w:t>
      </w:r>
      <w:r>
        <w:rPr>
          <w:rFonts w:ascii="Arial Narrow" w:hAnsi="Arial Narrow" w:cs="Tahoma"/>
          <w:sz w:val="22"/>
        </w:rPr>
        <w:t>4.6</w:t>
      </w:r>
      <w:r w:rsidRPr="00F9288B">
        <w:rPr>
          <w:rFonts w:ascii="Arial Narrow" w:hAnsi="Arial Narrow" w:cs="Tahoma"/>
          <w:sz w:val="22"/>
        </w:rPr>
        <w:t xml:space="preserve">%, while in the section </w:t>
      </w:r>
      <w:r w:rsidRPr="00F9288B">
        <w:rPr>
          <w:rFonts w:ascii="Arial Narrow" w:hAnsi="Arial Narrow" w:cs="Tahoma"/>
          <w:i/>
          <w:sz w:val="22"/>
        </w:rPr>
        <w:t>Electricity, gas, steam and air-conditioning supply</w:t>
      </w:r>
      <w:r w:rsidRPr="00F9288B">
        <w:rPr>
          <w:rFonts w:ascii="Arial Narrow" w:hAnsi="Arial Narrow" w:cs="Tahoma"/>
          <w:sz w:val="22"/>
        </w:rPr>
        <w:t xml:space="preserve"> a decrease by </w:t>
      </w:r>
      <w:r>
        <w:rPr>
          <w:rFonts w:ascii="Arial Narrow" w:hAnsi="Arial Narrow" w:cs="Tahoma"/>
          <w:sz w:val="22"/>
        </w:rPr>
        <w:t>1.2</w:t>
      </w:r>
      <w:r w:rsidRPr="00F9288B">
        <w:rPr>
          <w:rFonts w:ascii="Arial Narrow" w:hAnsi="Arial Narrow" w:cs="Tahoma"/>
          <w:sz w:val="22"/>
        </w:rPr>
        <w:t xml:space="preserve">% was recorded. By main industrial group, based on economic purpose of products, working-day adjusted production of </w:t>
      </w:r>
      <w:r>
        <w:rPr>
          <w:rFonts w:ascii="Arial Narrow" w:hAnsi="Arial Narrow" w:cs="Tahoma"/>
          <w:sz w:val="22"/>
        </w:rPr>
        <w:t>capital goods</w:t>
      </w:r>
      <w:r w:rsidRPr="00F9288B">
        <w:rPr>
          <w:rFonts w:ascii="Arial Narrow" w:hAnsi="Arial Narrow" w:cs="Tahoma"/>
          <w:sz w:val="22"/>
        </w:rPr>
        <w:t xml:space="preserve"> in </w:t>
      </w:r>
      <w:r>
        <w:rPr>
          <w:rFonts w:ascii="Arial Narrow" w:hAnsi="Arial Narrow" w:cs="Tahoma"/>
          <w:sz w:val="22"/>
        </w:rPr>
        <w:t>the period January-July</w:t>
      </w:r>
      <w:r w:rsidRPr="00F9288B">
        <w:rPr>
          <w:rFonts w:ascii="Arial Narrow" w:hAnsi="Arial Narrow" w:cs="Tahoma"/>
          <w:sz w:val="22"/>
        </w:rPr>
        <w:t xml:space="preserve"> 2017, compared to the same </w:t>
      </w:r>
      <w:r>
        <w:rPr>
          <w:rFonts w:ascii="Arial Narrow" w:hAnsi="Arial Narrow" w:cs="Tahoma"/>
          <w:sz w:val="22"/>
        </w:rPr>
        <w:t>period</w:t>
      </w:r>
      <w:r w:rsidRPr="00F9288B">
        <w:rPr>
          <w:rFonts w:ascii="Arial Narrow" w:hAnsi="Arial Narrow" w:cs="Tahoma"/>
          <w:sz w:val="22"/>
        </w:rPr>
        <w:t xml:space="preserve"> of 2016, was </w:t>
      </w:r>
      <w:r w:rsidR="00881112">
        <w:rPr>
          <w:rFonts w:ascii="Arial Narrow" w:hAnsi="Arial Narrow" w:cs="Tahoma"/>
          <w:sz w:val="22"/>
        </w:rPr>
        <w:t>24.5</w:t>
      </w:r>
      <w:r w:rsidRPr="00F9288B">
        <w:rPr>
          <w:rFonts w:ascii="Arial Narrow" w:hAnsi="Arial Narrow" w:cs="Tahoma"/>
          <w:sz w:val="22"/>
        </w:rPr>
        <w:t xml:space="preserve">% higher, production of </w:t>
      </w:r>
      <w:r w:rsidR="00881112">
        <w:rPr>
          <w:rFonts w:ascii="Arial Narrow" w:hAnsi="Arial Narrow" w:cs="Tahoma"/>
          <w:sz w:val="22"/>
        </w:rPr>
        <w:t>intermediate goods</w:t>
      </w:r>
      <w:r w:rsidRPr="00F9288B">
        <w:rPr>
          <w:rFonts w:ascii="Arial Narrow" w:hAnsi="Arial Narrow" w:cs="Tahoma"/>
          <w:sz w:val="22"/>
        </w:rPr>
        <w:t xml:space="preserve"> was </w:t>
      </w:r>
      <w:r w:rsidR="00881112">
        <w:rPr>
          <w:rFonts w:ascii="Arial Narrow" w:hAnsi="Arial Narrow" w:cs="Tahoma"/>
          <w:sz w:val="22"/>
        </w:rPr>
        <w:t xml:space="preserve">8.1% higher and </w:t>
      </w:r>
      <w:r w:rsidRPr="00F9288B">
        <w:rPr>
          <w:rFonts w:ascii="Arial Narrow" w:hAnsi="Arial Narrow" w:cs="Tahoma"/>
          <w:sz w:val="22"/>
        </w:rPr>
        <w:t xml:space="preserve">production of </w:t>
      </w:r>
      <w:r w:rsidR="00881112">
        <w:rPr>
          <w:rFonts w:ascii="Arial Narrow" w:hAnsi="Arial Narrow" w:cs="Tahoma"/>
          <w:sz w:val="22"/>
        </w:rPr>
        <w:t>consumer non-durables was 1.6</w:t>
      </w:r>
      <w:r w:rsidRPr="00F9288B">
        <w:rPr>
          <w:rFonts w:ascii="Arial Narrow" w:hAnsi="Arial Narrow" w:cs="Tahoma"/>
          <w:sz w:val="22"/>
        </w:rPr>
        <w:t xml:space="preserve">% higher, while production of </w:t>
      </w:r>
      <w:r w:rsidR="00881112">
        <w:rPr>
          <w:rFonts w:ascii="Arial Narrow" w:hAnsi="Arial Narrow" w:cs="Tahoma"/>
          <w:sz w:val="22"/>
        </w:rPr>
        <w:t>energy was 1.5% lower and production of consumer non-durables was 6</w:t>
      </w:r>
      <w:r w:rsidRPr="00F9288B">
        <w:rPr>
          <w:rFonts w:ascii="Arial Narrow" w:hAnsi="Arial Narrow" w:cs="Tahoma"/>
          <w:sz w:val="22"/>
        </w:rPr>
        <w:t>.4% lower</w:t>
      </w:r>
      <w:r>
        <w:rPr>
          <w:rFonts w:ascii="Arial Narrow" w:hAnsi="Arial Narrow" w:cs="Tahoma"/>
          <w:sz w:val="22"/>
        </w:rPr>
        <w:t>.</w:t>
      </w:r>
    </w:p>
    <w:p w:rsidR="00F9288B" w:rsidRDefault="00F9288B" w:rsidP="006D0A24">
      <w:pPr>
        <w:jc w:val="both"/>
        <w:rPr>
          <w:rFonts w:ascii="Arial Narrow" w:hAnsi="Arial Narrow" w:cs="Tahoma"/>
          <w:b/>
          <w:sz w:val="22"/>
          <w:lang w:val="sr-Cyrl-CS"/>
        </w:rPr>
      </w:pPr>
    </w:p>
    <w:p w:rsidR="00881112" w:rsidRPr="00881112" w:rsidRDefault="00881112" w:rsidP="00881112">
      <w:pPr>
        <w:jc w:val="both"/>
        <w:rPr>
          <w:rFonts w:ascii="Arial Narrow" w:hAnsi="Arial Narrow" w:cs="Tahoma"/>
          <w:b/>
          <w:sz w:val="22"/>
        </w:rPr>
      </w:pPr>
      <w:r w:rsidRPr="00881112">
        <w:rPr>
          <w:rFonts w:ascii="Arial Narrow" w:hAnsi="Arial Narrow" w:cs="Tahoma"/>
          <w:b/>
          <w:sz w:val="22"/>
        </w:rPr>
        <w:t xml:space="preserve">Number of employees in industry </w:t>
      </w:r>
      <w:r w:rsidRPr="00881112">
        <w:rPr>
          <w:rFonts w:ascii="Arial Narrow" w:hAnsi="Arial Narrow" w:cs="Tahoma"/>
          <w:sz w:val="22"/>
        </w:rPr>
        <w:t xml:space="preserve">in </w:t>
      </w:r>
      <w:r>
        <w:rPr>
          <w:rFonts w:ascii="Arial Narrow" w:hAnsi="Arial Narrow" w:cs="Tahoma"/>
          <w:sz w:val="22"/>
        </w:rPr>
        <w:t>July</w:t>
      </w:r>
      <w:r w:rsidRPr="00881112">
        <w:rPr>
          <w:rFonts w:ascii="Arial Narrow" w:hAnsi="Arial Narrow" w:cs="Tahoma"/>
          <w:sz w:val="22"/>
        </w:rPr>
        <w:t xml:space="preserve"> 2017, compared to the average monthly number of employed persons in 2016</w:t>
      </w:r>
      <w:r>
        <w:rPr>
          <w:rFonts w:ascii="Arial Narrow" w:hAnsi="Arial Narrow" w:cs="Tahoma"/>
          <w:sz w:val="22"/>
        </w:rPr>
        <w:t xml:space="preserve">, increased by 5.0%. Compared to the same month of the previous year it was 4.7% higher and compared to June 2017 it was 0.7% higher. Number of employees in industry in the period January-July 2017, compared to the same period of the previous year, was 4.2% higher. During the same period, in the section </w:t>
      </w:r>
      <w:r w:rsidRPr="00881112">
        <w:rPr>
          <w:rFonts w:ascii="Arial Narrow" w:hAnsi="Arial Narrow" w:cs="Tahoma"/>
          <w:i/>
          <w:sz w:val="22"/>
        </w:rPr>
        <w:t>Manufacturing</w:t>
      </w:r>
      <w:r>
        <w:rPr>
          <w:rFonts w:ascii="Arial Narrow" w:hAnsi="Arial Narrow" w:cs="Tahoma"/>
          <w:sz w:val="22"/>
        </w:rPr>
        <w:t xml:space="preserve"> an increase by 4.4</w:t>
      </w:r>
      <w:r w:rsidRPr="00881112">
        <w:rPr>
          <w:rFonts w:ascii="Arial Narrow" w:hAnsi="Arial Narrow" w:cs="Tahoma"/>
          <w:sz w:val="22"/>
        </w:rPr>
        <w:t xml:space="preserve">% was recorded, in the section </w:t>
      </w:r>
      <w:r w:rsidRPr="00881112">
        <w:rPr>
          <w:rFonts w:ascii="Arial Narrow" w:hAnsi="Arial Narrow" w:cs="Tahoma"/>
          <w:i/>
          <w:sz w:val="22"/>
        </w:rPr>
        <w:t>Mining and quarrying</w:t>
      </w:r>
      <w:r>
        <w:rPr>
          <w:rFonts w:ascii="Arial Narrow" w:hAnsi="Arial Narrow" w:cs="Tahoma"/>
          <w:sz w:val="22"/>
        </w:rPr>
        <w:t xml:space="preserve"> an increase by 3.8</w:t>
      </w:r>
      <w:r w:rsidRPr="00881112">
        <w:rPr>
          <w:rFonts w:ascii="Arial Narrow" w:hAnsi="Arial Narrow" w:cs="Tahoma"/>
          <w:sz w:val="22"/>
        </w:rPr>
        <w:t xml:space="preserve">% and in the section </w:t>
      </w:r>
      <w:r w:rsidRPr="00881112">
        <w:rPr>
          <w:rFonts w:ascii="Arial Narrow" w:hAnsi="Arial Narrow" w:cs="Tahoma"/>
          <w:i/>
          <w:sz w:val="22"/>
        </w:rPr>
        <w:t>Electricity, gas, steam and air-conditioning supply</w:t>
      </w:r>
      <w:r>
        <w:rPr>
          <w:rFonts w:ascii="Arial Narrow" w:hAnsi="Arial Narrow" w:cs="Tahoma"/>
          <w:sz w:val="22"/>
        </w:rPr>
        <w:t xml:space="preserve"> an increase by 3.2</w:t>
      </w:r>
      <w:r w:rsidRPr="00881112">
        <w:rPr>
          <w:rFonts w:ascii="Arial Narrow" w:hAnsi="Arial Narrow" w:cs="Tahoma"/>
          <w:sz w:val="22"/>
        </w:rPr>
        <w:t>%.</w:t>
      </w:r>
    </w:p>
    <w:p w:rsidR="006D0A24" w:rsidRPr="00AB2D0C" w:rsidRDefault="006D0A24" w:rsidP="002E27E1">
      <w:pPr>
        <w:jc w:val="both"/>
        <w:rPr>
          <w:rFonts w:ascii="Arial Narrow" w:hAnsi="Arial Narrow" w:cs="Tahoma"/>
          <w:sz w:val="22"/>
          <w:lang w:val="sr-Cyrl-BA"/>
        </w:rPr>
      </w:pPr>
    </w:p>
    <w:p w:rsidR="000213F8" w:rsidRPr="00AB2D0C" w:rsidRDefault="000213F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2E27E1" w:rsidRPr="00AB2D0C" w:rsidRDefault="00F63259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  <w:r w:rsidRPr="00AB2D0C">
        <w:rPr>
          <w:noProof/>
        </w:rPr>
        <w:drawing>
          <wp:inline distT="0" distB="0" distL="0" distR="0">
            <wp:extent cx="6471920" cy="3049905"/>
            <wp:effectExtent l="0" t="0" r="5080" b="0"/>
            <wp:docPr id="13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E27E1" w:rsidRPr="00AB2D0C" w:rsidRDefault="0057632D" w:rsidP="002E27E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>
        <w:rPr>
          <w:rFonts w:ascii="Arial Narrow" w:hAnsi="Arial Narrow" w:cs="Tahoma"/>
          <w:sz w:val="16"/>
          <w:szCs w:val="16"/>
          <w:lang w:val="sr-Latn-CS"/>
        </w:rPr>
        <w:t>Graph</w:t>
      </w:r>
      <w:r w:rsidR="002E27E1" w:rsidRPr="00AB2D0C">
        <w:rPr>
          <w:rFonts w:ascii="Arial Narrow" w:hAnsi="Arial Narrow" w:cs="Tahoma"/>
          <w:sz w:val="16"/>
          <w:szCs w:val="16"/>
          <w:lang w:val="sr-Latn-CS"/>
        </w:rPr>
        <w:t xml:space="preserve"> 3. </w:t>
      </w:r>
      <w:r>
        <w:rPr>
          <w:rFonts w:ascii="Arial Narrow" w:hAnsi="Arial Narrow" w:cs="Tahoma"/>
          <w:sz w:val="16"/>
          <w:szCs w:val="16"/>
          <w:lang w:val="sr-Latn-CS"/>
        </w:rPr>
        <w:t>Indices of industrial production</w:t>
      </w:r>
      <w:r w:rsidR="002E27E1" w:rsidRPr="00AB2D0C">
        <w:rPr>
          <w:rFonts w:ascii="Arial Narrow" w:hAnsi="Arial Narrow" w:cs="Tahoma"/>
          <w:sz w:val="16"/>
          <w:szCs w:val="16"/>
          <w:lang w:val="sr-Latn-CS"/>
        </w:rPr>
        <w:t xml:space="preserve">, </w:t>
      </w:r>
      <w:r>
        <w:rPr>
          <w:rFonts w:ascii="Arial Narrow" w:hAnsi="Arial Narrow" w:cs="Tahoma"/>
          <w:sz w:val="16"/>
          <w:szCs w:val="16"/>
        </w:rPr>
        <w:t>July</w:t>
      </w:r>
      <w:r w:rsidR="002E27E1" w:rsidRPr="00AB2D0C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="002E27E1" w:rsidRPr="00AB2D0C">
        <w:rPr>
          <w:rFonts w:ascii="Arial Narrow" w:hAnsi="Arial Narrow" w:cs="Tahoma"/>
          <w:sz w:val="16"/>
          <w:szCs w:val="16"/>
          <w:lang w:val="sr-Latn-BA"/>
        </w:rPr>
        <w:t>1</w:t>
      </w:r>
      <w:r w:rsidR="002E27E1" w:rsidRPr="00AB2D0C">
        <w:rPr>
          <w:rFonts w:ascii="Arial Narrow" w:hAnsi="Arial Narrow" w:cs="Tahoma"/>
          <w:sz w:val="16"/>
          <w:szCs w:val="16"/>
          <w:lang w:val="sr-Cyrl-CS"/>
        </w:rPr>
        <w:t>3</w:t>
      </w:r>
      <w:r w:rsidR="002E27E1" w:rsidRPr="00AB2D0C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>
        <w:rPr>
          <w:rFonts w:ascii="Arial Narrow" w:hAnsi="Arial Narrow" w:cs="Tahoma"/>
          <w:sz w:val="16"/>
          <w:szCs w:val="16"/>
        </w:rPr>
        <w:t>July</w:t>
      </w:r>
      <w:r w:rsidR="002E27E1" w:rsidRPr="00AB2D0C">
        <w:rPr>
          <w:rFonts w:ascii="Arial Narrow" w:hAnsi="Arial Narrow" w:cs="Tahoma"/>
          <w:sz w:val="16"/>
          <w:szCs w:val="16"/>
          <w:lang w:val="sr-Latn-CS"/>
        </w:rPr>
        <w:t xml:space="preserve"> 201</w:t>
      </w:r>
      <w:r w:rsidR="002E27E1" w:rsidRPr="00AB2D0C">
        <w:rPr>
          <w:rFonts w:ascii="Arial Narrow" w:hAnsi="Arial Narrow" w:cs="Tahoma"/>
          <w:sz w:val="16"/>
          <w:szCs w:val="16"/>
          <w:lang w:val="sr-Cyrl-CS"/>
        </w:rPr>
        <w:t>7</w:t>
      </w:r>
      <w:r w:rsidR="002E27E1" w:rsidRPr="00AB2D0C">
        <w:rPr>
          <w:rFonts w:ascii="Arial Narrow" w:hAnsi="Arial Narrow" w:cs="Tahoma"/>
          <w:sz w:val="16"/>
          <w:szCs w:val="16"/>
          <w:lang w:val="sr-Latn-CS"/>
        </w:rPr>
        <w:t xml:space="preserve"> (</w:t>
      </w:r>
      <w:r w:rsidR="002E27E1" w:rsidRPr="00AB2D0C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="002E27E1" w:rsidRPr="00AB2D0C">
        <w:rPr>
          <w:rFonts w:ascii="Arial Narrow" w:hAnsi="Arial Narrow" w:cs="Tahoma"/>
          <w:sz w:val="16"/>
          <w:szCs w:val="16"/>
          <w:lang w:val="sr-Latn-CS"/>
        </w:rPr>
        <w:t>2010=100)</w:t>
      </w:r>
    </w:p>
    <w:p w:rsidR="002E27E1" w:rsidRPr="00AB2D0C" w:rsidRDefault="002E27E1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1A6FC9" w:rsidRPr="00AB2D0C" w:rsidRDefault="001A6FC9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F442FA" w:rsidRPr="00AB2D0C" w:rsidRDefault="00881112" w:rsidP="00F442FA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881112">
        <w:rPr>
          <w:rFonts w:ascii="Arial Narrow" w:hAnsi="Arial Narrow" w:cs="Tahoma"/>
          <w:b/>
          <w:sz w:val="30"/>
          <w:szCs w:val="30"/>
        </w:rPr>
        <w:t>Coverage of import with export (in the period January</w:t>
      </w:r>
      <w:r w:rsidRPr="00881112">
        <w:rPr>
          <w:rFonts w:ascii="Arial Narrow" w:hAnsi="Arial Narrow" w:cs="Tahoma"/>
          <w:b/>
          <w:sz w:val="30"/>
          <w:szCs w:val="30"/>
          <w:lang w:val="sr-Latn-CS"/>
        </w:rPr>
        <w:t>-</w:t>
      </w:r>
      <w:r>
        <w:rPr>
          <w:rFonts w:ascii="Arial Narrow" w:hAnsi="Arial Narrow" w:cs="Tahoma"/>
          <w:b/>
          <w:sz w:val="30"/>
          <w:szCs w:val="30"/>
          <w:lang w:val="sr-Latn-CS"/>
        </w:rPr>
        <w:t>July</w:t>
      </w:r>
      <w:r w:rsidRPr="00881112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F442FA" w:rsidRPr="00AB2D0C">
        <w:rPr>
          <w:rFonts w:ascii="Arial Narrow" w:hAnsi="Arial Narrow" w:cs="Tahoma"/>
          <w:b/>
          <w:sz w:val="30"/>
          <w:szCs w:val="30"/>
          <w:lang w:val="ru-RU"/>
        </w:rPr>
        <w:t>201</w:t>
      </w:r>
      <w:r w:rsidR="00D9297E" w:rsidRPr="00AB2D0C">
        <w:rPr>
          <w:rFonts w:ascii="Arial Narrow" w:hAnsi="Arial Narrow" w:cs="Tahoma"/>
          <w:b/>
          <w:sz w:val="30"/>
          <w:szCs w:val="30"/>
          <w:lang w:val="ru-RU"/>
        </w:rPr>
        <w:t>7</w:t>
      </w:r>
      <w:r w:rsidR="00F442FA" w:rsidRPr="00AB2D0C">
        <w:rPr>
          <w:rFonts w:ascii="Arial Narrow" w:hAnsi="Arial Narrow" w:cs="Tahoma"/>
          <w:b/>
          <w:sz w:val="30"/>
          <w:szCs w:val="30"/>
          <w:lang w:val="sr-Cyrl-BA"/>
        </w:rPr>
        <w:t>)</w:t>
      </w:r>
      <w:r w:rsidR="00F442FA" w:rsidRPr="00AB2D0C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9252C9" w:rsidRPr="00AB2D0C">
        <w:rPr>
          <w:rFonts w:ascii="Arial Narrow" w:hAnsi="Arial Narrow" w:cs="Tahoma"/>
          <w:b/>
          <w:sz w:val="30"/>
          <w:szCs w:val="30"/>
          <w:lang w:val="sr-Cyrl-CS"/>
        </w:rPr>
        <w:t>7</w:t>
      </w:r>
      <w:r w:rsidR="001A6FC9" w:rsidRPr="00AB2D0C">
        <w:rPr>
          <w:rFonts w:ascii="Arial Narrow" w:hAnsi="Arial Narrow" w:cs="Tahoma"/>
          <w:b/>
          <w:sz w:val="30"/>
          <w:szCs w:val="30"/>
          <w:lang w:val="sr-Latn-BA"/>
        </w:rPr>
        <w:t>1</w:t>
      </w:r>
      <w:r>
        <w:rPr>
          <w:rFonts w:ascii="Arial Narrow" w:hAnsi="Arial Narrow" w:cs="Tahoma"/>
          <w:b/>
          <w:sz w:val="30"/>
          <w:szCs w:val="30"/>
          <w:lang w:val="hr-HR"/>
        </w:rPr>
        <w:t>.</w:t>
      </w:r>
      <w:r w:rsidR="001A6FC9" w:rsidRPr="00AB2D0C">
        <w:rPr>
          <w:rFonts w:ascii="Arial Narrow" w:hAnsi="Arial Narrow" w:cs="Tahoma"/>
          <w:b/>
          <w:sz w:val="30"/>
          <w:szCs w:val="30"/>
          <w:lang w:val="hr-HR"/>
        </w:rPr>
        <w:t>0</w:t>
      </w:r>
      <w:r w:rsidR="00F442FA" w:rsidRPr="00AB2D0C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F442FA" w:rsidRPr="00AB2D0C" w:rsidRDefault="00F442FA" w:rsidP="00F442F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881112" w:rsidRPr="00881112" w:rsidRDefault="00881112" w:rsidP="00881112">
      <w:pPr>
        <w:jc w:val="both"/>
        <w:rPr>
          <w:rFonts w:ascii="Arial Narrow" w:hAnsi="Arial Narrow" w:cs="Tahoma"/>
          <w:sz w:val="22"/>
        </w:rPr>
      </w:pPr>
      <w:r w:rsidRPr="00881112">
        <w:rPr>
          <w:rFonts w:ascii="Arial Narrow" w:hAnsi="Arial Narrow" w:cs="Tahoma"/>
          <w:sz w:val="22"/>
        </w:rPr>
        <w:t xml:space="preserve">In </w:t>
      </w:r>
      <w:r>
        <w:rPr>
          <w:rFonts w:ascii="Arial Narrow" w:hAnsi="Arial Narrow" w:cs="Tahoma"/>
          <w:sz w:val="22"/>
        </w:rPr>
        <w:t>July</w:t>
      </w:r>
      <w:r w:rsidRPr="00881112">
        <w:rPr>
          <w:rFonts w:ascii="Arial Narrow" w:hAnsi="Arial Narrow" w:cs="Tahoma"/>
          <w:sz w:val="22"/>
        </w:rPr>
        <w:t xml:space="preserve"> 2017, the value of export was </w:t>
      </w:r>
      <w:r>
        <w:rPr>
          <w:rFonts w:ascii="Arial Narrow" w:hAnsi="Arial Narrow" w:cs="Tahoma"/>
          <w:sz w:val="22"/>
        </w:rPr>
        <w:t>307</w:t>
      </w:r>
      <w:r w:rsidRPr="00881112">
        <w:rPr>
          <w:rFonts w:ascii="Arial Narrow" w:hAnsi="Arial Narrow" w:cs="Tahoma"/>
          <w:sz w:val="22"/>
        </w:rPr>
        <w:t xml:space="preserve"> million КМ and the value of import was </w:t>
      </w:r>
      <w:r>
        <w:rPr>
          <w:rFonts w:ascii="Arial Narrow" w:hAnsi="Arial Narrow" w:cs="Tahoma"/>
          <w:sz w:val="22"/>
        </w:rPr>
        <w:t>415</w:t>
      </w:r>
      <w:r w:rsidRPr="00881112">
        <w:rPr>
          <w:rFonts w:ascii="Arial Narrow" w:hAnsi="Arial Narrow" w:cs="Tahoma"/>
          <w:sz w:val="22"/>
        </w:rPr>
        <w:t xml:space="preserve"> million КМ.</w:t>
      </w:r>
    </w:p>
    <w:p w:rsidR="00881112" w:rsidRDefault="00881112" w:rsidP="003A0849">
      <w:pPr>
        <w:jc w:val="both"/>
        <w:rPr>
          <w:rFonts w:ascii="Arial Narrow" w:hAnsi="Arial Narrow" w:cs="Tahoma"/>
          <w:sz w:val="22"/>
          <w:lang w:val="sr-Cyrl-BA"/>
        </w:rPr>
      </w:pPr>
    </w:p>
    <w:p w:rsidR="00331254" w:rsidRDefault="00331254" w:rsidP="00331254">
      <w:pPr>
        <w:jc w:val="both"/>
        <w:rPr>
          <w:rFonts w:ascii="Arial Narrow" w:hAnsi="Arial Narrow" w:cs="Tahoma"/>
          <w:sz w:val="22"/>
        </w:rPr>
      </w:pPr>
      <w:r w:rsidRPr="00331254">
        <w:rPr>
          <w:rFonts w:ascii="Arial Narrow" w:hAnsi="Arial Narrow" w:cs="Tahoma"/>
          <w:sz w:val="22"/>
        </w:rPr>
        <w:t xml:space="preserve">In the total external trade of </w:t>
      </w:r>
      <w:proofErr w:type="spellStart"/>
      <w:r w:rsidRPr="00331254">
        <w:rPr>
          <w:rFonts w:ascii="Arial Narrow" w:hAnsi="Arial Narrow" w:cs="Tahoma"/>
          <w:sz w:val="22"/>
        </w:rPr>
        <w:t>Republika</w:t>
      </w:r>
      <w:proofErr w:type="spellEnd"/>
      <w:r w:rsidRPr="00331254">
        <w:rPr>
          <w:rFonts w:ascii="Arial Narrow" w:hAnsi="Arial Narrow" w:cs="Tahoma"/>
          <w:sz w:val="22"/>
        </w:rPr>
        <w:t xml:space="preserve"> </w:t>
      </w:r>
      <w:proofErr w:type="spellStart"/>
      <w:r w:rsidRPr="00331254">
        <w:rPr>
          <w:rFonts w:ascii="Arial Narrow" w:hAnsi="Arial Narrow" w:cs="Tahoma"/>
          <w:sz w:val="22"/>
        </w:rPr>
        <w:t>Srpska</w:t>
      </w:r>
      <w:proofErr w:type="spellEnd"/>
      <w:r w:rsidRPr="00331254">
        <w:rPr>
          <w:rFonts w:ascii="Arial Narrow" w:hAnsi="Arial Narrow" w:cs="Tahoma"/>
          <w:sz w:val="22"/>
        </w:rPr>
        <w:t xml:space="preserve"> in </w:t>
      </w:r>
      <w:r>
        <w:rPr>
          <w:rFonts w:ascii="Arial Narrow" w:hAnsi="Arial Narrow" w:cs="Tahoma"/>
          <w:sz w:val="22"/>
        </w:rPr>
        <w:t>July</w:t>
      </w:r>
      <w:r w:rsidRPr="00331254">
        <w:rPr>
          <w:rFonts w:ascii="Arial Narrow" w:hAnsi="Arial Narrow" w:cs="Tahoma"/>
          <w:sz w:val="22"/>
        </w:rPr>
        <w:t xml:space="preserve"> of the current year, the percentage of coverage of import with export was </w:t>
      </w:r>
      <w:r>
        <w:rPr>
          <w:rFonts w:ascii="Arial Narrow" w:hAnsi="Arial Narrow" w:cs="Tahoma"/>
          <w:sz w:val="22"/>
        </w:rPr>
        <w:t>74.0</w:t>
      </w:r>
      <w:r w:rsidRPr="00331254">
        <w:rPr>
          <w:rFonts w:ascii="Arial Narrow" w:hAnsi="Arial Narrow" w:cs="Tahoma"/>
          <w:sz w:val="22"/>
        </w:rPr>
        <w:t xml:space="preserve">%. The percentage of coverage of import with export for the period January – </w:t>
      </w:r>
      <w:r>
        <w:rPr>
          <w:rFonts w:ascii="Arial Narrow" w:hAnsi="Arial Narrow" w:cs="Tahoma"/>
          <w:sz w:val="22"/>
        </w:rPr>
        <w:t>July 2017 was 71.0</w:t>
      </w:r>
      <w:r w:rsidRPr="00331254">
        <w:rPr>
          <w:rFonts w:ascii="Arial Narrow" w:hAnsi="Arial Narrow" w:cs="Tahoma"/>
          <w:sz w:val="22"/>
        </w:rPr>
        <w:t>%.</w:t>
      </w:r>
    </w:p>
    <w:p w:rsidR="00331254" w:rsidRPr="00331254" w:rsidRDefault="00331254" w:rsidP="00331254">
      <w:pPr>
        <w:jc w:val="both"/>
        <w:rPr>
          <w:rFonts w:ascii="Arial Narrow" w:hAnsi="Arial Narrow" w:cs="Tahoma"/>
          <w:sz w:val="22"/>
        </w:rPr>
      </w:pPr>
    </w:p>
    <w:p w:rsidR="00331254" w:rsidRPr="00331254" w:rsidRDefault="00331254" w:rsidP="00331254">
      <w:pPr>
        <w:jc w:val="both"/>
        <w:rPr>
          <w:rFonts w:ascii="Arial Narrow" w:hAnsi="Arial Narrow" w:cs="Tahoma"/>
          <w:sz w:val="22"/>
        </w:rPr>
      </w:pPr>
      <w:r w:rsidRPr="00331254">
        <w:rPr>
          <w:rFonts w:ascii="Arial Narrow" w:hAnsi="Arial Narrow" w:cs="Tahoma"/>
          <w:sz w:val="22"/>
        </w:rPr>
        <w:t xml:space="preserve">In the period January – </w:t>
      </w:r>
      <w:r>
        <w:rPr>
          <w:rFonts w:ascii="Arial Narrow" w:hAnsi="Arial Narrow" w:cs="Tahoma"/>
          <w:sz w:val="22"/>
        </w:rPr>
        <w:t>July</w:t>
      </w:r>
      <w:r w:rsidRPr="00331254">
        <w:rPr>
          <w:rFonts w:ascii="Arial Narrow" w:hAnsi="Arial Narrow" w:cs="Tahoma"/>
          <w:sz w:val="22"/>
        </w:rPr>
        <w:t xml:space="preserve"> 2017, the value of export was one billion and </w:t>
      </w:r>
      <w:r>
        <w:rPr>
          <w:rFonts w:ascii="Arial Narrow" w:hAnsi="Arial Narrow" w:cs="Tahoma"/>
          <w:sz w:val="22"/>
        </w:rPr>
        <w:t>941</w:t>
      </w:r>
      <w:r w:rsidRPr="00331254">
        <w:rPr>
          <w:rFonts w:ascii="Arial Narrow" w:hAnsi="Arial Narrow" w:cs="Tahoma"/>
          <w:sz w:val="22"/>
        </w:rPr>
        <w:t xml:space="preserve"> million KM, which</w:t>
      </w:r>
      <w:r>
        <w:rPr>
          <w:rFonts w:ascii="Arial Narrow" w:hAnsi="Arial Narrow" w:cs="Tahoma"/>
          <w:sz w:val="22"/>
        </w:rPr>
        <w:t xml:space="preserve"> represented an increase by 21.7</w:t>
      </w:r>
      <w:r w:rsidRPr="00331254">
        <w:rPr>
          <w:rFonts w:ascii="Arial Narrow" w:hAnsi="Arial Narrow" w:cs="Tahoma"/>
          <w:sz w:val="22"/>
        </w:rPr>
        <w:t xml:space="preserve">% compared to the same period of the previous year. During the same period, the value of import was two billion and </w:t>
      </w:r>
      <w:r>
        <w:rPr>
          <w:rFonts w:ascii="Arial Narrow" w:hAnsi="Arial Narrow" w:cs="Tahoma"/>
          <w:sz w:val="22"/>
        </w:rPr>
        <w:t>731</w:t>
      </w:r>
      <w:r w:rsidRPr="00331254">
        <w:rPr>
          <w:rFonts w:ascii="Arial Narrow" w:hAnsi="Arial Narrow" w:cs="Tahoma"/>
          <w:sz w:val="22"/>
        </w:rPr>
        <w:t xml:space="preserve"> million KM, which represented an increase by </w:t>
      </w:r>
      <w:r>
        <w:rPr>
          <w:rFonts w:ascii="Arial Narrow" w:hAnsi="Arial Narrow" w:cs="Tahoma"/>
          <w:sz w:val="22"/>
        </w:rPr>
        <w:t>11.6</w:t>
      </w:r>
      <w:r w:rsidRPr="00331254">
        <w:rPr>
          <w:rFonts w:ascii="Arial Narrow" w:hAnsi="Arial Narrow" w:cs="Tahoma"/>
          <w:sz w:val="22"/>
        </w:rPr>
        <w:t>% compared to the same period of the previous year.</w:t>
      </w:r>
    </w:p>
    <w:p w:rsidR="009252C9" w:rsidRPr="00AB2D0C" w:rsidRDefault="009252C9" w:rsidP="003A0849">
      <w:pPr>
        <w:jc w:val="both"/>
        <w:rPr>
          <w:rFonts w:ascii="Arial Narrow" w:hAnsi="Arial Narrow" w:cs="Tahoma"/>
          <w:sz w:val="22"/>
          <w:lang w:val="sr-Cyrl-BA"/>
        </w:rPr>
      </w:pPr>
    </w:p>
    <w:p w:rsidR="00331254" w:rsidRDefault="00331254" w:rsidP="00331254">
      <w:pPr>
        <w:jc w:val="both"/>
        <w:rPr>
          <w:rFonts w:ascii="Arial Narrow" w:hAnsi="Arial Narrow" w:cs="Tahoma"/>
          <w:sz w:val="22"/>
        </w:rPr>
      </w:pPr>
      <w:r w:rsidRPr="00331254">
        <w:rPr>
          <w:rFonts w:ascii="Arial Narrow" w:hAnsi="Arial Narrow" w:cs="Tahoma"/>
          <w:sz w:val="22"/>
        </w:rPr>
        <w:t xml:space="preserve">In terms of the geographical distribution of external trade of </w:t>
      </w:r>
      <w:proofErr w:type="spellStart"/>
      <w:r w:rsidRPr="00331254">
        <w:rPr>
          <w:rFonts w:ascii="Arial Narrow" w:hAnsi="Arial Narrow" w:cs="Tahoma"/>
          <w:sz w:val="22"/>
        </w:rPr>
        <w:t>Republika</w:t>
      </w:r>
      <w:proofErr w:type="spellEnd"/>
      <w:r w:rsidRPr="00331254">
        <w:rPr>
          <w:rFonts w:ascii="Arial Narrow" w:hAnsi="Arial Narrow" w:cs="Tahoma"/>
          <w:sz w:val="22"/>
        </w:rPr>
        <w:t xml:space="preserve"> </w:t>
      </w:r>
      <w:proofErr w:type="spellStart"/>
      <w:r w:rsidRPr="00331254">
        <w:rPr>
          <w:rFonts w:ascii="Arial Narrow" w:hAnsi="Arial Narrow" w:cs="Tahoma"/>
          <w:sz w:val="22"/>
        </w:rPr>
        <w:t>Srpska</w:t>
      </w:r>
      <w:proofErr w:type="spellEnd"/>
      <w:r w:rsidRPr="00331254">
        <w:rPr>
          <w:rFonts w:ascii="Arial Narrow" w:hAnsi="Arial Narrow" w:cs="Tahoma"/>
          <w:sz w:val="22"/>
        </w:rPr>
        <w:t xml:space="preserve">, in the period January – </w:t>
      </w:r>
      <w:r>
        <w:rPr>
          <w:rFonts w:ascii="Arial Narrow" w:hAnsi="Arial Narrow" w:cs="Tahoma"/>
          <w:sz w:val="22"/>
        </w:rPr>
        <w:t>July</w:t>
      </w:r>
      <w:r w:rsidRPr="00331254">
        <w:rPr>
          <w:rFonts w:ascii="Arial Narrow" w:hAnsi="Arial Narrow" w:cs="Tahoma"/>
          <w:sz w:val="22"/>
        </w:rPr>
        <w:t xml:space="preserve"> 2017, the highest value of export was that of export to </w:t>
      </w:r>
      <w:r>
        <w:rPr>
          <w:rFonts w:ascii="Arial Narrow" w:hAnsi="Arial Narrow" w:cs="Tahoma"/>
          <w:sz w:val="22"/>
        </w:rPr>
        <w:t>Italy</w:t>
      </w:r>
      <w:r w:rsidRPr="00331254">
        <w:rPr>
          <w:rFonts w:ascii="Arial Narrow" w:hAnsi="Arial Narrow" w:cs="Tahoma"/>
          <w:sz w:val="22"/>
        </w:rPr>
        <w:t xml:space="preserve">, with </w:t>
      </w:r>
      <w:r>
        <w:rPr>
          <w:rFonts w:ascii="Arial Narrow" w:hAnsi="Arial Narrow" w:cs="Tahoma"/>
          <w:sz w:val="22"/>
        </w:rPr>
        <w:t>322</w:t>
      </w:r>
      <w:r w:rsidRPr="00331254">
        <w:rPr>
          <w:rFonts w:ascii="Arial Narrow" w:hAnsi="Arial Narrow" w:cs="Tahoma"/>
          <w:sz w:val="22"/>
        </w:rPr>
        <w:t xml:space="preserve"> million KM or 16.6%, followed by Croatia, with </w:t>
      </w:r>
      <w:r>
        <w:rPr>
          <w:rFonts w:ascii="Arial Narrow" w:hAnsi="Arial Narrow" w:cs="Tahoma"/>
          <w:sz w:val="22"/>
        </w:rPr>
        <w:t>245 million KM or 12.6</w:t>
      </w:r>
      <w:r w:rsidRPr="00331254">
        <w:rPr>
          <w:rFonts w:ascii="Arial Narrow" w:hAnsi="Arial Narrow" w:cs="Tahoma"/>
          <w:sz w:val="22"/>
        </w:rPr>
        <w:t xml:space="preserve">% of the total </w:t>
      </w:r>
      <w:proofErr w:type="spellStart"/>
      <w:r w:rsidRPr="00331254">
        <w:rPr>
          <w:rFonts w:ascii="Arial Narrow" w:hAnsi="Arial Narrow" w:cs="Tahoma"/>
          <w:sz w:val="22"/>
        </w:rPr>
        <w:t>realised</w:t>
      </w:r>
      <w:proofErr w:type="spellEnd"/>
      <w:r w:rsidRPr="00331254">
        <w:rPr>
          <w:rFonts w:ascii="Arial Narrow" w:hAnsi="Arial Narrow" w:cs="Tahoma"/>
          <w:sz w:val="22"/>
        </w:rPr>
        <w:t xml:space="preserve"> export. During the same period, the highest value of import was that of import form Serbia, with </w:t>
      </w:r>
      <w:r>
        <w:rPr>
          <w:rFonts w:ascii="Arial Narrow" w:hAnsi="Arial Narrow" w:cs="Tahoma"/>
          <w:sz w:val="22"/>
        </w:rPr>
        <w:t>463 million KM or 16.9</w:t>
      </w:r>
      <w:r w:rsidRPr="00331254">
        <w:rPr>
          <w:rFonts w:ascii="Arial Narrow" w:hAnsi="Arial Narrow" w:cs="Tahoma"/>
          <w:sz w:val="22"/>
        </w:rPr>
        <w:t xml:space="preserve">%, followed by </w:t>
      </w:r>
      <w:r>
        <w:rPr>
          <w:rFonts w:ascii="Arial Narrow" w:hAnsi="Arial Narrow" w:cs="Tahoma"/>
          <w:sz w:val="22"/>
        </w:rPr>
        <w:t>Russia</w:t>
      </w:r>
      <w:r w:rsidRPr="00331254">
        <w:rPr>
          <w:rFonts w:ascii="Arial Narrow" w:hAnsi="Arial Narrow" w:cs="Tahoma"/>
          <w:sz w:val="22"/>
        </w:rPr>
        <w:t xml:space="preserve">, with </w:t>
      </w:r>
      <w:r>
        <w:rPr>
          <w:rFonts w:ascii="Arial Narrow" w:hAnsi="Arial Narrow" w:cs="Tahoma"/>
          <w:sz w:val="22"/>
        </w:rPr>
        <w:t>338 million KM or 12.4</w:t>
      </w:r>
      <w:r w:rsidRPr="00331254">
        <w:rPr>
          <w:rFonts w:ascii="Arial Narrow" w:hAnsi="Arial Narrow" w:cs="Tahoma"/>
          <w:sz w:val="22"/>
        </w:rPr>
        <w:t xml:space="preserve">% of the total </w:t>
      </w:r>
      <w:proofErr w:type="spellStart"/>
      <w:r w:rsidRPr="00331254">
        <w:rPr>
          <w:rFonts w:ascii="Arial Narrow" w:hAnsi="Arial Narrow" w:cs="Tahoma"/>
          <w:sz w:val="22"/>
        </w:rPr>
        <w:t>realised</w:t>
      </w:r>
      <w:proofErr w:type="spellEnd"/>
      <w:r w:rsidRPr="00331254">
        <w:rPr>
          <w:rFonts w:ascii="Arial Narrow" w:hAnsi="Arial Narrow" w:cs="Tahoma"/>
          <w:sz w:val="22"/>
        </w:rPr>
        <w:t xml:space="preserve"> import.</w:t>
      </w:r>
    </w:p>
    <w:p w:rsidR="00331254" w:rsidRDefault="00331254" w:rsidP="00331254">
      <w:pPr>
        <w:jc w:val="both"/>
        <w:rPr>
          <w:rFonts w:ascii="Arial Narrow" w:hAnsi="Arial Narrow" w:cs="Tahoma"/>
          <w:sz w:val="22"/>
        </w:rPr>
      </w:pPr>
    </w:p>
    <w:p w:rsidR="00331254" w:rsidRPr="00331254" w:rsidRDefault="00331254" w:rsidP="00331254">
      <w:pPr>
        <w:jc w:val="both"/>
        <w:rPr>
          <w:rFonts w:ascii="Arial Narrow" w:hAnsi="Arial Narrow" w:cs="Tahoma"/>
          <w:sz w:val="22"/>
        </w:rPr>
      </w:pPr>
    </w:p>
    <w:p w:rsidR="001A6FC9" w:rsidRPr="00331254" w:rsidRDefault="00331254" w:rsidP="00331254">
      <w:pPr>
        <w:jc w:val="both"/>
        <w:rPr>
          <w:rFonts w:ascii="Arial Narrow" w:hAnsi="Arial Narrow" w:cs="Tahoma"/>
          <w:sz w:val="22"/>
        </w:rPr>
      </w:pPr>
      <w:r w:rsidRPr="00331254">
        <w:rPr>
          <w:rFonts w:ascii="Arial Narrow" w:hAnsi="Arial Narrow" w:cs="Tahoma"/>
          <w:sz w:val="22"/>
        </w:rPr>
        <w:t xml:space="preserve">By group of products, in the period January – </w:t>
      </w:r>
      <w:r>
        <w:rPr>
          <w:rFonts w:ascii="Arial Narrow" w:hAnsi="Arial Narrow" w:cs="Tahoma"/>
          <w:sz w:val="22"/>
        </w:rPr>
        <w:t>July</w:t>
      </w:r>
      <w:r w:rsidRPr="00331254">
        <w:rPr>
          <w:rFonts w:ascii="Arial Narrow" w:hAnsi="Arial Narrow" w:cs="Tahoma"/>
          <w:sz w:val="22"/>
        </w:rPr>
        <w:t xml:space="preserve"> 2017, the highest share in export was that of electricity, with the total value of </w:t>
      </w:r>
      <w:r>
        <w:rPr>
          <w:rFonts w:ascii="Arial Narrow" w:hAnsi="Arial Narrow" w:cs="Tahoma"/>
          <w:sz w:val="22"/>
        </w:rPr>
        <w:t>130</w:t>
      </w:r>
      <w:r w:rsidRPr="00331254">
        <w:rPr>
          <w:rFonts w:ascii="Arial Narrow" w:hAnsi="Arial Narrow" w:cs="Tahoma"/>
          <w:sz w:val="22"/>
        </w:rPr>
        <w:t xml:space="preserve"> million KM, which was 6.7% of the total export, while the highest share in import was that of petroleum and oils obtained from bituminous minerals (crude), with the total value of </w:t>
      </w:r>
      <w:r>
        <w:rPr>
          <w:rFonts w:ascii="Arial Narrow" w:hAnsi="Arial Narrow" w:cs="Tahoma"/>
          <w:sz w:val="22"/>
        </w:rPr>
        <w:t>313 million KM, which was 11.4</w:t>
      </w:r>
      <w:r w:rsidRPr="00331254">
        <w:rPr>
          <w:rFonts w:ascii="Arial Narrow" w:hAnsi="Arial Narrow" w:cs="Tahoma"/>
          <w:sz w:val="22"/>
        </w:rPr>
        <w:t>% of the total import.</w:t>
      </w:r>
    </w:p>
    <w:p w:rsidR="001A6FC9" w:rsidRPr="00AB2D0C" w:rsidRDefault="001A6FC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8F51DA" w:rsidRPr="00AB2D0C" w:rsidRDefault="008F51D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8F51DA" w:rsidRPr="00AB2D0C" w:rsidRDefault="008F51D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AB2D0C" w:rsidRDefault="00F6325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AB2D0C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3574415</wp:posOffset>
                </wp:positionH>
                <wp:positionV relativeFrom="paragraph">
                  <wp:posOffset>110490</wp:posOffset>
                </wp:positionV>
                <wp:extent cx="704215" cy="250825"/>
                <wp:effectExtent l="0" t="3810" r="635" b="2540"/>
                <wp:wrapNone/>
                <wp:docPr id="2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0A1309" w:rsidRDefault="009842F7" w:rsidP="008809BE">
                            <w:pPr>
                              <w:jc w:val="right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thous</w:t>
                            </w:r>
                            <w:proofErr w:type="spellEnd"/>
                            <w:proofErr w:type="gramEnd"/>
                            <w:r w:rsidR="00F257E5"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  <w:t>. КМ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7" type="#_x0000_t202" style="position:absolute;left:0;text-align:left;margin-left:281.45pt;margin-top:8.7pt;width:55.45pt;height:1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" stroked="f">
                <v:textbox>
                  <w:txbxContent>
                    <w:p w:rsidR="00F257E5" w:rsidRPr="000A1309" w:rsidRDefault="009842F7" w:rsidP="008809BE">
                      <w:pPr>
                        <w:jc w:val="right"/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thous</w:t>
                      </w:r>
                      <w:proofErr w:type="spellEnd"/>
                      <w:proofErr w:type="gramEnd"/>
                      <w:r w:rsidR="00F257E5" w:rsidRPr="000A1309"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  <w:t>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353834" w:rsidRPr="00AB2D0C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BA70D8" w:rsidRPr="00AB2D0C" w:rsidRDefault="00BA70D8" w:rsidP="00101E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3A0849" w:rsidRPr="00AB2D0C" w:rsidRDefault="00F6325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 w:rsidRPr="00AB2D0C"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1724660</wp:posOffset>
                </wp:positionH>
                <wp:positionV relativeFrom="paragraph">
                  <wp:posOffset>2579370</wp:posOffset>
                </wp:positionV>
                <wp:extent cx="561340" cy="208280"/>
                <wp:effectExtent l="0" t="0" r="2540" b="0"/>
                <wp:wrapNone/>
                <wp:docPr id="2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DE1" w:rsidRPr="00707105" w:rsidRDefault="00577DE1" w:rsidP="00577DE1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201</w:t>
                            </w: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0" o:spid="_x0000_s1027" type="#_x0000_t202" style="position:absolute;left:0;text-align:left;margin-left:135.8pt;margin-top:203.1pt;width:44.2pt;height:16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" stroked="f">
                <v:textbox style="mso-fit-shape-to-text:t">
                  <w:txbxContent>
                    <w:p w:rsidR="00577DE1" w:rsidRPr="00707105" w:rsidRDefault="00577DE1" w:rsidP="00577DE1">
                      <w:pPr>
                        <w:jc w:val="center"/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201</w:t>
                      </w:r>
                      <w:r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9252C9" w:rsidRPr="00AB2D0C">
        <w:rPr>
          <w:noProof/>
          <w:lang w:val="sr-Cyrl-CS"/>
        </w:rPr>
        <w:t xml:space="preserve"> </w:t>
      </w:r>
      <w:r w:rsidRPr="00AB2D0C">
        <w:rPr>
          <w:rFonts w:ascii="Arial Narrow" w:hAnsi="Arial Narrow"/>
          <w:noProof/>
        </w:rPr>
        <w:drawing>
          <wp:inline distT="0" distB="0" distL="0" distR="0">
            <wp:extent cx="4996180" cy="2611755"/>
            <wp:effectExtent l="0" t="0" r="0" b="0"/>
            <wp:docPr id="12" name="Objec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01E3A" w:rsidRPr="00AB2D0C" w:rsidRDefault="00F6325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 w:rsidRPr="00AB2D0C"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3972560</wp:posOffset>
                </wp:positionH>
                <wp:positionV relativeFrom="paragraph">
                  <wp:posOffset>1905</wp:posOffset>
                </wp:positionV>
                <wp:extent cx="561340" cy="208280"/>
                <wp:effectExtent l="0" t="0" r="2540" b="1905"/>
                <wp:wrapNone/>
                <wp:docPr id="1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707105" w:rsidRDefault="00F257E5" w:rsidP="00955DB6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201</w:t>
                            </w: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3" o:spid="_x0000_s1028" type="#_x0000_t202" style="position:absolute;left:0;text-align:left;margin-left:312.8pt;margin-top:.15pt;width:44.2pt;height:16.4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" stroked="f">
                <v:textbox style="mso-fit-shape-to-text:t">
                  <w:txbxContent>
                    <w:p w:rsidR="00F257E5" w:rsidRPr="00707105" w:rsidRDefault="00F257E5" w:rsidP="00955DB6">
                      <w:pPr>
                        <w:jc w:val="center"/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201</w:t>
                      </w:r>
                      <w:r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3A0849" w:rsidRPr="00AB2D0C" w:rsidRDefault="003A084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777348" w:rsidRPr="009842F7" w:rsidRDefault="009842F7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  <w:r>
        <w:rPr>
          <w:rFonts w:ascii="Arial Narrow" w:hAnsi="Arial Narrow" w:cs="Tahoma"/>
          <w:sz w:val="16"/>
          <w:szCs w:val="22"/>
        </w:rPr>
        <w:t>Graph</w:t>
      </w:r>
      <w:r w:rsidR="00777348" w:rsidRPr="00AB2D0C">
        <w:rPr>
          <w:rFonts w:ascii="Arial Narrow" w:hAnsi="Arial Narrow" w:cs="Tahoma"/>
          <w:sz w:val="16"/>
          <w:szCs w:val="22"/>
          <w:lang w:val="ru-RU"/>
        </w:rPr>
        <w:t xml:space="preserve"> </w:t>
      </w:r>
      <w:r w:rsidR="00097E02" w:rsidRPr="00AB2D0C">
        <w:rPr>
          <w:rFonts w:ascii="Arial Narrow" w:hAnsi="Arial Narrow" w:cs="Tahoma"/>
          <w:sz w:val="16"/>
          <w:szCs w:val="22"/>
          <w:lang w:val="sr-Cyrl-BA"/>
        </w:rPr>
        <w:t>4</w:t>
      </w:r>
      <w:r w:rsidR="00777348" w:rsidRPr="00AB2D0C">
        <w:rPr>
          <w:rFonts w:ascii="Arial Narrow" w:hAnsi="Arial Narrow" w:cs="Tahoma"/>
          <w:sz w:val="16"/>
          <w:szCs w:val="22"/>
          <w:lang w:val="ru-RU"/>
        </w:rPr>
        <w:t xml:space="preserve">. </w:t>
      </w:r>
      <w:r>
        <w:rPr>
          <w:rFonts w:ascii="Arial Narrow" w:hAnsi="Arial Narrow" w:cs="Tahoma"/>
          <w:iCs/>
          <w:sz w:val="16"/>
          <w:szCs w:val="22"/>
        </w:rPr>
        <w:t>Export and import by month</w:t>
      </w:r>
    </w:p>
    <w:p w:rsidR="002E1D1D" w:rsidRPr="00AB2D0C" w:rsidRDefault="002E1D1D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115CDB" w:rsidRPr="00AB2D0C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AB2D0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AB2D0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AB2D0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AB2D0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AB2D0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AB2D0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AB2D0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AB2D0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210E0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210E0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210E0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210E0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210E0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210E0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210E0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Pr="00210E04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Pr="00210E04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Pr="00210E04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Pr="00210E04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Pr="00210E04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Pr="00210E04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Pr="00210E04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Pr="00210E04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Pr="005C689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C689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C689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612FE" w:rsidRPr="00DC2DCC" w:rsidRDefault="004612FE" w:rsidP="0033125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9"/>
      </w:tblGrid>
      <w:tr w:rsidR="00DC2DCC" w:rsidRPr="00DC2DCC" w:rsidTr="009E2A9A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Default="00BC31C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>
              <w:rPr>
                <w:rFonts w:ascii="Arial Narrow" w:hAnsi="Arial Narrow" w:cs="Tahoma"/>
                <w:b/>
                <w:sz w:val="22"/>
              </w:rPr>
              <w:t>DATA PREPARED BY</w:t>
            </w:r>
            <w:r w:rsidR="009E2A9A" w:rsidRPr="00DC2DCC">
              <w:rPr>
                <w:rFonts w:ascii="Arial Narrow" w:hAnsi="Arial Narrow" w:cs="Tahoma"/>
                <w:b/>
                <w:sz w:val="22"/>
                <w:lang w:val="sr-Cyrl-CS"/>
              </w:rPr>
              <w:t xml:space="preserve">: </w:t>
            </w:r>
          </w:p>
          <w:p w:rsid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DC2DCC" w:rsidRPr="00DC2DCC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BC31CA" w:rsidRPr="00BC31CA" w:rsidRDefault="00BC31CA" w:rsidP="00BC31CA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proofErr w:type="spellStart"/>
            <w:r w:rsidRPr="00BC31CA">
              <w:rPr>
                <w:rFonts w:ascii="Arial Narrow" w:hAnsi="Arial Narrow" w:cs="Tahoma"/>
                <w:b/>
                <w:sz w:val="18"/>
                <w:szCs w:val="18"/>
              </w:rPr>
              <w:t>Labour</w:t>
            </w:r>
            <w:proofErr w:type="spellEnd"/>
            <w:r w:rsidRPr="00BC31CA">
              <w:rPr>
                <w:rFonts w:ascii="Arial Narrow" w:hAnsi="Arial Narrow" w:cs="Tahoma"/>
                <w:b/>
                <w:sz w:val="18"/>
                <w:szCs w:val="18"/>
              </w:rPr>
              <w:t xml:space="preserve"> statistics</w:t>
            </w:r>
          </w:p>
          <w:p w:rsidR="00BC31CA" w:rsidRPr="00BC31CA" w:rsidRDefault="00BC31CA" w:rsidP="00BC31C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proofErr w:type="spellStart"/>
            <w:r w:rsidRPr="00BC31CA">
              <w:rPr>
                <w:rFonts w:ascii="Arial Narrow" w:hAnsi="Arial Narrow" w:cs="Tahoma"/>
                <w:sz w:val="18"/>
                <w:szCs w:val="18"/>
              </w:rPr>
              <w:t>Biljana</w:t>
            </w:r>
            <w:proofErr w:type="spellEnd"/>
            <w:r w:rsidRPr="00BC31CA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BC31CA">
              <w:rPr>
                <w:rFonts w:ascii="Arial Narrow" w:hAnsi="Arial Narrow" w:cs="Tahoma"/>
                <w:sz w:val="18"/>
                <w:szCs w:val="18"/>
              </w:rPr>
              <w:t>Glušac</w:t>
            </w:r>
            <w:proofErr w:type="spellEnd"/>
          </w:p>
          <w:p w:rsidR="0066022A" w:rsidRPr="00DC2DCC" w:rsidRDefault="005C6C47" w:rsidP="00A44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4" w:history="1"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DC2DCC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E31BF3" w:rsidRPr="00DC2DCC" w:rsidRDefault="00E31BF3" w:rsidP="007B3C7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5C6C47" w:rsidRPr="00DC2DCC" w:rsidTr="005C6C47">
        <w:trPr>
          <w:trHeight w:hRule="exact" w:val="631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5C6C47" w:rsidRDefault="005C6C47" w:rsidP="00252DE1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Prices statistics</w:t>
            </w:r>
          </w:p>
          <w:p w:rsidR="005C6C47" w:rsidRPr="005C6C47" w:rsidRDefault="005C6C47" w:rsidP="00252DE1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5C6C47">
              <w:rPr>
                <w:rFonts w:ascii="Arial Narrow" w:hAnsi="Arial Narrow" w:cs="Tahoma"/>
                <w:sz w:val="18"/>
                <w:szCs w:val="18"/>
              </w:rPr>
              <w:t>Prices statistics division</w:t>
            </w:r>
          </w:p>
        </w:tc>
      </w:tr>
      <w:tr w:rsidR="000F5C7E" w:rsidRPr="00DC2DCC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BC31CA" w:rsidRPr="00BC31CA" w:rsidRDefault="00BC31CA" w:rsidP="00BC31CA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bookmarkStart w:id="0" w:name="_GoBack"/>
            <w:bookmarkEnd w:id="0"/>
            <w:r w:rsidRPr="00BC31CA">
              <w:rPr>
                <w:rFonts w:ascii="Arial Narrow" w:hAnsi="Arial Narrow" w:cs="Tahoma"/>
                <w:b/>
                <w:sz w:val="18"/>
                <w:szCs w:val="18"/>
              </w:rPr>
              <w:t>Industry and mining statistics</w:t>
            </w:r>
          </w:p>
          <w:p w:rsidR="00BC31CA" w:rsidRPr="00BC31CA" w:rsidRDefault="00BC31CA" w:rsidP="00BC31C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BC31CA">
              <w:rPr>
                <w:rFonts w:ascii="Arial Narrow" w:hAnsi="Arial Narrow" w:cs="Tahoma"/>
                <w:sz w:val="18"/>
                <w:szCs w:val="18"/>
              </w:rPr>
              <w:t xml:space="preserve">Mirjana </w:t>
            </w:r>
            <w:proofErr w:type="spellStart"/>
            <w:r w:rsidRPr="00BC31CA">
              <w:rPr>
                <w:rFonts w:ascii="Arial Narrow" w:hAnsi="Arial Narrow" w:cs="Tahoma"/>
                <w:sz w:val="18"/>
                <w:szCs w:val="18"/>
              </w:rPr>
              <w:t>Bandur</w:t>
            </w:r>
            <w:proofErr w:type="spellEnd"/>
            <w:r w:rsidRPr="00BC31CA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</w:p>
          <w:p w:rsidR="000F5C7E" w:rsidRPr="000F5C7E" w:rsidRDefault="005C6C47" w:rsidP="000F5C7E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hyperlink r:id="rId15" w:history="1">
              <w:r w:rsidR="000F5C7E" w:rsidRPr="000F5C7E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mirjana</w:t>
              </w:r>
              <w:r w:rsidR="000F5C7E" w:rsidRPr="000F5C7E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0F5C7E" w:rsidRPr="000F5C7E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bandur</w:t>
              </w:r>
              <w:r w:rsidR="000F5C7E" w:rsidRPr="000F5C7E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@</w:t>
              </w:r>
              <w:r w:rsidR="000F5C7E" w:rsidRPr="000F5C7E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0F5C7E" w:rsidRPr="000F5C7E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0F5C7E" w:rsidRPr="000F5C7E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0F5C7E" w:rsidRPr="000F5C7E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proofErr w:type="spellStart"/>
              <w:r w:rsidR="000F5C7E" w:rsidRPr="000F5C7E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  <w:proofErr w:type="spellEnd"/>
            </w:hyperlink>
          </w:p>
        </w:tc>
      </w:tr>
      <w:tr w:rsidR="0066022A" w:rsidRPr="00DC2DCC" w:rsidTr="009E2A9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BC31CA" w:rsidRPr="00BC31CA" w:rsidRDefault="00BC31CA" w:rsidP="00BC31CA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BC31CA">
              <w:rPr>
                <w:rFonts w:ascii="Arial Narrow" w:hAnsi="Arial Narrow" w:cs="Tahoma"/>
                <w:b/>
                <w:sz w:val="18"/>
                <w:szCs w:val="18"/>
              </w:rPr>
              <w:t>External trade statistics</w:t>
            </w:r>
          </w:p>
          <w:p w:rsidR="00BC31CA" w:rsidRPr="00BC31CA" w:rsidRDefault="00BC31CA" w:rsidP="00BC31C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proofErr w:type="spellStart"/>
            <w:r w:rsidRPr="00BC31CA">
              <w:rPr>
                <w:rFonts w:ascii="Arial Narrow" w:hAnsi="Arial Narrow" w:cs="Tahoma"/>
                <w:sz w:val="18"/>
                <w:szCs w:val="18"/>
              </w:rPr>
              <w:t>Sanja</w:t>
            </w:r>
            <w:proofErr w:type="spellEnd"/>
            <w:r w:rsidRPr="00BC31CA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BC31CA">
              <w:rPr>
                <w:rFonts w:ascii="Arial Narrow" w:hAnsi="Arial Narrow" w:cs="Tahoma"/>
                <w:sz w:val="18"/>
                <w:szCs w:val="18"/>
              </w:rPr>
              <w:t>Stojčević</w:t>
            </w:r>
            <w:proofErr w:type="spellEnd"/>
            <w:r w:rsidRPr="00BC31CA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BC31CA">
              <w:rPr>
                <w:rFonts w:ascii="Arial Narrow" w:hAnsi="Arial Narrow" w:cs="Tahoma"/>
                <w:sz w:val="18"/>
                <w:szCs w:val="18"/>
              </w:rPr>
              <w:t>Uvalić</w:t>
            </w:r>
            <w:proofErr w:type="spellEnd"/>
            <w:r w:rsidRPr="00BC31CA">
              <w:rPr>
                <w:rFonts w:ascii="Arial Narrow" w:hAnsi="Arial Narrow" w:cs="Tahoma"/>
                <w:sz w:val="18"/>
                <w:szCs w:val="18"/>
              </w:rPr>
              <w:t>, MSc</w:t>
            </w:r>
          </w:p>
          <w:p w:rsidR="0066022A" w:rsidRPr="00DC2DCC" w:rsidRDefault="005C6C47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CS"/>
              </w:rPr>
            </w:pPr>
            <w:hyperlink r:id="rId16" w:history="1"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stojcevic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proofErr w:type="spellStart"/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  <w:proofErr w:type="spellEnd"/>
            </w:hyperlink>
          </w:p>
          <w:p w:rsidR="0066022A" w:rsidRPr="00DC2DCC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DC2DCC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DC2DC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DC2DCC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F61BAF" w:rsidRPr="00DC2DCC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BC31CA" w:rsidRDefault="00BC31C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>
              <w:rPr>
                <w:rFonts w:ascii="Arial Narrow" w:hAnsi="Arial Narrow" w:cs="Tahoma"/>
                <w:b/>
                <w:sz w:val="22"/>
              </w:rPr>
              <w:t>SYMBOLS</w:t>
            </w:r>
          </w:p>
        </w:tc>
      </w:tr>
      <w:tr w:rsidR="009E2A9A" w:rsidRPr="00DC2DCC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BC31CA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</w:rPr>
            </w:pPr>
            <w:r w:rsidRPr="00DC2DCC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DC2DCC">
              <w:rPr>
                <w:rFonts w:ascii="Arial Narrow" w:hAnsi="Arial Narrow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DC2DCC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 xml:space="preserve">- </w:t>
            </w:r>
            <w:r w:rsidR="00BC31CA">
              <w:rPr>
                <w:rFonts w:ascii="Arial Narrow" w:hAnsi="Arial Narrow" w:cs="Tahoma"/>
                <w:bCs/>
                <w:sz w:val="18"/>
                <w:szCs w:val="16"/>
              </w:rPr>
              <w:t>average</w:t>
            </w:r>
          </w:p>
          <w:p w:rsidR="009E2A9A" w:rsidRPr="00DC2DCC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  <w:lang w:val="sr-Latn-CS"/>
              </w:rPr>
            </w:pPr>
            <w:r w:rsidRPr="00DC2DC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DC2DCC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</w:t>
            </w:r>
            <w:r w:rsidR="00BC31CA">
              <w:rPr>
                <w:rFonts w:ascii="Arial Narrow" w:hAnsi="Arial Narrow" w:cs="Tahoma"/>
                <w:sz w:val="18"/>
                <w:szCs w:val="16"/>
                <w:lang w:eastAsia="sr-Latn-BA"/>
              </w:rPr>
              <w:t>estimate</w:t>
            </w: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0C537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CA19B5" w:rsidRDefault="00F6325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5240" r="18415" b="1333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2742D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9277A6" w:rsidTr="009277A6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7A6" w:rsidRDefault="009277A6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9277A6" w:rsidTr="009277A6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A6" w:rsidRDefault="00BC31CA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BC31CA">
              <w:rPr>
                <w:rFonts w:ascii="Arial Narrow" w:hAnsi="Arial Narrow" w:cs="Tahoma"/>
                <w:sz w:val="18"/>
              </w:rPr>
              <w:t>The Release prepared by the Publications Division</w:t>
            </w:r>
          </w:p>
        </w:tc>
      </w:tr>
      <w:tr w:rsidR="009277A6" w:rsidRPr="006577DF" w:rsidTr="009277A6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1CA" w:rsidRPr="00BC31CA" w:rsidRDefault="00BC31CA" w:rsidP="00BC31C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BC31CA">
              <w:rPr>
                <w:rFonts w:ascii="Arial Narrow" w:hAnsi="Arial Narrow" w:cs="Tahoma"/>
                <w:sz w:val="18"/>
                <w:szCs w:val="18"/>
                <w:lang w:val="ru-RU"/>
              </w:rPr>
              <w:t>Vladan Sibinović, Head of the Division and Editor in Chief</w:t>
            </w:r>
          </w:p>
          <w:p w:rsidR="00BC31CA" w:rsidRPr="00BC31CA" w:rsidRDefault="00BC31CA" w:rsidP="00BC31C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BC31CA">
              <w:rPr>
                <w:rFonts w:ascii="Arial Narrow" w:hAnsi="Arial Narrow" w:cs="Tahoma"/>
                <w:sz w:val="18"/>
                <w:szCs w:val="18"/>
                <w:lang w:val="ru-RU"/>
              </w:rPr>
              <w:t>Published by the Republlika Srpska Institute of Statistics ,</w:t>
            </w:r>
          </w:p>
          <w:p w:rsidR="00BC31CA" w:rsidRPr="00BC31CA" w:rsidRDefault="00BC31CA" w:rsidP="00BC31C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BC31CA">
              <w:rPr>
                <w:rFonts w:ascii="Arial Narrow" w:hAnsi="Arial Narrow" w:cs="Tahoma"/>
                <w:sz w:val="18"/>
                <w:szCs w:val="18"/>
                <w:lang w:val="ru-RU"/>
              </w:rPr>
              <w:t>Republika Srpska, Banja Luka, Veljka Mlađenovića 12d</w:t>
            </w:r>
          </w:p>
          <w:p w:rsidR="00BC31CA" w:rsidRPr="00BC31CA" w:rsidRDefault="00BC31CA" w:rsidP="00BC31C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BC31CA">
              <w:rPr>
                <w:rFonts w:ascii="Arial Narrow" w:hAnsi="Arial Narrow" w:cs="Tahoma"/>
                <w:sz w:val="18"/>
                <w:szCs w:val="18"/>
                <w:lang w:val="ru-RU"/>
              </w:rPr>
              <w:t>Radmila Čičković, PhD, Director General of the Institute</w:t>
            </w:r>
          </w:p>
          <w:p w:rsidR="00BC31CA" w:rsidRPr="00BC31CA" w:rsidRDefault="00BC31CA" w:rsidP="00BC31C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BC31CA">
              <w:rPr>
                <w:rFonts w:ascii="Arial Narrow" w:hAnsi="Arial Narrow" w:cs="Tahoma"/>
                <w:sz w:val="18"/>
                <w:szCs w:val="18"/>
                <w:lang w:val="ru-RU"/>
              </w:rPr>
              <w:t>The Release is published online at: www.rzs.rs.ba</w:t>
            </w:r>
          </w:p>
          <w:p w:rsidR="009277A6" w:rsidRDefault="00BC31CA" w:rsidP="00BC31C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BC31CA">
              <w:rPr>
                <w:rFonts w:ascii="Arial Narrow" w:hAnsi="Arial Narrow" w:cs="Tahoma"/>
                <w:sz w:val="18"/>
                <w:szCs w:val="18"/>
                <w:lang w:val="ru-RU"/>
              </w:rPr>
              <w:t>telephone +387 51 332 700; E-mai</w:t>
            </w:r>
            <w:r w:rsidRPr="00BC31CA">
              <w:rPr>
                <w:rFonts w:ascii="Arial Narrow" w:hAnsi="Arial Narrow" w:cs="Tahoma"/>
                <w:sz w:val="18"/>
                <w:szCs w:val="18"/>
                <w:lang w:val="pt-BR"/>
              </w:rPr>
              <w:t>l</w:t>
            </w:r>
            <w:r w:rsidRPr="00BC31CA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7" w:history="1">
              <w:r w:rsidRPr="00BC31CA">
                <w:rPr>
                  <w:rFonts w:ascii="Arial Narrow" w:hAnsi="Arial Narrow" w:cs="Tahoma"/>
                  <w:sz w:val="18"/>
                  <w:szCs w:val="18"/>
                  <w:u w:val="single"/>
                  <w:lang w:val="pt-BR"/>
                </w:rPr>
                <w:t>stat</w:t>
              </w:r>
              <w:r w:rsidRPr="00BC31CA">
                <w:rPr>
                  <w:rFonts w:ascii="Arial Narrow" w:hAnsi="Arial Narrow" w:cs="Tahoma"/>
                  <w:sz w:val="18"/>
                  <w:szCs w:val="18"/>
                  <w:u w:val="single"/>
                  <w:lang w:val="ru-RU"/>
                </w:rPr>
                <w:t>@</w:t>
              </w:r>
              <w:r w:rsidRPr="00BC31CA">
                <w:rPr>
                  <w:rFonts w:ascii="Arial Narrow" w:hAnsi="Arial Narrow" w:cs="Tahoma"/>
                  <w:sz w:val="18"/>
                  <w:szCs w:val="18"/>
                  <w:u w:val="single"/>
                  <w:lang w:val="pt-BR"/>
                </w:rPr>
                <w:t>rzs</w:t>
              </w:r>
              <w:r w:rsidRPr="00BC31CA">
                <w:rPr>
                  <w:rFonts w:ascii="Arial Narrow" w:hAnsi="Arial Narrow" w:cs="Tahoma"/>
                  <w:sz w:val="18"/>
                  <w:szCs w:val="18"/>
                  <w:u w:val="single"/>
                  <w:lang w:val="ru-RU"/>
                </w:rPr>
                <w:t>.</w:t>
              </w:r>
              <w:r w:rsidRPr="00BC31CA">
                <w:rPr>
                  <w:rFonts w:ascii="Arial Narrow" w:hAnsi="Arial Narrow" w:cs="Tahoma"/>
                  <w:sz w:val="18"/>
                  <w:szCs w:val="18"/>
                  <w:u w:val="single"/>
                  <w:lang w:val="pt-BR"/>
                </w:rPr>
                <w:t>rs</w:t>
              </w:r>
              <w:r w:rsidRPr="00BC31CA">
                <w:rPr>
                  <w:rFonts w:ascii="Arial Narrow" w:hAnsi="Arial Narrow" w:cs="Tahoma"/>
                  <w:sz w:val="18"/>
                  <w:szCs w:val="18"/>
                  <w:u w:val="single"/>
                  <w:lang w:val="ru-RU"/>
                </w:rPr>
                <w:t>.</w:t>
              </w:r>
              <w:r w:rsidRPr="00BC31CA">
                <w:rPr>
                  <w:rFonts w:ascii="Arial Narrow" w:hAnsi="Arial Narrow" w:cs="Tahoma"/>
                  <w:sz w:val="18"/>
                  <w:szCs w:val="18"/>
                  <w:u w:val="single"/>
                  <w:lang w:val="pt-BR"/>
                </w:rPr>
                <w:t>ba</w:t>
              </w:r>
            </w:hyperlink>
          </w:p>
          <w:p w:rsidR="009277A6" w:rsidRDefault="009277A6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9277A6" w:rsidRDefault="00BC31CA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BC31CA">
              <w:rPr>
                <w:rFonts w:ascii="Arial Narrow" w:hAnsi="Arial Narrow" w:cs="Tahoma"/>
                <w:b/>
                <w:bCs/>
                <w:sz w:val="18"/>
              </w:rPr>
              <w:t>Data may be used provided the source is acknowledged</w:t>
            </w:r>
          </w:p>
        </w:tc>
      </w:tr>
    </w:tbl>
    <w:p w:rsidR="009E2A9A" w:rsidRPr="00CA19B5" w:rsidRDefault="00F63259" w:rsidP="009E2A9A">
      <w:pPr>
        <w:rPr>
          <w:rFonts w:ascii="Tahoma" w:hAnsi="Tahoma" w:cs="Tahoma"/>
          <w:lang w:val="sr-Latn-CS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7145" r="15240" b="11430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6B5DF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CA19B5" w:rsidSect="0076768F">
      <w:headerReference w:type="default" r:id="rId18"/>
      <w:footerReference w:type="default" r:id="rId19"/>
      <w:footerReference w:type="first" r:id="rId20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FE4" w:rsidRDefault="00D51FE4">
      <w:r>
        <w:separator/>
      </w:r>
    </w:p>
  </w:endnote>
  <w:endnote w:type="continuationSeparator" w:id="0">
    <w:p w:rsidR="00D51FE4" w:rsidRDefault="00D5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7E5" w:rsidRDefault="00F63259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5C6C47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4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0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9it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Cp69it6gMAAHkNAAAOAAAAAAAAAAAAAAAAAC4CAABkcnMvZTJvRG9j&#10;LnhtbFBLAQItABQABgAIAAAAIQBp9kl84QAAAAkBAAAPAAAAAAAAAAAAAAAAAEQGAABkcnMvZG93&#10;bnJldi54bWxQSwUGAAAAAAQABADzAAAAUgcAAAAA&#10;">
              <v:group id="Group 21" o:spid="_x0000_s1031" style="position:absolute;left:5753;top:16224;width:401;height:365" coordorigin="5663,16158" coordsize="401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rect id="Rectangle 22" o:spid="_x0000_s1032" style="position:absolute;left:5663;top:16158;width:401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VoyMIA&#10;AADaAAAADwAAAGRycy9kb3ducmV2LnhtbERPz2vCMBS+D/wfwhO8zXQeZK1GGWOjFQRZp7DdHs1b&#10;W21eShJt99+bw2DHj+/3ejuaTtzI+daygqd5AoK4srrlWsHx8/3xGYQPyBo7y6TglzxsN5OHNWba&#10;DvxBtzLUIoawz1BBE0KfSemrhgz6ue2JI/djncEQoauldjjEcNPJRZIspcGWY0ODPb02VF3Kq1Hg&#10;eDi/Jad9nh4PZr/7zhdp8WWUmk3HlxWIQGP4F/+5C60gbo1X4g2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1WjIwgAAANoAAAAPAAAAAAAAAAAAAAAAAJgCAABkcnMvZG93&#10;bnJldi54bWxQSwUGAAAAAAQABAD1AAAAhwMAAAAA&#10;" fillcolor="#bfbfbf" strokecolor="#bfbfbf"/>
                <v:rect id="Rectangle 23" o:spid="_x0000_s1033" style="position:absolute;left:5663;top:16497;width:401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nNU8QA&#10;AADaAAAADwAAAGRycy9kb3ducmV2LnhtbESPQWvCQBSE70L/w/IKvemmOUgTXUMpFS0IRWtBb4/s&#10;M0mbfRt2tyb+e7cgeBxm5htmXgymFWdyvrGs4HmSgCAurW64UrD/Wo5fQPiArLG1TAou5KFYPIzm&#10;mGvb85bOu1CJCGGfo4I6hC6X0pc1GfQT2xFH72SdwRClq6R22Ee4aWWaJFNpsOG4UGNHbzWVv7s/&#10;o8Bx//OefG9W2f7TbD6OqzRbH4xST4/D6wxEoCHcw7f2WivI4P9KvA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zVPEAAAA2gAAAA8AAAAAAAAAAAAAAAAAmAIAAGRycy9k&#10;b3ducmV2LnhtbFBLBQYAAAAABAAEAPUAAACJAw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4" type="#_x0000_t202" style="position:absolute;left:5729;top:16236;width:449;height:30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1l08MA&#10;AADbAAAADwAAAGRycy9kb3ducmV2LnhtbESPT2vCQBDF7wW/wzKCt7pRQUp0FQn4h3ppbRGPQ3bM&#10;BrOzIbtq+u07h0JvM7w37/1mue59ox7UxTqwgck4A0VcBltzZeD7a/v6BiomZItNYDLwQxHWq8HL&#10;EnMbnvxJj1OqlIRwzNGAS6nNtY6lI49xHFpi0a6h85hk7SptO3xKuG/0NMvm2mPN0uCwpcJReTvd&#10;vYHdxzEmd94fN0V8PxRze7/QjIwZDfvNAlSiPv2b/64PVvCFXn6RAf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1l08MAAADbAAAADwAAAAAAAAAAAAAAAACYAgAAZHJzL2Rv&#10;d25yZXYueG1sUEsFBgAAAAAEAAQA9QAAAIgD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5C6C47">
                        <w:rPr>
                          <w:rFonts w:ascii="Tahoma" w:hAnsi="Tahoma" w:cs="Tahoma"/>
                          <w:noProof/>
                          <w:color w:val="FFFFFF"/>
                        </w:rPr>
                        <w:t>4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7E5" w:rsidRDefault="00F63259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2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5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5C6C47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5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mNIA/uwDAAB/DQAADgAAAAAAAAAAAAAAAAAuAgAAZHJzL2Uyb0Rv&#10;Yy54bWxQSwECLQAUAAYACAAAACEAbOII3eAAAAAJAQAADwAAAAAAAAAAAAAAAABGBgAAZHJzL2Rv&#10;d25yZXYueG1sUEsFBgAAAAAEAAQA8wAAAFMHAAAAAA==&#10;">
              <v:group id="Group 16" o:spid="_x0000_s1036" style="position:absolute;left:5753;top:16224;width:401;height:365" coordorigin="5663,16158" coordsize="401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ctangle 17" o:spid="_x0000_s1037" style="position:absolute;left:5663;top:16158;width:401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H6ucQA&#10;AADaAAAADwAAAGRycy9kb3ducmV2LnhtbESP3WoCMRSE7wXfIRyhd5rVgtTVKKW0qCCIf2DvDpvT&#10;3a2bkyVJ3fXtjVDwcpiZb5jZojWVuJLzpWUFw0ECgjizuuRcwfHw1X8D4QOyxsoyKbiRh8W825lh&#10;qm3DO7ruQy4ihH2KCooQ6lRKnxVk0A9sTRy9H+sMhihdLrXDJsJNJUdJMpYGS44LBdb0UVB22f8Z&#10;BY6b38/ktFlOjluzWX8vR5PV2Sj10mvfpyACteEZ/m+vtIJXeFyJN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x+rnEAAAA2gAAAA8AAAAAAAAAAAAAAAAAmAIAAGRycy9k&#10;b3ducmV2LnhtbFBLBQYAAAAABAAEAPUAAACJAwAAAAA=&#10;" fillcolor="#bfbfbf" strokecolor="#bfbfbf"/>
                <v:rect id="Rectangle 18" o:spid="_x0000_s1038" style="position:absolute;left:5663;top:16497;width:401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hizcQA&#10;AADaAAAADwAAAGRycy9kb3ducmV2LnhtbESP3WoCMRSE7wXfIRyhd5pVitTVKKW0qCCIf2DvDpvT&#10;3a2bkyVJ3fXtjVDwcpiZb5jZojWVuJLzpWUFw0ECgjizuuRcwfHw1X8D4QOyxsoyKbiRh8W825lh&#10;qm3DO7ruQy4ihH2KCooQ6lRKnxVk0A9sTRy9H+sMhihdLrXDJsJNJUdJMpYGS44LBdb0UVB22f8Z&#10;BY6b38/ktFlOjluzWX8vR5PV2Sj10mvfpyACteEZ/m+vtIJXeFyJN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YYs3EAAAA2gAAAA8AAAAAAAAAAAAAAAAAmAIAAGRycy9k&#10;b3ducmV2LnhtbFBLBQYAAAAABAAEAPUAAACJAw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9" type="#_x0000_t202" style="position:absolute;left:5729;top:16236;width:449;height:30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ujg8IA&#10;AADaAAAADwAAAGRycy9kb3ducmV2LnhtbESPT4vCMBTE74LfITzB25qqrCzVKFLwD3rZVRGPj+bZ&#10;FJuX0kSt336zsOBxmJnfMLNFayvxoMaXjhUMBwkI4tzpkgsFp+Pq4wuED8gaK8ek4EUeFvNuZ4ap&#10;dk/+occhFCJC2KeowIRQp1L63JBFP3A1cfSurrEYomwKqRt8Rrit5ChJJtJiyXHBYE2Zofx2uFsF&#10;6++9D+a82S8zv9tmE32/0JiU6vfa5RREoDa8w//trVbwCX9X4g2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6ODwgAAANoAAAAPAAAAAAAAAAAAAAAAAJgCAABkcnMvZG93&#10;bnJldi54bWxQSwUGAAAAAAQABAD1AAAAhwMAAAAA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5C6C47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FE4" w:rsidRDefault="00D51FE4">
      <w:r>
        <w:separator/>
      </w:r>
    </w:p>
  </w:footnote>
  <w:footnote w:type="continuationSeparator" w:id="0">
    <w:p w:rsidR="00D51FE4" w:rsidRDefault="00D51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01"/>
      <w:gridCol w:w="6906"/>
    </w:tblGrid>
    <w:tr w:rsidR="00F257E5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623E28" w:rsidRDefault="00623E28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</w:rPr>
          </w:pPr>
          <w:proofErr w:type="spellStart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Republika</w:t>
          </w:r>
          <w:proofErr w:type="spellEnd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 xml:space="preserve"> </w:t>
          </w:r>
          <w:proofErr w:type="spellStart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Srpska</w:t>
          </w:r>
          <w:proofErr w:type="spellEnd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 xml:space="preserve"> Institute of Statistics</w:t>
          </w:r>
        </w:p>
        <w:p w:rsidR="00F257E5" w:rsidRPr="00623E28" w:rsidRDefault="00623E28" w:rsidP="00E34FA2">
          <w:pPr>
            <w:pStyle w:val="Header"/>
            <w:rPr>
              <w:rFonts w:ascii="Arial Narrow" w:hAnsi="Arial Narrow"/>
              <w:color w:val="FFFFFF"/>
            </w:rPr>
          </w:pPr>
          <w:r>
            <w:rPr>
              <w:rFonts w:ascii="Arial Narrow" w:hAnsi="Arial Narrow" w:cs="Tahoma"/>
              <w:b/>
              <w:color w:val="FFFFFF"/>
              <w:sz w:val="22"/>
            </w:rPr>
            <w:t>PRESS RELEASE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8865E5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210E04">
            <w:rPr>
              <w:rFonts w:ascii="Arial Narrow" w:hAnsi="Arial Narrow" w:cs="Tahoma"/>
              <w:color w:val="1F497D"/>
              <w:sz w:val="16"/>
              <w:lang w:val="sr-Cyrl-BA"/>
            </w:rPr>
            <w:t>2</w:t>
          </w:r>
          <w:r w:rsidR="008865E5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August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201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7</w:t>
          </w:r>
          <w:r w:rsidR="008865E5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,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</w:t>
          </w:r>
          <w:r w:rsidR="008865E5">
            <w:rPr>
              <w:rFonts w:ascii="Arial Narrow" w:hAnsi="Arial Narrow" w:cs="Tahoma"/>
              <w:color w:val="1F497D"/>
              <w:sz w:val="16"/>
              <w:szCs w:val="16"/>
            </w:rPr>
            <w:t>No.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36508C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210E04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25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/1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</w:rPr>
            <w:t>7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F63259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EF6411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.3pt" to="515.4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313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97F"/>
    <w:rsid w:val="00010AAC"/>
    <w:rsid w:val="00010B41"/>
    <w:rsid w:val="000110A0"/>
    <w:rsid w:val="00011977"/>
    <w:rsid w:val="000122E3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13F8"/>
    <w:rsid w:val="000217F5"/>
    <w:rsid w:val="00022012"/>
    <w:rsid w:val="000226F2"/>
    <w:rsid w:val="000227FB"/>
    <w:rsid w:val="00022A35"/>
    <w:rsid w:val="00022C48"/>
    <w:rsid w:val="00022F99"/>
    <w:rsid w:val="0002360C"/>
    <w:rsid w:val="00023649"/>
    <w:rsid w:val="00023721"/>
    <w:rsid w:val="000237BE"/>
    <w:rsid w:val="00023986"/>
    <w:rsid w:val="00023D61"/>
    <w:rsid w:val="0002401D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70140"/>
    <w:rsid w:val="00070149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23A"/>
    <w:rsid w:val="000E3579"/>
    <w:rsid w:val="000E3EBB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C7E"/>
    <w:rsid w:val="000F5F23"/>
    <w:rsid w:val="000F5F69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124D"/>
    <w:rsid w:val="0011133B"/>
    <w:rsid w:val="001118CC"/>
    <w:rsid w:val="00111BA9"/>
    <w:rsid w:val="001121BE"/>
    <w:rsid w:val="001121DC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3DA6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6F34"/>
    <w:rsid w:val="0016733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784E"/>
    <w:rsid w:val="0019785A"/>
    <w:rsid w:val="0019795C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B78"/>
    <w:rsid w:val="001A1E7A"/>
    <w:rsid w:val="001A2606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32B9"/>
    <w:rsid w:val="001B3372"/>
    <w:rsid w:val="001B35E4"/>
    <w:rsid w:val="001B39CE"/>
    <w:rsid w:val="001B3F32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D0554"/>
    <w:rsid w:val="001D0F80"/>
    <w:rsid w:val="001D1988"/>
    <w:rsid w:val="001D1B61"/>
    <w:rsid w:val="001D1C4F"/>
    <w:rsid w:val="001D1E13"/>
    <w:rsid w:val="001D1FE4"/>
    <w:rsid w:val="001D2625"/>
    <w:rsid w:val="001D2989"/>
    <w:rsid w:val="001D2A95"/>
    <w:rsid w:val="001D2CF2"/>
    <w:rsid w:val="001D32FB"/>
    <w:rsid w:val="001D3478"/>
    <w:rsid w:val="001D3B70"/>
    <w:rsid w:val="001D4005"/>
    <w:rsid w:val="001D464D"/>
    <w:rsid w:val="001D49CD"/>
    <w:rsid w:val="001D4B40"/>
    <w:rsid w:val="001D4F92"/>
    <w:rsid w:val="001D519A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54E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339"/>
    <w:rsid w:val="002314BE"/>
    <w:rsid w:val="0023291B"/>
    <w:rsid w:val="00233350"/>
    <w:rsid w:val="0023338C"/>
    <w:rsid w:val="00233634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115F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13F"/>
    <w:rsid w:val="002A6D97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B3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1A6"/>
    <w:rsid w:val="002E651F"/>
    <w:rsid w:val="002E66C9"/>
    <w:rsid w:val="002E689C"/>
    <w:rsid w:val="002E6C7D"/>
    <w:rsid w:val="002E6E28"/>
    <w:rsid w:val="002E72E4"/>
    <w:rsid w:val="002E75DE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77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254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A5"/>
    <w:rsid w:val="003402DF"/>
    <w:rsid w:val="0034035A"/>
    <w:rsid w:val="00340396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927"/>
    <w:rsid w:val="00384D0D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408F"/>
    <w:rsid w:val="003940DE"/>
    <w:rsid w:val="0039420B"/>
    <w:rsid w:val="00394D75"/>
    <w:rsid w:val="00394DDE"/>
    <w:rsid w:val="0039534B"/>
    <w:rsid w:val="00395878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1CF"/>
    <w:rsid w:val="003A1401"/>
    <w:rsid w:val="003A1432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A7F18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5DD"/>
    <w:rsid w:val="003C37AD"/>
    <w:rsid w:val="003C39F3"/>
    <w:rsid w:val="003C4748"/>
    <w:rsid w:val="003C50E5"/>
    <w:rsid w:val="003C5E2C"/>
    <w:rsid w:val="003C5EB7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3F17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109"/>
    <w:rsid w:val="003F14E1"/>
    <w:rsid w:val="003F1C1E"/>
    <w:rsid w:val="003F2626"/>
    <w:rsid w:val="003F28F6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786"/>
    <w:rsid w:val="00411A10"/>
    <w:rsid w:val="00411D51"/>
    <w:rsid w:val="00411E96"/>
    <w:rsid w:val="00412202"/>
    <w:rsid w:val="004123C9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3172"/>
    <w:rsid w:val="00443456"/>
    <w:rsid w:val="0044390C"/>
    <w:rsid w:val="00443AE6"/>
    <w:rsid w:val="00443D15"/>
    <w:rsid w:val="00444078"/>
    <w:rsid w:val="0044451E"/>
    <w:rsid w:val="00444766"/>
    <w:rsid w:val="00445324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B3F"/>
    <w:rsid w:val="0045710B"/>
    <w:rsid w:val="00457173"/>
    <w:rsid w:val="004573E0"/>
    <w:rsid w:val="00457CA3"/>
    <w:rsid w:val="00457ECB"/>
    <w:rsid w:val="00457F03"/>
    <w:rsid w:val="0046013D"/>
    <w:rsid w:val="004604EB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6A69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5EE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2216"/>
    <w:rsid w:val="00492A01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930"/>
    <w:rsid w:val="004F3A10"/>
    <w:rsid w:val="004F40BE"/>
    <w:rsid w:val="004F4CF0"/>
    <w:rsid w:val="004F4F8F"/>
    <w:rsid w:val="004F5666"/>
    <w:rsid w:val="004F59CB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C7B"/>
    <w:rsid w:val="005012BF"/>
    <w:rsid w:val="00501D76"/>
    <w:rsid w:val="00501F39"/>
    <w:rsid w:val="00502830"/>
    <w:rsid w:val="005029D8"/>
    <w:rsid w:val="00503531"/>
    <w:rsid w:val="00503BDC"/>
    <w:rsid w:val="00503CCF"/>
    <w:rsid w:val="005042D2"/>
    <w:rsid w:val="005043ED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4090"/>
    <w:rsid w:val="005254B8"/>
    <w:rsid w:val="005257A2"/>
    <w:rsid w:val="0052593C"/>
    <w:rsid w:val="00525952"/>
    <w:rsid w:val="00525991"/>
    <w:rsid w:val="00525BFB"/>
    <w:rsid w:val="0052611C"/>
    <w:rsid w:val="005261CF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01F3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632D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721"/>
    <w:rsid w:val="005A6AD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30F"/>
    <w:rsid w:val="005C243A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C47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EC7"/>
    <w:rsid w:val="005F0FD4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C85"/>
    <w:rsid w:val="00600D0E"/>
    <w:rsid w:val="00600D12"/>
    <w:rsid w:val="006010B4"/>
    <w:rsid w:val="006018E0"/>
    <w:rsid w:val="00602160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BFF"/>
    <w:rsid w:val="00623D48"/>
    <w:rsid w:val="00623DA5"/>
    <w:rsid w:val="00623E28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CC8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B02"/>
    <w:rsid w:val="00640D78"/>
    <w:rsid w:val="006411A4"/>
    <w:rsid w:val="00641561"/>
    <w:rsid w:val="0064294C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DDC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447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DCA"/>
    <w:rsid w:val="00681593"/>
    <w:rsid w:val="00681670"/>
    <w:rsid w:val="00681B4A"/>
    <w:rsid w:val="00681DDD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253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E7C3A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15B"/>
    <w:rsid w:val="007266BF"/>
    <w:rsid w:val="00726943"/>
    <w:rsid w:val="00726D0C"/>
    <w:rsid w:val="00727AFF"/>
    <w:rsid w:val="00727E06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320"/>
    <w:rsid w:val="00763D11"/>
    <w:rsid w:val="00764128"/>
    <w:rsid w:val="00764307"/>
    <w:rsid w:val="00764398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734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2FC7"/>
    <w:rsid w:val="00793D18"/>
    <w:rsid w:val="007942AC"/>
    <w:rsid w:val="007944C8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302C"/>
    <w:rsid w:val="007C3142"/>
    <w:rsid w:val="007C3569"/>
    <w:rsid w:val="007C3E1C"/>
    <w:rsid w:val="007C41E9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FFF"/>
    <w:rsid w:val="007E40FA"/>
    <w:rsid w:val="007E42C1"/>
    <w:rsid w:val="007E47BC"/>
    <w:rsid w:val="007E4BF2"/>
    <w:rsid w:val="007E4D38"/>
    <w:rsid w:val="007E4F0D"/>
    <w:rsid w:val="007E4F1E"/>
    <w:rsid w:val="007E5132"/>
    <w:rsid w:val="007E52D6"/>
    <w:rsid w:val="007E540F"/>
    <w:rsid w:val="007E5D75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A67"/>
    <w:rsid w:val="007F5DCB"/>
    <w:rsid w:val="007F6093"/>
    <w:rsid w:val="007F632D"/>
    <w:rsid w:val="007F642E"/>
    <w:rsid w:val="007F675F"/>
    <w:rsid w:val="007F6DA0"/>
    <w:rsid w:val="007F7105"/>
    <w:rsid w:val="007F754F"/>
    <w:rsid w:val="007F76E3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5B1"/>
    <w:rsid w:val="008066C0"/>
    <w:rsid w:val="008066F8"/>
    <w:rsid w:val="00806A9D"/>
    <w:rsid w:val="0080700D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EB"/>
    <w:rsid w:val="008472E7"/>
    <w:rsid w:val="008477E2"/>
    <w:rsid w:val="0085022D"/>
    <w:rsid w:val="008509E2"/>
    <w:rsid w:val="00850A97"/>
    <w:rsid w:val="00850AE5"/>
    <w:rsid w:val="00850DE9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1FFC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112"/>
    <w:rsid w:val="00881303"/>
    <w:rsid w:val="008815F7"/>
    <w:rsid w:val="0088180E"/>
    <w:rsid w:val="00881BF3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5E5"/>
    <w:rsid w:val="00886717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C18"/>
    <w:rsid w:val="008A075D"/>
    <w:rsid w:val="008A09C6"/>
    <w:rsid w:val="008A0D79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4E44"/>
    <w:rsid w:val="008A5368"/>
    <w:rsid w:val="008A5563"/>
    <w:rsid w:val="008A586C"/>
    <w:rsid w:val="008A5D98"/>
    <w:rsid w:val="008A5E44"/>
    <w:rsid w:val="008A5F66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17C"/>
    <w:rsid w:val="008F444A"/>
    <w:rsid w:val="008F46DE"/>
    <w:rsid w:val="008F4932"/>
    <w:rsid w:val="008F4C3C"/>
    <w:rsid w:val="008F4F3F"/>
    <w:rsid w:val="008F51DA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2E9A"/>
    <w:rsid w:val="009132BC"/>
    <w:rsid w:val="00913595"/>
    <w:rsid w:val="0091367F"/>
    <w:rsid w:val="00913AB1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252C9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5AF"/>
    <w:rsid w:val="00944D56"/>
    <w:rsid w:val="00944E98"/>
    <w:rsid w:val="0094551A"/>
    <w:rsid w:val="00945559"/>
    <w:rsid w:val="0094566F"/>
    <w:rsid w:val="00945BD9"/>
    <w:rsid w:val="00945CC1"/>
    <w:rsid w:val="00946517"/>
    <w:rsid w:val="009465A2"/>
    <w:rsid w:val="00946A19"/>
    <w:rsid w:val="0094784D"/>
    <w:rsid w:val="009478E4"/>
    <w:rsid w:val="00947C89"/>
    <w:rsid w:val="0095037B"/>
    <w:rsid w:val="009504BA"/>
    <w:rsid w:val="009504BB"/>
    <w:rsid w:val="009505D1"/>
    <w:rsid w:val="00950884"/>
    <w:rsid w:val="00950D8B"/>
    <w:rsid w:val="00950FFF"/>
    <w:rsid w:val="0095100C"/>
    <w:rsid w:val="0095135A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076"/>
    <w:rsid w:val="00961A67"/>
    <w:rsid w:val="00961F64"/>
    <w:rsid w:val="0096204E"/>
    <w:rsid w:val="00962A95"/>
    <w:rsid w:val="009631B1"/>
    <w:rsid w:val="0096363D"/>
    <w:rsid w:val="00963F82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2F7"/>
    <w:rsid w:val="0098499A"/>
    <w:rsid w:val="00984E26"/>
    <w:rsid w:val="00984E8A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1629"/>
    <w:rsid w:val="00991D31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57"/>
    <w:rsid w:val="009A0B65"/>
    <w:rsid w:val="009A0B74"/>
    <w:rsid w:val="009A0F96"/>
    <w:rsid w:val="009A1138"/>
    <w:rsid w:val="009A1712"/>
    <w:rsid w:val="009A1A77"/>
    <w:rsid w:val="009A1C70"/>
    <w:rsid w:val="009A1D13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3113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5BB"/>
    <w:rsid w:val="009E47CD"/>
    <w:rsid w:val="009E4F9C"/>
    <w:rsid w:val="009E5319"/>
    <w:rsid w:val="009E5433"/>
    <w:rsid w:val="009E5669"/>
    <w:rsid w:val="009E6080"/>
    <w:rsid w:val="009E64BF"/>
    <w:rsid w:val="009E65CB"/>
    <w:rsid w:val="009E6DDE"/>
    <w:rsid w:val="009E747F"/>
    <w:rsid w:val="009E753F"/>
    <w:rsid w:val="009E75EB"/>
    <w:rsid w:val="009E76BD"/>
    <w:rsid w:val="009E76FE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867"/>
    <w:rsid w:val="00A04961"/>
    <w:rsid w:val="00A05303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77C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917"/>
    <w:rsid w:val="00A40D20"/>
    <w:rsid w:val="00A40F41"/>
    <w:rsid w:val="00A410C2"/>
    <w:rsid w:val="00A41656"/>
    <w:rsid w:val="00A41CCC"/>
    <w:rsid w:val="00A41DC8"/>
    <w:rsid w:val="00A41E8B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51A5"/>
    <w:rsid w:val="00A4578E"/>
    <w:rsid w:val="00A458FD"/>
    <w:rsid w:val="00A45BD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572"/>
    <w:rsid w:val="00A518A5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234A"/>
    <w:rsid w:val="00A623FC"/>
    <w:rsid w:val="00A62438"/>
    <w:rsid w:val="00A62C85"/>
    <w:rsid w:val="00A62D62"/>
    <w:rsid w:val="00A62FE1"/>
    <w:rsid w:val="00A63067"/>
    <w:rsid w:val="00A634E5"/>
    <w:rsid w:val="00A63DD1"/>
    <w:rsid w:val="00A63FB1"/>
    <w:rsid w:val="00A641B0"/>
    <w:rsid w:val="00A642A2"/>
    <w:rsid w:val="00A6466B"/>
    <w:rsid w:val="00A646F4"/>
    <w:rsid w:val="00A64A82"/>
    <w:rsid w:val="00A64EC7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708E8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682F"/>
    <w:rsid w:val="00A7723A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B73"/>
    <w:rsid w:val="00AA2F67"/>
    <w:rsid w:val="00AA2FAB"/>
    <w:rsid w:val="00AA3144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0C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4BF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69"/>
    <w:rsid w:val="00AC4A73"/>
    <w:rsid w:val="00AC4BE1"/>
    <w:rsid w:val="00AC4E2C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77B"/>
    <w:rsid w:val="00AE082F"/>
    <w:rsid w:val="00AE0C42"/>
    <w:rsid w:val="00AE0EBC"/>
    <w:rsid w:val="00AE1071"/>
    <w:rsid w:val="00AE15DF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DE8"/>
    <w:rsid w:val="00AF105B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B0025A"/>
    <w:rsid w:val="00B00C02"/>
    <w:rsid w:val="00B00C33"/>
    <w:rsid w:val="00B0119B"/>
    <w:rsid w:val="00B01494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655"/>
    <w:rsid w:val="00B20FEB"/>
    <w:rsid w:val="00B2169D"/>
    <w:rsid w:val="00B21A93"/>
    <w:rsid w:val="00B21ED5"/>
    <w:rsid w:val="00B2200F"/>
    <w:rsid w:val="00B22174"/>
    <w:rsid w:val="00B22394"/>
    <w:rsid w:val="00B2263F"/>
    <w:rsid w:val="00B22AFE"/>
    <w:rsid w:val="00B22BA0"/>
    <w:rsid w:val="00B22E15"/>
    <w:rsid w:val="00B23602"/>
    <w:rsid w:val="00B2374C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EF1"/>
    <w:rsid w:val="00B41F7F"/>
    <w:rsid w:val="00B4270F"/>
    <w:rsid w:val="00B42B45"/>
    <w:rsid w:val="00B43658"/>
    <w:rsid w:val="00B438DA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4CF"/>
    <w:rsid w:val="00B50B7D"/>
    <w:rsid w:val="00B5147C"/>
    <w:rsid w:val="00B51E09"/>
    <w:rsid w:val="00B520CA"/>
    <w:rsid w:val="00B52521"/>
    <w:rsid w:val="00B5281C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627A"/>
    <w:rsid w:val="00B56861"/>
    <w:rsid w:val="00B56D1A"/>
    <w:rsid w:val="00B56D84"/>
    <w:rsid w:val="00B574EC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94D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794"/>
    <w:rsid w:val="00B91AF6"/>
    <w:rsid w:val="00B91BAD"/>
    <w:rsid w:val="00B91EAC"/>
    <w:rsid w:val="00B92913"/>
    <w:rsid w:val="00B92EA8"/>
    <w:rsid w:val="00B934F2"/>
    <w:rsid w:val="00B93A16"/>
    <w:rsid w:val="00B93AA9"/>
    <w:rsid w:val="00B93B9F"/>
    <w:rsid w:val="00B93C46"/>
    <w:rsid w:val="00B93D97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22A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F7B"/>
    <w:rsid w:val="00BB6036"/>
    <w:rsid w:val="00BB6197"/>
    <w:rsid w:val="00BB69F9"/>
    <w:rsid w:val="00BB6A81"/>
    <w:rsid w:val="00BB7567"/>
    <w:rsid w:val="00BB7BA4"/>
    <w:rsid w:val="00BB7CE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1CA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8AF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CB"/>
    <w:rsid w:val="00BF4D5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27E1E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3AF"/>
    <w:rsid w:val="00C725C2"/>
    <w:rsid w:val="00C726F3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046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7C9"/>
    <w:rsid w:val="00CB6C69"/>
    <w:rsid w:val="00CB70DB"/>
    <w:rsid w:val="00CB70FD"/>
    <w:rsid w:val="00CB71CE"/>
    <w:rsid w:val="00CB75F7"/>
    <w:rsid w:val="00CB76E6"/>
    <w:rsid w:val="00CB7902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C1E"/>
    <w:rsid w:val="00CC2C91"/>
    <w:rsid w:val="00CC2D6D"/>
    <w:rsid w:val="00CC3589"/>
    <w:rsid w:val="00CC3728"/>
    <w:rsid w:val="00CC3E73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C2A"/>
    <w:rsid w:val="00CD208D"/>
    <w:rsid w:val="00CD21DD"/>
    <w:rsid w:val="00CD228E"/>
    <w:rsid w:val="00CD26E9"/>
    <w:rsid w:val="00CD26F2"/>
    <w:rsid w:val="00CD300A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679"/>
    <w:rsid w:val="00D047DB"/>
    <w:rsid w:val="00D05144"/>
    <w:rsid w:val="00D05260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769"/>
    <w:rsid w:val="00D237D7"/>
    <w:rsid w:val="00D23AB4"/>
    <w:rsid w:val="00D23BBD"/>
    <w:rsid w:val="00D23CED"/>
    <w:rsid w:val="00D2400B"/>
    <w:rsid w:val="00D244D8"/>
    <w:rsid w:val="00D24B04"/>
    <w:rsid w:val="00D24DD2"/>
    <w:rsid w:val="00D258EC"/>
    <w:rsid w:val="00D25CAA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84C"/>
    <w:rsid w:val="00D30921"/>
    <w:rsid w:val="00D30C6C"/>
    <w:rsid w:val="00D31694"/>
    <w:rsid w:val="00D3193B"/>
    <w:rsid w:val="00D31BE3"/>
    <w:rsid w:val="00D325D6"/>
    <w:rsid w:val="00D329C6"/>
    <w:rsid w:val="00D32DBD"/>
    <w:rsid w:val="00D32F01"/>
    <w:rsid w:val="00D3310B"/>
    <w:rsid w:val="00D335D2"/>
    <w:rsid w:val="00D33742"/>
    <w:rsid w:val="00D33A9B"/>
    <w:rsid w:val="00D34832"/>
    <w:rsid w:val="00D34A7A"/>
    <w:rsid w:val="00D34CD5"/>
    <w:rsid w:val="00D358FD"/>
    <w:rsid w:val="00D35A26"/>
    <w:rsid w:val="00D35CD4"/>
    <w:rsid w:val="00D35E5D"/>
    <w:rsid w:val="00D36059"/>
    <w:rsid w:val="00D3646A"/>
    <w:rsid w:val="00D36512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0A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FB0"/>
    <w:rsid w:val="00D766CA"/>
    <w:rsid w:val="00D76A3A"/>
    <w:rsid w:val="00D77276"/>
    <w:rsid w:val="00D77439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964"/>
    <w:rsid w:val="00D86C43"/>
    <w:rsid w:val="00D86EE8"/>
    <w:rsid w:val="00D871AB"/>
    <w:rsid w:val="00D8773A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8BE"/>
    <w:rsid w:val="00DA6E3B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5E23"/>
    <w:rsid w:val="00DE6E46"/>
    <w:rsid w:val="00DE7102"/>
    <w:rsid w:val="00DE7137"/>
    <w:rsid w:val="00DE7631"/>
    <w:rsid w:val="00DE7ADB"/>
    <w:rsid w:val="00DE7C96"/>
    <w:rsid w:val="00DF02CD"/>
    <w:rsid w:val="00DF033B"/>
    <w:rsid w:val="00DF0604"/>
    <w:rsid w:val="00DF08E8"/>
    <w:rsid w:val="00DF09D5"/>
    <w:rsid w:val="00DF0D47"/>
    <w:rsid w:val="00DF0E52"/>
    <w:rsid w:val="00DF108E"/>
    <w:rsid w:val="00DF1E52"/>
    <w:rsid w:val="00DF2440"/>
    <w:rsid w:val="00DF3391"/>
    <w:rsid w:val="00DF380E"/>
    <w:rsid w:val="00DF39F6"/>
    <w:rsid w:val="00DF3C0D"/>
    <w:rsid w:val="00DF405F"/>
    <w:rsid w:val="00DF4379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B95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1A3C"/>
    <w:rsid w:val="00E11B29"/>
    <w:rsid w:val="00E11BB8"/>
    <w:rsid w:val="00E11EB4"/>
    <w:rsid w:val="00E11FDF"/>
    <w:rsid w:val="00E12595"/>
    <w:rsid w:val="00E12BB4"/>
    <w:rsid w:val="00E13495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47E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9C2"/>
    <w:rsid w:val="00E42EED"/>
    <w:rsid w:val="00E43634"/>
    <w:rsid w:val="00E43B9C"/>
    <w:rsid w:val="00E43CD2"/>
    <w:rsid w:val="00E43FBD"/>
    <w:rsid w:val="00E44104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8A6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63CD"/>
    <w:rsid w:val="00E763E8"/>
    <w:rsid w:val="00E76D40"/>
    <w:rsid w:val="00E76F8D"/>
    <w:rsid w:val="00E76FF9"/>
    <w:rsid w:val="00E770F8"/>
    <w:rsid w:val="00E774D6"/>
    <w:rsid w:val="00E7767A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38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B44"/>
    <w:rsid w:val="00EB4BC1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38E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B64"/>
    <w:rsid w:val="00F17308"/>
    <w:rsid w:val="00F17452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AB9"/>
    <w:rsid w:val="00F23C96"/>
    <w:rsid w:val="00F24028"/>
    <w:rsid w:val="00F246A7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7C2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8BC"/>
    <w:rsid w:val="00F50AD9"/>
    <w:rsid w:val="00F50BA9"/>
    <w:rsid w:val="00F511C0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18E"/>
    <w:rsid w:val="00F57BA6"/>
    <w:rsid w:val="00F57F23"/>
    <w:rsid w:val="00F6075A"/>
    <w:rsid w:val="00F61182"/>
    <w:rsid w:val="00F61BAF"/>
    <w:rsid w:val="00F61FE3"/>
    <w:rsid w:val="00F6269A"/>
    <w:rsid w:val="00F62B39"/>
    <w:rsid w:val="00F62C10"/>
    <w:rsid w:val="00F630AC"/>
    <w:rsid w:val="00F63139"/>
    <w:rsid w:val="00F6318C"/>
    <w:rsid w:val="00F63259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6A7"/>
    <w:rsid w:val="00F76B81"/>
    <w:rsid w:val="00F77987"/>
    <w:rsid w:val="00F77D3F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23A"/>
    <w:rsid w:val="00F8753B"/>
    <w:rsid w:val="00F875E3"/>
    <w:rsid w:val="00F87C17"/>
    <w:rsid w:val="00F87C79"/>
    <w:rsid w:val="00F87D37"/>
    <w:rsid w:val="00F906FD"/>
    <w:rsid w:val="00F912E6"/>
    <w:rsid w:val="00F9136D"/>
    <w:rsid w:val="00F91501"/>
    <w:rsid w:val="00F91751"/>
    <w:rsid w:val="00F9288B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75E"/>
    <w:rsid w:val="00F978F9"/>
    <w:rsid w:val="00F97AC2"/>
    <w:rsid w:val="00F97BD4"/>
    <w:rsid w:val="00F97C86"/>
    <w:rsid w:val="00F97F72"/>
    <w:rsid w:val="00FA0F22"/>
    <w:rsid w:val="00FA11D6"/>
    <w:rsid w:val="00FA135E"/>
    <w:rsid w:val="00FA14C1"/>
    <w:rsid w:val="00FA1626"/>
    <w:rsid w:val="00FA229C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611"/>
    <w:rsid w:val="00FA6672"/>
    <w:rsid w:val="00FA6A52"/>
    <w:rsid w:val="00FA6E91"/>
    <w:rsid w:val="00FA7EC1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5CA0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6FE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D8B"/>
    <w:rsid w:val="00FE2E11"/>
    <w:rsid w:val="00FE332E"/>
    <w:rsid w:val="00FE33A4"/>
    <w:rsid w:val="00FE375C"/>
    <w:rsid w:val="00FE3B25"/>
    <w:rsid w:val="00FE4C4E"/>
    <w:rsid w:val="00FE50A9"/>
    <w:rsid w:val="00FE52F7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ru v:ext="edit" colors="#963,#969696,#777"/>
    </o:shapedefaults>
    <o:shapelayout v:ext="edit">
      <o:idmap v:ext="edit" data="1"/>
    </o:shapelayout>
  </w:shapeDefaults>
  <w:decimalSymbol w:val="."/>
  <w:listSeparator w:val=","/>
  <w15:chartTrackingRefBased/>
  <w15:docId w15:val="{11684453-1D0E-4EF3-A2F8-E920836A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mirjana.bandur@rzs.rs.ba" TargetMode="Externa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Bl-2080\export-import\OBRADA%20CPI\OBRADA_2017\Grafikon_2017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\\KORDUN\Publikovanje\01%20Saopstenja\2014\Industrija\Indeksi%20industrijske%20proizvodnje\Maj\IndustrijskaProiz_OKTOBAR_2013_GRAFIKON.xlsx" TargetMode="External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</c:lvl>
                <c:lvl>
                  <c:pt idx="0">
                    <c:v>2016</c:v>
                  </c:pt>
                  <c:pt idx="6">
                    <c:v>2017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838</c:v>
                </c:pt>
                <c:pt idx="1">
                  <c:v>838</c:v>
                </c:pt>
                <c:pt idx="2">
                  <c:v>834</c:v>
                </c:pt>
                <c:pt idx="3">
                  <c:v>837</c:v>
                </c:pt>
                <c:pt idx="4">
                  <c:v>839</c:v>
                </c:pt>
                <c:pt idx="5">
                  <c:v>835</c:v>
                </c:pt>
                <c:pt idx="6">
                  <c:v>815</c:v>
                </c:pt>
                <c:pt idx="7">
                  <c:v>848</c:v>
                </c:pt>
                <c:pt idx="8">
                  <c:v>828</c:v>
                </c:pt>
                <c:pt idx="9">
                  <c:v>821</c:v>
                </c:pt>
                <c:pt idx="10">
                  <c:v>837</c:v>
                </c:pt>
                <c:pt idx="11">
                  <c:v>828</c:v>
                </c:pt>
                <c:pt idx="12">
                  <c:v>830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88364224"/>
        <c:axId val="288364608"/>
      </c:lineChart>
      <c:catAx>
        <c:axId val="288364224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288364608"/>
        <c:crosses val="autoZero"/>
        <c:auto val="1"/>
        <c:lblAlgn val="ctr"/>
        <c:lblOffset val="100"/>
        <c:noMultiLvlLbl val="0"/>
      </c:catAx>
      <c:valAx>
        <c:axId val="288364608"/>
        <c:scaling>
          <c:orientation val="minMax"/>
          <c:max val="900"/>
          <c:min val="600"/>
        </c:scaling>
        <c:delete val="0"/>
        <c:axPos val="l"/>
        <c:majorGridlines>
          <c:spPr>
            <a:ln w="3175"/>
          </c:spPr>
        </c:majorGridlines>
        <c:numFmt formatCode="0" sourceLinked="1"/>
        <c:majorTickMark val="out"/>
        <c:minorTickMark val="none"/>
        <c:tickLblPos val="nextTo"/>
        <c:crossAx val="28836422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170731707317069E-2"/>
          <c:y val="5.8577405857740933E-2"/>
          <c:w val="0.90069686411149863"/>
          <c:h val="0.7656903765690446"/>
        </c:manualLayout>
      </c:layout>
      <c:lineChart>
        <c:grouping val="standard"/>
        <c:varyColors val="0"/>
        <c:ser>
          <c:idx val="0"/>
          <c:order val="0"/>
          <c:tx>
            <c:strRef>
              <c:f>jul!$C$3</c:f>
              <c:strCache>
                <c:ptCount val="1"/>
                <c:pt idx="0">
                  <c:v>Monthly inflation</c:v>
                </c:pt>
              </c:strCache>
            </c:strRef>
          </c:tx>
          <c:spPr>
            <a:ln w="254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multiLvlStrRef>
              <c:f>jul!$A$5:$B$17</c:f>
              <c:multiLvlStrCache>
                <c:ptCount val="13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</c:lvl>
              </c:multiLvlStrCache>
            </c:multiLvlStrRef>
          </c:cat>
          <c:val>
            <c:numRef>
              <c:f>jul!$C$5:$C$17</c:f>
              <c:numCache>
                <c:formatCode>General</c:formatCode>
                <c:ptCount val="13"/>
                <c:pt idx="0">
                  <c:v>-0.3</c:v>
                </c:pt>
                <c:pt idx="1">
                  <c:v>-0.3</c:v>
                </c:pt>
                <c:pt idx="2">
                  <c:v>0.1</c:v>
                </c:pt>
                <c:pt idx="3">
                  <c:v>1.4</c:v>
                </c:pt>
                <c:pt idx="4">
                  <c:v>0.1</c:v>
                </c:pt>
                <c:pt idx="5">
                  <c:v>-0.1</c:v>
                </c:pt>
                <c:pt idx="6">
                  <c:v>0.9</c:v>
                </c:pt>
                <c:pt idx="7">
                  <c:v>0.1</c:v>
                </c:pt>
                <c:pt idx="8">
                  <c:v>0.1</c:v>
                </c:pt>
                <c:pt idx="9">
                  <c:v>-1.1000000000000001</c:v>
                </c:pt>
                <c:pt idx="10">
                  <c:v>-0.2</c:v>
                </c:pt>
                <c:pt idx="11">
                  <c:v>-0.4</c:v>
                </c:pt>
                <c:pt idx="12">
                  <c:v>-0.3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jul!$D$3</c:f>
              <c:strCache>
                <c:ptCount val="1"/>
                <c:pt idx="0">
                  <c:v>Annual inflation</c:v>
                </c:pt>
              </c:strCache>
            </c:strRef>
          </c:tx>
          <c:spPr>
            <a:ln w="25400">
              <a:solidFill>
                <a:srgbClr val="996633"/>
              </a:solidFill>
              <a:prstDash val="solid"/>
            </a:ln>
          </c:spPr>
          <c:marker>
            <c:symbol val="none"/>
          </c:marker>
          <c:cat>
            <c:multiLvlStrRef>
              <c:f>jul!$A$5:$B$17</c:f>
              <c:multiLvlStrCache>
                <c:ptCount val="13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</c:lvl>
              </c:multiLvlStrCache>
            </c:multiLvlStrRef>
          </c:cat>
          <c:val>
            <c:numRef>
              <c:f>jul!$D$5:$D$17</c:f>
              <c:numCache>
                <c:formatCode>General</c:formatCode>
                <c:ptCount val="13"/>
                <c:pt idx="0" formatCode="0.0">
                  <c:v>-1</c:v>
                </c:pt>
                <c:pt idx="1">
                  <c:v>-1.3</c:v>
                </c:pt>
                <c:pt idx="2">
                  <c:v>-1.2</c:v>
                </c:pt>
                <c:pt idx="3">
                  <c:v>-0.7</c:v>
                </c:pt>
                <c:pt idx="4">
                  <c:v>-0.3</c:v>
                </c:pt>
                <c:pt idx="5">
                  <c:v>-0.2</c:v>
                </c:pt>
                <c:pt idx="6">
                  <c:v>0.4</c:v>
                </c:pt>
                <c:pt idx="7">
                  <c:v>0.8</c:v>
                </c:pt>
                <c:pt idx="8">
                  <c:v>0.9</c:v>
                </c:pt>
                <c:pt idx="9">
                  <c:v>0.8</c:v>
                </c:pt>
                <c:pt idx="10">
                  <c:v>0.6</c:v>
                </c:pt>
                <c:pt idx="11">
                  <c:v>0.4</c:v>
                </c:pt>
                <c:pt idx="12">
                  <c:v>0.3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12293920"/>
        <c:axId val="290116728"/>
      </c:lineChart>
      <c:catAx>
        <c:axId val="312293920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none"/>
        <c:minorTickMark val="out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Narrow" panose="020B0606020202030204" pitchFamily="34" charset="0"/>
                <a:ea typeface="Calibri"/>
                <a:cs typeface="Calibri"/>
              </a:defRPr>
            </a:pPr>
            <a:endParaRPr lang="en-US"/>
          </a:p>
        </c:txPr>
        <c:crossAx val="29011672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290116728"/>
        <c:scaling>
          <c:orientation val="minMax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ajorGridlines>
        <c:numFmt formatCode="#,##0.0" sourceLinked="0"/>
        <c:majorTickMark val="out"/>
        <c:minorTickMark val="none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Narrow" panose="020B0606020202030204" pitchFamily="34" charset="0"/>
                <a:ea typeface="Calibri"/>
                <a:cs typeface="Calibri"/>
              </a:defRPr>
            </a:pPr>
            <a:endParaRPr lang="en-US"/>
          </a:p>
        </c:txPr>
        <c:crossAx val="312293920"/>
        <c:crosses val="autoZero"/>
        <c:crossBetween val="between"/>
      </c:valAx>
      <c:spPr>
        <a:solidFill>
          <a:srgbClr val="FFFFFF"/>
        </a:solidFill>
        <a:ln w="3175"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23001843239898906"/>
          <c:y val="0.83869882201024848"/>
          <c:w val="0.61344364640834614"/>
          <c:h val="0.15596562966335781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Arial Narrow" panose="020B0606020202030204" pitchFamily="34" charset="0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12700">
      <a:noFill/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  <c:pt idx="13">
                    <c:v>VIII</c:v>
                  </c:pt>
                  <c:pt idx="14">
                    <c:v>IX</c:v>
                  </c:pt>
                  <c:pt idx="15">
                    <c:v>X</c:v>
                  </c:pt>
                  <c:pt idx="16">
                    <c:v>XI</c:v>
                  </c:pt>
                  <c:pt idx="17">
                    <c:v>XII</c:v>
                  </c:pt>
                  <c:pt idx="18">
                    <c:v>I</c:v>
                  </c:pt>
                  <c:pt idx="19">
                    <c:v>II</c:v>
                  </c:pt>
                  <c:pt idx="20">
                    <c:v>III</c:v>
                  </c:pt>
                  <c:pt idx="21">
                    <c:v>IV</c:v>
                  </c:pt>
                  <c:pt idx="22">
                    <c:v>V</c:v>
                  </c:pt>
                  <c:pt idx="23">
                    <c:v>VI</c:v>
                  </c:pt>
                  <c:pt idx="24">
                    <c:v>VII</c:v>
                  </c:pt>
                  <c:pt idx="25">
                    <c:v>VIII</c:v>
                  </c:pt>
                  <c:pt idx="26">
                    <c:v>IX</c:v>
                  </c:pt>
                  <c:pt idx="27">
                    <c:v>X</c:v>
                  </c:pt>
                  <c:pt idx="28">
                    <c:v>XI</c:v>
                  </c:pt>
                  <c:pt idx="29">
                    <c:v>XII</c:v>
                  </c:pt>
                  <c:pt idx="30">
                    <c:v>I</c:v>
                  </c:pt>
                  <c:pt idx="31">
                    <c:v>II</c:v>
                  </c:pt>
                  <c:pt idx="32">
                    <c:v>III</c:v>
                  </c:pt>
                  <c:pt idx="33">
                    <c:v>IV</c:v>
                  </c:pt>
                  <c:pt idx="34">
                    <c:v>V</c:v>
                  </c:pt>
                  <c:pt idx="35">
                    <c:v>VI</c:v>
                  </c:pt>
                  <c:pt idx="36">
                    <c:v>VII</c:v>
                  </c:pt>
                  <c:pt idx="37">
                    <c:v>VIII</c:v>
                  </c:pt>
                  <c:pt idx="38">
                    <c:v>IX</c:v>
                  </c:pt>
                  <c:pt idx="39">
                    <c:v>X</c:v>
                  </c:pt>
                  <c:pt idx="40">
                    <c:v>XI</c:v>
                  </c:pt>
                  <c:pt idx="41">
                    <c:v>XII</c:v>
                  </c:pt>
                  <c:pt idx="42">
                    <c:v>I</c:v>
                  </c:pt>
                  <c:pt idx="43">
                    <c:v>II</c:v>
                  </c:pt>
                  <c:pt idx="44">
                    <c:v>III</c:v>
                  </c:pt>
                  <c:pt idx="45">
                    <c:v>IV</c:v>
                  </c:pt>
                  <c:pt idx="46">
                    <c:v>V</c:v>
                  </c:pt>
                  <c:pt idx="47">
                    <c:v>VI</c:v>
                  </c:pt>
                  <c:pt idx="48">
                    <c:v>VII</c:v>
                  </c:pt>
                </c:lvl>
                <c:lvl>
                  <c:pt idx="0">
                    <c:v>2013</c:v>
                  </c:pt>
                  <c:pt idx="6">
                    <c:v>2014</c:v>
                  </c:pt>
                  <c:pt idx="18">
                    <c:v>2015</c:v>
                  </c:pt>
                  <c:pt idx="30">
                    <c:v>2016</c:v>
                  </c:pt>
                  <c:pt idx="42">
                    <c:v>2017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General</c:formatCode>
                <c:ptCount val="49"/>
                <c:pt idx="0">
                  <c:v>110.72158564293836</c:v>
                </c:pt>
                <c:pt idx="1">
                  <c:v>106.73652732410041</c:v>
                </c:pt>
                <c:pt idx="2">
                  <c:v>100.62671205731509</c:v>
                </c:pt>
                <c:pt idx="3">
                  <c:v>102.01210297229018</c:v>
                </c:pt>
                <c:pt idx="4">
                  <c:v>105.16164670504074</c:v>
                </c:pt>
                <c:pt idx="5">
                  <c:v>105.86504156823673</c:v>
                </c:pt>
                <c:pt idx="6">
                  <c:v>106.79167453935698</c:v>
                </c:pt>
                <c:pt idx="7">
                  <c:v>104.82806532017656</c:v>
                </c:pt>
                <c:pt idx="8">
                  <c:v>101.51791407455342</c:v>
                </c:pt>
                <c:pt idx="9">
                  <c:v>103.40931802356296</c:v>
                </c:pt>
                <c:pt idx="10">
                  <c:v>102.16321730658223</c:v>
                </c:pt>
                <c:pt idx="11">
                  <c:v>104.31537808125127</c:v>
                </c:pt>
                <c:pt idx="12">
                  <c:v>106.66164530884403</c:v>
                </c:pt>
                <c:pt idx="13">
                  <c:v>99.761078235719225</c:v>
                </c:pt>
                <c:pt idx="14">
                  <c:v>109.28674644460095</c:v>
                </c:pt>
                <c:pt idx="15">
                  <c:v>108.27129133591404</c:v>
                </c:pt>
                <c:pt idx="16">
                  <c:v>107.73199281444332</c:v>
                </c:pt>
                <c:pt idx="17">
                  <c:v>105.19224838012622</c:v>
                </c:pt>
                <c:pt idx="18">
                  <c:v>108.96708066240075</c:v>
                </c:pt>
                <c:pt idx="19">
                  <c:v>110.01370924128688</c:v>
                </c:pt>
                <c:pt idx="20">
                  <c:v>103.96889616401747</c:v>
                </c:pt>
                <c:pt idx="21">
                  <c:v>106.40082380882967</c:v>
                </c:pt>
                <c:pt idx="22">
                  <c:v>108.88914715962791</c:v>
                </c:pt>
                <c:pt idx="23">
                  <c:v>109.24609829868172</c:v>
                </c:pt>
                <c:pt idx="24">
                  <c:v>108.93034995562094</c:v>
                </c:pt>
                <c:pt idx="25">
                  <c:v>110.48191171492417</c:v>
                </c:pt>
                <c:pt idx="26">
                  <c:v>105.38250759930354</c:v>
                </c:pt>
                <c:pt idx="27">
                  <c:v>109.41250248083952</c:v>
                </c:pt>
                <c:pt idx="28">
                  <c:v>108.09928706486275</c:v>
                </c:pt>
                <c:pt idx="29">
                  <c:v>105.1392870767705</c:v>
                </c:pt>
                <c:pt idx="30">
                  <c:v>103.01365330697313</c:v>
                </c:pt>
                <c:pt idx="31">
                  <c:v>114.97329883382184</c:v>
                </c:pt>
                <c:pt idx="32">
                  <c:v>122.88566512228167</c:v>
                </c:pt>
                <c:pt idx="33">
                  <c:v>110.88873052500101</c:v>
                </c:pt>
                <c:pt idx="34">
                  <c:v>115.13874893045015</c:v>
                </c:pt>
                <c:pt idx="35">
                  <c:v>113.75121526300887</c:v>
                </c:pt>
                <c:pt idx="36">
                  <c:v>117.72330627854973</c:v>
                </c:pt>
                <c:pt idx="37">
                  <c:v>119.12111324093514</c:v>
                </c:pt>
                <c:pt idx="38">
                  <c:v>119.89096760884166</c:v>
                </c:pt>
                <c:pt idx="39">
                  <c:v>116.71655531963827</c:v>
                </c:pt>
                <c:pt idx="40">
                  <c:v>118.34124848148839</c:v>
                </c:pt>
                <c:pt idx="41">
                  <c:v>124.24989467787783</c:v>
                </c:pt>
                <c:pt idx="42">
                  <c:v>122.07938004587142</c:v>
                </c:pt>
                <c:pt idx="43">
                  <c:v>119.44012664072758</c:v>
                </c:pt>
                <c:pt idx="44">
                  <c:v>117.35867798328216</c:v>
                </c:pt>
                <c:pt idx="45">
                  <c:v>123.46066721967078</c:v>
                </c:pt>
                <c:pt idx="46">
                  <c:v>105.2116790078277</c:v>
                </c:pt>
                <c:pt idx="47">
                  <c:v>123.03721745380984</c:v>
                </c:pt>
                <c:pt idx="48">
                  <c:v>117.84352277215272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53A5-4681-B57F-648126E74587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  <c:pt idx="13">
                    <c:v>VIII</c:v>
                  </c:pt>
                  <c:pt idx="14">
                    <c:v>IX</c:v>
                  </c:pt>
                  <c:pt idx="15">
                    <c:v>X</c:v>
                  </c:pt>
                  <c:pt idx="16">
                    <c:v>XI</c:v>
                  </c:pt>
                  <c:pt idx="17">
                    <c:v>XII</c:v>
                  </c:pt>
                  <c:pt idx="18">
                    <c:v>I</c:v>
                  </c:pt>
                  <c:pt idx="19">
                    <c:v>II</c:v>
                  </c:pt>
                  <c:pt idx="20">
                    <c:v>III</c:v>
                  </c:pt>
                  <c:pt idx="21">
                    <c:v>IV</c:v>
                  </c:pt>
                  <c:pt idx="22">
                    <c:v>V</c:v>
                  </c:pt>
                  <c:pt idx="23">
                    <c:v>VI</c:v>
                  </c:pt>
                  <c:pt idx="24">
                    <c:v>VII</c:v>
                  </c:pt>
                  <c:pt idx="25">
                    <c:v>VIII</c:v>
                  </c:pt>
                  <c:pt idx="26">
                    <c:v>IX</c:v>
                  </c:pt>
                  <c:pt idx="27">
                    <c:v>X</c:v>
                  </c:pt>
                  <c:pt idx="28">
                    <c:v>XI</c:v>
                  </c:pt>
                  <c:pt idx="29">
                    <c:v>XII</c:v>
                  </c:pt>
                  <c:pt idx="30">
                    <c:v>I</c:v>
                  </c:pt>
                  <c:pt idx="31">
                    <c:v>II</c:v>
                  </c:pt>
                  <c:pt idx="32">
                    <c:v>III</c:v>
                  </c:pt>
                  <c:pt idx="33">
                    <c:v>IV</c:v>
                  </c:pt>
                  <c:pt idx="34">
                    <c:v>V</c:v>
                  </c:pt>
                  <c:pt idx="35">
                    <c:v>VI</c:v>
                  </c:pt>
                  <c:pt idx="36">
                    <c:v>VII</c:v>
                  </c:pt>
                  <c:pt idx="37">
                    <c:v>VIII</c:v>
                  </c:pt>
                  <c:pt idx="38">
                    <c:v>IX</c:v>
                  </c:pt>
                  <c:pt idx="39">
                    <c:v>X</c:v>
                  </c:pt>
                  <c:pt idx="40">
                    <c:v>XI</c:v>
                  </c:pt>
                  <c:pt idx="41">
                    <c:v>XII</c:v>
                  </c:pt>
                  <c:pt idx="42">
                    <c:v>I</c:v>
                  </c:pt>
                  <c:pt idx="43">
                    <c:v>II</c:v>
                  </c:pt>
                  <c:pt idx="44">
                    <c:v>III</c:v>
                  </c:pt>
                  <c:pt idx="45">
                    <c:v>IV</c:v>
                  </c:pt>
                  <c:pt idx="46">
                    <c:v>V</c:v>
                  </c:pt>
                  <c:pt idx="47">
                    <c:v>VI</c:v>
                  </c:pt>
                  <c:pt idx="48">
                    <c:v>VII</c:v>
                  </c:pt>
                </c:lvl>
                <c:lvl>
                  <c:pt idx="0">
                    <c:v>2013</c:v>
                  </c:pt>
                  <c:pt idx="6">
                    <c:v>2014</c:v>
                  </c:pt>
                  <c:pt idx="18">
                    <c:v>2015</c:v>
                  </c:pt>
                  <c:pt idx="30">
                    <c:v>2016</c:v>
                  </c:pt>
                  <c:pt idx="42">
                    <c:v>2017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General</c:formatCode>
                <c:ptCount val="49"/>
                <c:pt idx="0">
                  <c:v>104.07665460267984</c:v>
                </c:pt>
                <c:pt idx="1">
                  <c:v>104.11200327099162</c:v>
                </c:pt>
                <c:pt idx="2">
                  <c:v>104.06253524009655</c:v>
                </c:pt>
                <c:pt idx="3">
                  <c:v>104.12154972354766</c:v>
                </c:pt>
                <c:pt idx="4">
                  <c:v>104.26290974091219</c:v>
                </c:pt>
                <c:pt idx="5">
                  <c:v>104.3843924896135</c:v>
                </c:pt>
                <c:pt idx="6">
                  <c:v>104.45131422679857</c:v>
                </c:pt>
                <c:pt idx="7">
                  <c:v>104.44459640128443</c:v>
                </c:pt>
                <c:pt idx="8">
                  <c:v>104.44023006531276</c:v>
                </c:pt>
                <c:pt idx="9">
                  <c:v>104.52545535793365</c:v>
                </c:pt>
                <c:pt idx="10">
                  <c:v>104.67933149053715</c:v>
                </c:pt>
                <c:pt idx="11">
                  <c:v>104.92445089938312</c:v>
                </c:pt>
                <c:pt idx="12">
                  <c:v>105.17958546373231</c:v>
                </c:pt>
                <c:pt idx="13">
                  <c:v>105.45427291583236</c:v>
                </c:pt>
                <c:pt idx="14">
                  <c:v>105.85719099744372</c:v>
                </c:pt>
                <c:pt idx="15">
                  <c:v>106.22070536587881</c:v>
                </c:pt>
                <c:pt idx="16">
                  <c:v>106.47954125118611</c:v>
                </c:pt>
                <c:pt idx="17">
                  <c:v>106.73027739137875</c:v>
                </c:pt>
                <c:pt idx="18">
                  <c:v>107.01578905550566</c:v>
                </c:pt>
                <c:pt idx="19">
                  <c:v>107.24617642887858</c:v>
                </c:pt>
                <c:pt idx="20">
                  <c:v>107.41484654400882</c:v>
                </c:pt>
                <c:pt idx="21">
                  <c:v>107.68149856218794</c:v>
                </c:pt>
                <c:pt idx="22">
                  <c:v>108.01979020693273</c:v>
                </c:pt>
                <c:pt idx="23">
                  <c:v>108.3320143721692</c:v>
                </c:pt>
                <c:pt idx="24">
                  <c:v>108.63309520676729</c:v>
                </c:pt>
                <c:pt idx="25">
                  <c:v>108.90753546340301</c:v>
                </c:pt>
                <c:pt idx="26">
                  <c:v>109.18142992746279</c:v>
                </c:pt>
                <c:pt idx="27">
                  <c:v>109.55219415999396</c:v>
                </c:pt>
                <c:pt idx="28">
                  <c:v>109.97939602617205</c:v>
                </c:pt>
                <c:pt idx="29">
                  <c:v>110.47118494088502</c:v>
                </c:pt>
                <c:pt idx="30">
                  <c:v>111.19543384985951</c:v>
                </c:pt>
                <c:pt idx="31">
                  <c:v>112.20094609432053</c:v>
                </c:pt>
                <c:pt idx="32">
                  <c:v>113.12169108715064</c:v>
                </c:pt>
                <c:pt idx="33">
                  <c:v>113.7979041196707</c:v>
                </c:pt>
                <c:pt idx="34">
                  <c:v>114.49595478871657</c:v>
                </c:pt>
                <c:pt idx="35">
                  <c:v>115.24722953617253</c:v>
                </c:pt>
                <c:pt idx="36">
                  <c:v>116.01483377218592</c:v>
                </c:pt>
                <c:pt idx="37">
                  <c:v>116.75981695731831</c:v>
                </c:pt>
                <c:pt idx="38">
                  <c:v>117.41072394781524</c:v>
                </c:pt>
                <c:pt idx="39">
                  <c:v>117.9998282531912</c:v>
                </c:pt>
                <c:pt idx="40">
                  <c:v>118.62835698650699</c:v>
                </c:pt>
                <c:pt idx="41">
                  <c:v>119.25584812070885</c:v>
                </c:pt>
                <c:pt idx="42">
                  <c:v>119.74366743107062</c:v>
                </c:pt>
                <c:pt idx="43">
                  <c:v>120.13406365770608</c:v>
                </c:pt>
                <c:pt idx="44">
                  <c:v>120.57439180707118</c:v>
                </c:pt>
                <c:pt idx="45">
                  <c:v>121.09755629919641</c:v>
                </c:pt>
                <c:pt idx="46">
                  <c:v>121.57817691611983</c:v>
                </c:pt>
                <c:pt idx="47">
                  <c:v>121.95497382499367</c:v>
                </c:pt>
                <c:pt idx="48">
                  <c:v>122.33073168380716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53A5-4681-B57F-648126E745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90117512"/>
        <c:axId val="290117904"/>
      </c:lineChart>
      <c:catAx>
        <c:axId val="290117512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290117904"/>
        <c:crosses val="autoZero"/>
        <c:auto val="1"/>
        <c:lblAlgn val="ctr"/>
        <c:lblOffset val="100"/>
        <c:noMultiLvlLbl val="0"/>
      </c:catAx>
      <c:valAx>
        <c:axId val="290117904"/>
        <c:scaling>
          <c:orientation val="minMax"/>
          <c:max val="130"/>
          <c:min val="95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9525">
            <a:solidFill>
              <a:schemeClr val="bg1">
                <a:lumMod val="50000"/>
              </a:schemeClr>
            </a:solidFill>
          </a:ln>
        </c:spPr>
        <c:crossAx val="290117512"/>
        <c:crosses val="autoZero"/>
        <c:crossBetween val="between"/>
        <c:majorUnit val="5"/>
      </c:valAx>
      <c:spPr>
        <a:noFill/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3910848712592248"/>
          <c:y val="0.85966513711082804"/>
          <c:w val="0.55121772209792463"/>
          <c:h val="0.11535047812964666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5415652109751343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zaJul2017!$A$2</c:f>
              <c:strCache>
                <c:ptCount val="1"/>
                <c:pt idx="0">
                  <c:v>увоз                   </c:v>
                </c:pt>
              </c:strCache>
            </c:strRef>
          </c:tx>
          <c:marker>
            <c:symbol val="none"/>
          </c:marker>
          <c:cat>
            <c:strRef>
              <c:f>zaJul2017!$B$1:$N$1</c:f>
              <c:strCache>
                <c:ptCount val="13"/>
                <c:pt idx="0">
                  <c:v>VII</c:v>
                </c:pt>
                <c:pt idx="1">
                  <c:v>VIII</c:v>
                </c:pt>
                <c:pt idx="2">
                  <c:v>IX</c:v>
                </c:pt>
                <c:pt idx="3">
                  <c:v>X</c:v>
                </c:pt>
                <c:pt idx="4">
                  <c:v>XI</c:v>
                </c:pt>
                <c:pt idx="5">
                  <c:v>XII</c:v>
                </c:pt>
                <c:pt idx="6">
                  <c:v>I</c:v>
                </c:pt>
                <c:pt idx="7">
                  <c:v>II</c:v>
                </c:pt>
                <c:pt idx="8">
                  <c:v>III</c:v>
                </c:pt>
                <c:pt idx="9">
                  <c:v>IV</c:v>
                </c:pt>
                <c:pt idx="10">
                  <c:v>V</c:v>
                </c:pt>
                <c:pt idx="11">
                  <c:v>VI</c:v>
                </c:pt>
                <c:pt idx="12">
                  <c:v>VII</c:v>
                </c:pt>
              </c:strCache>
            </c:strRef>
          </c:cat>
          <c:val>
            <c:numRef>
              <c:f>zaJul2017!$B$2:$N$2</c:f>
              <c:numCache>
                <c:formatCode>General</c:formatCode>
                <c:ptCount val="13"/>
                <c:pt idx="0">
                  <c:v>384444</c:v>
                </c:pt>
                <c:pt idx="1">
                  <c:v>357450</c:v>
                </c:pt>
                <c:pt idx="2">
                  <c:v>380274</c:v>
                </c:pt>
                <c:pt idx="3">
                  <c:v>374802</c:v>
                </c:pt>
                <c:pt idx="4">
                  <c:v>413271</c:v>
                </c:pt>
                <c:pt idx="5">
                  <c:v>454746</c:v>
                </c:pt>
                <c:pt idx="6">
                  <c:v>246360</c:v>
                </c:pt>
                <c:pt idx="7">
                  <c:v>373425</c:v>
                </c:pt>
                <c:pt idx="8">
                  <c:v>394461</c:v>
                </c:pt>
                <c:pt idx="9">
                  <c:v>439274</c:v>
                </c:pt>
                <c:pt idx="10">
                  <c:v>389725</c:v>
                </c:pt>
                <c:pt idx="11">
                  <c:v>472809</c:v>
                </c:pt>
                <c:pt idx="12">
                  <c:v>415272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zaJul2017!$A$3</c:f>
              <c:strCache>
                <c:ptCount val="1"/>
                <c:pt idx="0">
                  <c:v>извоз</c:v>
                </c:pt>
              </c:strCache>
            </c:strRef>
          </c:tx>
          <c:marker>
            <c:symbol val="none"/>
          </c:marker>
          <c:cat>
            <c:strRef>
              <c:f>zaJul2017!$B$1:$N$1</c:f>
              <c:strCache>
                <c:ptCount val="13"/>
                <c:pt idx="0">
                  <c:v>VII</c:v>
                </c:pt>
                <c:pt idx="1">
                  <c:v>VIII</c:v>
                </c:pt>
                <c:pt idx="2">
                  <c:v>IX</c:v>
                </c:pt>
                <c:pt idx="3">
                  <c:v>X</c:v>
                </c:pt>
                <c:pt idx="4">
                  <c:v>XI</c:v>
                </c:pt>
                <c:pt idx="5">
                  <c:v>XII</c:v>
                </c:pt>
                <c:pt idx="6">
                  <c:v>I</c:v>
                </c:pt>
                <c:pt idx="7">
                  <c:v>II</c:v>
                </c:pt>
                <c:pt idx="8">
                  <c:v>III</c:v>
                </c:pt>
                <c:pt idx="9">
                  <c:v>IV</c:v>
                </c:pt>
                <c:pt idx="10">
                  <c:v>V</c:v>
                </c:pt>
                <c:pt idx="11">
                  <c:v>VI</c:v>
                </c:pt>
                <c:pt idx="12">
                  <c:v>VII</c:v>
                </c:pt>
              </c:strCache>
            </c:strRef>
          </c:cat>
          <c:val>
            <c:numRef>
              <c:f>zaJul2017!$B$3:$N$3</c:f>
              <c:numCache>
                <c:formatCode>0</c:formatCode>
                <c:ptCount val="13"/>
                <c:pt idx="0">
                  <c:v>246093</c:v>
                </c:pt>
                <c:pt idx="1">
                  <c:v>229988</c:v>
                </c:pt>
                <c:pt idx="2">
                  <c:v>265387</c:v>
                </c:pt>
                <c:pt idx="3">
                  <c:v>250954</c:v>
                </c:pt>
                <c:pt idx="4">
                  <c:v>267945</c:v>
                </c:pt>
                <c:pt idx="5">
                  <c:v>260835</c:v>
                </c:pt>
                <c:pt idx="6">
                  <c:v>227374</c:v>
                </c:pt>
                <c:pt idx="7">
                  <c:v>250969</c:v>
                </c:pt>
                <c:pt idx="8">
                  <c:v>301409</c:v>
                </c:pt>
                <c:pt idx="9">
                  <c:v>267973</c:v>
                </c:pt>
                <c:pt idx="10">
                  <c:v>291438</c:v>
                </c:pt>
                <c:pt idx="11">
                  <c:v>293897</c:v>
                </c:pt>
                <c:pt idx="12">
                  <c:v>307500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90118688"/>
        <c:axId val="290119080"/>
      </c:lineChart>
      <c:catAx>
        <c:axId val="290118688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290119080"/>
        <c:crosses val="autoZero"/>
        <c:auto val="1"/>
        <c:lblAlgn val="ctr"/>
        <c:lblOffset val="100"/>
        <c:noMultiLvlLbl val="0"/>
      </c:catAx>
      <c:valAx>
        <c:axId val="290119080"/>
        <c:scaling>
          <c:orientation val="minMax"/>
        </c:scaling>
        <c:delete val="0"/>
        <c:axPos val="l"/>
        <c:majorGridlines>
          <c:spPr>
            <a:ln w="3175"/>
          </c:spPr>
        </c:majorGridlines>
        <c:numFmt formatCode="#,##0" sourceLinked="0"/>
        <c:majorTickMark val="out"/>
        <c:minorTickMark val="none"/>
        <c:tickLblPos val="nextTo"/>
        <c:crossAx val="2901186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32295719844358"/>
          <c:y val="0.34469696969696972"/>
          <c:w val="0.17315175097276264"/>
          <c:h val="0.18939393939393939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  <c:userShapes r:id="rId3"/>
</c:chartSpace>
</file>

<file path=word/drawing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png"/><Relationship Id="rId1" Type="http://schemas.openxmlformats.org/officeDocument/2006/relationships/image" Target="../media/image3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0.86848</cdr:x>
      <cdr:y>0.43929</cdr:y>
    </cdr:from>
    <cdr:to>
      <cdr:x>0.96379</cdr:x>
      <cdr:y>0.54868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339087" y="1147313"/>
          <a:ext cx="476190" cy="285714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0.86503</cdr:x>
      <cdr:y>0.35672</cdr:y>
    </cdr:from>
    <cdr:to>
      <cdr:x>0.96224</cdr:x>
      <cdr:y>0.42965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4321834" y="931653"/>
          <a:ext cx="485714" cy="190476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28489-CBD4-4AAC-BDCF-6484B54DB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1219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8784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1310799</vt:i4>
      </vt:variant>
      <vt:variant>
        <vt:i4>15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Jelena Kadnic</cp:lastModifiedBy>
  <cp:revision>29</cp:revision>
  <cp:lastPrinted>2015-12-17T11:01:00Z</cp:lastPrinted>
  <dcterms:created xsi:type="dcterms:W3CDTF">2017-08-21T09:09:00Z</dcterms:created>
  <dcterms:modified xsi:type="dcterms:W3CDTF">2017-08-22T07:33:00Z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