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CC339F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224614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72615B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. </w:t>
            </w:r>
            <w:r w:rsidR="00950FFF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V</w:t>
            </w:r>
            <w:r w:rsidR="0072615B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I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 xml:space="preserve"> 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>201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6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CS"/>
              </w:rPr>
              <w:t>.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Број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CS"/>
              </w:rPr>
              <w:t xml:space="preserve"> </w:t>
            </w:r>
            <w:r w:rsidR="009F4D54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1</w:t>
            </w:r>
            <w:r w:rsidR="00224614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60</w:t>
            </w:r>
            <w:r w:rsidR="00431915" w:rsidRPr="00A64260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Cyrl-BA"/>
              </w:rPr>
              <w:t>/1</w:t>
            </w:r>
            <w:r w:rsidR="00431915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</w:rPr>
              <w:t>6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1D2CF2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72615B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јун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35383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6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D266AF" w:rsidRDefault="000F689B" w:rsidP="00B13D2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B13D2B" w:rsidRDefault="00B13D2B" w:rsidP="00B13D2B">
      <w:pPr>
        <w:jc w:val="both"/>
        <w:rPr>
          <w:rFonts w:ascii="Arial Narrow" w:hAnsi="Arial Narrow" w:cs="Tahoma"/>
          <w:b/>
          <w:sz w:val="30"/>
          <w:szCs w:val="30"/>
        </w:rPr>
      </w:pPr>
    </w:p>
    <w:p w:rsidR="00E33D13" w:rsidRPr="00B13D2B" w:rsidRDefault="00E33D13" w:rsidP="00B13D2B">
      <w:pPr>
        <w:spacing w:after="120"/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B13D2B">
        <w:rPr>
          <w:rFonts w:ascii="Arial Narrow" w:hAnsi="Arial Narrow" w:cs="Tahoma"/>
          <w:b/>
          <w:sz w:val="30"/>
          <w:szCs w:val="30"/>
          <w:lang w:val="sr-Cyrl-CS"/>
        </w:rPr>
        <w:t>Просјечн</w:t>
      </w:r>
      <w:r w:rsidRPr="00B13D2B">
        <w:rPr>
          <w:rFonts w:ascii="Arial Narrow" w:hAnsi="Arial Narrow" w:cs="Tahoma"/>
          <w:b/>
          <w:sz w:val="30"/>
          <w:szCs w:val="30"/>
          <w:lang w:val="ru-RU"/>
        </w:rPr>
        <w:t xml:space="preserve">а </w:t>
      </w:r>
      <w:r w:rsidRPr="00B13D2B">
        <w:rPr>
          <w:rFonts w:ascii="Arial Narrow" w:hAnsi="Arial Narrow" w:cs="Tahoma"/>
          <w:b/>
          <w:sz w:val="30"/>
          <w:szCs w:val="30"/>
          <w:lang w:val="sr-Cyrl-CS"/>
        </w:rPr>
        <w:t>нето</w:t>
      </w:r>
      <w:r w:rsidRPr="00B13D2B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Pr="00B13D2B">
        <w:rPr>
          <w:rFonts w:ascii="Arial Narrow" w:hAnsi="Arial Narrow" w:cs="Tahoma"/>
          <w:b/>
          <w:sz w:val="30"/>
          <w:szCs w:val="30"/>
          <w:lang w:val="sr-Cyrl-CS"/>
        </w:rPr>
        <w:t>плата</w:t>
      </w:r>
      <w:r w:rsidRPr="00B13D2B">
        <w:rPr>
          <w:rFonts w:ascii="Arial Narrow" w:hAnsi="Arial Narrow" w:cs="Tahoma"/>
          <w:b/>
          <w:sz w:val="30"/>
          <w:szCs w:val="30"/>
          <w:lang w:val="ru-RU"/>
        </w:rPr>
        <w:t xml:space="preserve"> у </w:t>
      </w:r>
      <w:r w:rsidR="00652176" w:rsidRPr="00B13D2B">
        <w:rPr>
          <w:rFonts w:ascii="Arial Narrow" w:hAnsi="Arial Narrow" w:cs="Tahoma"/>
          <w:b/>
          <w:sz w:val="30"/>
          <w:szCs w:val="30"/>
          <w:lang w:val="sr-Cyrl-BA"/>
        </w:rPr>
        <w:t>мају</w:t>
      </w:r>
      <w:r w:rsidRPr="00B13D2B">
        <w:rPr>
          <w:rFonts w:ascii="Arial Narrow" w:hAnsi="Arial Narrow" w:cs="Tahoma"/>
          <w:b/>
          <w:sz w:val="30"/>
          <w:szCs w:val="30"/>
          <w:lang w:val="bs-Latn-BA"/>
        </w:rPr>
        <w:t xml:space="preserve"> </w:t>
      </w:r>
      <w:r w:rsidRPr="00B13D2B">
        <w:rPr>
          <w:rFonts w:ascii="Arial Narrow" w:hAnsi="Arial Narrow" w:cs="Tahoma"/>
          <w:b/>
          <w:sz w:val="30"/>
          <w:szCs w:val="30"/>
          <w:lang w:val="sr-Cyrl-CS"/>
        </w:rPr>
        <w:t>8</w:t>
      </w:r>
      <w:r w:rsidR="00652176" w:rsidRPr="00B13D2B">
        <w:rPr>
          <w:rFonts w:ascii="Arial Narrow" w:hAnsi="Arial Narrow" w:cs="Tahoma"/>
          <w:b/>
          <w:sz w:val="30"/>
          <w:szCs w:val="30"/>
          <w:lang w:val="sr-Cyrl-CS"/>
        </w:rPr>
        <w:t>41</w:t>
      </w:r>
      <w:r w:rsidRPr="00B13D2B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B13D2B">
        <w:rPr>
          <w:rFonts w:ascii="Arial Narrow" w:hAnsi="Arial Narrow" w:cs="Tahoma"/>
          <w:b/>
          <w:sz w:val="30"/>
          <w:szCs w:val="30"/>
          <w:lang w:val="ru-RU"/>
        </w:rPr>
        <w:t>КМ</w:t>
      </w:r>
    </w:p>
    <w:p w:rsidR="00E33D13" w:rsidRPr="00B13D2B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B13D2B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B13D2B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B13D2B">
        <w:rPr>
          <w:rFonts w:ascii="Arial Narrow" w:hAnsi="Arial Narrow" w:cs="Tahoma"/>
          <w:b/>
          <w:i/>
          <w:sz w:val="28"/>
          <w:szCs w:val="28"/>
          <w:lang w:val="sr-Cyrl-CS"/>
        </w:rPr>
        <w:t>Ф</w:t>
      </w:r>
      <w:r w:rsidRPr="00B13D2B">
        <w:rPr>
          <w:rFonts w:ascii="Arial Narrow" w:hAnsi="Arial Narrow" w:cs="Tahoma"/>
          <w:b/>
          <w:i/>
          <w:sz w:val="28"/>
          <w:szCs w:val="28"/>
          <w:lang w:val="ru-RU"/>
        </w:rPr>
        <w:t>инансијске дјелатности и дјелатности осигурања</w:t>
      </w:r>
      <w:r w:rsidRPr="00B13D2B">
        <w:rPr>
          <w:rFonts w:ascii="Arial Narrow" w:hAnsi="Arial Narrow" w:cs="Tahoma"/>
          <w:b/>
          <w:sz w:val="28"/>
          <w:szCs w:val="28"/>
          <w:lang w:val="ru-RU"/>
        </w:rPr>
        <w:t xml:space="preserve"> 1 2</w:t>
      </w:r>
      <w:r w:rsidR="00652176" w:rsidRPr="00B13D2B">
        <w:rPr>
          <w:rFonts w:ascii="Arial Narrow" w:hAnsi="Arial Narrow" w:cs="Tahoma"/>
          <w:b/>
          <w:sz w:val="28"/>
          <w:szCs w:val="28"/>
          <w:lang w:val="ru-RU"/>
        </w:rPr>
        <w:t>41</w:t>
      </w:r>
      <w:r w:rsidRPr="00B13D2B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B13D2B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B13D2B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B13D2B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B13D2B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B13D2B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B13D2B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652176" w:rsidRPr="00B13D2B">
        <w:rPr>
          <w:rFonts w:ascii="Arial Narrow" w:hAnsi="Arial Narrow" w:cs="Tahoma"/>
          <w:b/>
          <w:i/>
          <w:sz w:val="28"/>
          <w:szCs w:val="28"/>
          <w:lang w:val="sr-Cyrl-CS"/>
        </w:rPr>
        <w:t>Административне и помоћне услужне дјелатности</w:t>
      </w:r>
      <w:r w:rsidR="00652176" w:rsidRPr="00B13D2B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B13D2B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652176" w:rsidRPr="00B13D2B">
        <w:rPr>
          <w:rFonts w:ascii="Arial Narrow" w:hAnsi="Arial Narrow" w:cs="Tahoma"/>
          <w:b/>
          <w:sz w:val="28"/>
          <w:szCs w:val="28"/>
          <w:lang w:val="sr-Cyrl-BA"/>
        </w:rPr>
        <w:t>21</w:t>
      </w:r>
      <w:r w:rsidRPr="00B13D2B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B13D2B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B13D2B">
        <w:rPr>
          <w:rFonts w:ascii="Tahoma" w:hAnsi="Tahoma" w:cs="Tahoma"/>
          <w:b/>
          <w:lang w:val="sr-Cyrl-CS"/>
        </w:rPr>
        <w:tab/>
      </w:r>
      <w:r w:rsidRPr="00B13D2B">
        <w:rPr>
          <w:rFonts w:ascii="Tahoma" w:hAnsi="Tahoma" w:cs="Tahoma"/>
          <w:b/>
          <w:lang w:val="sr-Cyrl-CS"/>
        </w:rPr>
        <w:tab/>
      </w:r>
    </w:p>
    <w:p w:rsidR="00B82005" w:rsidRPr="00B13D2B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B13D2B">
        <w:rPr>
          <w:rFonts w:ascii="Arial Narrow" w:hAnsi="Arial Narrow" w:cs="Tahoma"/>
          <w:sz w:val="22"/>
          <w:lang w:val="sr-Cyrl-BA"/>
        </w:rPr>
        <w:t>П</w:t>
      </w:r>
      <w:r w:rsidRPr="00B13D2B">
        <w:rPr>
          <w:rFonts w:ascii="Arial Narrow" w:hAnsi="Arial Narrow" w:cs="Tahoma"/>
          <w:sz w:val="22"/>
          <w:lang w:val="sr-Cyrl-CS"/>
        </w:rPr>
        <w:t>росјечна</w:t>
      </w:r>
      <w:r w:rsidRPr="00B13D2B">
        <w:rPr>
          <w:rFonts w:ascii="Arial Narrow" w:hAnsi="Arial Narrow" w:cs="Tahoma"/>
          <w:sz w:val="22"/>
          <w:lang w:val="ru-RU"/>
        </w:rPr>
        <w:t xml:space="preserve"> </w:t>
      </w:r>
      <w:r w:rsidRPr="00B13D2B">
        <w:rPr>
          <w:rFonts w:ascii="Arial Narrow" w:hAnsi="Arial Narrow" w:cs="Tahoma"/>
          <w:sz w:val="22"/>
          <w:lang w:val="sr-Cyrl-CS"/>
        </w:rPr>
        <w:t>мјесечна нето плата</w:t>
      </w:r>
      <w:r w:rsidRPr="00B13D2B">
        <w:rPr>
          <w:rFonts w:ascii="Arial Narrow" w:hAnsi="Arial Narrow" w:cs="Tahoma"/>
          <w:b/>
          <w:sz w:val="22"/>
          <w:lang w:val="ru-RU"/>
        </w:rPr>
        <w:t xml:space="preserve"> </w:t>
      </w:r>
      <w:r w:rsidRPr="00B13D2B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B13D2B">
        <w:rPr>
          <w:rFonts w:ascii="Arial Narrow" w:hAnsi="Arial Narrow" w:cs="Tahoma"/>
          <w:b/>
          <w:sz w:val="22"/>
          <w:lang w:val="ru-RU"/>
        </w:rPr>
        <w:t xml:space="preserve"> </w:t>
      </w:r>
      <w:r w:rsidRPr="00B13D2B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652176" w:rsidRPr="00B13D2B">
        <w:rPr>
          <w:rFonts w:ascii="Arial Narrow" w:hAnsi="Arial Narrow" w:cs="Tahoma"/>
          <w:sz w:val="22"/>
          <w:lang w:val="sr-Cyrl-CS"/>
        </w:rPr>
        <w:t>мају</w:t>
      </w:r>
      <w:r w:rsidRPr="00B13D2B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B13D2B">
        <w:rPr>
          <w:rFonts w:ascii="Arial Narrow" w:hAnsi="Arial Narrow" w:cs="Tahoma"/>
          <w:sz w:val="22"/>
          <w:lang w:val="sr-Cyrl-CS"/>
        </w:rPr>
        <w:t>6</w:t>
      </w:r>
      <w:r w:rsidRPr="00B13D2B">
        <w:rPr>
          <w:rFonts w:ascii="Arial Narrow" w:hAnsi="Arial Narrow" w:cs="Tahoma"/>
          <w:sz w:val="22"/>
          <w:lang w:val="sr-Cyrl-CS"/>
        </w:rPr>
        <w:t>.</w:t>
      </w:r>
      <w:r w:rsidRPr="00B13D2B">
        <w:rPr>
          <w:rFonts w:ascii="Arial Narrow" w:hAnsi="Arial Narrow" w:cs="Tahoma"/>
          <w:sz w:val="22"/>
          <w:lang w:val="ru-RU"/>
        </w:rPr>
        <w:t xml:space="preserve"> </w:t>
      </w:r>
      <w:r w:rsidRPr="00B13D2B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B13D2B">
        <w:rPr>
          <w:rFonts w:ascii="Arial Narrow" w:hAnsi="Arial Narrow" w:cs="Tahoma"/>
          <w:sz w:val="22"/>
          <w:lang w:val="sr-Cyrl-BA"/>
        </w:rPr>
        <w:t>ла је</w:t>
      </w:r>
      <w:r w:rsidRPr="00B13D2B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B13D2B">
        <w:rPr>
          <w:rFonts w:ascii="Arial Narrow" w:hAnsi="Arial Narrow" w:cs="Tahoma"/>
          <w:sz w:val="22"/>
          <w:lang w:val="sr-Cyrl-CS"/>
        </w:rPr>
        <w:t>8</w:t>
      </w:r>
      <w:r w:rsidR="00652176" w:rsidRPr="00B13D2B">
        <w:rPr>
          <w:rFonts w:ascii="Arial Narrow" w:hAnsi="Arial Narrow" w:cs="Tahoma"/>
          <w:sz w:val="22"/>
          <w:lang w:val="sr-Cyrl-CS"/>
        </w:rPr>
        <w:t>41</w:t>
      </w:r>
      <w:r w:rsidRPr="00B13D2B">
        <w:rPr>
          <w:rFonts w:ascii="Arial Narrow" w:hAnsi="Arial Narrow" w:cs="Tahoma"/>
          <w:sz w:val="22"/>
          <w:lang w:val="sr-Cyrl-CS"/>
        </w:rPr>
        <w:t xml:space="preserve"> КМ</w:t>
      </w:r>
      <w:r w:rsidRPr="00B13D2B">
        <w:rPr>
          <w:rFonts w:ascii="Arial Narrow" w:hAnsi="Arial Narrow" w:cs="Tahoma"/>
          <w:sz w:val="22"/>
          <w:lang w:val="hr-HR"/>
        </w:rPr>
        <w:t>,</w:t>
      </w:r>
      <w:r w:rsidRPr="00B13D2B">
        <w:rPr>
          <w:rFonts w:ascii="Arial Narrow" w:hAnsi="Arial Narrow" w:cs="Tahoma"/>
          <w:sz w:val="22"/>
          <w:lang w:val="ru-RU"/>
        </w:rPr>
        <w:t xml:space="preserve"> а п</w:t>
      </w:r>
      <w:r w:rsidRPr="00B13D2B">
        <w:rPr>
          <w:rFonts w:ascii="Arial Narrow" w:hAnsi="Arial Narrow" w:cs="Tahoma"/>
          <w:sz w:val="22"/>
          <w:lang w:val="sr-Cyrl-CS"/>
        </w:rPr>
        <w:t>росјечна</w:t>
      </w:r>
      <w:r w:rsidRPr="00B13D2B">
        <w:rPr>
          <w:rFonts w:ascii="Arial Narrow" w:hAnsi="Arial Narrow" w:cs="Tahoma"/>
          <w:sz w:val="22"/>
          <w:lang w:val="ru-RU"/>
        </w:rPr>
        <w:t xml:space="preserve"> </w:t>
      </w:r>
      <w:r w:rsidRPr="00B13D2B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B13D2B">
        <w:rPr>
          <w:rFonts w:ascii="Arial Narrow" w:hAnsi="Arial Narrow" w:cs="Tahoma"/>
          <w:sz w:val="22"/>
          <w:lang w:val="ru-RU"/>
        </w:rPr>
        <w:t xml:space="preserve"> </w:t>
      </w:r>
      <w:r w:rsidRPr="00B13D2B">
        <w:rPr>
          <w:rFonts w:ascii="Arial Narrow" w:hAnsi="Arial Narrow" w:cs="Tahoma"/>
          <w:sz w:val="22"/>
          <w:lang w:val="sr-Cyrl-CS"/>
        </w:rPr>
        <w:t>1 3</w:t>
      </w:r>
      <w:r w:rsidR="00652176" w:rsidRPr="00B13D2B">
        <w:rPr>
          <w:rFonts w:ascii="Arial Narrow" w:hAnsi="Arial Narrow" w:cs="Tahoma"/>
          <w:sz w:val="22"/>
          <w:lang w:val="sr-Cyrl-CS"/>
        </w:rPr>
        <w:t>51</w:t>
      </w:r>
      <w:r w:rsidR="00F0781C" w:rsidRPr="00B13D2B">
        <w:rPr>
          <w:rFonts w:ascii="Arial Narrow" w:hAnsi="Arial Narrow" w:cs="Tahoma"/>
          <w:sz w:val="22"/>
          <w:lang w:val="sr-Cyrl-CS"/>
        </w:rPr>
        <w:t xml:space="preserve"> </w:t>
      </w:r>
      <w:r w:rsidRPr="00B13D2B">
        <w:rPr>
          <w:rFonts w:ascii="Arial Narrow" w:hAnsi="Arial Narrow" w:cs="Tahoma"/>
          <w:sz w:val="22"/>
          <w:lang w:val="sr-Cyrl-CS"/>
        </w:rPr>
        <w:t>КМ.</w:t>
      </w:r>
      <w:r w:rsidR="00B82005" w:rsidRPr="00B13D2B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B13D2B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B13D2B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B13D2B">
        <w:rPr>
          <w:rFonts w:ascii="Arial Narrow" w:hAnsi="Arial Narrow" w:cs="Tahoma"/>
          <w:sz w:val="22"/>
          <w:lang w:val="sr-Latn-CS"/>
        </w:rPr>
        <w:t xml:space="preserve">У </w:t>
      </w:r>
      <w:r w:rsidRPr="00B13D2B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652176" w:rsidRPr="00B13D2B">
        <w:rPr>
          <w:rFonts w:ascii="Arial Narrow" w:hAnsi="Arial Narrow" w:cs="Tahoma"/>
          <w:sz w:val="22"/>
          <w:lang w:val="sr-Cyrl-CS"/>
        </w:rPr>
        <w:t>мај</w:t>
      </w:r>
      <w:r w:rsidRPr="00B13D2B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B13D2B">
        <w:rPr>
          <w:rFonts w:ascii="Arial Narrow" w:hAnsi="Arial Narrow" w:cs="Tahoma"/>
          <w:sz w:val="22"/>
          <w:lang w:val="sr-Cyrl-CS"/>
        </w:rPr>
        <w:t>5</w:t>
      </w:r>
      <w:r w:rsidRPr="00B13D2B">
        <w:rPr>
          <w:rFonts w:ascii="Arial Narrow" w:hAnsi="Arial Narrow" w:cs="Tahoma"/>
          <w:sz w:val="22"/>
          <w:lang w:val="sr-Cyrl-CS"/>
        </w:rPr>
        <w:t xml:space="preserve">. </w:t>
      </w:r>
      <w:r w:rsidRPr="00B13D2B">
        <w:rPr>
          <w:rFonts w:ascii="Arial Narrow" w:hAnsi="Arial Narrow" w:cs="Tahoma"/>
          <w:sz w:val="22"/>
          <w:lang w:val="sr-Cyrl-BA"/>
        </w:rPr>
        <w:t>г</w:t>
      </w:r>
      <w:r w:rsidRPr="00B13D2B">
        <w:rPr>
          <w:rFonts w:ascii="Arial Narrow" w:hAnsi="Arial Narrow" w:cs="Tahoma"/>
          <w:sz w:val="22"/>
          <w:lang w:val="sr-Cyrl-CS"/>
        </w:rPr>
        <w:t>одине</w:t>
      </w:r>
      <w:r w:rsidRPr="00B13D2B">
        <w:rPr>
          <w:rFonts w:ascii="Arial Narrow" w:hAnsi="Arial Narrow" w:cs="Tahoma"/>
          <w:sz w:val="22"/>
          <w:lang w:val="sr-Latn-BA"/>
        </w:rPr>
        <w:t>,</w:t>
      </w:r>
      <w:r w:rsidRPr="00B13D2B">
        <w:rPr>
          <w:rFonts w:ascii="Arial Narrow" w:hAnsi="Arial Narrow" w:cs="Tahoma"/>
          <w:sz w:val="22"/>
          <w:lang w:val="sr-Cyrl-BA"/>
        </w:rPr>
        <w:t xml:space="preserve"> </w:t>
      </w:r>
      <w:r w:rsidRPr="00B13D2B">
        <w:rPr>
          <w:rFonts w:ascii="Arial Narrow" w:hAnsi="Arial Narrow" w:cs="Tahoma"/>
          <w:sz w:val="22"/>
          <w:lang w:val="sr-Cyrl-CS"/>
        </w:rPr>
        <w:t xml:space="preserve">просјечна нето плата исплаћена у </w:t>
      </w:r>
      <w:r w:rsidR="00652176" w:rsidRPr="00B13D2B">
        <w:rPr>
          <w:rFonts w:ascii="Arial Narrow" w:hAnsi="Arial Narrow" w:cs="Tahoma"/>
          <w:sz w:val="22"/>
          <w:lang w:val="sr-Cyrl-CS"/>
        </w:rPr>
        <w:t>мају</w:t>
      </w:r>
      <w:r w:rsidRPr="00B13D2B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B13D2B">
        <w:rPr>
          <w:rFonts w:ascii="Arial Narrow" w:hAnsi="Arial Narrow" w:cs="Tahoma"/>
          <w:sz w:val="22"/>
          <w:lang w:val="sr-Cyrl-CS"/>
        </w:rPr>
        <w:t>6</w:t>
      </w:r>
      <w:r w:rsidRPr="00B13D2B">
        <w:rPr>
          <w:rFonts w:ascii="Arial Narrow" w:hAnsi="Arial Narrow" w:cs="Tahoma"/>
          <w:sz w:val="22"/>
          <w:lang w:val="sr-Cyrl-CS"/>
        </w:rPr>
        <w:t xml:space="preserve">. реално је већа за </w:t>
      </w:r>
      <w:r w:rsidR="00652176" w:rsidRPr="00B13D2B">
        <w:rPr>
          <w:rFonts w:ascii="Arial Narrow" w:hAnsi="Arial Narrow" w:cs="Tahoma"/>
          <w:sz w:val="22"/>
          <w:lang w:val="sr-Cyrl-CS"/>
        </w:rPr>
        <w:t>2</w:t>
      </w:r>
      <w:r w:rsidRPr="00B13D2B">
        <w:rPr>
          <w:rFonts w:ascii="Arial Narrow" w:hAnsi="Arial Narrow" w:cs="Tahoma"/>
          <w:sz w:val="22"/>
          <w:lang w:val="sr-Cyrl-CS"/>
        </w:rPr>
        <w:t>,</w:t>
      </w:r>
      <w:r w:rsidR="00652176" w:rsidRPr="00B13D2B">
        <w:rPr>
          <w:rFonts w:ascii="Arial Narrow" w:hAnsi="Arial Narrow" w:cs="Tahoma"/>
          <w:sz w:val="22"/>
          <w:lang w:val="sr-Cyrl-CS"/>
        </w:rPr>
        <w:t>7</w:t>
      </w:r>
      <w:r w:rsidRPr="00B13D2B">
        <w:rPr>
          <w:rFonts w:ascii="Arial Narrow" w:hAnsi="Arial Narrow" w:cs="Tahoma"/>
          <w:sz w:val="22"/>
          <w:lang w:val="sr-Cyrl-CS"/>
        </w:rPr>
        <w:t xml:space="preserve">%, док је у односу на </w:t>
      </w:r>
      <w:r w:rsidR="00652176" w:rsidRPr="00B13D2B">
        <w:rPr>
          <w:rFonts w:ascii="Arial Narrow" w:hAnsi="Arial Narrow" w:cs="Tahoma"/>
          <w:sz w:val="22"/>
          <w:lang w:val="sr-Cyrl-CS"/>
        </w:rPr>
        <w:t>април</w:t>
      </w:r>
      <w:r w:rsidRPr="00B13D2B">
        <w:rPr>
          <w:rFonts w:ascii="Arial Narrow" w:hAnsi="Arial Narrow" w:cs="Tahoma"/>
          <w:sz w:val="22"/>
          <w:lang w:val="sr-Cyrl-CS"/>
        </w:rPr>
        <w:t xml:space="preserve"> 201</w:t>
      </w:r>
      <w:r w:rsidR="009D0778" w:rsidRPr="00B13D2B">
        <w:rPr>
          <w:rFonts w:ascii="Arial Narrow" w:hAnsi="Arial Narrow" w:cs="Tahoma"/>
          <w:sz w:val="22"/>
          <w:lang w:val="sr-Cyrl-CS"/>
        </w:rPr>
        <w:t>6</w:t>
      </w:r>
      <w:r w:rsidRPr="00B13D2B">
        <w:rPr>
          <w:rFonts w:ascii="Arial Narrow" w:hAnsi="Arial Narrow" w:cs="Tahoma"/>
          <w:sz w:val="22"/>
          <w:lang w:val="sr-Cyrl-CS"/>
        </w:rPr>
        <w:t xml:space="preserve">. године реално </w:t>
      </w:r>
      <w:r w:rsidR="0053092F" w:rsidRPr="00B13D2B">
        <w:rPr>
          <w:rFonts w:ascii="Arial Narrow" w:hAnsi="Arial Narrow" w:cs="Tahoma"/>
          <w:sz w:val="22"/>
          <w:lang w:val="sr-Cyrl-CS"/>
        </w:rPr>
        <w:t>већа</w:t>
      </w:r>
      <w:r w:rsidR="00675807" w:rsidRPr="00B13D2B">
        <w:rPr>
          <w:rFonts w:ascii="Arial Narrow" w:hAnsi="Arial Narrow" w:cs="Tahoma"/>
          <w:sz w:val="22"/>
          <w:lang w:val="sr-Cyrl-CS"/>
        </w:rPr>
        <w:t xml:space="preserve"> за </w:t>
      </w:r>
      <w:r w:rsidR="00652176" w:rsidRPr="00B13D2B">
        <w:rPr>
          <w:rFonts w:ascii="Arial Narrow" w:hAnsi="Arial Narrow" w:cs="Tahoma"/>
          <w:sz w:val="22"/>
          <w:lang w:val="sr-Cyrl-CS"/>
        </w:rPr>
        <w:t>1</w:t>
      </w:r>
      <w:r w:rsidR="00675807" w:rsidRPr="00B13D2B">
        <w:rPr>
          <w:rFonts w:ascii="Arial Narrow" w:hAnsi="Arial Narrow" w:cs="Tahoma"/>
          <w:sz w:val="22"/>
          <w:lang w:val="sr-Cyrl-CS"/>
        </w:rPr>
        <w:t>,</w:t>
      </w:r>
      <w:r w:rsidR="00652176" w:rsidRPr="00B13D2B">
        <w:rPr>
          <w:rFonts w:ascii="Arial Narrow" w:hAnsi="Arial Narrow" w:cs="Tahoma"/>
          <w:sz w:val="22"/>
          <w:lang w:val="sr-Cyrl-CS"/>
        </w:rPr>
        <w:t>0</w:t>
      </w:r>
      <w:r w:rsidR="00675807" w:rsidRPr="00B13D2B">
        <w:rPr>
          <w:rFonts w:ascii="Arial Narrow" w:hAnsi="Arial Narrow" w:cs="Tahoma"/>
          <w:sz w:val="22"/>
          <w:lang w:val="sr-Cyrl-CS"/>
        </w:rPr>
        <w:t>%</w:t>
      </w:r>
      <w:r w:rsidRPr="00B13D2B">
        <w:rPr>
          <w:rFonts w:ascii="Arial Narrow" w:hAnsi="Arial Narrow" w:cs="Tahoma"/>
          <w:sz w:val="22"/>
          <w:lang w:val="sr-Cyrl-CS"/>
        </w:rPr>
        <w:t>.</w:t>
      </w:r>
    </w:p>
    <w:p w:rsidR="00B747A8" w:rsidRPr="00B13D2B" w:rsidRDefault="00B747A8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  <w:lang w:val="ru-RU"/>
        </w:rPr>
      </w:pPr>
    </w:p>
    <w:p w:rsidR="0053092F" w:rsidRPr="00B13D2B" w:rsidRDefault="0053092F" w:rsidP="0053092F">
      <w:pPr>
        <w:tabs>
          <w:tab w:val="left" w:pos="1134"/>
        </w:tabs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B13D2B">
        <w:rPr>
          <w:rFonts w:ascii="Arial Narrow" w:hAnsi="Arial Narrow" w:cs="Tahoma"/>
          <w:sz w:val="22"/>
          <w:szCs w:val="22"/>
          <w:lang w:val="sr-Cyrl-CS"/>
        </w:rPr>
        <w:t xml:space="preserve">До </w:t>
      </w:r>
      <w:r w:rsidR="00652176" w:rsidRPr="00B13D2B">
        <w:rPr>
          <w:rFonts w:ascii="Arial Narrow" w:hAnsi="Arial Narrow" w:cs="Tahoma"/>
          <w:sz w:val="22"/>
          <w:szCs w:val="22"/>
          <w:lang w:val="sr-Cyrl-CS"/>
        </w:rPr>
        <w:t>повећања</w:t>
      </w:r>
      <w:r w:rsidRPr="00B13D2B">
        <w:rPr>
          <w:rFonts w:ascii="Arial Narrow" w:hAnsi="Arial Narrow" w:cs="Tahoma"/>
          <w:sz w:val="22"/>
          <w:szCs w:val="22"/>
          <w:lang w:val="sr-Cyrl-CS"/>
        </w:rPr>
        <w:t xml:space="preserve"> просјечне нето плате исплаћене у </w:t>
      </w:r>
      <w:r w:rsidR="00652176" w:rsidRPr="00B13D2B">
        <w:rPr>
          <w:rFonts w:ascii="Arial Narrow" w:hAnsi="Arial Narrow" w:cs="Tahoma"/>
          <w:sz w:val="22"/>
          <w:szCs w:val="22"/>
          <w:lang w:val="sr-Cyrl-BA"/>
        </w:rPr>
        <w:t>мају</w:t>
      </w:r>
      <w:r w:rsidRPr="00B13D2B">
        <w:rPr>
          <w:rFonts w:ascii="Arial Narrow" w:hAnsi="Arial Narrow" w:cs="Tahoma"/>
          <w:sz w:val="22"/>
          <w:szCs w:val="22"/>
          <w:lang w:val="sr-Cyrl-CS"/>
        </w:rPr>
        <w:t xml:space="preserve"> 2016. у односу на </w:t>
      </w:r>
      <w:r w:rsidR="00652176" w:rsidRPr="00B13D2B">
        <w:rPr>
          <w:rFonts w:ascii="Arial Narrow" w:hAnsi="Arial Narrow" w:cs="Tahoma"/>
          <w:sz w:val="22"/>
          <w:szCs w:val="22"/>
          <w:lang w:val="sr-Cyrl-BA"/>
        </w:rPr>
        <w:t>април</w:t>
      </w:r>
      <w:r w:rsidRPr="00B13D2B">
        <w:rPr>
          <w:rFonts w:ascii="Arial Narrow" w:hAnsi="Arial Narrow" w:cs="Tahoma"/>
          <w:sz w:val="22"/>
          <w:szCs w:val="22"/>
          <w:lang w:val="sr-Cyrl-CS"/>
        </w:rPr>
        <w:t xml:space="preserve"> 2016. дошло је углавном због </w:t>
      </w:r>
      <w:r w:rsidR="00652176" w:rsidRPr="00B13D2B">
        <w:rPr>
          <w:rFonts w:ascii="Arial Narrow" w:hAnsi="Arial Narrow" w:cs="Tahoma"/>
          <w:sz w:val="22"/>
          <w:szCs w:val="22"/>
          <w:lang w:val="sr-Cyrl-CS"/>
        </w:rPr>
        <w:t>већег</w:t>
      </w:r>
      <w:r w:rsidRPr="00B13D2B">
        <w:rPr>
          <w:rFonts w:ascii="Arial Narrow" w:hAnsi="Arial Narrow" w:cs="Tahoma"/>
          <w:sz w:val="22"/>
          <w:szCs w:val="22"/>
          <w:lang w:val="sr-Cyrl-CS"/>
        </w:rPr>
        <w:t xml:space="preserve"> броја плаћених </w:t>
      </w:r>
      <w:r w:rsidRPr="00B13D2B">
        <w:rPr>
          <w:rFonts w:ascii="Arial Narrow" w:hAnsi="Arial Narrow" w:cs="Tahoma"/>
          <w:sz w:val="22"/>
          <w:szCs w:val="22"/>
          <w:lang w:val="sr-Cyrl-BA"/>
        </w:rPr>
        <w:t xml:space="preserve">прековремених </w:t>
      </w:r>
      <w:r w:rsidRPr="00B13D2B">
        <w:rPr>
          <w:rFonts w:ascii="Arial Narrow" w:hAnsi="Arial Narrow" w:cs="Tahoma"/>
          <w:sz w:val="22"/>
          <w:szCs w:val="22"/>
          <w:lang w:val="sr-Cyrl-CS"/>
        </w:rPr>
        <w:t>часова рада остварених у подручјима дјелатности Вађење руда и камена и Производња и снабдијевање електричном енергијом, а која запошљавају значајан број радника.</w:t>
      </w:r>
    </w:p>
    <w:p w:rsidR="00B82005" w:rsidRPr="00B13D2B" w:rsidRDefault="00B82005" w:rsidP="00B82005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33D13" w:rsidRPr="00B13D2B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B13D2B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B13D2B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652176" w:rsidRPr="00B13D2B">
        <w:rPr>
          <w:rFonts w:ascii="Arial Narrow" w:hAnsi="Arial Narrow" w:cs="Tahoma"/>
          <w:sz w:val="22"/>
          <w:lang w:val="sr-Cyrl-CS"/>
        </w:rPr>
        <w:t>мају</w:t>
      </w:r>
      <w:r w:rsidRPr="00B13D2B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B13D2B">
        <w:rPr>
          <w:rFonts w:ascii="Arial Narrow" w:hAnsi="Arial Narrow" w:cs="Tahoma"/>
          <w:sz w:val="22"/>
          <w:lang w:val="sr-Cyrl-CS"/>
        </w:rPr>
        <w:t>6</w:t>
      </w:r>
      <w:r w:rsidRPr="00B13D2B">
        <w:rPr>
          <w:rFonts w:ascii="Arial Narrow" w:hAnsi="Arial Narrow" w:cs="Tahoma"/>
          <w:sz w:val="22"/>
          <w:lang w:val="sr-Cyrl-CS"/>
        </w:rPr>
        <w:t xml:space="preserve">. године, највиша просјечна нето плата исплаћена је у подручју </w:t>
      </w:r>
      <w:r w:rsidRPr="00B13D2B">
        <w:rPr>
          <w:rFonts w:ascii="Arial Narrow" w:hAnsi="Arial Narrow" w:cs="Tahoma"/>
          <w:i/>
          <w:sz w:val="22"/>
          <w:lang w:val="sr-Cyrl-CS"/>
        </w:rPr>
        <w:t xml:space="preserve">Финансијске дјелатности и дјелатности осигурања </w:t>
      </w:r>
      <w:r w:rsidRPr="00B13D2B">
        <w:rPr>
          <w:rFonts w:ascii="Arial Narrow" w:hAnsi="Arial Narrow" w:cs="Tahoma"/>
          <w:sz w:val="22"/>
          <w:lang w:val="sr-Cyrl-CS"/>
        </w:rPr>
        <w:t>и износи</w:t>
      </w:r>
      <w:r w:rsidR="00F6529E" w:rsidRPr="00B13D2B">
        <w:rPr>
          <w:rFonts w:ascii="Arial Narrow" w:hAnsi="Arial Narrow" w:cs="Tahoma"/>
          <w:sz w:val="22"/>
          <w:lang w:val="sr-Cyrl-CS"/>
        </w:rPr>
        <w:t>ла је</w:t>
      </w:r>
      <w:r w:rsidRPr="00B13D2B">
        <w:rPr>
          <w:rFonts w:ascii="Arial Narrow" w:hAnsi="Arial Narrow" w:cs="Tahoma"/>
          <w:sz w:val="22"/>
          <w:lang w:val="sr-Cyrl-CS"/>
        </w:rPr>
        <w:t xml:space="preserve"> 1 </w:t>
      </w:r>
      <w:r w:rsidR="00675807" w:rsidRPr="00B13D2B">
        <w:rPr>
          <w:rFonts w:ascii="Arial Narrow" w:hAnsi="Arial Narrow" w:cs="Tahoma"/>
          <w:sz w:val="22"/>
          <w:lang w:val="sr-Cyrl-CS"/>
        </w:rPr>
        <w:t>2</w:t>
      </w:r>
      <w:r w:rsidR="00652176" w:rsidRPr="00B13D2B">
        <w:rPr>
          <w:rFonts w:ascii="Arial Narrow" w:hAnsi="Arial Narrow" w:cs="Tahoma"/>
          <w:sz w:val="22"/>
          <w:lang w:val="sr-Cyrl-CS"/>
        </w:rPr>
        <w:t>41</w:t>
      </w:r>
      <w:r w:rsidRPr="00B13D2B">
        <w:rPr>
          <w:rFonts w:ascii="Arial Narrow" w:hAnsi="Arial Narrow" w:cs="Tahoma"/>
          <w:sz w:val="22"/>
          <w:lang w:val="sr-Cyrl-CS"/>
        </w:rPr>
        <w:t xml:space="preserve"> КМ</w:t>
      </w:r>
      <w:r w:rsidRPr="00B13D2B">
        <w:rPr>
          <w:rFonts w:ascii="Arial Narrow" w:hAnsi="Arial Narrow" w:cs="Tahoma"/>
          <w:sz w:val="22"/>
          <w:lang w:val="sr-Latn-CS"/>
        </w:rPr>
        <w:t>. Са друге стране,</w:t>
      </w:r>
      <w:r w:rsidRPr="00B13D2B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B13D2B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F54DF7" w:rsidRPr="00B13D2B">
        <w:rPr>
          <w:rFonts w:ascii="Arial Narrow" w:hAnsi="Arial Narrow" w:cs="Tahoma"/>
          <w:sz w:val="22"/>
          <w:lang w:val="sr-Cyrl-BA"/>
        </w:rPr>
        <w:t>нето</w:t>
      </w:r>
      <w:r w:rsidR="00F54DF7" w:rsidRPr="00B13D2B">
        <w:rPr>
          <w:rFonts w:ascii="Arial Narrow" w:hAnsi="Arial Narrow" w:cs="Tahoma"/>
          <w:sz w:val="22"/>
          <w:lang w:val="sr-Latn-BA"/>
        </w:rPr>
        <w:t xml:space="preserve"> </w:t>
      </w:r>
      <w:r w:rsidRPr="00B13D2B">
        <w:rPr>
          <w:rFonts w:ascii="Arial Narrow" w:hAnsi="Arial Narrow" w:cs="Tahoma"/>
          <w:sz w:val="22"/>
          <w:lang w:val="sr-Cyrl-CS"/>
        </w:rPr>
        <w:t xml:space="preserve">плата у </w:t>
      </w:r>
      <w:r w:rsidR="00652176" w:rsidRPr="00B13D2B">
        <w:rPr>
          <w:rFonts w:ascii="Arial Narrow" w:hAnsi="Arial Narrow" w:cs="Tahoma"/>
          <w:sz w:val="22"/>
          <w:lang w:val="sr-Cyrl-CS"/>
        </w:rPr>
        <w:t>мају</w:t>
      </w:r>
      <w:r w:rsidRPr="00B13D2B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B13D2B">
        <w:rPr>
          <w:rFonts w:ascii="Arial Narrow" w:hAnsi="Arial Narrow" w:cs="Tahoma"/>
          <w:sz w:val="22"/>
          <w:lang w:val="sr-Cyrl-CS"/>
        </w:rPr>
        <w:t>6</w:t>
      </w:r>
      <w:r w:rsidRPr="00B13D2B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B13D2B">
        <w:rPr>
          <w:rFonts w:ascii="Arial Narrow" w:hAnsi="Arial Narrow" w:cs="Tahoma"/>
          <w:sz w:val="22"/>
          <w:lang w:val="sr-Cyrl-CS"/>
        </w:rPr>
        <w:t>у</w:t>
      </w:r>
      <w:r w:rsidRPr="00B13D2B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="00652176" w:rsidRPr="00B13D2B">
        <w:rPr>
          <w:rFonts w:ascii="Arial Narrow" w:hAnsi="Arial Narrow" w:cs="Tahoma"/>
          <w:i/>
          <w:sz w:val="22"/>
          <w:szCs w:val="22"/>
          <w:lang w:val="sr-Cyrl-BA"/>
        </w:rPr>
        <w:t xml:space="preserve">Административне и помоћне услужне дјелатности </w:t>
      </w:r>
      <w:r w:rsidRPr="00B13D2B">
        <w:rPr>
          <w:rFonts w:ascii="Arial Narrow" w:hAnsi="Arial Narrow" w:cs="Tahoma"/>
          <w:sz w:val="22"/>
          <w:lang w:val="sr-Cyrl-BA"/>
        </w:rPr>
        <w:t>5</w:t>
      </w:r>
      <w:r w:rsidR="00652176" w:rsidRPr="00B13D2B">
        <w:rPr>
          <w:rFonts w:ascii="Arial Narrow" w:hAnsi="Arial Narrow" w:cs="Tahoma"/>
          <w:sz w:val="22"/>
          <w:lang w:val="sr-Cyrl-BA"/>
        </w:rPr>
        <w:t>21</w:t>
      </w:r>
      <w:r w:rsidRPr="00B13D2B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B13D2B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B13D2B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B13D2B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="00652176" w:rsidRPr="00B13D2B">
        <w:rPr>
          <w:rFonts w:ascii="Arial Narrow" w:hAnsi="Arial Narrow" w:cs="Tahoma"/>
          <w:sz w:val="22"/>
          <w:szCs w:val="22"/>
          <w:lang w:val="sr-Cyrl-CS"/>
        </w:rPr>
        <w:t>мају</w:t>
      </w:r>
      <w:r w:rsidR="000F053E" w:rsidRPr="00B13D2B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B13D2B">
        <w:rPr>
          <w:rFonts w:ascii="Arial Narrow" w:hAnsi="Arial Narrow" w:cs="Tahoma"/>
          <w:sz w:val="22"/>
          <w:szCs w:val="22"/>
          <w:lang w:val="ru-RU"/>
        </w:rPr>
        <w:t>201</w:t>
      </w:r>
      <w:r w:rsidR="00E97195" w:rsidRPr="00B13D2B">
        <w:rPr>
          <w:rFonts w:ascii="Arial Narrow" w:hAnsi="Arial Narrow" w:cs="Tahoma"/>
          <w:sz w:val="22"/>
          <w:szCs w:val="22"/>
          <w:lang w:val="ru-RU"/>
        </w:rPr>
        <w:t>6</w:t>
      </w:r>
      <w:r w:rsidRPr="00B13D2B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652176" w:rsidRPr="00B13D2B">
        <w:rPr>
          <w:rFonts w:ascii="Arial Narrow" w:hAnsi="Arial Narrow" w:cs="Tahoma"/>
          <w:sz w:val="22"/>
          <w:szCs w:val="22"/>
          <w:lang w:val="sr-Cyrl-CS"/>
        </w:rPr>
        <w:t>април</w:t>
      </w:r>
      <w:r w:rsidR="000F053E" w:rsidRPr="00B13D2B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B13D2B">
        <w:rPr>
          <w:rFonts w:ascii="Arial Narrow" w:hAnsi="Arial Narrow" w:cs="Tahoma"/>
          <w:sz w:val="22"/>
          <w:szCs w:val="22"/>
          <w:lang w:val="ru-RU"/>
        </w:rPr>
        <w:t>201</w:t>
      </w:r>
      <w:r w:rsidR="009D0778" w:rsidRPr="00B13D2B">
        <w:rPr>
          <w:rFonts w:ascii="Arial Narrow" w:hAnsi="Arial Narrow" w:cs="Tahoma"/>
          <w:sz w:val="22"/>
          <w:szCs w:val="22"/>
          <w:lang w:val="ru-RU"/>
        </w:rPr>
        <w:t>6</w:t>
      </w:r>
      <w:r w:rsidRPr="00B13D2B">
        <w:rPr>
          <w:rFonts w:ascii="Arial Narrow" w:hAnsi="Arial Narrow" w:cs="Tahoma"/>
          <w:sz w:val="22"/>
          <w:szCs w:val="22"/>
          <w:lang w:val="ru-RU"/>
        </w:rPr>
        <w:t xml:space="preserve">, номинални </w:t>
      </w:r>
      <w:r w:rsidRPr="00B13D2B">
        <w:rPr>
          <w:rFonts w:ascii="Arial Narrow" w:hAnsi="Arial Narrow" w:cs="Tahoma"/>
          <w:sz w:val="22"/>
          <w:szCs w:val="22"/>
          <w:lang w:val="sr-Latn-CS"/>
        </w:rPr>
        <w:t>р</w:t>
      </w:r>
      <w:r w:rsidRPr="00B13D2B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 подручјима</w:t>
      </w:r>
      <w:r w:rsidR="00AF6800" w:rsidRPr="00B13D2B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652176" w:rsidRPr="00B13D2B">
        <w:rPr>
          <w:rFonts w:ascii="Arial Narrow" w:hAnsi="Arial Narrow" w:cs="Tahoma"/>
          <w:i/>
          <w:sz w:val="22"/>
          <w:szCs w:val="22"/>
          <w:lang w:val="sr-Cyrl-BA"/>
        </w:rPr>
        <w:t xml:space="preserve">Умјетност, забава и рекреација </w:t>
      </w:r>
      <w:r w:rsidR="00652176" w:rsidRPr="00B13D2B">
        <w:rPr>
          <w:rFonts w:ascii="Arial Narrow" w:hAnsi="Arial Narrow" w:cs="Tahoma"/>
          <w:sz w:val="22"/>
          <w:szCs w:val="22"/>
          <w:lang w:val="sr-Cyrl-BA"/>
        </w:rPr>
        <w:t>5,7%,</w:t>
      </w:r>
      <w:r w:rsidR="00652176" w:rsidRPr="00B13D2B">
        <w:rPr>
          <w:rFonts w:ascii="Arial Narrow" w:hAnsi="Arial Narrow" w:cs="Tahoma"/>
          <w:i/>
          <w:sz w:val="22"/>
          <w:szCs w:val="22"/>
          <w:lang w:val="sr-Cyrl-BA"/>
        </w:rPr>
        <w:t xml:space="preserve"> Вађење руда и камена </w:t>
      </w:r>
      <w:r w:rsidR="00652176" w:rsidRPr="00B13D2B">
        <w:rPr>
          <w:rFonts w:ascii="Arial Narrow" w:hAnsi="Arial Narrow" w:cs="Tahoma"/>
          <w:sz w:val="22"/>
          <w:szCs w:val="22"/>
          <w:lang w:val="sr-Cyrl-BA"/>
        </w:rPr>
        <w:t>4,2% и</w:t>
      </w:r>
      <w:r w:rsidR="00652176" w:rsidRPr="00B13D2B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53092F" w:rsidRPr="00B13D2B">
        <w:rPr>
          <w:rFonts w:ascii="Arial Narrow" w:hAnsi="Arial Narrow" w:cs="Tahoma"/>
          <w:i/>
          <w:sz w:val="22"/>
          <w:szCs w:val="22"/>
          <w:lang w:val="sr-Cyrl-BA"/>
        </w:rPr>
        <w:t>Дјелатности пружања смјештаја, припреме и послуживања хране, хотелијерство и угоститељство</w:t>
      </w:r>
      <w:r w:rsidR="00652176" w:rsidRPr="00B13D2B">
        <w:rPr>
          <w:rFonts w:ascii="Arial Narrow" w:hAnsi="Arial Narrow" w:cs="Tahoma"/>
          <w:sz w:val="22"/>
          <w:szCs w:val="22"/>
          <w:lang w:val="sr-Cyrl-BA"/>
        </w:rPr>
        <w:t xml:space="preserve"> 2</w:t>
      </w:r>
      <w:r w:rsidR="0053092F" w:rsidRPr="00B13D2B">
        <w:rPr>
          <w:rFonts w:ascii="Arial Narrow" w:hAnsi="Arial Narrow" w:cs="Tahoma"/>
          <w:sz w:val="22"/>
          <w:szCs w:val="22"/>
          <w:lang w:val="sr-Cyrl-BA"/>
        </w:rPr>
        <w:t>,</w:t>
      </w:r>
      <w:r w:rsidR="00652176" w:rsidRPr="00B13D2B">
        <w:rPr>
          <w:rFonts w:ascii="Arial Narrow" w:hAnsi="Arial Narrow" w:cs="Tahoma"/>
          <w:sz w:val="22"/>
          <w:szCs w:val="22"/>
          <w:lang w:val="sr-Cyrl-BA"/>
        </w:rPr>
        <w:t>7</w:t>
      </w:r>
      <w:r w:rsidR="0053092F" w:rsidRPr="00B13D2B">
        <w:rPr>
          <w:rFonts w:ascii="Arial Narrow" w:hAnsi="Arial Narrow" w:cs="Tahoma"/>
          <w:sz w:val="22"/>
          <w:szCs w:val="22"/>
          <w:lang w:val="sr-Cyrl-BA"/>
        </w:rPr>
        <w:t>%</w:t>
      </w:r>
      <w:r w:rsidR="0053092F" w:rsidRPr="00B13D2B">
        <w:rPr>
          <w:rFonts w:ascii="Arial Narrow" w:hAnsi="Arial Narrow" w:cs="Tahoma"/>
          <w:sz w:val="22"/>
          <w:lang w:val="sr-Cyrl-BA"/>
        </w:rPr>
        <w:t>.</w:t>
      </w:r>
    </w:p>
    <w:p w:rsidR="00FF3EA0" w:rsidRPr="00B13D2B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B13D2B" w:rsidRDefault="00396802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B13D2B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B13D2B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B13D2B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подручјима</w:t>
      </w:r>
      <w:r w:rsidR="00D928E0" w:rsidRPr="00B13D2B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652176" w:rsidRPr="00B13D2B">
        <w:rPr>
          <w:rFonts w:ascii="Arial Narrow" w:hAnsi="Arial Narrow" w:cs="Tahoma"/>
          <w:i/>
          <w:sz w:val="22"/>
          <w:szCs w:val="22"/>
          <w:lang w:val="ru-RU"/>
        </w:rPr>
        <w:t xml:space="preserve">Остале услужне дјелатности </w:t>
      </w:r>
      <w:r w:rsidR="00652176" w:rsidRPr="00B13D2B">
        <w:rPr>
          <w:rFonts w:ascii="Arial Narrow" w:hAnsi="Arial Narrow" w:cs="Tahoma"/>
          <w:sz w:val="22"/>
          <w:szCs w:val="22"/>
          <w:lang w:val="sr-Cyrl-BA"/>
        </w:rPr>
        <w:t xml:space="preserve">4,7%, </w:t>
      </w:r>
      <w:r w:rsidR="00D928E0" w:rsidRPr="00B13D2B">
        <w:rPr>
          <w:rFonts w:ascii="Arial Narrow" w:hAnsi="Arial Narrow" w:cs="Tahoma"/>
          <w:i/>
          <w:sz w:val="22"/>
          <w:szCs w:val="22"/>
          <w:lang w:val="sr-Cyrl-BA"/>
        </w:rPr>
        <w:t>П</w:t>
      </w:r>
      <w:r w:rsidR="0053092F" w:rsidRPr="00B13D2B">
        <w:rPr>
          <w:rFonts w:ascii="Arial Narrow" w:hAnsi="Arial Narrow" w:cs="Tahoma"/>
          <w:i/>
          <w:sz w:val="22"/>
          <w:szCs w:val="22"/>
          <w:lang w:val="sr-Cyrl-BA"/>
        </w:rPr>
        <w:t>ословање некретнинама</w:t>
      </w:r>
      <w:r w:rsidR="00D928E0" w:rsidRPr="00B13D2B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652176" w:rsidRPr="00B13D2B">
        <w:rPr>
          <w:rFonts w:ascii="Arial Narrow" w:hAnsi="Arial Narrow" w:cs="Tahoma"/>
          <w:sz w:val="22"/>
          <w:szCs w:val="22"/>
          <w:lang w:val="sr-Cyrl-BA"/>
        </w:rPr>
        <w:t>4</w:t>
      </w:r>
      <w:r w:rsidR="00D928E0" w:rsidRPr="00B13D2B">
        <w:rPr>
          <w:rFonts w:ascii="Arial Narrow" w:hAnsi="Arial Narrow" w:cs="Tahoma"/>
          <w:sz w:val="22"/>
          <w:szCs w:val="22"/>
          <w:lang w:val="sr-Cyrl-BA"/>
        </w:rPr>
        <w:t>,</w:t>
      </w:r>
      <w:r w:rsidR="00652176" w:rsidRPr="00B13D2B">
        <w:rPr>
          <w:rFonts w:ascii="Arial Narrow" w:hAnsi="Arial Narrow" w:cs="Tahoma"/>
          <w:sz w:val="22"/>
          <w:szCs w:val="22"/>
          <w:lang w:val="sr-Cyrl-BA"/>
        </w:rPr>
        <w:t>3</w:t>
      </w:r>
      <w:r w:rsidR="00D928E0" w:rsidRPr="00B13D2B">
        <w:rPr>
          <w:rFonts w:ascii="Arial Narrow" w:hAnsi="Arial Narrow" w:cs="Tahoma"/>
          <w:sz w:val="22"/>
          <w:szCs w:val="22"/>
          <w:lang w:val="sr-Cyrl-BA"/>
        </w:rPr>
        <w:t>%</w:t>
      </w:r>
      <w:r w:rsidR="007073F3" w:rsidRPr="00B13D2B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652176" w:rsidRPr="00B13D2B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652176" w:rsidRPr="00B13D2B">
        <w:rPr>
          <w:rFonts w:ascii="Arial Narrow" w:hAnsi="Arial Narrow" w:cs="Tahoma"/>
          <w:i/>
          <w:sz w:val="22"/>
          <w:szCs w:val="22"/>
          <w:lang w:val="sr-Cyrl-CS"/>
        </w:rPr>
        <w:t xml:space="preserve">Финансијске дјелатности и дјелатности осигурања </w:t>
      </w:r>
      <w:r w:rsidR="00652176" w:rsidRPr="00B13D2B">
        <w:rPr>
          <w:rFonts w:ascii="Arial Narrow" w:hAnsi="Arial Narrow" w:cs="Tahoma"/>
          <w:sz w:val="22"/>
          <w:szCs w:val="22"/>
          <w:lang w:val="sr-Cyrl-CS"/>
        </w:rPr>
        <w:t>1</w:t>
      </w:r>
      <w:r w:rsidR="0053092F" w:rsidRPr="00B13D2B">
        <w:rPr>
          <w:rFonts w:ascii="Arial Narrow" w:hAnsi="Arial Narrow" w:cs="Tahoma"/>
          <w:sz w:val="22"/>
          <w:szCs w:val="22"/>
          <w:lang w:val="sr-Cyrl-BA"/>
        </w:rPr>
        <w:t>,</w:t>
      </w:r>
      <w:r w:rsidR="00652176" w:rsidRPr="00B13D2B">
        <w:rPr>
          <w:rFonts w:ascii="Arial Narrow" w:hAnsi="Arial Narrow" w:cs="Tahoma"/>
          <w:sz w:val="22"/>
          <w:szCs w:val="22"/>
          <w:lang w:val="sr-Cyrl-BA"/>
        </w:rPr>
        <w:t>9</w:t>
      </w:r>
      <w:r w:rsidR="0053092F" w:rsidRPr="00B13D2B">
        <w:rPr>
          <w:rFonts w:ascii="Arial Narrow" w:hAnsi="Arial Narrow" w:cs="Tahoma"/>
          <w:sz w:val="22"/>
          <w:szCs w:val="22"/>
          <w:lang w:val="sr-Cyrl-BA"/>
        </w:rPr>
        <w:t>%.</w:t>
      </w:r>
      <w:r w:rsidR="009D0778" w:rsidRPr="00B13D2B">
        <w:rPr>
          <w:rFonts w:ascii="Arial Narrow" w:hAnsi="Arial Narrow" w:cs="Tahoma"/>
          <w:sz w:val="22"/>
          <w:lang w:val="sr-Cyrl-BA"/>
        </w:rPr>
        <w:t xml:space="preserve"> </w:t>
      </w:r>
    </w:p>
    <w:p w:rsidR="00396802" w:rsidRPr="00652176" w:rsidRDefault="00396802" w:rsidP="00E33D13">
      <w:pPr>
        <w:jc w:val="both"/>
        <w:rPr>
          <w:rFonts w:ascii="Tahoma" w:hAnsi="Tahoma" w:cs="Tahoma"/>
          <w:i/>
          <w:color w:val="FF0000"/>
          <w:sz w:val="14"/>
          <w:lang w:val="sr-Cyrl-CS"/>
        </w:rPr>
      </w:pPr>
    </w:p>
    <w:p w:rsidR="00E33D13" w:rsidRPr="00B13D2B" w:rsidRDefault="00CC339F" w:rsidP="00E33D13">
      <w:pPr>
        <w:jc w:val="both"/>
        <w:rPr>
          <w:rFonts w:ascii="Arial Narrow" w:hAnsi="Arial Narrow" w:cs="Tahoma"/>
          <w:color w:val="FF0000"/>
          <w:sz w:val="22"/>
          <w:szCs w:val="22"/>
        </w:rPr>
      </w:pPr>
      <w:r>
        <w:rPr>
          <w:rFonts w:ascii="Arial Narrow" w:hAnsi="Arial Narrow" w:cs="Tahoma"/>
          <w:i/>
          <w:noProof/>
          <w:color w:val="FF0000"/>
          <w:sz w:val="22"/>
          <w:szCs w:val="22"/>
          <w:lang w:val="sr-Cyrl-BA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101.7pt;margin-top:7.65pt;width:26pt;height:19.8pt;z-index:251669504;mso-height-percent:200;mso-height-percent:200;mso-width-relative:margin;mso-height-relative:margin" filled="f" stroked="f">
            <v:textbox style="mso-next-textbox:#_x0000_s1073;mso-fit-shape-to-text:t">
              <w:txbxContent>
                <w:p w:rsidR="00A90BF7" w:rsidRPr="00B13D2B" w:rsidRDefault="00A90BF7">
                  <w:r w:rsidRPr="00B13D2B">
                    <w:rPr>
                      <w:rFonts w:ascii="Arial Narrow" w:hAnsi="Arial Narrow" w:cs="Tahoma"/>
                      <w:sz w:val="22"/>
                      <w:szCs w:val="22"/>
                      <w:lang w:val="sr-Cyrl-CS"/>
                    </w:rPr>
                    <w:t>км</w:t>
                  </w:r>
                </w:p>
              </w:txbxContent>
            </v:textbox>
          </v:shape>
        </w:pict>
      </w:r>
      <w:r w:rsidR="00E33D13" w:rsidRPr="00652176">
        <w:rPr>
          <w:rFonts w:ascii="Tahoma" w:hAnsi="Tahoma" w:cs="Tahoma"/>
          <w:i/>
          <w:color w:val="FF0000"/>
          <w:sz w:val="14"/>
          <w:lang w:val="sr-Cyrl-CS"/>
        </w:rPr>
        <w:t xml:space="preserve"> </w:t>
      </w:r>
      <w:r w:rsidR="00E33D13" w:rsidRPr="00652176">
        <w:rPr>
          <w:rFonts w:ascii="Tahoma" w:hAnsi="Tahoma" w:cs="Tahoma"/>
          <w:color w:val="FF0000"/>
          <w:sz w:val="14"/>
          <w:lang w:val="sr-Cyrl-CS"/>
        </w:rPr>
        <w:t xml:space="preserve">   </w:t>
      </w:r>
      <w:r w:rsidR="00E33D13" w:rsidRPr="00652176">
        <w:rPr>
          <w:rFonts w:ascii="Tahoma" w:hAnsi="Tahoma" w:cs="Tahoma"/>
          <w:color w:val="FF0000"/>
          <w:sz w:val="14"/>
          <w:lang w:val="sr-Latn-CS"/>
        </w:rPr>
        <w:tab/>
      </w:r>
      <w:r w:rsidR="00E33D13" w:rsidRPr="00652176">
        <w:rPr>
          <w:rFonts w:ascii="Tahoma" w:hAnsi="Tahoma" w:cs="Tahoma"/>
          <w:color w:val="FF0000"/>
          <w:sz w:val="14"/>
          <w:lang w:val="sr-Latn-CS"/>
        </w:rPr>
        <w:tab/>
      </w:r>
      <w:r w:rsidR="00E33D13" w:rsidRPr="00652176">
        <w:rPr>
          <w:rFonts w:ascii="Tahoma" w:hAnsi="Tahoma" w:cs="Tahoma"/>
          <w:color w:val="FF0000"/>
          <w:sz w:val="14"/>
          <w:lang w:val="sr-Cyrl-BA"/>
        </w:rPr>
        <w:t xml:space="preserve">            </w:t>
      </w:r>
      <w:r w:rsidR="00F85AAC" w:rsidRPr="00652176">
        <w:rPr>
          <w:rFonts w:ascii="Tahoma" w:hAnsi="Tahoma" w:cs="Tahoma"/>
          <w:color w:val="FF0000"/>
          <w:sz w:val="14"/>
          <w:lang w:val="sr-Cyrl-BA"/>
        </w:rPr>
        <w:t xml:space="preserve">   </w:t>
      </w:r>
    </w:p>
    <w:p w:rsidR="00E33D13" w:rsidRPr="00652176" w:rsidRDefault="00AD485B" w:rsidP="00E33D13">
      <w:pPr>
        <w:jc w:val="center"/>
        <w:rPr>
          <w:rFonts w:ascii="Tahoma" w:hAnsi="Tahoma" w:cs="Tahoma"/>
          <w:color w:val="FF0000"/>
          <w:lang w:val="sr-Cyrl-BA"/>
        </w:rPr>
      </w:pPr>
      <w:r w:rsidRPr="00652176">
        <w:rPr>
          <w:rFonts w:ascii="Tahoma" w:hAnsi="Tahoma" w:cs="Tahoma"/>
          <w:noProof/>
          <w:color w:val="FF0000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1064021</wp:posOffset>
            </wp:positionH>
            <wp:positionV relativeFrom="paragraph">
              <wp:posOffset>1969663</wp:posOffset>
            </wp:positionV>
            <wp:extent cx="4552950" cy="463137"/>
            <wp:effectExtent l="1905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46313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3D13" w:rsidRPr="00652176">
        <w:rPr>
          <w:rFonts w:ascii="Tahoma" w:hAnsi="Tahoma" w:cs="Tahoma"/>
          <w:color w:val="FF0000"/>
          <w:szCs w:val="18"/>
          <w:lang w:val="sr-Cyrl-BA"/>
        </w:rPr>
        <w:t xml:space="preserve">  </w:t>
      </w:r>
      <w:r w:rsidR="00652176" w:rsidRPr="00652176">
        <w:rPr>
          <w:noProof/>
          <w:color w:val="FF0000"/>
        </w:rPr>
        <w:drawing>
          <wp:inline distT="0" distB="0" distL="0" distR="0">
            <wp:extent cx="4572000" cy="2743200"/>
            <wp:effectExtent l="1905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33D13" w:rsidRPr="00652176">
        <w:rPr>
          <w:rFonts w:ascii="Tahoma" w:hAnsi="Tahoma" w:cs="Tahoma"/>
          <w:color w:val="FF0000"/>
          <w:szCs w:val="18"/>
          <w:lang w:val="sr-Cyrl-BA"/>
        </w:rPr>
        <w:t xml:space="preserve"> </w:t>
      </w:r>
    </w:p>
    <w:p w:rsidR="00E33D13" w:rsidRPr="00652176" w:rsidRDefault="00E33D13" w:rsidP="00E33D13">
      <w:pPr>
        <w:jc w:val="center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E33D13" w:rsidRPr="00A90BF7" w:rsidRDefault="00E33D13" w:rsidP="00E33D13">
      <w:pPr>
        <w:jc w:val="center"/>
        <w:outlineLvl w:val="0"/>
        <w:rPr>
          <w:rFonts w:ascii="Arial Narrow" w:hAnsi="Arial Narrow" w:cs="Tahoma"/>
          <w:sz w:val="22"/>
          <w:szCs w:val="22"/>
          <w:lang w:val="sr-Cyrl-CS"/>
        </w:rPr>
      </w:pPr>
      <w:r w:rsidRPr="00A90BF7">
        <w:rPr>
          <w:rFonts w:ascii="Arial Narrow" w:hAnsi="Arial Narrow" w:cs="Tahoma"/>
          <w:sz w:val="22"/>
          <w:szCs w:val="22"/>
          <w:lang w:val="sr-Cyrl-BA"/>
        </w:rPr>
        <w:t xml:space="preserve">Графикон </w:t>
      </w:r>
      <w:r w:rsidR="0066022A" w:rsidRPr="00A90BF7">
        <w:rPr>
          <w:rFonts w:ascii="Arial Narrow" w:hAnsi="Arial Narrow" w:cs="Tahoma"/>
          <w:sz w:val="22"/>
          <w:szCs w:val="22"/>
          <w:lang w:val="sr-Latn-BA"/>
        </w:rPr>
        <w:t>1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.</w:t>
      </w:r>
      <w:r w:rsidRPr="00A90BF7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П</w:t>
      </w:r>
      <w:r w:rsidRPr="00A90BF7">
        <w:rPr>
          <w:rFonts w:ascii="Arial Narrow" w:hAnsi="Arial Narrow" w:cs="Tahoma"/>
          <w:sz w:val="22"/>
          <w:szCs w:val="22"/>
          <w:lang w:val="ru-RU"/>
        </w:rPr>
        <w:t>росјечн</w:t>
      </w:r>
      <w:r w:rsidRPr="00A90BF7">
        <w:rPr>
          <w:rFonts w:ascii="Arial Narrow" w:hAnsi="Arial Narrow" w:cs="Tahoma"/>
          <w:sz w:val="22"/>
          <w:szCs w:val="22"/>
        </w:rPr>
        <w:t>e</w:t>
      </w:r>
      <w:r w:rsidRPr="00A90BF7">
        <w:rPr>
          <w:rFonts w:ascii="Arial Narrow" w:hAnsi="Arial Narrow" w:cs="Tahoma"/>
          <w:sz w:val="22"/>
          <w:szCs w:val="22"/>
          <w:lang w:val="ru-RU"/>
        </w:rPr>
        <w:t xml:space="preserve"> нето плат</w:t>
      </w:r>
      <w:r w:rsidRPr="00A90BF7">
        <w:rPr>
          <w:rFonts w:ascii="Arial Narrow" w:hAnsi="Arial Narrow" w:cs="Tahoma"/>
          <w:sz w:val="22"/>
          <w:szCs w:val="22"/>
        </w:rPr>
        <w:t>e</w:t>
      </w:r>
      <w:r w:rsidRPr="00A90BF7">
        <w:rPr>
          <w:rFonts w:ascii="Arial Narrow" w:hAnsi="Arial Narrow" w:cs="Tahoma"/>
          <w:sz w:val="22"/>
          <w:szCs w:val="22"/>
          <w:lang w:val="ru-RU"/>
        </w:rPr>
        <w:t xml:space="preserve"> запослених по мјесецима</w:t>
      </w:r>
    </w:p>
    <w:p w:rsidR="00BE051D" w:rsidRPr="00652176" w:rsidRDefault="00BE051D">
      <w:pPr>
        <w:rPr>
          <w:rFonts w:ascii="Arial Narrow" w:hAnsi="Arial Narrow" w:cs="Tahoma"/>
          <w:color w:val="FF0000"/>
          <w:sz w:val="22"/>
          <w:lang w:val="sr-Latn-BA"/>
        </w:rPr>
      </w:pPr>
    </w:p>
    <w:p w:rsidR="00EB2F3C" w:rsidRPr="0072615B" w:rsidRDefault="00EB2F3C">
      <w:pPr>
        <w:rPr>
          <w:rFonts w:ascii="Arial Narrow" w:hAnsi="Arial Narrow" w:cs="Tahoma"/>
          <w:sz w:val="22"/>
          <w:lang w:val="sr-Latn-BA"/>
        </w:rPr>
      </w:pPr>
    </w:p>
    <w:p w:rsidR="00570DB5" w:rsidRPr="00570DB5" w:rsidRDefault="00570DB5" w:rsidP="00570DB5">
      <w:pPr>
        <w:rPr>
          <w:rFonts w:ascii="Arial Narrow" w:hAnsi="Arial Narrow" w:cs="Tahoma"/>
          <w:lang w:val="sr-Cyrl-BA"/>
        </w:rPr>
      </w:pPr>
      <w:r w:rsidRPr="00570DB5">
        <w:rPr>
          <w:rFonts w:ascii="Arial Narrow" w:hAnsi="Arial Narrow" w:cs="Tahoma"/>
          <w:b/>
          <w:sz w:val="30"/>
          <w:szCs w:val="30"/>
          <w:lang w:val="sr-Cyrl-BA"/>
        </w:rPr>
        <w:t>Мјесечна инфлација у мају 2016. године 0,1%</w:t>
      </w:r>
    </w:p>
    <w:p w:rsidR="00570DB5" w:rsidRPr="00570DB5" w:rsidRDefault="00570DB5" w:rsidP="00570DB5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570DB5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Pr="00570DB5">
        <w:rPr>
          <w:rFonts w:ascii="Arial Narrow" w:hAnsi="Arial Narrow" w:cs="Tahoma"/>
          <w:b/>
          <w:sz w:val="30"/>
          <w:szCs w:val="30"/>
          <w:lang w:val="sr-Cyrl-CS"/>
        </w:rPr>
        <w:t>мај</w:t>
      </w:r>
      <w:r w:rsidRPr="00570DB5">
        <w:rPr>
          <w:rFonts w:ascii="Arial Narrow" w:hAnsi="Arial Narrow" w:cs="Tahoma"/>
          <w:b/>
          <w:sz w:val="30"/>
          <w:szCs w:val="30"/>
          <w:lang w:val="sr-Cyrl-BA"/>
        </w:rPr>
        <w:t xml:space="preserve"> 2016/</w:t>
      </w:r>
      <w:r w:rsidRPr="00570DB5">
        <w:rPr>
          <w:rFonts w:ascii="Arial Narrow" w:hAnsi="Arial Narrow" w:cs="Tahoma"/>
          <w:b/>
          <w:sz w:val="30"/>
          <w:szCs w:val="30"/>
          <w:lang w:val="sr-Cyrl-CS"/>
        </w:rPr>
        <w:t>мај</w:t>
      </w:r>
      <w:r w:rsidRPr="00570DB5">
        <w:rPr>
          <w:rFonts w:ascii="Arial Narrow" w:hAnsi="Arial Narrow" w:cs="Tahoma"/>
          <w:b/>
          <w:sz w:val="30"/>
          <w:szCs w:val="30"/>
          <w:lang w:val="sr-Cyrl-BA"/>
        </w:rPr>
        <w:t xml:space="preserve"> 2015) -1,6%</w:t>
      </w:r>
    </w:p>
    <w:p w:rsidR="00570DB5" w:rsidRPr="00570DB5" w:rsidRDefault="00570DB5" w:rsidP="00D9777D">
      <w:pPr>
        <w:jc w:val="both"/>
        <w:rPr>
          <w:rFonts w:ascii="Arial Narrow" w:hAnsi="Arial Narrow" w:cs="Tahoma"/>
          <w:lang w:val="sr-Cyrl-BA"/>
        </w:rPr>
      </w:pPr>
    </w:p>
    <w:p w:rsidR="00570DB5" w:rsidRPr="00A90BF7" w:rsidRDefault="00570DB5" w:rsidP="00570DB5">
      <w:pPr>
        <w:jc w:val="both"/>
        <w:rPr>
          <w:rFonts w:ascii="Arial Narrow" w:hAnsi="Arial Narrow" w:cs="Tahoma"/>
          <w:sz w:val="22"/>
          <w:szCs w:val="22"/>
        </w:rPr>
      </w:pPr>
      <w:r w:rsidRPr="00A90BF7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мају</w:t>
      </w:r>
      <w:r w:rsidRPr="00A90BF7">
        <w:rPr>
          <w:rFonts w:ascii="Arial Narrow" w:hAnsi="Arial Narrow" w:cs="Tahoma"/>
          <w:sz w:val="22"/>
          <w:szCs w:val="22"/>
          <w:lang w:val="sr-Cyrl-BA"/>
        </w:rPr>
        <w:t xml:space="preserve"> 2016. године у односу на претходни мјесец у просјеку су више за 0,1%, док су на годишњем нивоу у просјеку ниже за 1,6%.</w:t>
      </w:r>
    </w:p>
    <w:p w:rsidR="00570DB5" w:rsidRPr="00A90BF7" w:rsidRDefault="00570DB5" w:rsidP="00570DB5">
      <w:pPr>
        <w:jc w:val="both"/>
        <w:rPr>
          <w:rFonts w:ascii="Arial Narrow" w:hAnsi="Arial Narrow" w:cs="Tahoma"/>
          <w:sz w:val="16"/>
          <w:szCs w:val="16"/>
        </w:rPr>
      </w:pPr>
    </w:p>
    <w:p w:rsidR="00570DB5" w:rsidRPr="00A90BF7" w:rsidRDefault="00570DB5" w:rsidP="00570DB5">
      <w:pPr>
        <w:rPr>
          <w:rFonts w:ascii="Arial Narrow" w:hAnsi="Arial Narrow"/>
          <w:sz w:val="22"/>
          <w:szCs w:val="22"/>
        </w:rPr>
      </w:pPr>
      <w:r w:rsidRPr="00A90BF7">
        <w:rPr>
          <w:rFonts w:ascii="Arial Narrow" w:hAnsi="Arial Narrow"/>
          <w:sz w:val="22"/>
          <w:szCs w:val="22"/>
        </w:rPr>
        <w:t>Од 12 главних одјељака производа и услуга, више цијене забиљежене су у три, ниже цијене у шест, док су цијене у три одјељка, у просјеку, остале непромијењене.</w:t>
      </w:r>
    </w:p>
    <w:p w:rsidR="00570DB5" w:rsidRPr="00A90BF7" w:rsidRDefault="00570DB5" w:rsidP="00570DB5">
      <w:pPr>
        <w:jc w:val="both"/>
        <w:rPr>
          <w:rFonts w:ascii="Arial Narrow" w:hAnsi="Arial Narrow" w:cs="Tahoma"/>
          <w:sz w:val="16"/>
          <w:szCs w:val="16"/>
          <w:lang w:val="sr-Cyrl-BA"/>
        </w:rPr>
      </w:pPr>
    </w:p>
    <w:p w:rsidR="00570DB5" w:rsidRPr="00A90BF7" w:rsidRDefault="00570DB5" w:rsidP="00570DB5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90BF7">
        <w:rPr>
          <w:rFonts w:ascii="Arial Narrow" w:hAnsi="Arial Narrow" w:cs="Tahoma"/>
          <w:sz w:val="22"/>
          <w:szCs w:val="22"/>
          <w:lang w:val="sr-Cyrl-BA"/>
        </w:rPr>
        <w:t>Највећи раст цијена у мају забиљежен је у</w:t>
      </w:r>
      <w:r w:rsidRPr="00A90BF7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A90BF7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A90BF7">
        <w:rPr>
          <w:rFonts w:ascii="Arial Narrow" w:hAnsi="Arial Narrow" w:cs="Tahoma"/>
          <w:i/>
          <w:sz w:val="22"/>
          <w:szCs w:val="22"/>
          <w:lang w:val="sr-Cyrl-BA"/>
        </w:rPr>
        <w:t xml:space="preserve"> Становање </w:t>
      </w:r>
      <w:r w:rsidRPr="00A90BF7">
        <w:rPr>
          <w:rFonts w:ascii="Arial Narrow" w:hAnsi="Arial Narrow" w:cs="Tahoma"/>
          <w:sz w:val="22"/>
          <w:szCs w:val="22"/>
          <w:lang w:val="sr-Cyrl-BA"/>
        </w:rPr>
        <w:t xml:space="preserve">(1,6%) усљед виших цијена у групи електрична енергија и други енергенти од 2,3%. Од 01. маја 2016. године на снази су нове тарифе електричне енргије за потрошњу из категорије домаћинства. Поред одјељка становање, више цијене забиљежене су још у одјељку </w:t>
      </w:r>
      <w:r w:rsidRPr="00A90BF7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A90BF7">
        <w:rPr>
          <w:rFonts w:ascii="Arial Narrow" w:hAnsi="Arial Narrow" w:cs="Tahoma"/>
          <w:sz w:val="22"/>
          <w:szCs w:val="22"/>
          <w:lang w:val="sr-Cyrl-BA"/>
        </w:rPr>
        <w:t xml:space="preserve"> (0,5%) усљед виших набавних цијена горива и нешто мањи раст у одјељку </w:t>
      </w:r>
      <w:r w:rsidRPr="00A90BF7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A90BF7">
        <w:rPr>
          <w:rFonts w:ascii="Arial Narrow" w:hAnsi="Arial Narrow" w:cs="Tahoma"/>
          <w:sz w:val="22"/>
          <w:szCs w:val="22"/>
          <w:lang w:val="sr-Cyrl-BA"/>
        </w:rPr>
        <w:t xml:space="preserve"> (0,2%) усљед нових добављачких цијена лијекова. </w:t>
      </w:r>
    </w:p>
    <w:p w:rsidR="00570DB5" w:rsidRPr="00A90BF7" w:rsidRDefault="00570DB5" w:rsidP="00570DB5">
      <w:pPr>
        <w:jc w:val="both"/>
        <w:rPr>
          <w:rFonts w:ascii="Arial Narrow" w:hAnsi="Arial Narrow" w:cs="Tahoma"/>
          <w:sz w:val="16"/>
          <w:szCs w:val="16"/>
          <w:lang w:val="sr-Cyrl-BA"/>
        </w:rPr>
      </w:pPr>
    </w:p>
    <w:p w:rsidR="00570DB5" w:rsidRPr="00A90BF7" w:rsidRDefault="00570DB5" w:rsidP="00570DB5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A90BF7">
        <w:rPr>
          <w:rFonts w:ascii="Arial Narrow" w:hAnsi="Arial Narrow" w:cs="Tahoma"/>
          <w:sz w:val="22"/>
          <w:szCs w:val="22"/>
          <w:lang w:val="sr-Cyrl-BA"/>
        </w:rPr>
        <w:t>У одјељцима</w:t>
      </w:r>
      <w:r w:rsidRPr="00A90BF7">
        <w:rPr>
          <w:rFonts w:ascii="Arial Narrow" w:hAnsi="Arial Narrow" w:cs="Tahoma"/>
          <w:i/>
          <w:sz w:val="22"/>
          <w:szCs w:val="22"/>
          <w:lang w:val="sr-Cyrl-BA"/>
        </w:rPr>
        <w:t>, Комуникације, Образовање и Ресторани и хотели</w:t>
      </w:r>
      <w:r w:rsidRPr="00A90BF7">
        <w:rPr>
          <w:rFonts w:ascii="Arial Narrow" w:hAnsi="Arial Narrow" w:cs="Tahoma"/>
          <w:sz w:val="22"/>
          <w:szCs w:val="22"/>
          <w:lang w:val="sr-Cyrl-BA"/>
        </w:rPr>
        <w:t xml:space="preserve"> цијене су, у просјеку, остале непромијењене.</w:t>
      </w:r>
    </w:p>
    <w:p w:rsidR="00570DB5" w:rsidRPr="00A90BF7" w:rsidRDefault="00570DB5" w:rsidP="00570DB5">
      <w:pPr>
        <w:jc w:val="both"/>
        <w:rPr>
          <w:rFonts w:ascii="Arial Narrow" w:hAnsi="Arial Narrow" w:cs="Tahoma"/>
          <w:sz w:val="16"/>
          <w:szCs w:val="16"/>
          <w:lang w:val="sr-Cyrl-BA"/>
        </w:rPr>
      </w:pPr>
    </w:p>
    <w:p w:rsidR="00570DB5" w:rsidRPr="00A90BF7" w:rsidRDefault="00CC339F" w:rsidP="00570DB5">
      <w:pPr>
        <w:jc w:val="both"/>
        <w:rPr>
          <w:rFonts w:ascii="Arial Narrow" w:hAnsi="Arial Narrow" w:cs="Tahoma"/>
          <w:color w:val="E36C0A" w:themeColor="accent6" w:themeShade="BF"/>
          <w:sz w:val="22"/>
          <w:szCs w:val="22"/>
          <w:lang w:val="sr-Cyrl-BA"/>
        </w:rPr>
      </w:pPr>
      <w:r>
        <w:rPr>
          <w:rFonts w:ascii="Arial Narrow" w:hAnsi="Arial Narrow" w:cs="Tahoma"/>
          <w:sz w:val="22"/>
          <w:szCs w:val="22"/>
          <w:lang w:val="sr-Cyrl-BA"/>
        </w:rPr>
        <w:t>Највећи</w:t>
      </w:r>
      <w:r w:rsidR="00570DB5" w:rsidRPr="00A90BF7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>
        <w:rPr>
          <w:rFonts w:ascii="Arial Narrow" w:hAnsi="Arial Narrow" w:cs="Tahoma"/>
          <w:sz w:val="22"/>
          <w:szCs w:val="22"/>
          <w:lang w:val="sr-Cyrl-BA"/>
        </w:rPr>
        <w:t xml:space="preserve">пад цијена </w:t>
      </w:r>
      <w:r w:rsidR="00570DB5" w:rsidRPr="00A90BF7">
        <w:rPr>
          <w:rFonts w:ascii="Arial Narrow" w:hAnsi="Arial Narrow" w:cs="Tahoma"/>
          <w:sz w:val="22"/>
          <w:szCs w:val="22"/>
          <w:lang w:val="sr-Cyrl-BA"/>
        </w:rPr>
        <w:t xml:space="preserve">у </w:t>
      </w:r>
      <w:r w:rsidR="00570DB5" w:rsidRPr="00A90BF7">
        <w:rPr>
          <w:rFonts w:ascii="Arial Narrow" w:hAnsi="Arial Narrow" w:cs="Tahoma"/>
          <w:sz w:val="22"/>
          <w:szCs w:val="22"/>
          <w:lang w:val="sr-Cyrl-CS"/>
        </w:rPr>
        <w:t>мај</w:t>
      </w:r>
      <w:r>
        <w:rPr>
          <w:rFonts w:ascii="Arial Narrow" w:hAnsi="Arial Narrow" w:cs="Tahoma"/>
          <w:sz w:val="22"/>
          <w:szCs w:val="22"/>
          <w:lang w:val="sr-Cyrl-BA"/>
        </w:rPr>
        <w:t>у забиљежен је</w:t>
      </w:r>
      <w:bookmarkStart w:id="0" w:name="_GoBack"/>
      <w:bookmarkEnd w:id="0"/>
      <w:r w:rsidR="00570DB5" w:rsidRPr="00A90BF7">
        <w:rPr>
          <w:rFonts w:ascii="Arial Narrow" w:hAnsi="Arial Narrow" w:cs="Tahoma"/>
          <w:sz w:val="22"/>
          <w:szCs w:val="22"/>
          <w:lang w:val="sr-Cyrl-BA"/>
        </w:rPr>
        <w:t xml:space="preserve"> у одјељку </w:t>
      </w:r>
      <w:r w:rsidR="00570DB5" w:rsidRPr="00A90BF7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="00570DB5" w:rsidRPr="00A90BF7">
        <w:rPr>
          <w:rFonts w:ascii="Arial Narrow" w:hAnsi="Arial Narrow" w:cs="Tahoma"/>
          <w:sz w:val="22"/>
          <w:szCs w:val="22"/>
          <w:lang w:val="sr-Cyrl-BA"/>
        </w:rPr>
        <w:t xml:space="preserve"> (0,7%) усљед одређеног броја снижења, затим у одјељку </w:t>
      </w:r>
      <w:r w:rsidR="00570DB5" w:rsidRPr="00A90BF7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="00570DB5" w:rsidRPr="00A90BF7">
        <w:rPr>
          <w:rFonts w:ascii="Arial Narrow" w:hAnsi="Arial Narrow" w:cs="Tahoma"/>
          <w:sz w:val="22"/>
          <w:szCs w:val="22"/>
          <w:lang w:val="sr-Cyrl-BA"/>
        </w:rPr>
        <w:t xml:space="preserve"> (0,4%) усљед нижих, сезонских цијена поврћа у овом периоду (6,4%) као и сталних акцијских попуста у групама млијеко и млијечни производи (1,3%) и хљеб и житарице (0,6%). У оквиру одјељка </w:t>
      </w:r>
      <w:r w:rsidR="00570DB5" w:rsidRPr="00A90BF7">
        <w:rPr>
          <w:rFonts w:ascii="Arial Narrow" w:hAnsi="Arial Narrow" w:cs="Tahoma"/>
          <w:i/>
          <w:sz w:val="22"/>
          <w:szCs w:val="22"/>
          <w:lang w:val="sr-Cyrl-BA"/>
        </w:rPr>
        <w:t>Остала добра и услуге з</w:t>
      </w:r>
      <w:r w:rsidR="00570DB5" w:rsidRPr="00A90BF7">
        <w:rPr>
          <w:rFonts w:ascii="Arial Narrow" w:hAnsi="Arial Narrow" w:cs="Tahoma"/>
          <w:sz w:val="22"/>
          <w:szCs w:val="22"/>
          <w:lang w:val="sr-Cyrl-BA"/>
        </w:rPr>
        <w:t xml:space="preserve">абиљежен је пад од 0,3% усљед акцијских и тзв. трајно ниских цијена у групи производи за одржавање личне хигијене (0,8%) док су у оквиру одјељка </w:t>
      </w:r>
      <w:r w:rsidR="00570DB5" w:rsidRPr="00A90BF7">
        <w:rPr>
          <w:rFonts w:ascii="Arial Narrow" w:hAnsi="Arial Narrow" w:cs="Tahoma"/>
          <w:i/>
          <w:sz w:val="22"/>
          <w:szCs w:val="22"/>
          <w:lang w:val="sr-Cyrl-BA"/>
        </w:rPr>
        <w:t xml:space="preserve">Намјештај и покућство </w:t>
      </w:r>
      <w:r w:rsidR="00570DB5" w:rsidRPr="00A90BF7">
        <w:rPr>
          <w:rFonts w:ascii="Arial Narrow" w:hAnsi="Arial Narrow" w:cs="Tahoma"/>
          <w:sz w:val="22"/>
          <w:szCs w:val="22"/>
          <w:lang w:val="sr-Cyrl-BA"/>
        </w:rPr>
        <w:t xml:space="preserve">забиљежена снижења у групама текстилни производи за домаћинство (3,7%) посуђе и др. прибор за домаћинство (0,6%) и мањи апарати за домаћинство (0,3%). Ниже цијене забиљежене су још у одјељку </w:t>
      </w:r>
      <w:r w:rsidR="00570DB5" w:rsidRPr="00A90BF7">
        <w:rPr>
          <w:rFonts w:ascii="Arial Narrow" w:hAnsi="Arial Narrow" w:cs="Tahoma"/>
          <w:i/>
          <w:sz w:val="22"/>
          <w:szCs w:val="22"/>
          <w:lang w:val="sr-Cyrl-BA"/>
        </w:rPr>
        <w:t>Алкохола пића и дуван</w:t>
      </w:r>
      <w:r w:rsidR="00570DB5" w:rsidRPr="00A90BF7">
        <w:rPr>
          <w:rFonts w:ascii="Arial Narrow" w:hAnsi="Arial Narrow" w:cs="Tahoma"/>
          <w:sz w:val="22"/>
          <w:szCs w:val="22"/>
          <w:lang w:val="sr-Cyrl-BA"/>
        </w:rPr>
        <w:t xml:space="preserve"> (0,2%) усљед акцијских цијена у групама пиво (0,9%) алкохолна пића (0,7%) и вино (0,4%) и у одјељку </w:t>
      </w:r>
      <w:r w:rsidR="00570DB5" w:rsidRPr="00A90BF7">
        <w:rPr>
          <w:rFonts w:ascii="Arial Narrow" w:hAnsi="Arial Narrow" w:cs="Tahoma"/>
          <w:i/>
          <w:sz w:val="22"/>
          <w:szCs w:val="22"/>
          <w:lang w:val="sr-Cyrl-BA"/>
        </w:rPr>
        <w:t>Рекреација и култура</w:t>
      </w:r>
      <w:r w:rsidR="00570DB5" w:rsidRPr="00A90BF7">
        <w:rPr>
          <w:rFonts w:ascii="Arial Narrow" w:hAnsi="Arial Narrow" w:cs="Tahoma"/>
          <w:sz w:val="22"/>
          <w:szCs w:val="22"/>
          <w:lang w:val="sr-Cyrl-BA"/>
        </w:rPr>
        <w:t xml:space="preserve"> (0,1%).</w:t>
      </w:r>
    </w:p>
    <w:p w:rsidR="00152F07" w:rsidRPr="0072615B" w:rsidRDefault="00152F07" w:rsidP="00E045B0">
      <w:pPr>
        <w:jc w:val="both"/>
        <w:rPr>
          <w:rFonts w:ascii="Arial Narrow" w:hAnsi="Arial Narrow" w:cs="Tahoma"/>
          <w:sz w:val="22"/>
          <w:lang w:val="sr-Cyrl-BA"/>
        </w:rPr>
      </w:pPr>
    </w:p>
    <w:p w:rsidR="007B3C79" w:rsidRPr="0072615B" w:rsidRDefault="007B3C79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06D21" w:rsidRPr="001D1B3B" w:rsidRDefault="00F06D21" w:rsidP="00F06D2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</w:rPr>
      </w:pPr>
      <w:r w:rsidRPr="001D1B3B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Календарски прилагођена </w:t>
      </w:r>
      <w:r w:rsidRPr="001D1B3B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="0033595C" w:rsidRPr="001D1B3B">
        <w:rPr>
          <w:rFonts w:ascii="Arial Narrow" w:hAnsi="Arial Narrow" w:cs="Tahoma"/>
          <w:b/>
          <w:sz w:val="30"/>
          <w:szCs w:val="30"/>
        </w:rPr>
        <w:t>V</w:t>
      </w:r>
      <w:r w:rsidRPr="001D1B3B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1D1B3B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1D1B3B">
        <w:rPr>
          <w:rFonts w:ascii="Arial Narrow" w:hAnsi="Arial Narrow" w:cs="Tahoma"/>
          <w:b/>
          <w:sz w:val="30"/>
          <w:szCs w:val="30"/>
        </w:rPr>
        <w:t>6</w:t>
      </w:r>
      <w:r w:rsidR="009034C3" w:rsidRPr="001D1B3B">
        <w:rPr>
          <w:rFonts w:ascii="Arial Narrow" w:hAnsi="Arial Narrow" w:cs="Tahoma"/>
          <w:b/>
          <w:sz w:val="30"/>
          <w:szCs w:val="30"/>
          <w:lang w:val="sr-Latn-BA"/>
        </w:rPr>
        <w:t>/</w:t>
      </w:r>
      <w:r w:rsidR="0033595C" w:rsidRPr="001D1B3B">
        <w:rPr>
          <w:rFonts w:ascii="Arial Narrow" w:hAnsi="Arial Narrow" w:cs="Tahoma"/>
          <w:b/>
          <w:sz w:val="30"/>
          <w:szCs w:val="30"/>
          <w:lang w:val="sr-Latn-BA"/>
        </w:rPr>
        <w:t>V</w:t>
      </w:r>
      <w:r w:rsidRPr="001D1B3B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1D1B3B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1D1B3B">
        <w:rPr>
          <w:rFonts w:ascii="Arial Narrow" w:hAnsi="Arial Narrow" w:cs="Tahoma"/>
          <w:b/>
          <w:bCs/>
          <w:sz w:val="30"/>
          <w:szCs w:val="30"/>
        </w:rPr>
        <w:t>5.</w:t>
      </w:r>
      <w:r w:rsidRPr="001D1B3B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1D1B3B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="009034C3" w:rsidRPr="001D1B3B">
        <w:rPr>
          <w:rFonts w:ascii="Arial Narrow" w:hAnsi="Arial Narrow" w:cs="Tahoma"/>
          <w:b/>
          <w:bCs/>
          <w:sz w:val="30"/>
          <w:szCs w:val="30"/>
          <w:lang w:val="sr-Cyrl-CS"/>
        </w:rPr>
        <w:t>6</w:t>
      </w:r>
      <w:r w:rsidRPr="001D1B3B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="009034C3" w:rsidRPr="001D1B3B">
        <w:rPr>
          <w:rFonts w:ascii="Arial Narrow" w:hAnsi="Arial Narrow" w:cs="Tahoma"/>
          <w:b/>
          <w:bCs/>
          <w:sz w:val="30"/>
          <w:szCs w:val="30"/>
          <w:lang w:val="sr-Cyrl-CS"/>
        </w:rPr>
        <w:t>7</w:t>
      </w:r>
      <w:r w:rsidRPr="001D1B3B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A905EA" w:rsidRPr="001D1B3B" w:rsidRDefault="00166F34" w:rsidP="00A905EA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28"/>
          <w:szCs w:val="28"/>
        </w:rPr>
      </w:pPr>
      <w:r w:rsidRPr="001D1B3B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Десезонирана </w:t>
      </w:r>
      <w:r w:rsidRPr="001D1B3B">
        <w:rPr>
          <w:rFonts w:ascii="Arial Narrow" w:hAnsi="Arial Narrow" w:cs="Tahoma"/>
          <w:b/>
          <w:sz w:val="28"/>
          <w:szCs w:val="28"/>
          <w:lang w:val="sr-Cyrl-CS"/>
        </w:rPr>
        <w:t>индустријска производња (</w:t>
      </w:r>
      <w:r w:rsidR="0033595C" w:rsidRPr="001D1B3B">
        <w:rPr>
          <w:rFonts w:ascii="Arial Narrow" w:hAnsi="Arial Narrow" w:cs="Tahoma"/>
          <w:b/>
          <w:sz w:val="28"/>
          <w:szCs w:val="28"/>
        </w:rPr>
        <w:t>V</w:t>
      </w:r>
      <w:r w:rsidRPr="001D1B3B">
        <w:rPr>
          <w:rFonts w:ascii="Arial Narrow" w:hAnsi="Arial Narrow" w:cs="Tahoma"/>
          <w:b/>
          <w:sz w:val="28"/>
          <w:szCs w:val="28"/>
          <w:lang w:val="sr-Latn-BA"/>
        </w:rPr>
        <w:t xml:space="preserve"> 20</w:t>
      </w:r>
      <w:r w:rsidRPr="001D1B3B">
        <w:rPr>
          <w:rFonts w:ascii="Arial Narrow" w:hAnsi="Arial Narrow" w:cs="Tahoma"/>
          <w:b/>
          <w:sz w:val="28"/>
          <w:szCs w:val="28"/>
          <w:lang w:val="sr-Cyrl-CS"/>
        </w:rPr>
        <w:t>1</w:t>
      </w:r>
      <w:r w:rsidR="00A905EA" w:rsidRPr="001D1B3B">
        <w:rPr>
          <w:rFonts w:ascii="Arial Narrow" w:hAnsi="Arial Narrow" w:cs="Tahoma"/>
          <w:b/>
          <w:sz w:val="28"/>
          <w:szCs w:val="28"/>
        </w:rPr>
        <w:t>6</w:t>
      </w:r>
      <w:r w:rsidRPr="001D1B3B">
        <w:rPr>
          <w:rFonts w:ascii="Arial Narrow" w:hAnsi="Arial Narrow" w:cs="Tahoma"/>
          <w:b/>
          <w:sz w:val="28"/>
          <w:szCs w:val="28"/>
          <w:lang w:val="sr-Latn-BA"/>
        </w:rPr>
        <w:t>/I</w:t>
      </w:r>
      <w:r w:rsidR="009034C3" w:rsidRPr="001D1B3B">
        <w:rPr>
          <w:rFonts w:ascii="Arial Narrow" w:hAnsi="Arial Narrow" w:cs="Tahoma"/>
          <w:b/>
          <w:sz w:val="28"/>
          <w:szCs w:val="28"/>
          <w:lang w:val="sr-Latn-BA"/>
        </w:rPr>
        <w:t>V</w:t>
      </w:r>
      <w:r w:rsidRPr="001D1B3B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</w:t>
      </w:r>
      <w:r w:rsidRPr="001D1B3B">
        <w:rPr>
          <w:rFonts w:ascii="Arial Narrow" w:hAnsi="Arial Narrow" w:cs="Tahoma"/>
          <w:b/>
          <w:bCs/>
          <w:sz w:val="28"/>
          <w:szCs w:val="28"/>
          <w:lang w:val="ru-RU"/>
        </w:rPr>
        <w:t>201</w:t>
      </w:r>
      <w:r w:rsidR="00A905EA" w:rsidRPr="001D1B3B">
        <w:rPr>
          <w:rFonts w:ascii="Arial Narrow" w:hAnsi="Arial Narrow" w:cs="Tahoma"/>
          <w:b/>
          <w:bCs/>
          <w:sz w:val="28"/>
          <w:szCs w:val="28"/>
        </w:rPr>
        <w:t>6</w:t>
      </w:r>
      <w:r w:rsidRPr="001D1B3B">
        <w:rPr>
          <w:rFonts w:ascii="Arial Narrow" w:hAnsi="Arial Narrow" w:cs="Tahoma"/>
          <w:b/>
          <w:bCs/>
          <w:sz w:val="28"/>
          <w:szCs w:val="28"/>
        </w:rPr>
        <w:t>.</w:t>
      </w:r>
      <w:r w:rsidRPr="001D1B3B">
        <w:rPr>
          <w:rFonts w:ascii="Arial Narrow" w:hAnsi="Arial Narrow" w:cs="Tahoma"/>
          <w:b/>
          <w:bCs/>
          <w:sz w:val="28"/>
          <w:szCs w:val="28"/>
          <w:lang w:val="hr-HR"/>
        </w:rPr>
        <w:t>)</w:t>
      </w:r>
      <w:r w:rsidRPr="001D1B3B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</w:t>
      </w:r>
      <w:r w:rsidR="009034C3" w:rsidRPr="001D1B3B">
        <w:rPr>
          <w:rFonts w:ascii="Arial Narrow" w:hAnsi="Arial Narrow" w:cs="Tahoma"/>
          <w:b/>
          <w:bCs/>
          <w:sz w:val="28"/>
          <w:szCs w:val="28"/>
          <w:lang w:val="sr-Cyrl-CS"/>
        </w:rPr>
        <w:t>већа</w:t>
      </w:r>
      <w:r w:rsidRPr="001D1B3B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</w:t>
      </w:r>
      <w:r w:rsidR="009034C3" w:rsidRPr="001D1B3B">
        <w:rPr>
          <w:rFonts w:ascii="Arial Narrow" w:hAnsi="Arial Narrow" w:cs="Tahoma"/>
          <w:b/>
          <w:bCs/>
          <w:sz w:val="28"/>
          <w:szCs w:val="28"/>
          <w:lang w:val="sr-Cyrl-CS"/>
        </w:rPr>
        <w:t>3</w:t>
      </w:r>
      <w:r w:rsidRPr="001D1B3B">
        <w:rPr>
          <w:rFonts w:ascii="Arial Narrow" w:hAnsi="Arial Narrow" w:cs="Tahoma"/>
          <w:b/>
          <w:bCs/>
          <w:sz w:val="28"/>
          <w:szCs w:val="28"/>
          <w:lang w:val="sr-Cyrl-CS"/>
        </w:rPr>
        <w:t>,</w:t>
      </w:r>
      <w:r w:rsidR="009034C3" w:rsidRPr="001D1B3B">
        <w:rPr>
          <w:rFonts w:ascii="Arial Narrow" w:hAnsi="Arial Narrow" w:cs="Tahoma"/>
          <w:b/>
          <w:bCs/>
          <w:sz w:val="28"/>
          <w:szCs w:val="28"/>
          <w:lang w:val="sr-Cyrl-CS"/>
        </w:rPr>
        <w:t>7</w:t>
      </w:r>
      <w:r w:rsidRPr="001D1B3B">
        <w:rPr>
          <w:rFonts w:ascii="Arial Narrow" w:hAnsi="Arial Narrow" w:cs="Tahoma"/>
          <w:b/>
          <w:bCs/>
          <w:sz w:val="28"/>
          <w:szCs w:val="28"/>
          <w:lang w:val="sr-Cyrl-CS"/>
        </w:rPr>
        <w:t>%</w:t>
      </w:r>
      <w:r w:rsidR="00A905EA" w:rsidRPr="001D1B3B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</w:t>
      </w:r>
    </w:p>
    <w:p w:rsidR="00166F34" w:rsidRPr="001D1B3B" w:rsidRDefault="00166F34" w:rsidP="00166F34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CS"/>
        </w:rPr>
      </w:pPr>
      <w:r w:rsidRPr="001D1B3B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33595C" w:rsidRPr="001D1B3B">
        <w:rPr>
          <w:rFonts w:ascii="Arial Narrow" w:hAnsi="Arial Narrow" w:cs="Tahoma"/>
          <w:b/>
          <w:sz w:val="28"/>
        </w:rPr>
        <w:t>V</w:t>
      </w:r>
      <w:r w:rsidRPr="001D1B3B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1D1B3B">
        <w:rPr>
          <w:rFonts w:ascii="Arial Narrow" w:hAnsi="Arial Narrow" w:cs="Tahoma"/>
          <w:b/>
          <w:sz w:val="28"/>
        </w:rPr>
        <w:t>6</w:t>
      </w:r>
      <w:r w:rsidRPr="001D1B3B">
        <w:rPr>
          <w:rFonts w:ascii="Arial Narrow" w:hAnsi="Arial Narrow" w:cs="Tahoma"/>
          <w:b/>
          <w:sz w:val="28"/>
          <w:lang w:val="ru-RU"/>
        </w:rPr>
        <w:t>/</w:t>
      </w:r>
      <w:r w:rsidR="0033595C" w:rsidRPr="001D1B3B">
        <w:rPr>
          <w:rFonts w:ascii="Arial Narrow" w:hAnsi="Arial Narrow" w:cs="Tahoma"/>
          <w:b/>
          <w:sz w:val="28"/>
        </w:rPr>
        <w:t>V</w:t>
      </w:r>
      <w:r w:rsidRPr="001D1B3B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1D1B3B">
        <w:rPr>
          <w:rFonts w:ascii="Arial Narrow" w:hAnsi="Arial Narrow" w:cs="Tahoma"/>
          <w:b/>
          <w:sz w:val="28"/>
        </w:rPr>
        <w:t>5</w:t>
      </w:r>
      <w:r w:rsidRPr="001D1B3B">
        <w:rPr>
          <w:rFonts w:ascii="Arial Narrow" w:hAnsi="Arial Narrow" w:cs="Tahoma"/>
          <w:b/>
          <w:sz w:val="28"/>
          <w:lang w:val="ru-RU"/>
        </w:rPr>
        <w:t xml:space="preserve">.) </w:t>
      </w:r>
      <w:r w:rsidR="009034C3" w:rsidRPr="001D1B3B">
        <w:rPr>
          <w:rFonts w:ascii="Arial Narrow" w:hAnsi="Arial Narrow" w:cs="Tahoma"/>
          <w:b/>
          <w:sz w:val="28"/>
          <w:lang w:val="ru-RU"/>
        </w:rPr>
        <w:t>мањи</w:t>
      </w:r>
      <w:r w:rsidRPr="001D1B3B">
        <w:rPr>
          <w:rFonts w:ascii="Arial Narrow" w:hAnsi="Arial Narrow" w:cs="Tahoma"/>
          <w:b/>
          <w:sz w:val="28"/>
          <w:lang w:val="ru-RU"/>
        </w:rPr>
        <w:t xml:space="preserve"> </w:t>
      </w:r>
      <w:r w:rsidR="0033595C" w:rsidRPr="001D1B3B">
        <w:rPr>
          <w:rFonts w:ascii="Arial Narrow" w:hAnsi="Arial Narrow" w:cs="Tahoma"/>
          <w:b/>
          <w:sz w:val="28"/>
          <w:lang w:val="sr-Cyrl-CS"/>
        </w:rPr>
        <w:t>0</w:t>
      </w:r>
      <w:r w:rsidRPr="001D1B3B">
        <w:rPr>
          <w:rFonts w:ascii="Arial Narrow" w:hAnsi="Arial Narrow" w:cs="Tahoma"/>
          <w:b/>
          <w:sz w:val="28"/>
          <w:lang w:val="ru-RU"/>
        </w:rPr>
        <w:t>,</w:t>
      </w:r>
      <w:r w:rsidR="009034C3" w:rsidRPr="001D1B3B">
        <w:rPr>
          <w:rFonts w:ascii="Arial Narrow" w:hAnsi="Arial Narrow" w:cs="Tahoma"/>
          <w:b/>
          <w:sz w:val="28"/>
          <w:lang w:val="ru-RU"/>
        </w:rPr>
        <w:t>3</w:t>
      </w:r>
      <w:r w:rsidRPr="001D1B3B">
        <w:rPr>
          <w:rFonts w:ascii="Arial Narrow" w:hAnsi="Arial Narrow" w:cs="Tahoma"/>
          <w:b/>
          <w:sz w:val="28"/>
          <w:lang w:val="ru-RU"/>
        </w:rPr>
        <w:t>%</w:t>
      </w:r>
    </w:p>
    <w:p w:rsidR="00166F34" w:rsidRPr="001D1B3B" w:rsidRDefault="00166F34" w:rsidP="00166F34">
      <w:pPr>
        <w:jc w:val="both"/>
        <w:rPr>
          <w:rFonts w:ascii="Arial Narrow" w:hAnsi="Arial Narrow" w:cs="Tahoma"/>
          <w:sz w:val="22"/>
        </w:rPr>
      </w:pPr>
    </w:p>
    <w:p w:rsidR="00F06D21" w:rsidRPr="00A90BF7" w:rsidRDefault="00F06D21" w:rsidP="00166F34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A90BF7">
        <w:rPr>
          <w:rFonts w:ascii="Arial Narrow" w:hAnsi="Arial Narrow" w:cs="Tahoma"/>
          <w:b/>
          <w:sz w:val="22"/>
          <w:szCs w:val="22"/>
          <w:lang w:val="sr-Cyrl-CS"/>
        </w:rPr>
        <w:t>Календарски прилагођена</w:t>
      </w:r>
      <w:r w:rsidRPr="00A90BF7">
        <w:rPr>
          <w:rFonts w:ascii="Arial Narrow" w:hAnsi="Arial Narrow" w:cs="Tahoma"/>
          <w:b/>
          <w:sz w:val="22"/>
          <w:szCs w:val="22"/>
        </w:rPr>
        <w:t xml:space="preserve"> индустријска производња</w:t>
      </w:r>
      <w:r w:rsidRPr="00A90BF7">
        <w:rPr>
          <w:rFonts w:ascii="Arial Narrow" w:hAnsi="Arial Narrow" w:cs="Tahoma"/>
          <w:sz w:val="22"/>
          <w:szCs w:val="22"/>
        </w:rPr>
        <w:t xml:space="preserve"> у </w:t>
      </w:r>
      <w:r w:rsidR="009034C3" w:rsidRPr="00A90BF7">
        <w:rPr>
          <w:rFonts w:ascii="Arial Narrow" w:hAnsi="Arial Narrow" w:cs="Tahoma"/>
          <w:spacing w:val="-2"/>
          <w:sz w:val="22"/>
          <w:szCs w:val="22"/>
          <w:lang w:val="sr-Cyrl-CS"/>
        </w:rPr>
        <w:t>мају</w:t>
      </w:r>
      <w:r w:rsidRPr="00A90BF7">
        <w:rPr>
          <w:rFonts w:ascii="Arial Narrow" w:hAnsi="Arial Narrow" w:cs="Tahoma"/>
          <w:spacing w:val="-2"/>
          <w:sz w:val="22"/>
          <w:szCs w:val="22"/>
        </w:rPr>
        <w:t xml:space="preserve"> </w:t>
      </w:r>
      <w:r w:rsidRPr="00A90BF7">
        <w:rPr>
          <w:rFonts w:ascii="Arial Narrow" w:hAnsi="Arial Narrow" w:cs="Tahoma"/>
          <w:sz w:val="22"/>
          <w:szCs w:val="22"/>
        </w:rPr>
        <w:t>201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6</w:t>
      </w:r>
      <w:r w:rsidRPr="00A90BF7">
        <w:rPr>
          <w:rFonts w:ascii="Arial Narrow" w:hAnsi="Arial Narrow" w:cs="Tahoma"/>
          <w:sz w:val="22"/>
          <w:szCs w:val="22"/>
        </w:rPr>
        <w:t xml:space="preserve">. </w:t>
      </w:r>
      <w:r w:rsidRPr="00A90BF7">
        <w:rPr>
          <w:rFonts w:ascii="Arial Narrow" w:hAnsi="Arial Narrow" w:cs="Tahoma"/>
          <w:sz w:val="22"/>
          <w:szCs w:val="22"/>
          <w:lang w:val="sr-Cyrl-BA"/>
        </w:rPr>
        <w:t>г</w:t>
      </w:r>
      <w:r w:rsidRPr="00A90BF7">
        <w:rPr>
          <w:rFonts w:ascii="Arial Narrow" w:hAnsi="Arial Narrow" w:cs="Tahoma"/>
          <w:sz w:val="22"/>
          <w:szCs w:val="22"/>
        </w:rPr>
        <w:t>одине</w:t>
      </w:r>
      <w:r w:rsidRPr="00A90BF7">
        <w:rPr>
          <w:rFonts w:ascii="Arial Narrow" w:hAnsi="Arial Narrow" w:cs="Tahoma"/>
          <w:spacing w:val="-4"/>
          <w:sz w:val="22"/>
          <w:szCs w:val="22"/>
          <w:lang w:val="sr-Cyrl-BA"/>
        </w:rPr>
        <w:t xml:space="preserve"> </w:t>
      </w:r>
      <w:r w:rsidRPr="00A90BF7">
        <w:rPr>
          <w:rFonts w:ascii="Arial Narrow" w:hAnsi="Arial Narrow" w:cs="Tahoma"/>
          <w:sz w:val="22"/>
          <w:szCs w:val="22"/>
        </w:rPr>
        <w:t xml:space="preserve">у поређењу </w:t>
      </w:r>
      <w:r w:rsidRPr="00A90BF7">
        <w:rPr>
          <w:rFonts w:ascii="Arial Narrow" w:hAnsi="Arial Narrow" w:cs="Tahoma"/>
          <w:sz w:val="22"/>
          <w:szCs w:val="22"/>
          <w:lang w:val="sr-Cyrl-BA"/>
        </w:rPr>
        <w:t xml:space="preserve">са </w:t>
      </w:r>
      <w:r w:rsidR="009034C3" w:rsidRPr="00A90BF7">
        <w:rPr>
          <w:rFonts w:ascii="Arial Narrow" w:hAnsi="Arial Narrow" w:cs="Tahoma"/>
          <w:spacing w:val="-2"/>
          <w:sz w:val="22"/>
          <w:szCs w:val="22"/>
          <w:lang w:val="sr-Cyrl-CS"/>
        </w:rPr>
        <w:t>мајом</w:t>
      </w:r>
      <w:r w:rsidRPr="00A90BF7">
        <w:rPr>
          <w:rFonts w:ascii="Arial Narrow" w:hAnsi="Arial Narrow" w:cs="Tahoma"/>
          <w:spacing w:val="-2"/>
          <w:sz w:val="22"/>
          <w:szCs w:val="22"/>
        </w:rPr>
        <w:t xml:space="preserve"> </w:t>
      </w:r>
      <w:r w:rsidRPr="00A90BF7">
        <w:rPr>
          <w:rFonts w:ascii="Arial Narrow" w:hAnsi="Arial Narrow" w:cs="Tahoma"/>
          <w:sz w:val="22"/>
          <w:szCs w:val="22"/>
          <w:lang w:val="ru-RU"/>
        </w:rPr>
        <w:t>2015.</w:t>
      </w:r>
      <w:r w:rsidRPr="00A90BF7">
        <w:rPr>
          <w:rFonts w:ascii="Arial Narrow" w:hAnsi="Arial Narrow" w:cs="Tahoma"/>
          <w:sz w:val="22"/>
          <w:szCs w:val="22"/>
        </w:rPr>
        <w:t xml:space="preserve"> 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већа је за 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>6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,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>7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%.</w:t>
      </w:r>
      <w:r w:rsidRPr="00A90BF7">
        <w:rPr>
          <w:rFonts w:ascii="Arial Narrow" w:hAnsi="Arial Narrow" w:cs="Tahoma"/>
          <w:sz w:val="22"/>
          <w:szCs w:val="22"/>
        </w:rPr>
        <w:t xml:space="preserve"> 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У</w:t>
      </w:r>
      <w:r w:rsidRPr="00A90BF7">
        <w:rPr>
          <w:rFonts w:ascii="Arial Narrow" w:hAnsi="Arial Narrow" w:cs="Tahoma"/>
          <w:sz w:val="22"/>
          <w:szCs w:val="22"/>
        </w:rPr>
        <w:t xml:space="preserve"> 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подручју </w:t>
      </w:r>
      <w:r w:rsidRPr="00A90BF7">
        <w:rPr>
          <w:rFonts w:ascii="Arial Narrow" w:hAnsi="Arial Narrow" w:cs="Tahoma"/>
          <w:i/>
          <w:sz w:val="22"/>
          <w:szCs w:val="22"/>
          <w:lang w:val="ru-RU"/>
        </w:rPr>
        <w:t>Производња и снабдијевање електричном енергијом, гасом, паром и климатизацији</w:t>
      </w:r>
      <w:r w:rsidRPr="00A90BF7">
        <w:rPr>
          <w:rFonts w:ascii="Arial Narrow" w:hAnsi="Arial Narrow" w:cs="Tahoma"/>
          <w:i/>
          <w:sz w:val="22"/>
          <w:szCs w:val="22"/>
        </w:rPr>
        <w:t xml:space="preserve"> 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>остварен</w:t>
      </w:r>
      <w:r w:rsidR="0033595C" w:rsidRPr="00A90BF7">
        <w:rPr>
          <w:rFonts w:ascii="Arial Narrow" w:hAnsi="Arial Narrow" w:cs="Tahoma"/>
          <w:sz w:val="22"/>
          <w:szCs w:val="22"/>
          <w:lang w:val="sr-Cyrl-CS"/>
        </w:rPr>
        <w:t xml:space="preserve"> је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>раст</w:t>
      </w:r>
      <w:r w:rsidRPr="00A90BF7">
        <w:rPr>
          <w:rFonts w:ascii="Arial Narrow" w:hAnsi="Arial Narrow" w:cs="Tahoma"/>
          <w:sz w:val="22"/>
          <w:szCs w:val="22"/>
        </w:rPr>
        <w:t xml:space="preserve"> </w:t>
      </w:r>
      <w:r w:rsidRPr="00A90BF7">
        <w:rPr>
          <w:rFonts w:ascii="Arial Narrow" w:hAnsi="Arial Narrow" w:cs="Tahoma"/>
          <w:sz w:val="22"/>
          <w:szCs w:val="22"/>
          <w:lang w:val="sr-Cyrl-BA"/>
        </w:rPr>
        <w:t>од</w:t>
      </w:r>
      <w:r w:rsidRPr="00A90BF7">
        <w:rPr>
          <w:rFonts w:ascii="Arial Narrow" w:hAnsi="Arial Narrow" w:cs="Tahoma"/>
          <w:sz w:val="22"/>
          <w:szCs w:val="22"/>
        </w:rPr>
        <w:t xml:space="preserve"> 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>20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,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>5</w:t>
      </w:r>
      <w:r w:rsidRPr="00A90BF7">
        <w:rPr>
          <w:rFonts w:ascii="Arial Narrow" w:hAnsi="Arial Narrow" w:cs="Tahoma"/>
          <w:sz w:val="22"/>
          <w:szCs w:val="22"/>
        </w:rPr>
        <w:t>%</w:t>
      </w:r>
      <w:r w:rsidR="0033595C" w:rsidRPr="00A90BF7">
        <w:rPr>
          <w:rFonts w:ascii="Arial Narrow" w:hAnsi="Arial Narrow" w:cs="Tahoma"/>
          <w:sz w:val="22"/>
          <w:szCs w:val="22"/>
          <w:lang w:val="sr-Cyrl-CS"/>
        </w:rPr>
        <w:t xml:space="preserve"> и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 у </w:t>
      </w:r>
      <w:r w:rsidR="009034C3" w:rsidRPr="00A90BF7">
        <w:rPr>
          <w:rFonts w:ascii="Arial Narrow" w:hAnsi="Arial Narrow" w:cs="Tahoma"/>
          <w:i/>
          <w:sz w:val="22"/>
          <w:szCs w:val="22"/>
        </w:rPr>
        <w:t>Прерађивачкој индустрији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 xml:space="preserve"> раст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 од 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>5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,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>4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%</w:t>
      </w:r>
      <w:r w:rsidR="0033595C" w:rsidRPr="00A90BF7">
        <w:rPr>
          <w:rFonts w:ascii="Arial Narrow" w:hAnsi="Arial Narrow" w:cs="Tahoma"/>
          <w:sz w:val="22"/>
          <w:szCs w:val="22"/>
          <w:lang w:val="sr-Cyrl-CS"/>
        </w:rPr>
        <w:t xml:space="preserve">, док је </w:t>
      </w:r>
      <w:r w:rsidRPr="00A90BF7">
        <w:rPr>
          <w:rFonts w:ascii="Arial Narrow" w:hAnsi="Arial Narrow" w:cs="Tahoma"/>
          <w:sz w:val="22"/>
          <w:szCs w:val="22"/>
          <w:lang w:val="sr-Cyrl-BA"/>
        </w:rPr>
        <w:t xml:space="preserve">у </w:t>
      </w:r>
      <w:r w:rsidR="009034C3" w:rsidRPr="00A90BF7">
        <w:rPr>
          <w:rFonts w:ascii="Arial Narrow" w:hAnsi="Arial Narrow" w:cs="Tahoma"/>
          <w:sz w:val="22"/>
          <w:szCs w:val="22"/>
          <w:lang w:val="sr-Cyrl-BA"/>
        </w:rPr>
        <w:t xml:space="preserve">подручју </w:t>
      </w:r>
      <w:r w:rsidR="009034C3" w:rsidRPr="00A90BF7">
        <w:rPr>
          <w:rFonts w:ascii="Arial Narrow" w:hAnsi="Arial Narrow" w:cs="Tahoma"/>
          <w:i/>
          <w:sz w:val="22"/>
          <w:szCs w:val="22"/>
        </w:rPr>
        <w:t>Вађењ</w:t>
      </w:r>
      <w:r w:rsidR="009034C3" w:rsidRPr="00A90BF7">
        <w:rPr>
          <w:rFonts w:ascii="Arial Narrow" w:hAnsi="Arial Narrow" w:cs="Tahoma"/>
          <w:i/>
          <w:sz w:val="22"/>
          <w:szCs w:val="22"/>
          <w:lang w:val="sr-Cyrl-BA"/>
        </w:rPr>
        <w:t>а</w:t>
      </w:r>
      <w:r w:rsidR="009034C3" w:rsidRPr="00A90BF7">
        <w:rPr>
          <w:rFonts w:ascii="Arial Narrow" w:hAnsi="Arial Narrow" w:cs="Tahoma"/>
          <w:i/>
          <w:sz w:val="22"/>
          <w:szCs w:val="22"/>
        </w:rPr>
        <w:t xml:space="preserve"> руда и камена</w:t>
      </w:r>
      <w:r w:rsidR="009034C3" w:rsidRPr="00A90BF7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>забиљежен пад</w:t>
      </w:r>
      <w:r w:rsidRPr="00A90BF7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од</w:t>
      </w:r>
      <w:r w:rsidRPr="00A90BF7">
        <w:rPr>
          <w:rFonts w:ascii="Arial Narrow" w:hAnsi="Arial Narrow" w:cs="Tahoma"/>
          <w:sz w:val="22"/>
          <w:szCs w:val="22"/>
        </w:rPr>
        <w:t xml:space="preserve"> 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>10</w:t>
      </w:r>
      <w:r w:rsidRPr="00A90BF7">
        <w:rPr>
          <w:rFonts w:ascii="Arial Narrow" w:hAnsi="Arial Narrow" w:cs="Tahoma"/>
          <w:sz w:val="22"/>
          <w:szCs w:val="22"/>
        </w:rPr>
        <w:t>,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>0</w:t>
      </w:r>
      <w:r w:rsidRPr="00A90BF7">
        <w:rPr>
          <w:rFonts w:ascii="Arial Narrow" w:hAnsi="Arial Narrow" w:cs="Tahoma"/>
          <w:sz w:val="22"/>
          <w:szCs w:val="22"/>
        </w:rPr>
        <w:t>%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. </w:t>
      </w:r>
      <w:r w:rsidRPr="00A90BF7">
        <w:rPr>
          <w:rFonts w:ascii="Arial Narrow" w:hAnsi="Arial Narrow" w:cs="Tahoma"/>
          <w:spacing w:val="-2"/>
          <w:sz w:val="22"/>
          <w:szCs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A90BF7">
        <w:rPr>
          <w:rFonts w:ascii="Arial Narrow" w:hAnsi="Arial Narrow" w:cs="Tahoma"/>
          <w:spacing w:val="-2"/>
          <w:sz w:val="22"/>
          <w:szCs w:val="22"/>
          <w:lang w:val="sr-Cyrl-BA"/>
        </w:rPr>
        <w:t xml:space="preserve"> производња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 xml:space="preserve">енергије </w:t>
      </w:r>
      <w:r w:rsidRPr="00A90BF7">
        <w:rPr>
          <w:rFonts w:ascii="Arial Narrow" w:hAnsi="Arial Narrow" w:cs="Tahoma"/>
          <w:sz w:val="22"/>
          <w:szCs w:val="22"/>
        </w:rPr>
        <w:t xml:space="preserve">у </w:t>
      </w:r>
      <w:r w:rsidR="009034C3" w:rsidRPr="00A90BF7">
        <w:rPr>
          <w:rFonts w:ascii="Arial Narrow" w:hAnsi="Arial Narrow" w:cs="Tahoma"/>
          <w:spacing w:val="-2"/>
          <w:sz w:val="22"/>
          <w:szCs w:val="22"/>
          <w:lang w:val="sr-Cyrl-CS"/>
        </w:rPr>
        <w:t>мају</w:t>
      </w:r>
      <w:r w:rsidRPr="00A90BF7">
        <w:rPr>
          <w:rFonts w:ascii="Arial Narrow" w:hAnsi="Arial Narrow" w:cs="Tahoma"/>
          <w:spacing w:val="-2"/>
          <w:sz w:val="22"/>
          <w:szCs w:val="22"/>
        </w:rPr>
        <w:t xml:space="preserve"> </w:t>
      </w:r>
      <w:r w:rsidRPr="00A90BF7">
        <w:rPr>
          <w:rFonts w:ascii="Arial Narrow" w:hAnsi="Arial Narrow" w:cs="Tahoma"/>
          <w:sz w:val="22"/>
          <w:szCs w:val="22"/>
        </w:rPr>
        <w:t>201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6</w:t>
      </w:r>
      <w:r w:rsidRPr="00A90BF7">
        <w:rPr>
          <w:rFonts w:ascii="Arial Narrow" w:hAnsi="Arial Narrow" w:cs="Tahoma"/>
          <w:sz w:val="22"/>
          <w:szCs w:val="22"/>
        </w:rPr>
        <w:t xml:space="preserve">. </w:t>
      </w:r>
      <w:r w:rsidRPr="00A90BF7">
        <w:rPr>
          <w:rFonts w:ascii="Arial Narrow" w:hAnsi="Arial Narrow" w:cs="Tahoma"/>
          <w:sz w:val="22"/>
          <w:szCs w:val="22"/>
          <w:lang w:val="sr-Cyrl-BA"/>
        </w:rPr>
        <w:t>г</w:t>
      </w:r>
      <w:r w:rsidRPr="00A90BF7">
        <w:rPr>
          <w:rFonts w:ascii="Arial Narrow" w:hAnsi="Arial Narrow" w:cs="Tahoma"/>
          <w:sz w:val="22"/>
          <w:szCs w:val="22"/>
        </w:rPr>
        <w:t>одине</w:t>
      </w:r>
      <w:r w:rsidRPr="00A90BF7">
        <w:rPr>
          <w:rFonts w:ascii="Arial Narrow" w:hAnsi="Arial Narrow" w:cs="Tahoma"/>
          <w:spacing w:val="-4"/>
          <w:sz w:val="22"/>
          <w:szCs w:val="22"/>
          <w:lang w:val="sr-Cyrl-BA"/>
        </w:rPr>
        <w:t xml:space="preserve"> </w:t>
      </w:r>
      <w:r w:rsidRPr="00A90BF7">
        <w:rPr>
          <w:rFonts w:ascii="Arial Narrow" w:hAnsi="Arial Narrow" w:cs="Tahoma"/>
          <w:sz w:val="22"/>
          <w:szCs w:val="22"/>
        </w:rPr>
        <w:t xml:space="preserve">у поређењу </w:t>
      </w:r>
      <w:r w:rsidRPr="00A90BF7">
        <w:rPr>
          <w:rFonts w:ascii="Arial Narrow" w:hAnsi="Arial Narrow" w:cs="Tahoma"/>
          <w:sz w:val="22"/>
          <w:szCs w:val="22"/>
          <w:lang w:val="sr-Cyrl-BA"/>
        </w:rPr>
        <w:t xml:space="preserve">са </w:t>
      </w:r>
      <w:r w:rsidR="009034C3" w:rsidRPr="00A90BF7">
        <w:rPr>
          <w:rFonts w:ascii="Arial Narrow" w:hAnsi="Arial Narrow" w:cs="Tahoma"/>
          <w:spacing w:val="-2"/>
          <w:sz w:val="22"/>
          <w:szCs w:val="22"/>
          <w:lang w:val="sr-Cyrl-CS"/>
        </w:rPr>
        <w:t>мајом</w:t>
      </w:r>
      <w:r w:rsidRPr="00A90BF7">
        <w:rPr>
          <w:rFonts w:ascii="Arial Narrow" w:hAnsi="Arial Narrow" w:cs="Tahoma"/>
          <w:spacing w:val="-2"/>
          <w:sz w:val="22"/>
          <w:szCs w:val="22"/>
          <w:lang w:val="sr-Cyrl-CS"/>
        </w:rPr>
        <w:t xml:space="preserve"> </w:t>
      </w:r>
      <w:r w:rsidRPr="00A90BF7">
        <w:rPr>
          <w:rFonts w:ascii="Arial Narrow" w:hAnsi="Arial Narrow" w:cs="Tahoma"/>
          <w:sz w:val="22"/>
          <w:szCs w:val="22"/>
          <w:lang w:val="ru-RU"/>
        </w:rPr>
        <w:t>2015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, већа је за 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>15</w:t>
      </w:r>
      <w:r w:rsidRPr="00A90BF7">
        <w:rPr>
          <w:rFonts w:ascii="Arial Narrow" w:hAnsi="Arial Narrow" w:cs="Tahoma"/>
          <w:sz w:val="22"/>
          <w:szCs w:val="22"/>
          <w:lang w:val="bs-Latn-BA"/>
        </w:rPr>
        <w:t>,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>9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%, 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 xml:space="preserve">нетрајних производа за широку потрошњу 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за 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>8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,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>6%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 xml:space="preserve">и интермедијарних производа 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за 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>0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,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>1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%</w:t>
      </w:r>
      <w:r w:rsidR="0033595C" w:rsidRPr="00A90BF7">
        <w:rPr>
          <w:rFonts w:ascii="Arial Narrow" w:hAnsi="Arial Narrow" w:cs="Tahoma"/>
          <w:sz w:val="22"/>
          <w:szCs w:val="22"/>
          <w:lang w:val="sr-Cyrl-CS"/>
        </w:rPr>
        <w:t>,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 xml:space="preserve">док је производња трајних производа за широку потрошњу мања 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за 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>1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,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>8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%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 xml:space="preserve"> и</w:t>
      </w:r>
      <w:r w:rsidR="0033595C" w:rsidRPr="00A90BF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9034C3" w:rsidRPr="00A90BF7">
        <w:rPr>
          <w:rFonts w:ascii="Arial Narrow" w:hAnsi="Arial Narrow" w:cs="Tahoma"/>
          <w:spacing w:val="-2"/>
          <w:sz w:val="22"/>
          <w:szCs w:val="22"/>
          <w:lang w:val="sr-Cyrl-CS"/>
        </w:rPr>
        <w:t>капиталних производа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за 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>11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,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>1</w:t>
      </w:r>
      <w:r w:rsidR="0033595C" w:rsidRPr="00A90BF7">
        <w:rPr>
          <w:rFonts w:ascii="Arial Narrow" w:hAnsi="Arial Narrow" w:cs="Tahoma"/>
          <w:sz w:val="22"/>
          <w:szCs w:val="22"/>
          <w:lang w:val="sr-Cyrl-CS"/>
        </w:rPr>
        <w:t>%.</w:t>
      </w:r>
    </w:p>
    <w:p w:rsidR="00F06D21" w:rsidRPr="00A90BF7" w:rsidRDefault="00F06D21" w:rsidP="00166F34">
      <w:pPr>
        <w:jc w:val="both"/>
        <w:rPr>
          <w:rFonts w:ascii="Arial Narrow" w:hAnsi="Arial Narrow" w:cs="Tahoma"/>
          <w:b/>
          <w:sz w:val="22"/>
          <w:szCs w:val="22"/>
          <w:lang w:val="sr-Cyrl-CS"/>
        </w:rPr>
      </w:pPr>
    </w:p>
    <w:p w:rsidR="00166F34" w:rsidRPr="00A90BF7" w:rsidRDefault="00166F34" w:rsidP="00166F34">
      <w:pPr>
        <w:jc w:val="both"/>
        <w:rPr>
          <w:rFonts w:ascii="Arial Narrow" w:hAnsi="Arial Narrow" w:cs="Tahoma"/>
          <w:sz w:val="22"/>
          <w:szCs w:val="22"/>
        </w:rPr>
      </w:pPr>
      <w:r w:rsidRPr="00A90BF7">
        <w:rPr>
          <w:rFonts w:ascii="Arial Narrow" w:hAnsi="Arial Narrow" w:cs="Tahoma"/>
          <w:b/>
          <w:sz w:val="22"/>
          <w:szCs w:val="22"/>
          <w:lang w:val="sr-Cyrl-CS"/>
        </w:rPr>
        <w:t>Десезонирана</w:t>
      </w:r>
      <w:r w:rsidRPr="00A90BF7">
        <w:rPr>
          <w:rFonts w:ascii="Arial Narrow" w:hAnsi="Arial Narrow" w:cs="Tahoma"/>
          <w:b/>
          <w:sz w:val="22"/>
          <w:szCs w:val="22"/>
        </w:rPr>
        <w:t xml:space="preserve"> индустријска производња</w:t>
      </w:r>
      <w:r w:rsidRPr="00A90BF7">
        <w:rPr>
          <w:rFonts w:ascii="Arial Narrow" w:hAnsi="Arial Narrow" w:cs="Tahoma"/>
          <w:sz w:val="22"/>
          <w:szCs w:val="22"/>
        </w:rPr>
        <w:t xml:space="preserve"> у </w:t>
      </w:r>
      <w:r w:rsidR="009034C3" w:rsidRPr="00A90BF7">
        <w:rPr>
          <w:rFonts w:ascii="Arial Narrow" w:hAnsi="Arial Narrow" w:cs="Tahoma"/>
          <w:spacing w:val="-2"/>
          <w:sz w:val="22"/>
          <w:szCs w:val="22"/>
          <w:lang w:val="sr-Cyrl-CS"/>
        </w:rPr>
        <w:t>мају</w:t>
      </w:r>
      <w:r w:rsidRPr="00A90BF7">
        <w:rPr>
          <w:rFonts w:ascii="Arial Narrow" w:hAnsi="Arial Narrow" w:cs="Tahoma"/>
          <w:spacing w:val="-2"/>
          <w:sz w:val="22"/>
          <w:szCs w:val="22"/>
        </w:rPr>
        <w:t xml:space="preserve"> </w:t>
      </w:r>
      <w:r w:rsidRPr="00A90BF7">
        <w:rPr>
          <w:rFonts w:ascii="Arial Narrow" w:hAnsi="Arial Narrow" w:cs="Tahoma"/>
          <w:sz w:val="22"/>
          <w:szCs w:val="22"/>
        </w:rPr>
        <w:t>201</w:t>
      </w:r>
      <w:r w:rsidR="00A905EA" w:rsidRPr="00A90BF7">
        <w:rPr>
          <w:rFonts w:ascii="Arial Narrow" w:hAnsi="Arial Narrow" w:cs="Tahoma"/>
          <w:sz w:val="22"/>
          <w:szCs w:val="22"/>
          <w:lang w:val="sr-Cyrl-CS"/>
        </w:rPr>
        <w:t>6</w:t>
      </w:r>
      <w:r w:rsidRPr="00A90BF7">
        <w:rPr>
          <w:rFonts w:ascii="Arial Narrow" w:hAnsi="Arial Narrow" w:cs="Tahoma"/>
          <w:sz w:val="22"/>
          <w:szCs w:val="22"/>
        </w:rPr>
        <w:t xml:space="preserve">. </w:t>
      </w:r>
      <w:r w:rsidRPr="00A90BF7">
        <w:rPr>
          <w:rFonts w:ascii="Arial Narrow" w:hAnsi="Arial Narrow" w:cs="Tahoma"/>
          <w:sz w:val="22"/>
          <w:szCs w:val="22"/>
          <w:lang w:val="sr-Cyrl-BA"/>
        </w:rPr>
        <w:t>г</w:t>
      </w:r>
      <w:r w:rsidRPr="00A90BF7">
        <w:rPr>
          <w:rFonts w:ascii="Arial Narrow" w:hAnsi="Arial Narrow" w:cs="Tahoma"/>
          <w:sz w:val="22"/>
          <w:szCs w:val="22"/>
        </w:rPr>
        <w:t>одине</w:t>
      </w:r>
      <w:r w:rsidRPr="00A90BF7">
        <w:rPr>
          <w:rFonts w:ascii="Arial Narrow" w:hAnsi="Arial Narrow" w:cs="Tahoma"/>
          <w:spacing w:val="-4"/>
          <w:sz w:val="22"/>
          <w:szCs w:val="22"/>
          <w:lang w:val="sr-Cyrl-BA"/>
        </w:rPr>
        <w:t xml:space="preserve"> </w:t>
      </w:r>
      <w:r w:rsidRPr="00A90BF7">
        <w:rPr>
          <w:rFonts w:ascii="Arial Narrow" w:hAnsi="Arial Narrow" w:cs="Tahoma"/>
          <w:sz w:val="22"/>
          <w:szCs w:val="22"/>
        </w:rPr>
        <w:t xml:space="preserve">у поређењу </w:t>
      </w:r>
      <w:r w:rsidRPr="00A90BF7">
        <w:rPr>
          <w:rFonts w:ascii="Arial Narrow" w:hAnsi="Arial Narrow" w:cs="Tahoma"/>
          <w:sz w:val="22"/>
          <w:szCs w:val="22"/>
          <w:lang w:val="sr-Cyrl-BA"/>
        </w:rPr>
        <w:t xml:space="preserve">са </w:t>
      </w:r>
      <w:r w:rsidR="009034C3" w:rsidRPr="00A90BF7">
        <w:rPr>
          <w:rFonts w:ascii="Arial Narrow" w:hAnsi="Arial Narrow" w:cs="Tahoma"/>
          <w:sz w:val="22"/>
          <w:szCs w:val="22"/>
          <w:lang w:val="sr-Cyrl-BA"/>
        </w:rPr>
        <w:t>априлом</w:t>
      </w:r>
      <w:r w:rsidRPr="00A90BF7">
        <w:rPr>
          <w:rFonts w:ascii="Arial Narrow" w:hAnsi="Arial Narrow" w:cs="Tahoma"/>
          <w:spacing w:val="-2"/>
          <w:sz w:val="22"/>
          <w:szCs w:val="22"/>
        </w:rPr>
        <w:t xml:space="preserve"> </w:t>
      </w:r>
      <w:r w:rsidRPr="00A90BF7">
        <w:rPr>
          <w:rFonts w:ascii="Arial Narrow" w:hAnsi="Arial Narrow" w:cs="Tahoma"/>
          <w:sz w:val="22"/>
          <w:szCs w:val="22"/>
          <w:lang w:val="ru-RU"/>
        </w:rPr>
        <w:t>201</w:t>
      </w:r>
      <w:r w:rsidR="00A905EA" w:rsidRPr="00A90BF7">
        <w:rPr>
          <w:rFonts w:ascii="Arial Narrow" w:hAnsi="Arial Narrow" w:cs="Tahoma"/>
          <w:sz w:val="22"/>
          <w:szCs w:val="22"/>
          <w:lang w:val="ru-RU"/>
        </w:rPr>
        <w:t>6</w:t>
      </w:r>
      <w:r w:rsidRPr="00A90BF7">
        <w:rPr>
          <w:rFonts w:ascii="Arial Narrow" w:hAnsi="Arial Narrow" w:cs="Tahoma"/>
          <w:sz w:val="22"/>
          <w:szCs w:val="22"/>
          <w:lang w:val="ru-RU"/>
        </w:rPr>
        <w:t>.</w:t>
      </w:r>
      <w:r w:rsidRPr="00A90BF7">
        <w:rPr>
          <w:rFonts w:ascii="Arial Narrow" w:hAnsi="Arial Narrow" w:cs="Tahoma"/>
          <w:sz w:val="22"/>
          <w:szCs w:val="22"/>
        </w:rPr>
        <w:t xml:space="preserve"> 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>већа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 је за 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>3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,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>7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%.</w:t>
      </w:r>
      <w:r w:rsidRPr="00A90BF7">
        <w:rPr>
          <w:rFonts w:ascii="Arial Narrow" w:hAnsi="Arial Narrow" w:cs="Tahoma"/>
          <w:sz w:val="22"/>
          <w:szCs w:val="22"/>
        </w:rPr>
        <w:t xml:space="preserve"> 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У</w:t>
      </w:r>
      <w:r w:rsidRPr="00A90BF7">
        <w:rPr>
          <w:rFonts w:ascii="Arial Narrow" w:hAnsi="Arial Narrow" w:cs="Tahoma"/>
          <w:sz w:val="22"/>
          <w:szCs w:val="22"/>
        </w:rPr>
        <w:t xml:space="preserve"> </w:t>
      </w:r>
      <w:r w:rsidR="009034C3" w:rsidRPr="00A90BF7">
        <w:rPr>
          <w:rFonts w:ascii="Arial Narrow" w:hAnsi="Arial Narrow" w:cs="Tahoma"/>
          <w:sz w:val="22"/>
          <w:szCs w:val="22"/>
          <w:lang w:val="sr-Cyrl-BA"/>
        </w:rPr>
        <w:t xml:space="preserve">подручју </w:t>
      </w:r>
      <w:r w:rsidR="009034C3" w:rsidRPr="00A90BF7">
        <w:rPr>
          <w:rFonts w:ascii="Arial Narrow" w:hAnsi="Arial Narrow" w:cs="Tahoma"/>
          <w:i/>
          <w:sz w:val="22"/>
          <w:szCs w:val="22"/>
          <w:lang w:val="ru-RU"/>
        </w:rPr>
        <w:t>Производња и снабдијевање електричном енергијом, гасом, паром и климатизацији</w:t>
      </w:r>
      <w:r w:rsidR="009034C3" w:rsidRPr="00A90BF7">
        <w:rPr>
          <w:rFonts w:ascii="Arial Narrow" w:hAnsi="Arial Narrow" w:cs="Tahoma"/>
          <w:i/>
          <w:sz w:val="22"/>
          <w:szCs w:val="22"/>
        </w:rPr>
        <w:t xml:space="preserve"> 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остварен је 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>раст</w:t>
      </w:r>
      <w:r w:rsidRPr="00A90BF7">
        <w:rPr>
          <w:rFonts w:ascii="Arial Narrow" w:hAnsi="Arial Narrow" w:cs="Tahoma"/>
          <w:sz w:val="22"/>
          <w:szCs w:val="22"/>
        </w:rPr>
        <w:t xml:space="preserve"> </w:t>
      </w:r>
      <w:r w:rsidRPr="00A90BF7">
        <w:rPr>
          <w:rFonts w:ascii="Arial Narrow" w:hAnsi="Arial Narrow" w:cs="Tahoma"/>
          <w:sz w:val="22"/>
          <w:szCs w:val="22"/>
          <w:lang w:val="sr-Cyrl-BA"/>
        </w:rPr>
        <w:t>од</w:t>
      </w:r>
      <w:r w:rsidRPr="00A90BF7">
        <w:rPr>
          <w:rFonts w:ascii="Arial Narrow" w:hAnsi="Arial Narrow" w:cs="Tahoma"/>
          <w:sz w:val="22"/>
          <w:szCs w:val="22"/>
        </w:rPr>
        <w:t xml:space="preserve"> 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>11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,</w:t>
      </w:r>
      <w:r w:rsidR="0033595C" w:rsidRPr="00A90BF7">
        <w:rPr>
          <w:rFonts w:ascii="Arial Narrow" w:hAnsi="Arial Narrow" w:cs="Tahoma"/>
          <w:sz w:val="22"/>
          <w:szCs w:val="22"/>
          <w:lang w:val="sr-Cyrl-CS"/>
        </w:rPr>
        <w:t>2</w:t>
      </w:r>
      <w:r w:rsidRPr="00A90BF7">
        <w:rPr>
          <w:rFonts w:ascii="Arial Narrow" w:hAnsi="Arial Narrow" w:cs="Tahoma"/>
          <w:sz w:val="22"/>
          <w:szCs w:val="22"/>
        </w:rPr>
        <w:t>%</w:t>
      </w:r>
      <w:r w:rsidR="00A905EA" w:rsidRPr="00A90BF7">
        <w:rPr>
          <w:rFonts w:ascii="Arial Narrow" w:hAnsi="Arial Narrow" w:cs="Tahoma"/>
          <w:sz w:val="22"/>
          <w:szCs w:val="22"/>
          <w:lang w:val="sr-Cyrl-CS"/>
        </w:rPr>
        <w:t>,</w:t>
      </w:r>
      <w:r w:rsidR="00B872D9" w:rsidRPr="00A90BF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="009034C3" w:rsidRPr="00A90BF7">
        <w:rPr>
          <w:rFonts w:ascii="Arial Narrow" w:hAnsi="Arial Narrow" w:cs="Tahoma"/>
          <w:i/>
          <w:sz w:val="22"/>
          <w:szCs w:val="22"/>
        </w:rPr>
        <w:t>Прерађивачкој индустрији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 xml:space="preserve"> раст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 од 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>4</w:t>
      </w:r>
      <w:r w:rsidR="00A905EA" w:rsidRPr="00A90BF7">
        <w:rPr>
          <w:rFonts w:ascii="Arial Narrow" w:hAnsi="Arial Narrow" w:cs="Tahoma"/>
          <w:sz w:val="22"/>
          <w:szCs w:val="22"/>
          <w:lang w:val="sr-Cyrl-CS"/>
        </w:rPr>
        <w:t>,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>2</w:t>
      </w:r>
      <w:r w:rsidR="00B872D9" w:rsidRPr="00A90BF7">
        <w:rPr>
          <w:rFonts w:ascii="Arial Narrow" w:hAnsi="Arial Narrow" w:cs="Tahoma"/>
          <w:sz w:val="22"/>
          <w:szCs w:val="22"/>
          <w:lang w:val="sr-Cyrl-CS"/>
        </w:rPr>
        <w:t>%</w:t>
      </w:r>
      <w:r w:rsidR="0033595C" w:rsidRPr="00A90BF7">
        <w:rPr>
          <w:rFonts w:ascii="Arial Narrow" w:hAnsi="Arial Narrow" w:cs="Tahoma"/>
          <w:sz w:val="22"/>
          <w:szCs w:val="22"/>
          <w:lang w:val="sr-Cyrl-CS"/>
        </w:rPr>
        <w:t xml:space="preserve"> и</w:t>
      </w:r>
      <w:r w:rsidR="00B872D9" w:rsidRPr="00A90BF7">
        <w:rPr>
          <w:rFonts w:ascii="Arial Narrow" w:hAnsi="Arial Narrow" w:cs="Tahoma"/>
          <w:sz w:val="22"/>
          <w:szCs w:val="22"/>
          <w:lang w:val="sr-Cyrl-CS"/>
        </w:rPr>
        <w:t xml:space="preserve"> у</w:t>
      </w:r>
      <w:r w:rsidRPr="00A90BF7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 xml:space="preserve">подручју </w:t>
      </w:r>
      <w:r w:rsidR="009034C3" w:rsidRPr="00A90BF7">
        <w:rPr>
          <w:rFonts w:ascii="Arial Narrow" w:hAnsi="Arial Narrow" w:cs="Tahoma"/>
          <w:i/>
          <w:sz w:val="22"/>
          <w:szCs w:val="22"/>
        </w:rPr>
        <w:t>Вађењ</w:t>
      </w:r>
      <w:r w:rsidR="009034C3" w:rsidRPr="00A90BF7">
        <w:rPr>
          <w:rFonts w:ascii="Arial Narrow" w:hAnsi="Arial Narrow" w:cs="Tahoma"/>
          <w:i/>
          <w:sz w:val="22"/>
          <w:szCs w:val="22"/>
          <w:lang w:val="sr-Cyrl-BA"/>
        </w:rPr>
        <w:t>а</w:t>
      </w:r>
      <w:r w:rsidR="009034C3" w:rsidRPr="00A90BF7">
        <w:rPr>
          <w:rFonts w:ascii="Arial Narrow" w:hAnsi="Arial Narrow" w:cs="Tahoma"/>
          <w:i/>
          <w:sz w:val="22"/>
          <w:szCs w:val="22"/>
        </w:rPr>
        <w:t xml:space="preserve"> руда и камена 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>раст</w:t>
      </w:r>
      <w:r w:rsidRPr="00A90BF7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од</w:t>
      </w:r>
      <w:r w:rsidRPr="00A90BF7">
        <w:rPr>
          <w:rFonts w:ascii="Arial Narrow" w:hAnsi="Arial Narrow" w:cs="Tahoma"/>
          <w:sz w:val="22"/>
          <w:szCs w:val="22"/>
        </w:rPr>
        <w:t xml:space="preserve"> 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>3</w:t>
      </w:r>
      <w:r w:rsidRPr="00A90BF7">
        <w:rPr>
          <w:rFonts w:ascii="Arial Narrow" w:hAnsi="Arial Narrow" w:cs="Tahoma"/>
          <w:sz w:val="22"/>
          <w:szCs w:val="22"/>
        </w:rPr>
        <w:t>,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>4</w:t>
      </w:r>
      <w:r w:rsidRPr="00A90BF7">
        <w:rPr>
          <w:rFonts w:ascii="Arial Narrow" w:hAnsi="Arial Narrow" w:cs="Tahoma"/>
          <w:sz w:val="22"/>
          <w:szCs w:val="22"/>
        </w:rPr>
        <w:t>%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. </w:t>
      </w:r>
      <w:r w:rsidRPr="00A90BF7">
        <w:rPr>
          <w:rFonts w:ascii="Arial Narrow" w:hAnsi="Arial Narrow" w:cs="Tahoma"/>
          <w:spacing w:val="-2"/>
          <w:sz w:val="22"/>
          <w:szCs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A90BF7">
        <w:rPr>
          <w:rFonts w:ascii="Arial Narrow" w:hAnsi="Arial Narrow" w:cs="Tahoma"/>
          <w:spacing w:val="-2"/>
          <w:sz w:val="22"/>
          <w:szCs w:val="22"/>
          <w:lang w:val="sr-Cyrl-BA"/>
        </w:rPr>
        <w:t xml:space="preserve"> производња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C2075D" w:rsidRPr="00A90BF7">
        <w:rPr>
          <w:rFonts w:ascii="Arial Narrow" w:hAnsi="Arial Narrow" w:cs="Tahoma"/>
          <w:sz w:val="22"/>
          <w:szCs w:val="22"/>
          <w:lang w:val="sr-Cyrl-CS"/>
        </w:rPr>
        <w:t xml:space="preserve">енергије </w:t>
      </w:r>
      <w:r w:rsidRPr="00A90BF7">
        <w:rPr>
          <w:rFonts w:ascii="Arial Narrow" w:hAnsi="Arial Narrow" w:cs="Tahoma"/>
          <w:sz w:val="22"/>
          <w:szCs w:val="22"/>
        </w:rPr>
        <w:t xml:space="preserve">у </w:t>
      </w:r>
      <w:r w:rsidR="00C2075D" w:rsidRPr="00A90BF7">
        <w:rPr>
          <w:rFonts w:ascii="Arial Narrow" w:hAnsi="Arial Narrow" w:cs="Tahoma"/>
          <w:spacing w:val="-2"/>
          <w:sz w:val="22"/>
          <w:szCs w:val="22"/>
          <w:lang w:val="sr-Cyrl-CS"/>
        </w:rPr>
        <w:t>мају</w:t>
      </w:r>
      <w:r w:rsidR="00A905EA" w:rsidRPr="00A90BF7">
        <w:rPr>
          <w:rFonts w:ascii="Arial Narrow" w:hAnsi="Arial Narrow" w:cs="Tahoma"/>
          <w:spacing w:val="-2"/>
          <w:sz w:val="22"/>
          <w:szCs w:val="22"/>
        </w:rPr>
        <w:t xml:space="preserve"> </w:t>
      </w:r>
      <w:r w:rsidRPr="00A90BF7">
        <w:rPr>
          <w:rFonts w:ascii="Arial Narrow" w:hAnsi="Arial Narrow" w:cs="Tahoma"/>
          <w:sz w:val="22"/>
          <w:szCs w:val="22"/>
        </w:rPr>
        <w:t>201</w:t>
      </w:r>
      <w:r w:rsidR="00A905EA" w:rsidRPr="00A90BF7">
        <w:rPr>
          <w:rFonts w:ascii="Arial Narrow" w:hAnsi="Arial Narrow" w:cs="Tahoma"/>
          <w:sz w:val="22"/>
          <w:szCs w:val="22"/>
          <w:lang w:val="sr-Cyrl-CS"/>
        </w:rPr>
        <w:t>6</w:t>
      </w:r>
      <w:r w:rsidRPr="00A90BF7">
        <w:rPr>
          <w:rFonts w:ascii="Arial Narrow" w:hAnsi="Arial Narrow" w:cs="Tahoma"/>
          <w:sz w:val="22"/>
          <w:szCs w:val="22"/>
        </w:rPr>
        <w:t xml:space="preserve">. </w:t>
      </w:r>
      <w:r w:rsidRPr="00A90BF7">
        <w:rPr>
          <w:rFonts w:ascii="Arial Narrow" w:hAnsi="Arial Narrow" w:cs="Tahoma"/>
          <w:sz w:val="22"/>
          <w:szCs w:val="22"/>
          <w:lang w:val="sr-Cyrl-BA"/>
        </w:rPr>
        <w:t>г</w:t>
      </w:r>
      <w:r w:rsidRPr="00A90BF7">
        <w:rPr>
          <w:rFonts w:ascii="Arial Narrow" w:hAnsi="Arial Narrow" w:cs="Tahoma"/>
          <w:sz w:val="22"/>
          <w:szCs w:val="22"/>
        </w:rPr>
        <w:t>одине</w:t>
      </w:r>
      <w:r w:rsidRPr="00A90BF7">
        <w:rPr>
          <w:rFonts w:ascii="Arial Narrow" w:hAnsi="Arial Narrow" w:cs="Tahoma"/>
          <w:spacing w:val="-4"/>
          <w:sz w:val="22"/>
          <w:szCs w:val="22"/>
          <w:lang w:val="sr-Cyrl-BA"/>
        </w:rPr>
        <w:t xml:space="preserve"> </w:t>
      </w:r>
      <w:r w:rsidRPr="00A90BF7">
        <w:rPr>
          <w:rFonts w:ascii="Arial Narrow" w:hAnsi="Arial Narrow" w:cs="Tahoma"/>
          <w:sz w:val="22"/>
          <w:szCs w:val="22"/>
        </w:rPr>
        <w:t xml:space="preserve">у поређењу </w:t>
      </w:r>
      <w:r w:rsidRPr="00A90BF7">
        <w:rPr>
          <w:rFonts w:ascii="Arial Narrow" w:hAnsi="Arial Narrow" w:cs="Tahoma"/>
          <w:sz w:val="22"/>
          <w:szCs w:val="22"/>
          <w:lang w:val="sr-Cyrl-BA"/>
        </w:rPr>
        <w:t xml:space="preserve">са </w:t>
      </w:r>
      <w:r w:rsidR="00C2075D" w:rsidRPr="00A90BF7">
        <w:rPr>
          <w:rFonts w:ascii="Arial Narrow" w:hAnsi="Arial Narrow" w:cs="Tahoma"/>
          <w:sz w:val="22"/>
          <w:szCs w:val="22"/>
          <w:lang w:val="sr-Cyrl-BA"/>
        </w:rPr>
        <w:t>априлом</w:t>
      </w:r>
      <w:r w:rsidRPr="00A90BF7">
        <w:rPr>
          <w:rFonts w:ascii="Arial Narrow" w:hAnsi="Arial Narrow" w:cs="Tahoma"/>
          <w:spacing w:val="-2"/>
          <w:sz w:val="22"/>
          <w:szCs w:val="22"/>
        </w:rPr>
        <w:t xml:space="preserve"> </w:t>
      </w:r>
      <w:r w:rsidRPr="00A90BF7">
        <w:rPr>
          <w:rFonts w:ascii="Arial Narrow" w:hAnsi="Arial Narrow" w:cs="Tahoma"/>
          <w:sz w:val="22"/>
          <w:szCs w:val="22"/>
          <w:lang w:val="ru-RU"/>
        </w:rPr>
        <w:t>201</w:t>
      </w:r>
      <w:r w:rsidR="00A905EA" w:rsidRPr="00A90BF7">
        <w:rPr>
          <w:rFonts w:ascii="Arial Narrow" w:hAnsi="Arial Narrow" w:cs="Tahoma"/>
          <w:sz w:val="22"/>
          <w:szCs w:val="22"/>
          <w:lang w:val="ru-RU"/>
        </w:rPr>
        <w:t>6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, </w:t>
      </w:r>
      <w:r w:rsidR="00C2075D" w:rsidRPr="00A90BF7">
        <w:rPr>
          <w:rFonts w:ascii="Arial Narrow" w:hAnsi="Arial Narrow" w:cs="Tahoma"/>
          <w:sz w:val="22"/>
          <w:szCs w:val="22"/>
          <w:lang w:val="sr-Cyrl-CS"/>
        </w:rPr>
        <w:t>већа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 је за </w:t>
      </w:r>
      <w:r w:rsidR="00C2075D" w:rsidRPr="00A90BF7">
        <w:rPr>
          <w:rFonts w:ascii="Arial Narrow" w:hAnsi="Arial Narrow" w:cs="Tahoma"/>
          <w:sz w:val="22"/>
          <w:szCs w:val="22"/>
          <w:lang w:val="sr-Cyrl-CS"/>
        </w:rPr>
        <w:t>14</w:t>
      </w:r>
      <w:r w:rsidRPr="00A90BF7">
        <w:rPr>
          <w:rFonts w:ascii="Arial Narrow" w:hAnsi="Arial Narrow" w:cs="Tahoma"/>
          <w:sz w:val="22"/>
          <w:szCs w:val="22"/>
          <w:lang w:val="bs-Latn-BA"/>
        </w:rPr>
        <w:t>,</w:t>
      </w:r>
      <w:r w:rsidR="00C2075D" w:rsidRPr="00A90BF7">
        <w:rPr>
          <w:rFonts w:ascii="Arial Narrow" w:hAnsi="Arial Narrow" w:cs="Tahoma"/>
          <w:sz w:val="22"/>
          <w:szCs w:val="22"/>
          <w:lang w:val="sr-Cyrl-CS"/>
        </w:rPr>
        <w:t>8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%, </w:t>
      </w:r>
      <w:r w:rsidR="00C2075D" w:rsidRPr="00A90BF7">
        <w:rPr>
          <w:rFonts w:ascii="Arial Narrow" w:hAnsi="Arial Narrow" w:cs="Tahoma"/>
          <w:sz w:val="22"/>
          <w:szCs w:val="22"/>
          <w:lang w:val="sr-Cyrl-CS"/>
        </w:rPr>
        <w:t xml:space="preserve">интермедијарних производа </w:t>
      </w:r>
      <w:r w:rsidR="00A153EA" w:rsidRPr="00A90BF7">
        <w:rPr>
          <w:rFonts w:ascii="Arial Narrow" w:hAnsi="Arial Narrow" w:cs="Tahoma"/>
          <w:sz w:val="22"/>
          <w:szCs w:val="22"/>
          <w:lang w:val="sr-Cyrl-CS"/>
        </w:rPr>
        <w:t xml:space="preserve">за </w:t>
      </w:r>
      <w:r w:rsidR="00C2075D" w:rsidRPr="00A90BF7">
        <w:rPr>
          <w:rFonts w:ascii="Arial Narrow" w:hAnsi="Arial Narrow" w:cs="Tahoma"/>
          <w:sz w:val="22"/>
          <w:szCs w:val="22"/>
          <w:lang w:val="sr-Cyrl-CS"/>
        </w:rPr>
        <w:t>2</w:t>
      </w:r>
      <w:r w:rsidR="00A153EA" w:rsidRPr="00A90BF7">
        <w:rPr>
          <w:rFonts w:ascii="Arial Narrow" w:hAnsi="Arial Narrow" w:cs="Tahoma"/>
          <w:sz w:val="22"/>
          <w:szCs w:val="22"/>
          <w:lang w:val="sr-Cyrl-CS"/>
        </w:rPr>
        <w:t>,</w:t>
      </w:r>
      <w:r w:rsidR="00C2075D" w:rsidRPr="00A90BF7">
        <w:rPr>
          <w:rFonts w:ascii="Arial Narrow" w:hAnsi="Arial Narrow" w:cs="Tahoma"/>
          <w:sz w:val="22"/>
          <w:szCs w:val="22"/>
          <w:lang w:val="sr-Cyrl-CS"/>
        </w:rPr>
        <w:t>1</w:t>
      </w:r>
      <w:r w:rsidR="00A153EA" w:rsidRPr="00A90BF7">
        <w:rPr>
          <w:rFonts w:ascii="Arial Narrow" w:hAnsi="Arial Narrow" w:cs="Tahoma"/>
          <w:sz w:val="22"/>
          <w:szCs w:val="22"/>
          <w:lang w:val="sr-Cyrl-CS"/>
        </w:rPr>
        <w:t xml:space="preserve">% и </w:t>
      </w:r>
      <w:r w:rsidR="00C2075D" w:rsidRPr="00A90BF7">
        <w:rPr>
          <w:rFonts w:ascii="Arial Narrow" w:hAnsi="Arial Narrow" w:cs="Tahoma"/>
          <w:sz w:val="22"/>
          <w:szCs w:val="22"/>
          <w:lang w:val="sr-Cyrl-CS"/>
        </w:rPr>
        <w:t>не</w:t>
      </w:r>
      <w:r w:rsidR="009034C3" w:rsidRPr="00A90BF7">
        <w:rPr>
          <w:rFonts w:ascii="Arial Narrow" w:hAnsi="Arial Narrow" w:cs="Tahoma"/>
          <w:sz w:val="22"/>
          <w:szCs w:val="22"/>
          <w:lang w:val="sr-Cyrl-CS"/>
        </w:rPr>
        <w:t xml:space="preserve">трајних производа за широку потрошњу </w:t>
      </w:r>
      <w:r w:rsidR="00A153EA" w:rsidRPr="00A90BF7">
        <w:rPr>
          <w:rFonts w:ascii="Arial Narrow" w:hAnsi="Arial Narrow" w:cs="Tahoma"/>
          <w:sz w:val="22"/>
          <w:szCs w:val="22"/>
          <w:lang w:val="sr-Cyrl-CS"/>
        </w:rPr>
        <w:t xml:space="preserve">за </w:t>
      </w:r>
      <w:r w:rsidR="00C2075D" w:rsidRPr="00A90BF7">
        <w:rPr>
          <w:rFonts w:ascii="Arial Narrow" w:hAnsi="Arial Narrow" w:cs="Tahoma"/>
          <w:sz w:val="22"/>
          <w:szCs w:val="22"/>
          <w:lang w:val="sr-Cyrl-CS"/>
        </w:rPr>
        <w:t>0</w:t>
      </w:r>
      <w:r w:rsidR="00A153EA" w:rsidRPr="00A90BF7">
        <w:rPr>
          <w:rFonts w:ascii="Arial Narrow" w:hAnsi="Arial Narrow" w:cs="Tahoma"/>
          <w:sz w:val="22"/>
          <w:szCs w:val="22"/>
          <w:lang w:val="sr-Cyrl-CS"/>
        </w:rPr>
        <w:t>,</w:t>
      </w:r>
      <w:r w:rsidR="00C2075D" w:rsidRPr="00A90BF7">
        <w:rPr>
          <w:rFonts w:ascii="Arial Narrow" w:hAnsi="Arial Narrow" w:cs="Tahoma"/>
          <w:sz w:val="22"/>
          <w:szCs w:val="22"/>
          <w:lang w:val="sr-Cyrl-CS"/>
        </w:rPr>
        <w:t>8</w:t>
      </w:r>
      <w:r w:rsidR="00A153EA" w:rsidRPr="00A90BF7">
        <w:rPr>
          <w:rFonts w:ascii="Arial Narrow" w:hAnsi="Arial Narrow" w:cs="Tahoma"/>
          <w:sz w:val="22"/>
          <w:szCs w:val="22"/>
          <w:lang w:val="sr-Cyrl-CS"/>
        </w:rPr>
        <w:t>%</w:t>
      </w:r>
      <w:r w:rsidR="00365D99" w:rsidRPr="00A90BF7">
        <w:rPr>
          <w:rFonts w:ascii="Arial Narrow" w:hAnsi="Arial Narrow" w:cs="Tahoma"/>
          <w:sz w:val="22"/>
          <w:szCs w:val="22"/>
          <w:lang w:val="sr-Cyrl-CS"/>
        </w:rPr>
        <w:t xml:space="preserve">, док је производња </w:t>
      </w:r>
      <w:r w:rsidR="00C2075D" w:rsidRPr="00A90BF7">
        <w:rPr>
          <w:rFonts w:ascii="Arial Narrow" w:hAnsi="Arial Narrow" w:cs="Tahoma"/>
          <w:sz w:val="22"/>
          <w:szCs w:val="22"/>
          <w:lang w:val="sr-Cyrl-CS"/>
        </w:rPr>
        <w:t xml:space="preserve">трајних производа за широку потрошњу </w:t>
      </w:r>
      <w:r w:rsidR="00C2075D" w:rsidRPr="00A90BF7">
        <w:rPr>
          <w:rFonts w:ascii="Arial Narrow" w:hAnsi="Arial Narrow" w:cs="Tahoma"/>
          <w:spacing w:val="-2"/>
          <w:sz w:val="22"/>
          <w:szCs w:val="22"/>
          <w:lang w:val="sr-Cyrl-CS"/>
        </w:rPr>
        <w:t>мања</w:t>
      </w:r>
      <w:r w:rsidR="00365D99" w:rsidRPr="00A90BF7">
        <w:rPr>
          <w:rFonts w:ascii="Arial Narrow" w:hAnsi="Arial Narrow" w:cs="Tahoma"/>
          <w:spacing w:val="-2"/>
          <w:sz w:val="22"/>
          <w:szCs w:val="22"/>
          <w:lang w:val="sr-Cyrl-CS"/>
        </w:rPr>
        <w:t xml:space="preserve"> </w:t>
      </w:r>
      <w:r w:rsidR="00365D99" w:rsidRPr="00A90BF7">
        <w:rPr>
          <w:rFonts w:ascii="Arial Narrow" w:hAnsi="Arial Narrow" w:cs="Tahoma"/>
          <w:sz w:val="22"/>
          <w:szCs w:val="22"/>
          <w:lang w:val="sr-Cyrl-CS"/>
        </w:rPr>
        <w:t xml:space="preserve">за </w:t>
      </w:r>
      <w:r w:rsidR="00C2075D" w:rsidRPr="00A90BF7">
        <w:rPr>
          <w:rFonts w:ascii="Arial Narrow" w:hAnsi="Arial Narrow" w:cs="Tahoma"/>
          <w:sz w:val="22"/>
          <w:szCs w:val="22"/>
          <w:lang w:val="sr-Cyrl-CS"/>
        </w:rPr>
        <w:t>2</w:t>
      </w:r>
      <w:r w:rsidR="00365D99" w:rsidRPr="00A90BF7">
        <w:rPr>
          <w:rFonts w:ascii="Arial Narrow" w:hAnsi="Arial Narrow" w:cs="Tahoma"/>
          <w:sz w:val="22"/>
          <w:szCs w:val="22"/>
          <w:lang w:val="sr-Cyrl-CS"/>
        </w:rPr>
        <w:t>,</w:t>
      </w:r>
      <w:r w:rsidR="00C2075D" w:rsidRPr="00A90BF7">
        <w:rPr>
          <w:rFonts w:ascii="Arial Narrow" w:hAnsi="Arial Narrow" w:cs="Tahoma"/>
          <w:sz w:val="22"/>
          <w:szCs w:val="22"/>
          <w:lang w:val="sr-Cyrl-CS"/>
        </w:rPr>
        <w:t>5</w:t>
      </w:r>
      <w:r w:rsidR="00365D99" w:rsidRPr="00A90BF7">
        <w:rPr>
          <w:rFonts w:ascii="Arial Narrow" w:hAnsi="Arial Narrow" w:cs="Tahoma"/>
          <w:sz w:val="22"/>
          <w:szCs w:val="22"/>
          <w:lang w:val="sr-Cyrl-CS"/>
        </w:rPr>
        <w:t>%</w:t>
      </w:r>
      <w:r w:rsidR="00C2075D" w:rsidRPr="00A90BF7">
        <w:rPr>
          <w:rFonts w:ascii="Arial Narrow" w:hAnsi="Arial Narrow" w:cs="Tahoma"/>
          <w:sz w:val="22"/>
          <w:szCs w:val="22"/>
          <w:lang w:val="sr-Cyrl-CS"/>
        </w:rPr>
        <w:t xml:space="preserve"> и</w:t>
      </w:r>
      <w:r w:rsidR="00365D99" w:rsidRPr="00A90BF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C2075D" w:rsidRPr="00A90BF7">
        <w:rPr>
          <w:rFonts w:ascii="Arial Narrow" w:hAnsi="Arial Narrow" w:cs="Tahoma"/>
          <w:spacing w:val="-2"/>
          <w:sz w:val="22"/>
          <w:szCs w:val="22"/>
          <w:lang w:val="sr-Cyrl-CS"/>
        </w:rPr>
        <w:t>капиталних производа</w:t>
      </w:r>
      <w:r w:rsidR="00C2075D" w:rsidRPr="00A90BF7">
        <w:rPr>
          <w:rFonts w:ascii="Arial Narrow" w:hAnsi="Arial Narrow" w:cs="Tahoma"/>
          <w:sz w:val="22"/>
          <w:szCs w:val="22"/>
          <w:lang w:val="sr-Cyrl-CS"/>
        </w:rPr>
        <w:t xml:space="preserve"> за 10,5%</w:t>
      </w:r>
      <w:r w:rsidR="0033595C" w:rsidRPr="00A90BF7">
        <w:rPr>
          <w:rFonts w:ascii="Arial Narrow" w:hAnsi="Arial Narrow" w:cs="Tahoma"/>
          <w:sz w:val="22"/>
          <w:szCs w:val="22"/>
          <w:lang w:val="sr-Cyrl-CS"/>
        </w:rPr>
        <w:t>.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 </w:t>
      </w:r>
    </w:p>
    <w:p w:rsidR="00166F34" w:rsidRPr="00A90BF7" w:rsidRDefault="00166F34" w:rsidP="00166F34">
      <w:pPr>
        <w:jc w:val="both"/>
        <w:rPr>
          <w:rFonts w:ascii="Arial Narrow" w:hAnsi="Arial Narrow" w:cs="Tahoma"/>
          <w:sz w:val="22"/>
          <w:szCs w:val="22"/>
          <w:lang w:val="sr-Cyrl-CS"/>
        </w:rPr>
      </w:pPr>
    </w:p>
    <w:p w:rsidR="00166F34" w:rsidRDefault="00166F34" w:rsidP="00166F34">
      <w:pPr>
        <w:jc w:val="both"/>
        <w:rPr>
          <w:rFonts w:ascii="Arial Narrow" w:hAnsi="Arial Narrow" w:cs="Tahoma"/>
          <w:sz w:val="22"/>
          <w:szCs w:val="22"/>
        </w:rPr>
      </w:pPr>
      <w:r w:rsidRPr="00A90BF7">
        <w:rPr>
          <w:rFonts w:ascii="Arial Narrow" w:hAnsi="Arial Narrow" w:cs="Tahoma"/>
          <w:b/>
          <w:sz w:val="22"/>
          <w:szCs w:val="22"/>
          <w:lang w:val="ru-RU"/>
        </w:rPr>
        <w:t>Број запослених у индустрији</w:t>
      </w:r>
      <w:r w:rsidRPr="00A90BF7">
        <w:rPr>
          <w:rFonts w:ascii="Arial Narrow" w:hAnsi="Arial Narrow" w:cs="Tahoma"/>
          <w:sz w:val="22"/>
          <w:szCs w:val="22"/>
          <w:lang w:val="ru-RU"/>
        </w:rPr>
        <w:t xml:space="preserve"> у </w:t>
      </w:r>
      <w:r w:rsidR="00C2075D" w:rsidRPr="00A90BF7">
        <w:rPr>
          <w:rFonts w:ascii="Arial Narrow" w:hAnsi="Arial Narrow" w:cs="Tahoma"/>
          <w:spacing w:val="-2"/>
          <w:sz w:val="22"/>
          <w:szCs w:val="22"/>
          <w:lang w:val="sr-Cyrl-CS"/>
        </w:rPr>
        <w:t>мају</w:t>
      </w:r>
      <w:r w:rsidR="00A905EA" w:rsidRPr="00A90BF7">
        <w:rPr>
          <w:rFonts w:ascii="Arial Narrow" w:hAnsi="Arial Narrow" w:cs="Tahoma"/>
          <w:spacing w:val="-2"/>
          <w:sz w:val="22"/>
          <w:szCs w:val="22"/>
        </w:rPr>
        <w:t xml:space="preserve"> </w:t>
      </w:r>
      <w:r w:rsidRPr="00A90BF7">
        <w:rPr>
          <w:rFonts w:ascii="Arial Narrow" w:hAnsi="Arial Narrow" w:cs="Tahoma"/>
          <w:sz w:val="22"/>
          <w:szCs w:val="22"/>
          <w:lang w:val="ru-RU"/>
        </w:rPr>
        <w:t>201</w:t>
      </w:r>
      <w:r w:rsidR="00A905EA" w:rsidRPr="00A90BF7">
        <w:rPr>
          <w:rFonts w:ascii="Arial Narrow" w:hAnsi="Arial Narrow" w:cs="Tahoma"/>
          <w:sz w:val="22"/>
          <w:szCs w:val="22"/>
          <w:lang w:val="ru-RU"/>
        </w:rPr>
        <w:t>6</w:t>
      </w:r>
      <w:r w:rsidRPr="00A90BF7">
        <w:rPr>
          <w:rFonts w:ascii="Arial Narrow" w:hAnsi="Arial Narrow" w:cs="Tahoma"/>
          <w:sz w:val="22"/>
          <w:szCs w:val="22"/>
          <w:lang w:val="ru-RU"/>
        </w:rPr>
        <w:t xml:space="preserve">. године 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Pr="00A90BF7">
        <w:rPr>
          <w:rFonts w:ascii="Arial Narrow" w:hAnsi="Arial Narrow" w:cs="Tahoma"/>
          <w:sz w:val="22"/>
          <w:szCs w:val="22"/>
          <w:lang w:val="ru-RU"/>
        </w:rPr>
        <w:t xml:space="preserve">односу </w:t>
      </w:r>
      <w:r w:rsidR="004D287F" w:rsidRPr="00A90BF7">
        <w:rPr>
          <w:rFonts w:ascii="Arial Narrow" w:hAnsi="Arial Narrow" w:cs="Tahoma"/>
          <w:sz w:val="22"/>
          <w:szCs w:val="22"/>
          <w:lang w:val="ru-RU"/>
        </w:rPr>
        <w:t xml:space="preserve">на </w:t>
      </w:r>
      <w:r w:rsidR="00C2075D" w:rsidRPr="00A90BF7">
        <w:rPr>
          <w:rFonts w:ascii="Arial Narrow" w:hAnsi="Arial Narrow" w:cs="Tahoma"/>
          <w:sz w:val="22"/>
          <w:szCs w:val="22"/>
          <w:lang w:val="sr-Cyrl-CS"/>
        </w:rPr>
        <w:t>април 2016.</w:t>
      </w:r>
      <w:r w:rsidR="00C2075D" w:rsidRPr="00A90BF7">
        <w:rPr>
          <w:rFonts w:ascii="Arial Narrow" w:hAnsi="Arial Narrow" w:cs="Tahoma"/>
          <w:sz w:val="22"/>
          <w:szCs w:val="22"/>
          <w:lang w:val="ru-RU"/>
        </w:rPr>
        <w:t xml:space="preserve"> године </w:t>
      </w:r>
      <w:r w:rsidR="00C2075D" w:rsidRPr="00A90BF7">
        <w:rPr>
          <w:rFonts w:ascii="Arial Narrow" w:hAnsi="Arial Narrow" w:cs="Tahoma"/>
          <w:sz w:val="22"/>
          <w:szCs w:val="22"/>
          <w:lang w:val="sr-Cyrl-CS"/>
        </w:rPr>
        <w:t>мањи</w:t>
      </w:r>
      <w:r w:rsidRPr="00A90BF7">
        <w:rPr>
          <w:rFonts w:ascii="Arial Narrow" w:hAnsi="Arial Narrow" w:cs="Tahoma"/>
          <w:sz w:val="22"/>
          <w:szCs w:val="22"/>
          <w:lang w:val="sr-Latn-CS"/>
        </w:rPr>
        <w:t xml:space="preserve"> је за </w:t>
      </w:r>
      <w:r w:rsidR="0033595C" w:rsidRPr="00A90BF7">
        <w:rPr>
          <w:rFonts w:ascii="Arial Narrow" w:hAnsi="Arial Narrow" w:cs="Tahoma"/>
          <w:sz w:val="22"/>
          <w:szCs w:val="22"/>
          <w:lang w:val="sr-Cyrl-CS"/>
        </w:rPr>
        <w:t>0</w:t>
      </w:r>
      <w:r w:rsidRPr="00A90BF7">
        <w:rPr>
          <w:rFonts w:ascii="Arial Narrow" w:hAnsi="Arial Narrow" w:cs="Tahoma"/>
          <w:sz w:val="22"/>
          <w:szCs w:val="22"/>
          <w:lang w:val="sr-Latn-CS"/>
        </w:rPr>
        <w:t>,</w:t>
      </w:r>
      <w:r w:rsidR="00C2075D" w:rsidRPr="00A90BF7">
        <w:rPr>
          <w:rFonts w:ascii="Arial Narrow" w:hAnsi="Arial Narrow" w:cs="Tahoma"/>
          <w:sz w:val="22"/>
          <w:szCs w:val="22"/>
          <w:lang w:val="sr-Cyrl-CS"/>
        </w:rPr>
        <w:t>2</w:t>
      </w:r>
      <w:r w:rsidRPr="00A90BF7">
        <w:rPr>
          <w:rFonts w:ascii="Arial Narrow" w:hAnsi="Arial Narrow" w:cs="Tahoma"/>
          <w:sz w:val="22"/>
          <w:szCs w:val="22"/>
          <w:lang w:val="sr-Latn-CS"/>
        </w:rPr>
        <w:t>%</w:t>
      </w:r>
      <w:r w:rsidR="00C2075D" w:rsidRPr="00A90BF7">
        <w:rPr>
          <w:rFonts w:ascii="Arial Narrow" w:hAnsi="Arial Narrow" w:cs="Tahoma"/>
          <w:sz w:val="22"/>
          <w:szCs w:val="22"/>
          <w:lang w:val="sr-Cyrl-CS"/>
        </w:rPr>
        <w:t xml:space="preserve"> и</w:t>
      </w:r>
      <w:r w:rsidRPr="00A90BF7">
        <w:rPr>
          <w:rFonts w:ascii="Arial Narrow" w:hAnsi="Arial Narrow" w:cs="Tahoma"/>
          <w:sz w:val="22"/>
          <w:szCs w:val="22"/>
          <w:lang w:val="sr-Latn-CS"/>
        </w:rPr>
        <w:t xml:space="preserve"> у односу на </w:t>
      </w:r>
      <w:r w:rsidR="00C2075D" w:rsidRPr="00A90BF7">
        <w:rPr>
          <w:rFonts w:ascii="Arial Narrow" w:hAnsi="Arial Narrow" w:cs="Tahoma"/>
          <w:sz w:val="22"/>
          <w:szCs w:val="22"/>
          <w:lang w:val="sr-Latn-CS"/>
        </w:rPr>
        <w:t>исти мјесец прошле године</w:t>
      </w:r>
      <w:r w:rsidR="00C2075D" w:rsidRPr="00A90BF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за </w:t>
      </w:r>
      <w:r w:rsidR="008F1DD2" w:rsidRPr="00A90BF7">
        <w:rPr>
          <w:rFonts w:ascii="Arial Narrow" w:hAnsi="Arial Narrow" w:cs="Tahoma"/>
          <w:sz w:val="22"/>
          <w:szCs w:val="22"/>
        </w:rPr>
        <w:t>0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,</w:t>
      </w:r>
      <w:r w:rsidR="00C2075D" w:rsidRPr="00A90BF7">
        <w:rPr>
          <w:rFonts w:ascii="Arial Narrow" w:hAnsi="Arial Narrow" w:cs="Tahoma"/>
          <w:sz w:val="22"/>
          <w:szCs w:val="22"/>
          <w:lang w:val="sr-Cyrl-CS"/>
        </w:rPr>
        <w:t>3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%</w:t>
      </w:r>
      <w:r w:rsidR="00C2075D" w:rsidRPr="00A90BF7">
        <w:rPr>
          <w:rFonts w:ascii="Arial Narrow" w:hAnsi="Arial Narrow" w:cs="Tahoma"/>
          <w:sz w:val="22"/>
          <w:szCs w:val="22"/>
          <w:lang w:val="sr-Cyrl-CS"/>
        </w:rPr>
        <w:t>, док је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A90BF7">
        <w:rPr>
          <w:rFonts w:ascii="Arial Narrow" w:hAnsi="Arial Narrow" w:cs="Tahoma"/>
          <w:sz w:val="22"/>
          <w:szCs w:val="22"/>
          <w:lang w:val="sr-Latn-CS"/>
        </w:rPr>
        <w:t xml:space="preserve">у односу на </w:t>
      </w:r>
      <w:r w:rsidR="00BE098B" w:rsidRPr="00A90BF7">
        <w:rPr>
          <w:rFonts w:ascii="Arial Narrow" w:hAnsi="Arial Narrow" w:cs="Tahoma"/>
          <w:sz w:val="22"/>
          <w:szCs w:val="22"/>
          <w:lang w:val="sr-Latn-CS"/>
        </w:rPr>
        <w:t>просјечан мјесечни број запослених у 201</w:t>
      </w:r>
      <w:r w:rsidR="00BE098B" w:rsidRPr="00A90BF7">
        <w:rPr>
          <w:rFonts w:ascii="Arial Narrow" w:hAnsi="Arial Narrow" w:cs="Tahoma"/>
          <w:sz w:val="22"/>
          <w:szCs w:val="22"/>
          <w:lang w:val="sr-Cyrl-CS"/>
        </w:rPr>
        <w:t>5</w:t>
      </w:r>
      <w:r w:rsidR="00BE098B" w:rsidRPr="00A90BF7">
        <w:rPr>
          <w:rFonts w:ascii="Arial Narrow" w:hAnsi="Arial Narrow" w:cs="Tahoma"/>
          <w:sz w:val="22"/>
          <w:szCs w:val="22"/>
          <w:lang w:val="sr-Latn-CS"/>
        </w:rPr>
        <w:t xml:space="preserve">. </w:t>
      </w:r>
      <w:r w:rsidR="00BE098B" w:rsidRPr="00A90BF7">
        <w:rPr>
          <w:rFonts w:ascii="Arial Narrow" w:hAnsi="Arial Narrow" w:cs="Tahoma"/>
          <w:sz w:val="22"/>
          <w:szCs w:val="22"/>
          <w:lang w:val="sr-Cyrl-CS"/>
        </w:rPr>
        <w:t>г</w:t>
      </w:r>
      <w:r w:rsidR="00BE098B" w:rsidRPr="00A90BF7">
        <w:rPr>
          <w:rFonts w:ascii="Arial Narrow" w:hAnsi="Arial Narrow" w:cs="Tahoma"/>
          <w:sz w:val="22"/>
          <w:szCs w:val="22"/>
          <w:lang w:val="sr-Latn-CS"/>
        </w:rPr>
        <w:t>одини</w:t>
      </w:r>
      <w:r w:rsidR="00BE098B" w:rsidRPr="00A90BF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C2075D" w:rsidRPr="00A90BF7">
        <w:rPr>
          <w:rFonts w:ascii="Arial Narrow" w:hAnsi="Arial Narrow" w:cs="Tahoma"/>
          <w:sz w:val="22"/>
          <w:szCs w:val="22"/>
          <w:lang w:val="sr-Cyrl-CS"/>
        </w:rPr>
        <w:t xml:space="preserve">већи </w:t>
      </w:r>
      <w:r w:rsidRPr="00A90BF7">
        <w:rPr>
          <w:rFonts w:ascii="Arial Narrow" w:hAnsi="Arial Narrow" w:cs="Tahoma"/>
          <w:sz w:val="22"/>
          <w:szCs w:val="22"/>
          <w:lang w:val="ru-RU"/>
        </w:rPr>
        <w:t>за</w:t>
      </w:r>
      <w:r w:rsidRPr="00A90BF7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0,</w:t>
      </w:r>
      <w:r w:rsidR="00C2075D" w:rsidRPr="00A90BF7">
        <w:rPr>
          <w:rFonts w:ascii="Arial Narrow" w:hAnsi="Arial Narrow" w:cs="Tahoma"/>
          <w:sz w:val="22"/>
          <w:szCs w:val="22"/>
          <w:lang w:val="sr-Cyrl-CS"/>
        </w:rPr>
        <w:t>2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%.</w:t>
      </w:r>
      <w:r w:rsidRPr="00A90BF7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A90BF7">
        <w:rPr>
          <w:rFonts w:ascii="Arial Narrow" w:hAnsi="Arial Narrow" w:cs="Tahoma"/>
          <w:sz w:val="22"/>
          <w:szCs w:val="22"/>
          <w:lang w:val="ru-RU"/>
        </w:rPr>
        <w:t xml:space="preserve">Број запослених у индустрији 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Pr="00A90BF7">
        <w:rPr>
          <w:rFonts w:ascii="Arial Narrow" w:hAnsi="Arial Narrow" w:cs="Tahoma"/>
          <w:sz w:val="22"/>
          <w:szCs w:val="22"/>
          <w:lang w:val="ru-RU"/>
        </w:rPr>
        <w:t xml:space="preserve">периоду јануар </w:t>
      </w:r>
      <w:r w:rsidR="00BE098B" w:rsidRPr="00A90BF7">
        <w:rPr>
          <w:rFonts w:ascii="Arial Narrow" w:hAnsi="Arial Narrow" w:cs="Tahoma"/>
          <w:sz w:val="22"/>
          <w:szCs w:val="22"/>
          <w:lang w:val="ru-RU"/>
        </w:rPr>
        <w:t>–</w:t>
      </w:r>
      <w:r w:rsidRPr="00A90BF7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C2075D" w:rsidRPr="00A90BF7">
        <w:rPr>
          <w:rFonts w:ascii="Arial Narrow" w:hAnsi="Arial Narrow" w:cs="Tahoma"/>
          <w:spacing w:val="-2"/>
          <w:sz w:val="22"/>
          <w:szCs w:val="22"/>
          <w:lang w:val="sr-Cyrl-CS"/>
        </w:rPr>
        <w:t>мај</w:t>
      </w:r>
      <w:r w:rsidR="00BE098B" w:rsidRPr="00A90BF7">
        <w:rPr>
          <w:rFonts w:ascii="Arial Narrow" w:hAnsi="Arial Narrow" w:cs="Tahoma"/>
          <w:spacing w:val="-2"/>
          <w:sz w:val="22"/>
          <w:szCs w:val="22"/>
          <w:lang w:val="sr-Cyrl-CS"/>
        </w:rPr>
        <w:t xml:space="preserve"> 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201</w:t>
      </w:r>
      <w:r w:rsidR="00BE098B" w:rsidRPr="00A90BF7">
        <w:rPr>
          <w:rFonts w:ascii="Arial Narrow" w:hAnsi="Arial Narrow" w:cs="Tahoma"/>
          <w:sz w:val="22"/>
          <w:szCs w:val="22"/>
          <w:lang w:val="sr-Cyrl-CS"/>
        </w:rPr>
        <w:t>6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. године, у односу на исти период прошле године,</w:t>
      </w:r>
      <w:r w:rsidRPr="00A90BF7">
        <w:rPr>
          <w:rFonts w:ascii="Arial Narrow" w:hAnsi="Arial Narrow" w:cs="Tahoma"/>
          <w:sz w:val="22"/>
          <w:szCs w:val="22"/>
          <w:lang w:val="ru-RU"/>
        </w:rPr>
        <w:t xml:space="preserve"> већи је за </w:t>
      </w:r>
      <w:r w:rsidR="00C2075D" w:rsidRPr="00A90BF7">
        <w:rPr>
          <w:rFonts w:ascii="Arial Narrow" w:hAnsi="Arial Narrow" w:cs="Tahoma"/>
          <w:sz w:val="22"/>
          <w:szCs w:val="22"/>
          <w:lang w:val="ru-RU"/>
        </w:rPr>
        <w:t>0</w:t>
      </w:r>
      <w:r w:rsidRPr="00A90BF7">
        <w:rPr>
          <w:rFonts w:ascii="Arial Narrow" w:hAnsi="Arial Narrow" w:cs="Tahoma"/>
          <w:sz w:val="22"/>
          <w:szCs w:val="22"/>
          <w:lang w:val="ru-RU"/>
        </w:rPr>
        <w:t>,</w:t>
      </w:r>
      <w:r w:rsidR="00C2075D" w:rsidRPr="00A90BF7">
        <w:rPr>
          <w:rFonts w:ascii="Arial Narrow" w:hAnsi="Arial Narrow" w:cs="Tahoma"/>
          <w:sz w:val="22"/>
          <w:szCs w:val="22"/>
          <w:lang w:val="ru-RU"/>
        </w:rPr>
        <w:t>8</w:t>
      </w:r>
      <w:r w:rsidRPr="00A90BF7">
        <w:rPr>
          <w:rFonts w:ascii="Arial Narrow" w:hAnsi="Arial Narrow" w:cs="Tahoma"/>
          <w:sz w:val="22"/>
          <w:szCs w:val="22"/>
          <w:lang w:val="ru-RU"/>
        </w:rPr>
        <w:t xml:space="preserve">%. У истом периоду 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у</w:t>
      </w:r>
      <w:r w:rsidRPr="00A90BF7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BE098B" w:rsidRPr="00A90BF7">
        <w:rPr>
          <w:rFonts w:ascii="Arial Narrow" w:hAnsi="Arial Narrow" w:cs="Tahoma"/>
          <w:sz w:val="22"/>
          <w:szCs w:val="22"/>
          <w:lang w:val="ru-RU"/>
        </w:rPr>
        <w:t xml:space="preserve">подручју </w:t>
      </w:r>
      <w:r w:rsidR="00BE098B" w:rsidRPr="00A90BF7">
        <w:rPr>
          <w:rFonts w:ascii="Arial Narrow" w:hAnsi="Arial Narrow" w:cs="Tahoma"/>
          <w:i/>
          <w:sz w:val="22"/>
          <w:szCs w:val="22"/>
          <w:lang w:val="ru-RU"/>
        </w:rPr>
        <w:t>Прерађивачка индустрија</w:t>
      </w:r>
      <w:r w:rsidR="00BE098B" w:rsidRPr="00A90BF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остварен је раст од </w:t>
      </w:r>
      <w:r w:rsidR="00BE098B" w:rsidRPr="00A90BF7">
        <w:rPr>
          <w:rFonts w:ascii="Arial Narrow" w:hAnsi="Arial Narrow" w:cs="Tahoma"/>
          <w:sz w:val="22"/>
          <w:szCs w:val="22"/>
          <w:lang w:val="sr-Cyrl-CS"/>
        </w:rPr>
        <w:t>1</w:t>
      </w:r>
      <w:r w:rsidRPr="00A90BF7">
        <w:rPr>
          <w:rFonts w:ascii="Arial Narrow" w:hAnsi="Arial Narrow" w:cs="Tahoma"/>
          <w:sz w:val="22"/>
          <w:szCs w:val="22"/>
          <w:lang w:val="ru-RU"/>
        </w:rPr>
        <w:t>,</w:t>
      </w:r>
      <w:r w:rsidR="00C2075D" w:rsidRPr="00A90BF7">
        <w:rPr>
          <w:rFonts w:ascii="Arial Narrow" w:hAnsi="Arial Narrow" w:cs="Tahoma"/>
          <w:sz w:val="22"/>
          <w:szCs w:val="22"/>
          <w:lang w:val="ru-RU"/>
        </w:rPr>
        <w:t>1</w:t>
      </w:r>
      <w:r w:rsidR="00BE098B" w:rsidRPr="00A90BF7">
        <w:rPr>
          <w:rFonts w:ascii="Arial Narrow" w:hAnsi="Arial Narrow" w:cs="Tahoma"/>
          <w:sz w:val="22"/>
          <w:szCs w:val="22"/>
          <w:lang w:val="ru-RU"/>
        </w:rPr>
        <w:t>% и</w:t>
      </w:r>
      <w:r w:rsidRPr="00A90BF7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A90BF7">
        <w:rPr>
          <w:rFonts w:ascii="Arial Narrow" w:hAnsi="Arial Narrow" w:cs="Tahoma"/>
          <w:sz w:val="22"/>
          <w:szCs w:val="22"/>
          <w:lang w:val="ru-RU"/>
        </w:rPr>
        <w:t xml:space="preserve">у 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подручју </w:t>
      </w:r>
      <w:r w:rsidRPr="00A90BF7">
        <w:rPr>
          <w:rFonts w:ascii="Arial Narrow" w:hAnsi="Arial Narrow" w:cs="Tahoma"/>
          <w:i/>
          <w:sz w:val="22"/>
          <w:szCs w:val="22"/>
          <w:lang w:val="sr-Cyrl-CS"/>
        </w:rPr>
        <w:t>Вађење руда и камена</w:t>
      </w:r>
      <w:r w:rsidRPr="00A90BF7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A90BF7">
        <w:rPr>
          <w:rFonts w:ascii="Arial Narrow" w:hAnsi="Arial Narrow" w:cs="Tahoma"/>
          <w:sz w:val="22"/>
          <w:szCs w:val="22"/>
          <w:lang w:val="ru-RU"/>
        </w:rPr>
        <w:t xml:space="preserve">раст 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од </w:t>
      </w:r>
      <w:r w:rsidR="000676EE" w:rsidRPr="00A90BF7">
        <w:rPr>
          <w:rFonts w:ascii="Arial Narrow" w:hAnsi="Arial Narrow" w:cs="Tahoma"/>
          <w:sz w:val="22"/>
          <w:szCs w:val="22"/>
          <w:lang w:val="sr-Cyrl-CS"/>
        </w:rPr>
        <w:t>0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,</w:t>
      </w:r>
      <w:r w:rsidR="00C2075D" w:rsidRPr="00A90BF7">
        <w:rPr>
          <w:rFonts w:ascii="Arial Narrow" w:hAnsi="Arial Narrow" w:cs="Tahoma"/>
          <w:sz w:val="22"/>
          <w:szCs w:val="22"/>
          <w:lang w:val="sr-Cyrl-CS"/>
        </w:rPr>
        <w:t>1</w:t>
      </w:r>
      <w:r w:rsidRPr="00A90BF7">
        <w:rPr>
          <w:rFonts w:ascii="Arial Narrow" w:hAnsi="Arial Narrow" w:cs="Tahoma"/>
          <w:sz w:val="22"/>
          <w:szCs w:val="22"/>
          <w:lang w:val="ru-RU"/>
        </w:rPr>
        <w:t>%</w:t>
      </w:r>
      <w:r w:rsidR="00BE098B" w:rsidRPr="00A90BF7">
        <w:rPr>
          <w:rFonts w:ascii="Arial Narrow" w:hAnsi="Arial Narrow" w:cs="Tahoma"/>
          <w:sz w:val="22"/>
          <w:szCs w:val="22"/>
          <w:lang w:val="ru-RU"/>
        </w:rPr>
        <w:t>, док је</w:t>
      </w:r>
      <w:r w:rsidRPr="00A90BF7">
        <w:rPr>
          <w:rFonts w:ascii="Arial Narrow" w:hAnsi="Arial Narrow" w:cs="Tahoma"/>
          <w:sz w:val="22"/>
          <w:szCs w:val="22"/>
          <w:lang w:val="ru-RU"/>
        </w:rPr>
        <w:t xml:space="preserve"> у </w:t>
      </w:r>
      <w:r w:rsidR="00BE098B" w:rsidRPr="00A90BF7">
        <w:rPr>
          <w:rFonts w:ascii="Arial Narrow" w:hAnsi="Arial Narrow" w:cs="Tahoma"/>
          <w:sz w:val="22"/>
          <w:szCs w:val="22"/>
          <w:lang w:val="ru-RU"/>
        </w:rPr>
        <w:t xml:space="preserve">подручју </w:t>
      </w:r>
      <w:r w:rsidR="00BE098B" w:rsidRPr="00A90BF7">
        <w:rPr>
          <w:rFonts w:ascii="Arial Narrow" w:hAnsi="Arial Narrow" w:cs="Tahoma"/>
          <w:i/>
          <w:sz w:val="22"/>
          <w:szCs w:val="22"/>
          <w:lang w:val="ru-RU"/>
        </w:rPr>
        <w:t>Производња и снабдијевање електричном енергијом, гасом, паром и климатизацији</w:t>
      </w:r>
      <w:r w:rsidR="00BE098B" w:rsidRPr="00A90BF7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BE098B" w:rsidRPr="00A90BF7">
        <w:rPr>
          <w:rFonts w:ascii="Arial Narrow" w:hAnsi="Arial Narrow" w:cs="Tahoma"/>
          <w:sz w:val="22"/>
          <w:szCs w:val="22"/>
          <w:lang w:val="sr-Cyrl-CS"/>
        </w:rPr>
        <w:t>забиљежен пад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A90BF7">
        <w:rPr>
          <w:rFonts w:ascii="Arial Narrow" w:hAnsi="Arial Narrow" w:cs="Tahoma"/>
          <w:sz w:val="22"/>
          <w:szCs w:val="22"/>
          <w:lang w:val="ru-RU"/>
        </w:rPr>
        <w:t xml:space="preserve">од </w:t>
      </w:r>
      <w:r w:rsidR="000676EE" w:rsidRPr="00A90BF7">
        <w:rPr>
          <w:rFonts w:ascii="Arial Narrow" w:hAnsi="Arial Narrow" w:cs="Tahoma"/>
          <w:sz w:val="22"/>
          <w:szCs w:val="22"/>
          <w:lang w:val="ru-RU"/>
        </w:rPr>
        <w:t>0</w:t>
      </w:r>
      <w:r w:rsidRPr="00A90BF7">
        <w:rPr>
          <w:rFonts w:ascii="Arial Narrow" w:hAnsi="Arial Narrow" w:cs="Tahoma"/>
          <w:sz w:val="22"/>
          <w:szCs w:val="22"/>
          <w:lang w:val="ru-RU"/>
        </w:rPr>
        <w:t>,</w:t>
      </w:r>
      <w:r w:rsidR="00C2075D" w:rsidRPr="00A90BF7">
        <w:rPr>
          <w:rFonts w:ascii="Arial Narrow" w:hAnsi="Arial Narrow" w:cs="Tahoma"/>
          <w:sz w:val="22"/>
          <w:szCs w:val="22"/>
          <w:lang w:val="ru-RU"/>
        </w:rPr>
        <w:t>7</w:t>
      </w:r>
      <w:r w:rsidRPr="00A90BF7">
        <w:rPr>
          <w:rFonts w:ascii="Arial Narrow" w:hAnsi="Arial Narrow" w:cs="Tahoma"/>
          <w:sz w:val="22"/>
          <w:szCs w:val="22"/>
          <w:lang w:val="ru-RU"/>
        </w:rPr>
        <w:t xml:space="preserve">%. </w:t>
      </w:r>
    </w:p>
    <w:p w:rsidR="00A90BF7" w:rsidRDefault="00A90BF7">
      <w:pPr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br w:type="page"/>
      </w:r>
    </w:p>
    <w:p w:rsidR="00A90BF7" w:rsidRPr="00A90BF7" w:rsidRDefault="00A90BF7" w:rsidP="00166F34">
      <w:pPr>
        <w:jc w:val="both"/>
        <w:rPr>
          <w:rFonts w:ascii="Arial Narrow" w:hAnsi="Arial Narrow" w:cs="Tahoma"/>
          <w:sz w:val="22"/>
          <w:szCs w:val="22"/>
        </w:rPr>
      </w:pPr>
    </w:p>
    <w:p w:rsidR="000213F8" w:rsidRPr="00C2075D" w:rsidRDefault="00C2075D" w:rsidP="00DC2009">
      <w:pPr>
        <w:jc w:val="center"/>
        <w:rPr>
          <w:rFonts w:ascii="Arial Narrow" w:hAnsi="Arial Narrow" w:cs="Tahoma"/>
          <w:color w:val="FF0000"/>
          <w:sz w:val="22"/>
          <w:szCs w:val="22"/>
          <w:lang w:val="sr-Latn-BA"/>
        </w:rPr>
      </w:pPr>
      <w:r w:rsidRPr="00C2075D">
        <w:rPr>
          <w:rFonts w:ascii="Arial Narrow" w:hAnsi="Arial Narrow" w:cs="Tahoma"/>
          <w:noProof/>
          <w:color w:val="FF0000"/>
          <w:sz w:val="22"/>
          <w:szCs w:val="22"/>
        </w:rPr>
        <w:drawing>
          <wp:inline distT="0" distB="0" distL="0" distR="0">
            <wp:extent cx="6480810" cy="3053118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85D9D" w:rsidRPr="00A90BF7" w:rsidRDefault="00B85D9D" w:rsidP="00B85D9D">
      <w:pPr>
        <w:jc w:val="center"/>
        <w:rPr>
          <w:rFonts w:ascii="Arial Narrow" w:hAnsi="Arial Narrow" w:cs="Tahoma"/>
          <w:sz w:val="22"/>
          <w:szCs w:val="22"/>
          <w:lang w:val="sr-Latn-CS"/>
        </w:rPr>
      </w:pPr>
      <w:r w:rsidRPr="00A90BF7">
        <w:rPr>
          <w:rFonts w:ascii="Arial Narrow" w:hAnsi="Arial Narrow" w:cs="Tahoma"/>
          <w:sz w:val="22"/>
          <w:szCs w:val="22"/>
          <w:lang w:val="sr-Latn-CS"/>
        </w:rPr>
        <w:t xml:space="preserve">Графикон </w:t>
      </w:r>
      <w:r w:rsidR="0066022A" w:rsidRPr="00A90BF7">
        <w:rPr>
          <w:rFonts w:ascii="Arial Narrow" w:hAnsi="Arial Narrow" w:cs="Tahoma"/>
          <w:sz w:val="22"/>
          <w:szCs w:val="22"/>
          <w:lang w:val="sr-Latn-CS"/>
        </w:rPr>
        <w:t>2</w:t>
      </w:r>
      <w:r w:rsidRPr="00A90BF7">
        <w:rPr>
          <w:rFonts w:ascii="Arial Narrow" w:hAnsi="Arial Narrow" w:cs="Tahoma"/>
          <w:sz w:val="22"/>
          <w:szCs w:val="22"/>
          <w:lang w:val="sr-Latn-CS"/>
        </w:rPr>
        <w:t xml:space="preserve">. Индекси индустријске производње, </w:t>
      </w:r>
      <w:r w:rsidR="00C2075D" w:rsidRPr="00A90BF7">
        <w:rPr>
          <w:rFonts w:ascii="Arial Narrow" w:hAnsi="Arial Narrow" w:cs="Tahoma"/>
          <w:sz w:val="22"/>
          <w:szCs w:val="22"/>
          <w:lang w:val="sr-Cyrl-CS"/>
        </w:rPr>
        <w:t>мај</w:t>
      </w:r>
      <w:r w:rsidR="00F06D21" w:rsidRPr="00A90BF7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A90BF7">
        <w:rPr>
          <w:rFonts w:ascii="Arial Narrow" w:hAnsi="Arial Narrow" w:cs="Tahoma"/>
          <w:sz w:val="22"/>
          <w:szCs w:val="22"/>
          <w:lang w:val="sr-Latn-CS"/>
        </w:rPr>
        <w:t>20</w:t>
      </w:r>
      <w:r w:rsidRPr="00A90BF7">
        <w:rPr>
          <w:rFonts w:ascii="Arial Narrow" w:hAnsi="Arial Narrow" w:cs="Tahoma"/>
          <w:sz w:val="22"/>
          <w:szCs w:val="22"/>
          <w:lang w:val="sr-Latn-BA"/>
        </w:rPr>
        <w:t>1</w:t>
      </w:r>
      <w:r w:rsidR="00BE098B" w:rsidRPr="00A90BF7">
        <w:rPr>
          <w:rFonts w:ascii="Arial Narrow" w:hAnsi="Arial Narrow" w:cs="Tahoma"/>
          <w:sz w:val="22"/>
          <w:szCs w:val="22"/>
          <w:lang w:val="sr-Cyrl-CS"/>
        </w:rPr>
        <w:t>2</w:t>
      </w:r>
      <w:r w:rsidRPr="00A90BF7">
        <w:rPr>
          <w:rFonts w:ascii="Arial Narrow" w:hAnsi="Arial Narrow" w:cs="Tahoma"/>
          <w:sz w:val="22"/>
          <w:szCs w:val="22"/>
          <w:lang w:val="sr-Latn-CS"/>
        </w:rPr>
        <w:t xml:space="preserve"> – </w:t>
      </w:r>
      <w:r w:rsidR="00C2075D" w:rsidRPr="00A90BF7">
        <w:rPr>
          <w:rFonts w:ascii="Arial Narrow" w:hAnsi="Arial Narrow" w:cs="Tahoma"/>
          <w:sz w:val="22"/>
          <w:szCs w:val="22"/>
          <w:lang w:val="sr-Cyrl-CS"/>
        </w:rPr>
        <w:t>мај</w:t>
      </w:r>
      <w:r w:rsidRPr="00A90BF7">
        <w:rPr>
          <w:rFonts w:ascii="Arial Narrow" w:hAnsi="Arial Narrow" w:cs="Tahoma"/>
          <w:sz w:val="22"/>
          <w:szCs w:val="22"/>
          <w:lang w:val="sr-Latn-CS"/>
        </w:rPr>
        <w:t xml:space="preserve"> 201</w:t>
      </w:r>
      <w:r w:rsidR="00BE098B" w:rsidRPr="00A90BF7">
        <w:rPr>
          <w:rFonts w:ascii="Arial Narrow" w:hAnsi="Arial Narrow" w:cs="Tahoma"/>
          <w:sz w:val="22"/>
          <w:szCs w:val="22"/>
          <w:lang w:val="sr-Cyrl-CS"/>
        </w:rPr>
        <w:t>6</w:t>
      </w:r>
      <w:r w:rsidRPr="00A90BF7">
        <w:rPr>
          <w:rFonts w:ascii="Arial Narrow" w:hAnsi="Arial Narrow" w:cs="Tahoma"/>
          <w:sz w:val="22"/>
          <w:szCs w:val="22"/>
          <w:lang w:val="sr-Latn-CS"/>
        </w:rPr>
        <w:t>. (</w:t>
      </w:r>
      <w:r w:rsidRPr="00A90BF7">
        <w:rPr>
          <w:rFonts w:ascii="Arial Narrow" w:hAnsi="Arial Narrow" w:cs="Tahoma"/>
          <w:sz w:val="22"/>
          <w:szCs w:val="22"/>
          <w:lang w:val="sr-Latn-CS"/>
        </w:rPr>
        <w:sym w:font="Symbol" w:char="F0C6"/>
      </w:r>
      <w:r w:rsidRPr="00A90BF7">
        <w:rPr>
          <w:rFonts w:ascii="Arial Narrow" w:hAnsi="Arial Narrow" w:cs="Tahoma"/>
          <w:sz w:val="22"/>
          <w:szCs w:val="22"/>
          <w:lang w:val="sr-Latn-CS"/>
        </w:rPr>
        <w:t>2010=100)</w:t>
      </w:r>
    </w:p>
    <w:p w:rsidR="000213F8" w:rsidRPr="00C2075D" w:rsidRDefault="000213F8" w:rsidP="009A0B74">
      <w:pPr>
        <w:jc w:val="both"/>
        <w:rPr>
          <w:rFonts w:ascii="Arial Narrow" w:hAnsi="Arial Narrow" w:cs="Tahoma"/>
          <w:color w:val="FF0000"/>
          <w:sz w:val="22"/>
          <w:szCs w:val="22"/>
          <w:lang w:val="sr-Latn-BA"/>
        </w:rPr>
      </w:pPr>
    </w:p>
    <w:p w:rsidR="00763D11" w:rsidRPr="00C2075D" w:rsidRDefault="00763D11" w:rsidP="009A0B74">
      <w:pPr>
        <w:jc w:val="both"/>
        <w:rPr>
          <w:rFonts w:ascii="Arial Narrow" w:hAnsi="Arial Narrow" w:cs="Tahoma"/>
          <w:color w:val="FF0000"/>
          <w:sz w:val="22"/>
          <w:szCs w:val="22"/>
          <w:lang w:val="sr-Latn-BA"/>
        </w:rPr>
      </w:pPr>
    </w:p>
    <w:p w:rsidR="006E4C93" w:rsidRPr="0072615B" w:rsidRDefault="006E4C93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A90BF7" w:rsidRDefault="00F442FA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A90BF7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A90BF7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="00384927" w:rsidRPr="00A90BF7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 w:rsidR="003A0849" w:rsidRPr="00A90BF7">
        <w:rPr>
          <w:rFonts w:ascii="Arial Narrow" w:hAnsi="Arial Narrow" w:cs="Tahoma"/>
          <w:b/>
          <w:sz w:val="30"/>
          <w:szCs w:val="30"/>
          <w:lang w:val="sr-Cyrl-BA"/>
        </w:rPr>
        <w:t xml:space="preserve">у периоду </w:t>
      </w:r>
      <w:r w:rsidRPr="00A90BF7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="0031402B" w:rsidRPr="00A90BF7">
        <w:rPr>
          <w:rFonts w:ascii="Arial Narrow" w:hAnsi="Arial Narrow" w:cs="Tahoma"/>
          <w:b/>
          <w:sz w:val="30"/>
          <w:szCs w:val="30"/>
        </w:rPr>
        <w:t>-</w:t>
      </w:r>
      <w:r w:rsidR="00482652" w:rsidRPr="00A90BF7">
        <w:rPr>
          <w:rFonts w:ascii="Arial Narrow" w:hAnsi="Arial Narrow" w:cs="Tahoma"/>
          <w:b/>
          <w:sz w:val="30"/>
          <w:szCs w:val="30"/>
        </w:rPr>
        <w:t>V</w:t>
      </w:r>
      <w:r w:rsidRPr="00A90BF7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A90BF7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384927" w:rsidRPr="00A90BF7">
        <w:rPr>
          <w:rFonts w:ascii="Arial Narrow" w:hAnsi="Arial Narrow" w:cs="Tahoma"/>
          <w:b/>
          <w:sz w:val="30"/>
          <w:szCs w:val="30"/>
          <w:lang w:val="sr-Latn-BA"/>
        </w:rPr>
        <w:t>6</w:t>
      </w:r>
      <w:r w:rsidRPr="00A90BF7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A90BF7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Pr="00A90BF7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482652" w:rsidRPr="00A90BF7">
        <w:rPr>
          <w:rFonts w:ascii="Arial Narrow" w:hAnsi="Arial Narrow" w:cs="Tahoma"/>
          <w:b/>
          <w:sz w:val="30"/>
          <w:szCs w:val="30"/>
        </w:rPr>
        <w:t>6</w:t>
      </w:r>
      <w:r w:rsidR="0031402B" w:rsidRPr="00A90BF7">
        <w:rPr>
          <w:rFonts w:ascii="Arial Narrow" w:hAnsi="Arial Narrow" w:cs="Tahoma"/>
          <w:b/>
          <w:sz w:val="30"/>
          <w:szCs w:val="30"/>
        </w:rPr>
        <w:t>7</w:t>
      </w:r>
      <w:r w:rsidR="003A0849" w:rsidRPr="00A90BF7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31402B" w:rsidRPr="00A90BF7">
        <w:rPr>
          <w:rFonts w:ascii="Arial Narrow" w:hAnsi="Arial Narrow" w:cs="Tahoma"/>
          <w:b/>
          <w:sz w:val="30"/>
          <w:szCs w:val="30"/>
          <w:lang w:val="hr-HR"/>
        </w:rPr>
        <w:t>5</w:t>
      </w:r>
      <w:r w:rsidRPr="00A90BF7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A90BF7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3A0849" w:rsidRPr="00A90BF7" w:rsidRDefault="003A0849" w:rsidP="00F442FA">
      <w:pPr>
        <w:jc w:val="both"/>
        <w:rPr>
          <w:rFonts w:ascii="Arial Narrow" w:hAnsi="Arial Narrow" w:cs="Tahoma"/>
          <w:sz w:val="22"/>
          <w:lang w:val="sr-Cyrl-BA"/>
        </w:rPr>
      </w:pPr>
      <w:r w:rsidRPr="00A90BF7">
        <w:rPr>
          <w:rFonts w:ascii="Arial Narrow" w:hAnsi="Arial Narrow" w:cs="Tahoma"/>
          <w:sz w:val="22"/>
          <w:lang w:val="sr-Cyrl-BA"/>
        </w:rPr>
        <w:t xml:space="preserve">У </w:t>
      </w:r>
      <w:r w:rsidR="0031402B" w:rsidRPr="00A90BF7">
        <w:rPr>
          <w:rFonts w:ascii="Arial Narrow" w:hAnsi="Arial Narrow" w:cs="Tahoma"/>
          <w:sz w:val="22"/>
          <w:lang w:val="sr-Cyrl-BA"/>
        </w:rPr>
        <w:t>мају</w:t>
      </w:r>
      <w:r w:rsidRPr="00A90BF7">
        <w:rPr>
          <w:rFonts w:ascii="Arial Narrow" w:hAnsi="Arial Narrow" w:cs="Tahoma"/>
          <w:sz w:val="22"/>
          <w:lang w:val="sr-Cyrl-BA"/>
        </w:rPr>
        <w:t xml:space="preserve"> 2016. године остварен је извоз у вриједности од </w:t>
      </w:r>
      <w:r w:rsidR="0031402B" w:rsidRPr="00A90BF7">
        <w:rPr>
          <w:rFonts w:ascii="Arial Narrow" w:hAnsi="Arial Narrow" w:cs="Tahoma"/>
          <w:sz w:val="22"/>
          <w:lang w:val="sr-Cyrl-BA"/>
        </w:rPr>
        <w:t>234</w:t>
      </w:r>
      <w:r w:rsidRPr="00A90BF7">
        <w:rPr>
          <w:rFonts w:ascii="Arial Narrow" w:hAnsi="Arial Narrow" w:cs="Tahoma"/>
          <w:sz w:val="22"/>
          <w:lang w:val="sr-Cyrl-BA"/>
        </w:rPr>
        <w:t xml:space="preserve"> милиона КМ и увоз у вриједности од </w:t>
      </w:r>
      <w:r w:rsidR="0031402B" w:rsidRPr="00A90BF7">
        <w:rPr>
          <w:rFonts w:ascii="Arial Narrow" w:hAnsi="Arial Narrow" w:cs="Tahoma"/>
          <w:sz w:val="22"/>
          <w:lang w:val="sr-Cyrl-BA"/>
        </w:rPr>
        <w:t>313</w:t>
      </w:r>
      <w:r w:rsidRPr="00A90BF7">
        <w:rPr>
          <w:rFonts w:ascii="Arial Narrow" w:hAnsi="Arial Narrow" w:cs="Tahoma"/>
          <w:sz w:val="22"/>
          <w:lang w:val="sr-Cyrl-BA"/>
        </w:rPr>
        <w:t xml:space="preserve"> милиона КМ.</w:t>
      </w:r>
    </w:p>
    <w:p w:rsidR="003A0849" w:rsidRPr="00A90BF7" w:rsidRDefault="003A0849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3A0849" w:rsidRPr="00A90BF7" w:rsidRDefault="00F442FA" w:rsidP="003A0849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A90BF7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A90BF7">
        <w:rPr>
          <w:rFonts w:ascii="Arial Narrow" w:hAnsi="Arial Narrow" w:cs="Tahoma"/>
          <w:sz w:val="22"/>
          <w:lang w:val="bs-Cyrl-BA"/>
        </w:rPr>
        <w:t>е</w:t>
      </w:r>
      <w:r w:rsidRPr="00A90BF7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A90BF7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A90BF7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31402B" w:rsidRPr="00A90BF7">
        <w:rPr>
          <w:rFonts w:ascii="Arial Narrow" w:hAnsi="Arial Narrow" w:cs="Tahoma"/>
          <w:sz w:val="22"/>
          <w:lang w:val="sr-Cyrl-BA"/>
        </w:rPr>
        <w:t>мају</w:t>
      </w:r>
      <w:r w:rsidR="00101E3A" w:rsidRPr="00A90BF7">
        <w:rPr>
          <w:rFonts w:ascii="Arial Narrow" w:hAnsi="Arial Narrow" w:cs="Tahoma"/>
          <w:sz w:val="22"/>
          <w:lang w:val="sr-Cyrl-BA"/>
        </w:rPr>
        <w:t xml:space="preserve"> </w:t>
      </w:r>
      <w:r w:rsidRPr="00A90BF7">
        <w:rPr>
          <w:rFonts w:ascii="Arial Narrow" w:hAnsi="Arial Narrow" w:cs="Tahoma"/>
          <w:sz w:val="22"/>
          <w:lang w:val="sr-Cyrl-BA"/>
        </w:rPr>
        <w:t xml:space="preserve">ове године, проценат покривености увоза извозом износио је </w:t>
      </w:r>
      <w:r w:rsidR="0031402B" w:rsidRPr="00A90BF7">
        <w:rPr>
          <w:rFonts w:ascii="Arial Narrow" w:hAnsi="Arial Narrow" w:cs="Tahoma"/>
          <w:sz w:val="22"/>
          <w:lang w:val="sr-Cyrl-BA"/>
        </w:rPr>
        <w:t>74</w:t>
      </w:r>
      <w:r w:rsidR="00101E3A" w:rsidRPr="00A90BF7">
        <w:rPr>
          <w:rFonts w:ascii="Arial Narrow" w:hAnsi="Arial Narrow" w:cs="Tahoma"/>
          <w:sz w:val="22"/>
          <w:lang w:val="sr-Cyrl-BA"/>
        </w:rPr>
        <w:t>,</w:t>
      </w:r>
      <w:r w:rsidR="0031402B" w:rsidRPr="00A90BF7">
        <w:rPr>
          <w:rFonts w:ascii="Arial Narrow" w:hAnsi="Arial Narrow" w:cs="Tahoma"/>
          <w:sz w:val="22"/>
          <w:lang w:val="sr-Cyrl-BA"/>
        </w:rPr>
        <w:t>7</w:t>
      </w:r>
      <w:r w:rsidRPr="00A90BF7">
        <w:rPr>
          <w:rFonts w:ascii="Arial Narrow" w:hAnsi="Arial Narrow" w:cs="Tahoma"/>
          <w:sz w:val="22"/>
          <w:lang w:val="sr-Cyrl-BA"/>
        </w:rPr>
        <w:t xml:space="preserve">%. </w:t>
      </w:r>
      <w:r w:rsidR="003A0849" w:rsidRPr="00A90BF7">
        <w:rPr>
          <w:rFonts w:ascii="Arial Narrow" w:hAnsi="Arial Narrow" w:cs="Tahoma"/>
          <w:sz w:val="22"/>
          <w:szCs w:val="22"/>
          <w:lang w:val="ru-RU"/>
        </w:rPr>
        <w:t>Проценат по</w:t>
      </w:r>
      <w:r w:rsidR="0031402B" w:rsidRPr="00A90BF7">
        <w:rPr>
          <w:rFonts w:ascii="Arial Narrow" w:hAnsi="Arial Narrow" w:cs="Tahoma"/>
          <w:sz w:val="22"/>
          <w:szCs w:val="22"/>
          <w:lang w:val="ru-RU"/>
        </w:rPr>
        <w:t>кривености увоза извозом за првих</w:t>
      </w:r>
      <w:r w:rsidR="003A0849" w:rsidRPr="00A90BF7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31402B" w:rsidRPr="00A90BF7">
        <w:rPr>
          <w:rFonts w:ascii="Arial Narrow" w:hAnsi="Arial Narrow" w:cs="Tahoma"/>
          <w:sz w:val="22"/>
          <w:szCs w:val="22"/>
          <w:lang w:val="ru-RU"/>
        </w:rPr>
        <w:t>пет</w:t>
      </w:r>
      <w:r w:rsidR="003A0849" w:rsidRPr="00A90BF7">
        <w:rPr>
          <w:rFonts w:ascii="Arial Narrow" w:hAnsi="Arial Narrow" w:cs="Tahoma"/>
          <w:sz w:val="22"/>
          <w:szCs w:val="22"/>
          <w:lang w:val="ru-RU"/>
        </w:rPr>
        <w:t xml:space="preserve"> мј</w:t>
      </w:r>
      <w:r w:rsidR="0031402B" w:rsidRPr="00A90BF7">
        <w:rPr>
          <w:rFonts w:ascii="Arial Narrow" w:hAnsi="Arial Narrow" w:cs="Tahoma"/>
          <w:sz w:val="22"/>
          <w:szCs w:val="22"/>
          <w:lang w:val="ru-RU"/>
        </w:rPr>
        <w:t>есеци</w:t>
      </w:r>
      <w:r w:rsidR="00482652" w:rsidRPr="00A90BF7">
        <w:rPr>
          <w:rFonts w:ascii="Arial Narrow" w:hAnsi="Arial Narrow" w:cs="Tahoma"/>
          <w:sz w:val="22"/>
          <w:szCs w:val="22"/>
          <w:lang w:val="ru-RU"/>
        </w:rPr>
        <w:t xml:space="preserve"> текуће године износио је 6</w:t>
      </w:r>
      <w:r w:rsidR="0031402B" w:rsidRPr="00A90BF7">
        <w:rPr>
          <w:rFonts w:ascii="Arial Narrow" w:hAnsi="Arial Narrow" w:cs="Tahoma"/>
          <w:sz w:val="22"/>
          <w:szCs w:val="22"/>
          <w:lang w:val="ru-RU"/>
        </w:rPr>
        <w:t>7</w:t>
      </w:r>
      <w:r w:rsidR="003A0849" w:rsidRPr="00A90BF7">
        <w:rPr>
          <w:rFonts w:ascii="Arial Narrow" w:hAnsi="Arial Narrow" w:cs="Tahoma"/>
          <w:sz w:val="22"/>
          <w:szCs w:val="22"/>
          <w:lang w:val="ru-RU"/>
        </w:rPr>
        <w:t>,</w:t>
      </w:r>
      <w:r w:rsidR="0031402B" w:rsidRPr="00A90BF7">
        <w:rPr>
          <w:rFonts w:ascii="Arial Narrow" w:hAnsi="Arial Narrow" w:cs="Tahoma"/>
          <w:sz w:val="22"/>
          <w:szCs w:val="22"/>
          <w:lang w:val="ru-RU"/>
        </w:rPr>
        <w:t>5</w:t>
      </w:r>
      <w:r w:rsidR="003A0849" w:rsidRPr="00A90BF7">
        <w:rPr>
          <w:rFonts w:ascii="Arial Narrow" w:hAnsi="Arial Narrow" w:cs="Tahoma"/>
          <w:sz w:val="22"/>
          <w:szCs w:val="22"/>
          <w:lang w:val="ru-RU"/>
        </w:rPr>
        <w:t>%.</w:t>
      </w:r>
    </w:p>
    <w:p w:rsidR="00384927" w:rsidRPr="00A90BF7" w:rsidRDefault="00384927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F442FA" w:rsidRPr="00A90BF7" w:rsidRDefault="00F442FA" w:rsidP="00F442FA">
      <w:pPr>
        <w:jc w:val="both"/>
        <w:rPr>
          <w:rFonts w:ascii="Tahoma" w:hAnsi="Tahoma" w:cs="Tahoma"/>
          <w:lang w:val="ru-RU"/>
        </w:rPr>
      </w:pPr>
      <w:r w:rsidRPr="00A90BF7">
        <w:rPr>
          <w:rFonts w:ascii="Arial Narrow" w:hAnsi="Arial Narrow" w:cs="Tahoma"/>
          <w:sz w:val="22"/>
          <w:lang w:val="ru-RU"/>
        </w:rPr>
        <w:t xml:space="preserve">У </w:t>
      </w:r>
      <w:r w:rsidR="003A0849" w:rsidRPr="00A90BF7">
        <w:rPr>
          <w:rFonts w:ascii="Arial Narrow" w:hAnsi="Arial Narrow" w:cs="Tahoma"/>
          <w:sz w:val="22"/>
          <w:lang w:val="ru-RU"/>
        </w:rPr>
        <w:t xml:space="preserve">периоду </w:t>
      </w:r>
      <w:r w:rsidRPr="00A90BF7">
        <w:rPr>
          <w:rFonts w:ascii="Arial Narrow" w:hAnsi="Arial Narrow" w:cs="Tahoma"/>
          <w:sz w:val="22"/>
          <w:lang w:val="ru-RU"/>
        </w:rPr>
        <w:t>јануар</w:t>
      </w:r>
      <w:r w:rsidR="003A0849" w:rsidRPr="00A90BF7">
        <w:rPr>
          <w:rFonts w:ascii="Arial Narrow" w:hAnsi="Arial Narrow" w:cs="Tahoma"/>
          <w:sz w:val="22"/>
          <w:lang w:val="ru-RU"/>
        </w:rPr>
        <w:t xml:space="preserve"> - </w:t>
      </w:r>
      <w:r w:rsidR="0031402B" w:rsidRPr="00A90BF7">
        <w:rPr>
          <w:rFonts w:ascii="Arial Narrow" w:hAnsi="Arial Narrow" w:cs="Tahoma"/>
          <w:sz w:val="22"/>
          <w:lang w:val="ru-RU"/>
        </w:rPr>
        <w:t>мај</w:t>
      </w:r>
      <w:r w:rsidR="007E3425" w:rsidRPr="00A90BF7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384927" w:rsidRPr="00A90BF7">
        <w:rPr>
          <w:rFonts w:ascii="Arial Narrow" w:hAnsi="Arial Narrow" w:cs="Tahoma"/>
          <w:sz w:val="22"/>
          <w:lang w:val="ru-RU"/>
        </w:rPr>
        <w:t>2016</w:t>
      </w:r>
      <w:r w:rsidRPr="00A90BF7">
        <w:rPr>
          <w:rFonts w:ascii="Arial Narrow" w:hAnsi="Arial Narrow" w:cs="Tahoma"/>
          <w:sz w:val="22"/>
          <w:lang w:val="ru-RU"/>
        </w:rPr>
        <w:t xml:space="preserve">. остварен је извоз у вриједности од </w:t>
      </w:r>
      <w:r w:rsidR="0031402B" w:rsidRPr="00A90BF7">
        <w:rPr>
          <w:rFonts w:ascii="Arial Narrow" w:hAnsi="Arial Narrow" w:cs="Tahoma"/>
          <w:sz w:val="22"/>
          <w:lang w:val="ru-RU"/>
        </w:rPr>
        <w:t>милијарду и 97</w:t>
      </w:r>
      <w:r w:rsidRPr="00A90BF7">
        <w:rPr>
          <w:rFonts w:ascii="Arial Narrow" w:hAnsi="Arial Narrow" w:cs="Tahoma"/>
          <w:sz w:val="22"/>
          <w:lang w:val="ru-RU"/>
        </w:rPr>
        <w:t xml:space="preserve"> милион</w:t>
      </w:r>
      <w:r w:rsidR="007E3425" w:rsidRPr="00A90BF7">
        <w:rPr>
          <w:rFonts w:ascii="Arial Narrow" w:hAnsi="Arial Narrow" w:cs="Tahoma"/>
          <w:sz w:val="22"/>
          <w:lang w:val="ru-RU"/>
        </w:rPr>
        <w:t>а</w:t>
      </w:r>
      <w:r w:rsidR="008F10AE" w:rsidRPr="00A90BF7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31402B" w:rsidRPr="00A90BF7">
        <w:rPr>
          <w:rFonts w:ascii="Arial Narrow" w:hAnsi="Arial Narrow" w:cs="Tahoma"/>
          <w:sz w:val="22"/>
          <w:lang w:val="ru-RU"/>
        </w:rPr>
        <w:t>9</w:t>
      </w:r>
      <w:r w:rsidR="008F10AE" w:rsidRPr="00A90BF7">
        <w:rPr>
          <w:rFonts w:ascii="Arial Narrow" w:hAnsi="Arial Narrow" w:cs="Tahoma"/>
          <w:sz w:val="22"/>
          <w:lang w:val="ru-RU"/>
        </w:rPr>
        <w:t>,</w:t>
      </w:r>
      <w:r w:rsidR="0031402B" w:rsidRPr="00A90BF7">
        <w:rPr>
          <w:rFonts w:ascii="Arial Narrow" w:hAnsi="Arial Narrow" w:cs="Tahoma"/>
          <w:sz w:val="22"/>
          <w:lang w:val="ru-RU"/>
        </w:rPr>
        <w:t>4</w:t>
      </w:r>
      <w:r w:rsidRPr="00A90BF7">
        <w:rPr>
          <w:rFonts w:ascii="Arial Narrow" w:hAnsi="Arial Narrow" w:cs="Tahoma"/>
          <w:sz w:val="22"/>
          <w:lang w:val="ru-RU"/>
        </w:rPr>
        <w:t xml:space="preserve">% </w:t>
      </w:r>
      <w:r w:rsidR="00384927" w:rsidRPr="00A90BF7">
        <w:rPr>
          <w:rFonts w:ascii="Arial Narrow" w:hAnsi="Arial Narrow" w:cs="Tahoma"/>
          <w:sz w:val="22"/>
          <w:lang w:val="ru-RU"/>
        </w:rPr>
        <w:t>више</w:t>
      </w:r>
      <w:r w:rsidRPr="00A90BF7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3A0849" w:rsidRPr="00A90BF7">
        <w:rPr>
          <w:rFonts w:ascii="Arial Narrow" w:hAnsi="Arial Narrow" w:cs="Tahoma"/>
          <w:sz w:val="22"/>
          <w:lang w:val="ru-RU"/>
        </w:rPr>
        <w:t>период</w:t>
      </w:r>
      <w:r w:rsidRPr="00A90BF7">
        <w:rPr>
          <w:rFonts w:ascii="Arial Narrow" w:hAnsi="Arial Narrow" w:cs="Tahoma"/>
          <w:sz w:val="22"/>
          <w:lang w:val="ru-RU"/>
        </w:rPr>
        <w:t xml:space="preserve"> претходне године. Увоз је, у истом </w:t>
      </w:r>
      <w:r w:rsidR="003A0849" w:rsidRPr="00A90BF7">
        <w:rPr>
          <w:rFonts w:ascii="Arial Narrow" w:hAnsi="Arial Narrow" w:cs="Tahoma"/>
          <w:sz w:val="22"/>
          <w:lang w:val="ru-RU"/>
        </w:rPr>
        <w:t>периоду</w:t>
      </w:r>
      <w:r w:rsidRPr="00A90BF7">
        <w:rPr>
          <w:rFonts w:ascii="Arial Narrow" w:hAnsi="Arial Narrow" w:cs="Tahoma"/>
          <w:sz w:val="22"/>
          <w:lang w:val="ru-RU"/>
        </w:rPr>
        <w:t xml:space="preserve">, износио </w:t>
      </w:r>
      <w:r w:rsidR="00BE4A93" w:rsidRPr="00A90BF7">
        <w:rPr>
          <w:rFonts w:ascii="Arial Narrow" w:hAnsi="Arial Narrow" w:cs="Tahoma"/>
          <w:sz w:val="22"/>
          <w:lang w:val="ru-RU"/>
        </w:rPr>
        <w:t xml:space="preserve">милијарду и </w:t>
      </w:r>
      <w:r w:rsidR="0031402B" w:rsidRPr="00A90BF7">
        <w:rPr>
          <w:rFonts w:ascii="Arial Narrow" w:hAnsi="Arial Narrow" w:cs="Tahoma"/>
          <w:sz w:val="22"/>
          <w:lang w:val="ru-RU"/>
        </w:rPr>
        <w:t>626</w:t>
      </w:r>
      <w:r w:rsidRPr="00A90BF7">
        <w:rPr>
          <w:rFonts w:ascii="Arial Narrow" w:hAnsi="Arial Narrow" w:cs="Tahoma"/>
          <w:sz w:val="22"/>
          <w:lang w:val="ru-RU"/>
        </w:rPr>
        <w:t xml:space="preserve"> милион</w:t>
      </w:r>
      <w:r w:rsidR="00101E3A" w:rsidRPr="00A90BF7">
        <w:rPr>
          <w:rFonts w:ascii="Arial Narrow" w:hAnsi="Arial Narrow" w:cs="Tahoma"/>
          <w:sz w:val="22"/>
          <w:lang w:val="ru-RU"/>
        </w:rPr>
        <w:t>а</w:t>
      </w:r>
      <w:r w:rsidRPr="00A90BF7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31402B" w:rsidRPr="00A90BF7">
        <w:rPr>
          <w:rFonts w:ascii="Arial Narrow" w:hAnsi="Arial Narrow" w:cs="Tahoma"/>
          <w:sz w:val="22"/>
          <w:lang w:val="ru-RU"/>
        </w:rPr>
        <w:t>5</w:t>
      </w:r>
      <w:r w:rsidRPr="00A90BF7">
        <w:rPr>
          <w:rFonts w:ascii="Arial Narrow" w:hAnsi="Arial Narrow" w:cs="Tahoma"/>
          <w:sz w:val="22"/>
          <w:lang w:val="sr-Latn-CS"/>
        </w:rPr>
        <w:t>,</w:t>
      </w:r>
      <w:r w:rsidR="0031402B" w:rsidRPr="00A90BF7">
        <w:rPr>
          <w:rFonts w:ascii="Arial Narrow" w:hAnsi="Arial Narrow" w:cs="Tahoma"/>
          <w:sz w:val="22"/>
          <w:lang w:val="sr-Cyrl-BA"/>
        </w:rPr>
        <w:t>6</w:t>
      </w:r>
      <w:r w:rsidRPr="00A90BF7">
        <w:rPr>
          <w:rFonts w:ascii="Arial Narrow" w:hAnsi="Arial Narrow" w:cs="Tahoma"/>
          <w:sz w:val="22"/>
          <w:lang w:val="ru-RU"/>
        </w:rPr>
        <w:t xml:space="preserve">% </w:t>
      </w:r>
      <w:r w:rsidRPr="00A90BF7">
        <w:rPr>
          <w:rFonts w:ascii="Arial Narrow" w:hAnsi="Arial Narrow" w:cs="Tahoma"/>
          <w:sz w:val="22"/>
          <w:lang w:val="sr-Latn-CS"/>
        </w:rPr>
        <w:t>мање</w:t>
      </w:r>
      <w:r w:rsidRPr="00A90BF7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3A0849" w:rsidRPr="00A90BF7">
        <w:rPr>
          <w:rFonts w:ascii="Arial Narrow" w:hAnsi="Arial Narrow" w:cs="Tahoma"/>
          <w:sz w:val="22"/>
          <w:lang w:val="ru-RU"/>
        </w:rPr>
        <w:t>период</w:t>
      </w:r>
      <w:r w:rsidRPr="00A90BF7">
        <w:rPr>
          <w:rFonts w:ascii="Arial Narrow" w:hAnsi="Arial Narrow" w:cs="Tahoma"/>
          <w:sz w:val="22"/>
          <w:lang w:val="ru-RU"/>
        </w:rPr>
        <w:t xml:space="preserve"> претходне године. </w:t>
      </w:r>
    </w:p>
    <w:p w:rsidR="00F442FA" w:rsidRPr="00A90BF7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Pr="00A90BF7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A90BF7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A90BF7">
        <w:rPr>
          <w:rFonts w:ascii="Arial Narrow" w:hAnsi="Arial Narrow" w:cs="Tahoma"/>
          <w:sz w:val="22"/>
        </w:rPr>
        <w:t>e</w:t>
      </w:r>
      <w:r w:rsidRPr="00A90BF7">
        <w:rPr>
          <w:rFonts w:ascii="Arial Narrow" w:hAnsi="Arial Narrow" w:cs="Tahoma"/>
          <w:sz w:val="22"/>
          <w:lang w:val="ru-RU"/>
        </w:rPr>
        <w:t xml:space="preserve"> Српск</w:t>
      </w:r>
      <w:r w:rsidRPr="00A90BF7">
        <w:rPr>
          <w:rFonts w:ascii="Arial Narrow" w:hAnsi="Arial Narrow" w:cs="Tahoma"/>
          <w:sz w:val="22"/>
        </w:rPr>
        <w:t>e</w:t>
      </w:r>
      <w:r w:rsidRPr="00A90BF7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3A0849" w:rsidRPr="00A90BF7">
        <w:rPr>
          <w:rFonts w:ascii="Arial Narrow" w:hAnsi="Arial Narrow" w:cs="Tahoma"/>
          <w:sz w:val="22"/>
          <w:lang w:val="ru-RU"/>
        </w:rPr>
        <w:t xml:space="preserve">периоду </w:t>
      </w:r>
      <w:r w:rsidRPr="00A90BF7">
        <w:rPr>
          <w:rFonts w:ascii="Arial Narrow" w:hAnsi="Arial Narrow" w:cs="Tahoma"/>
          <w:sz w:val="22"/>
          <w:lang w:val="ru-RU"/>
        </w:rPr>
        <w:t>јануар</w:t>
      </w:r>
      <w:r w:rsidR="003A0849" w:rsidRPr="00A90BF7">
        <w:rPr>
          <w:rFonts w:ascii="Arial Narrow" w:hAnsi="Arial Narrow" w:cs="Tahoma"/>
          <w:sz w:val="22"/>
          <w:lang w:val="ru-RU"/>
        </w:rPr>
        <w:t xml:space="preserve"> - </w:t>
      </w:r>
      <w:r w:rsidR="0031402B" w:rsidRPr="00A90BF7">
        <w:rPr>
          <w:rFonts w:ascii="Arial Narrow" w:hAnsi="Arial Narrow" w:cs="Tahoma"/>
          <w:sz w:val="22"/>
          <w:lang w:val="ru-RU"/>
        </w:rPr>
        <w:t>мај</w:t>
      </w:r>
      <w:r w:rsidR="00BE4A93" w:rsidRPr="00A90BF7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A90BF7">
        <w:rPr>
          <w:rFonts w:ascii="Arial Narrow" w:hAnsi="Arial Narrow" w:cs="Tahoma"/>
          <w:sz w:val="22"/>
          <w:lang w:val="sr-Cyrl-CS"/>
        </w:rPr>
        <w:t>201</w:t>
      </w:r>
      <w:r w:rsidR="00384927" w:rsidRPr="00A90BF7">
        <w:rPr>
          <w:rFonts w:ascii="Arial Narrow" w:hAnsi="Arial Narrow" w:cs="Tahoma"/>
          <w:sz w:val="22"/>
          <w:lang w:val="sr-Cyrl-CS"/>
        </w:rPr>
        <w:t>6</w:t>
      </w:r>
      <w:r w:rsidRPr="00A90BF7">
        <w:rPr>
          <w:rFonts w:ascii="Arial Narrow" w:hAnsi="Arial Narrow" w:cs="Tahoma"/>
          <w:sz w:val="22"/>
          <w:lang w:val="sr-Cyrl-CS"/>
        </w:rPr>
        <w:t xml:space="preserve">. године, највише се извозило у Италију и то у вриједности од </w:t>
      </w:r>
      <w:r w:rsidR="0031402B" w:rsidRPr="00A90BF7">
        <w:rPr>
          <w:rFonts w:ascii="Arial Narrow" w:hAnsi="Arial Narrow" w:cs="Tahoma"/>
          <w:sz w:val="22"/>
          <w:lang w:val="sr-Cyrl-BA"/>
        </w:rPr>
        <w:t>210</w:t>
      </w:r>
      <w:r w:rsidR="007D2CAE" w:rsidRPr="00A90BF7">
        <w:rPr>
          <w:rFonts w:ascii="Arial Narrow" w:hAnsi="Arial Narrow" w:cs="Tahoma"/>
          <w:sz w:val="22"/>
          <w:lang w:val="sr-Latn-BA"/>
        </w:rPr>
        <w:t xml:space="preserve"> </w:t>
      </w:r>
      <w:r w:rsidRPr="00A90BF7">
        <w:rPr>
          <w:rFonts w:ascii="Arial Narrow" w:hAnsi="Arial Narrow" w:cs="Tahoma"/>
          <w:sz w:val="22"/>
          <w:lang w:val="sr-Cyrl-CS"/>
        </w:rPr>
        <w:t>милиона КМ, односно 1</w:t>
      </w:r>
      <w:r w:rsidR="00384927" w:rsidRPr="00A90BF7">
        <w:rPr>
          <w:rFonts w:ascii="Arial Narrow" w:hAnsi="Arial Narrow" w:cs="Tahoma"/>
          <w:sz w:val="22"/>
          <w:lang w:val="sr-Cyrl-CS"/>
        </w:rPr>
        <w:t>9</w:t>
      </w:r>
      <w:r w:rsidRPr="00A90BF7">
        <w:rPr>
          <w:rFonts w:ascii="Arial Narrow" w:hAnsi="Arial Narrow" w:cs="Tahoma"/>
          <w:sz w:val="22"/>
          <w:lang w:val="sr-Cyrl-CS"/>
        </w:rPr>
        <w:t>,</w:t>
      </w:r>
      <w:r w:rsidR="0031402B" w:rsidRPr="00A90BF7">
        <w:rPr>
          <w:rFonts w:ascii="Arial Narrow" w:hAnsi="Arial Narrow" w:cs="Tahoma"/>
          <w:sz w:val="22"/>
          <w:lang w:val="sr-Cyrl-CS"/>
        </w:rPr>
        <w:t>1</w:t>
      </w:r>
      <w:r w:rsidRPr="00A90BF7">
        <w:rPr>
          <w:rFonts w:ascii="Arial Narrow" w:hAnsi="Arial Narrow" w:cs="Tahoma"/>
          <w:sz w:val="22"/>
          <w:lang w:val="sr-Cyrl-CS"/>
        </w:rPr>
        <w:t>%</w:t>
      </w:r>
      <w:r w:rsidRPr="00A90BF7">
        <w:rPr>
          <w:rFonts w:ascii="Arial Narrow" w:hAnsi="Arial Narrow" w:cs="Tahoma"/>
          <w:sz w:val="22"/>
          <w:lang w:val="ru-RU"/>
        </w:rPr>
        <w:t xml:space="preserve">, </w:t>
      </w:r>
      <w:r w:rsidRPr="00A90BF7">
        <w:rPr>
          <w:rFonts w:ascii="Arial Narrow" w:hAnsi="Arial Narrow" w:cs="Tahoma"/>
          <w:sz w:val="22"/>
          <w:lang w:val="sr-Cyrl-CS"/>
        </w:rPr>
        <w:t xml:space="preserve">те у </w:t>
      </w:r>
      <w:r w:rsidR="00384927" w:rsidRPr="00A90BF7">
        <w:rPr>
          <w:rFonts w:ascii="Arial Narrow" w:hAnsi="Arial Narrow" w:cs="Tahoma"/>
          <w:sz w:val="22"/>
          <w:lang w:val="sr-Cyrl-CS"/>
        </w:rPr>
        <w:t>Њемачку</w:t>
      </w:r>
      <w:r w:rsidRPr="00A90BF7">
        <w:rPr>
          <w:rFonts w:ascii="Arial Narrow" w:hAnsi="Arial Narrow" w:cs="Tahoma"/>
          <w:sz w:val="22"/>
          <w:lang w:val="sr-Cyrl-CS"/>
        </w:rPr>
        <w:t xml:space="preserve"> </w:t>
      </w:r>
      <w:r w:rsidR="0031402B" w:rsidRPr="00A90BF7">
        <w:rPr>
          <w:rFonts w:ascii="Arial Narrow" w:hAnsi="Arial Narrow" w:cs="Tahoma"/>
          <w:sz w:val="22"/>
          <w:lang w:val="sr-Cyrl-CS"/>
        </w:rPr>
        <w:t>136</w:t>
      </w:r>
      <w:r w:rsidR="00384927" w:rsidRPr="00A90BF7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101E3A" w:rsidRPr="00A90BF7">
        <w:rPr>
          <w:rFonts w:ascii="Arial Narrow" w:hAnsi="Arial Narrow" w:cs="Tahoma"/>
          <w:sz w:val="22"/>
          <w:lang w:val="sr-Cyrl-CS"/>
        </w:rPr>
        <w:t>2</w:t>
      </w:r>
      <w:r w:rsidR="00384927" w:rsidRPr="00A90BF7">
        <w:rPr>
          <w:rFonts w:ascii="Arial Narrow" w:hAnsi="Arial Narrow" w:cs="Tahoma"/>
          <w:sz w:val="22"/>
          <w:lang w:val="sr-Cyrl-CS"/>
        </w:rPr>
        <w:t>,</w:t>
      </w:r>
      <w:r w:rsidR="00BE4A93" w:rsidRPr="00A90BF7">
        <w:rPr>
          <w:rFonts w:ascii="Arial Narrow" w:hAnsi="Arial Narrow" w:cs="Tahoma"/>
          <w:sz w:val="22"/>
          <w:lang w:val="sr-Cyrl-CS"/>
        </w:rPr>
        <w:t>4</w:t>
      </w:r>
      <w:r w:rsidRPr="00A90BF7">
        <w:rPr>
          <w:rFonts w:ascii="Arial Narrow" w:hAnsi="Arial Narrow" w:cs="Tahoma"/>
          <w:sz w:val="22"/>
          <w:lang w:val="sr-Cyrl-CS"/>
        </w:rPr>
        <w:t xml:space="preserve">% од укупног оствареног извоза. У истом </w:t>
      </w:r>
      <w:r w:rsidR="003A0849" w:rsidRPr="00A90BF7">
        <w:rPr>
          <w:rFonts w:ascii="Arial Narrow" w:hAnsi="Arial Narrow" w:cs="Tahoma"/>
          <w:sz w:val="22"/>
          <w:lang w:val="sr-Cyrl-CS"/>
        </w:rPr>
        <w:t>периоду</w:t>
      </w:r>
      <w:r w:rsidRPr="00A90BF7">
        <w:rPr>
          <w:rFonts w:ascii="Arial Narrow" w:hAnsi="Arial Narrow" w:cs="Tahoma"/>
          <w:sz w:val="22"/>
          <w:lang w:val="sr-Cyrl-CS"/>
        </w:rPr>
        <w:t xml:space="preserve">, </w:t>
      </w:r>
      <w:r w:rsidRPr="00A90BF7">
        <w:rPr>
          <w:rFonts w:ascii="Arial Narrow" w:hAnsi="Arial Narrow" w:cs="Tahoma"/>
          <w:sz w:val="22"/>
          <w:lang w:val="sr-Cyrl-BA"/>
        </w:rPr>
        <w:t>н</w:t>
      </w:r>
      <w:r w:rsidRPr="00A90BF7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31402B" w:rsidRPr="00A90BF7">
        <w:rPr>
          <w:rFonts w:ascii="Arial Narrow" w:hAnsi="Arial Narrow" w:cs="Tahoma"/>
          <w:sz w:val="22"/>
          <w:lang w:val="sr-Cyrl-BA"/>
        </w:rPr>
        <w:t>303</w:t>
      </w:r>
      <w:r w:rsidR="00101E3A" w:rsidRPr="00A90BF7">
        <w:rPr>
          <w:rFonts w:ascii="Arial Narrow" w:hAnsi="Arial Narrow" w:cs="Tahoma"/>
          <w:sz w:val="22"/>
          <w:lang w:val="sr-Cyrl-BA"/>
        </w:rPr>
        <w:t xml:space="preserve"> </w:t>
      </w:r>
      <w:r w:rsidR="00E34FF5" w:rsidRPr="00A90BF7">
        <w:rPr>
          <w:rFonts w:ascii="Arial Narrow" w:hAnsi="Arial Narrow" w:cs="Tahoma"/>
          <w:sz w:val="22"/>
          <w:lang w:val="sr-Cyrl-CS"/>
        </w:rPr>
        <w:t>милиона КМ, односно 1</w:t>
      </w:r>
      <w:r w:rsidR="00BE4A93" w:rsidRPr="00A90BF7">
        <w:rPr>
          <w:rFonts w:ascii="Arial Narrow" w:hAnsi="Arial Narrow" w:cs="Tahoma"/>
          <w:sz w:val="22"/>
          <w:lang w:val="sr-Cyrl-CS"/>
        </w:rPr>
        <w:t>8</w:t>
      </w:r>
      <w:r w:rsidR="00E34FF5" w:rsidRPr="00A90BF7">
        <w:rPr>
          <w:rFonts w:ascii="Arial Narrow" w:hAnsi="Arial Narrow" w:cs="Tahoma"/>
          <w:sz w:val="22"/>
          <w:lang w:val="sr-Cyrl-CS"/>
        </w:rPr>
        <w:t>,</w:t>
      </w:r>
      <w:r w:rsidR="0031402B" w:rsidRPr="00A90BF7">
        <w:rPr>
          <w:rFonts w:ascii="Arial Narrow" w:hAnsi="Arial Narrow" w:cs="Tahoma"/>
          <w:sz w:val="22"/>
          <w:lang w:val="sr-Cyrl-CS"/>
        </w:rPr>
        <w:t>7</w:t>
      </w:r>
      <w:r w:rsidRPr="00A90BF7">
        <w:rPr>
          <w:rFonts w:ascii="Arial Narrow" w:hAnsi="Arial Narrow" w:cs="Tahoma"/>
          <w:sz w:val="22"/>
          <w:lang w:val="sr-Cyrl-CS"/>
        </w:rPr>
        <w:t xml:space="preserve">% и из </w:t>
      </w:r>
      <w:r w:rsidR="00384927" w:rsidRPr="00A90BF7">
        <w:rPr>
          <w:rFonts w:ascii="Arial Narrow" w:hAnsi="Arial Narrow" w:cs="Tahoma"/>
          <w:sz w:val="22"/>
          <w:lang w:val="sr-Cyrl-CS"/>
        </w:rPr>
        <w:t>Италије</w:t>
      </w:r>
      <w:r w:rsidRPr="00A90BF7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31402B" w:rsidRPr="00A90BF7">
        <w:rPr>
          <w:rFonts w:ascii="Arial Narrow" w:hAnsi="Arial Narrow" w:cs="Tahoma"/>
          <w:sz w:val="22"/>
          <w:lang w:val="sr-Cyrl-BA"/>
        </w:rPr>
        <w:t>219</w:t>
      </w:r>
      <w:r w:rsidR="003A0849" w:rsidRPr="00A90BF7">
        <w:rPr>
          <w:rFonts w:ascii="Arial Narrow" w:hAnsi="Arial Narrow" w:cs="Tahoma"/>
          <w:sz w:val="22"/>
          <w:lang w:val="sr-Cyrl-CS"/>
        </w:rPr>
        <w:t xml:space="preserve"> милион</w:t>
      </w:r>
      <w:r w:rsidR="0031402B" w:rsidRPr="00A90BF7">
        <w:rPr>
          <w:rFonts w:ascii="Arial Narrow" w:hAnsi="Arial Narrow" w:cs="Tahoma"/>
          <w:sz w:val="22"/>
          <w:lang w:val="sr-Cyrl-CS"/>
        </w:rPr>
        <w:t>а</w:t>
      </w:r>
      <w:r w:rsidR="003A0849" w:rsidRPr="00A90BF7">
        <w:rPr>
          <w:rFonts w:ascii="Arial Narrow" w:hAnsi="Arial Narrow" w:cs="Tahoma"/>
          <w:sz w:val="22"/>
          <w:lang w:val="sr-Cyrl-CS"/>
        </w:rPr>
        <w:t xml:space="preserve"> КМ, односно 13</w:t>
      </w:r>
      <w:r w:rsidR="007E3425" w:rsidRPr="00A90BF7">
        <w:rPr>
          <w:rFonts w:ascii="Arial Narrow" w:hAnsi="Arial Narrow" w:cs="Tahoma"/>
          <w:sz w:val="22"/>
          <w:lang w:val="sr-Cyrl-CS"/>
        </w:rPr>
        <w:t>,</w:t>
      </w:r>
      <w:r w:rsidR="0031402B" w:rsidRPr="00A90BF7">
        <w:rPr>
          <w:rFonts w:ascii="Arial Narrow" w:hAnsi="Arial Narrow" w:cs="Tahoma"/>
          <w:sz w:val="22"/>
          <w:lang w:val="sr-Cyrl-CS"/>
        </w:rPr>
        <w:t>5</w:t>
      </w:r>
      <w:r w:rsidRPr="00A90BF7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F442FA" w:rsidRPr="00A90BF7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F442FA" w:rsidRPr="00A90BF7" w:rsidRDefault="00F442FA" w:rsidP="00F442FA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A90BF7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="003A0849" w:rsidRPr="00A90BF7">
        <w:rPr>
          <w:rFonts w:ascii="Arial Narrow" w:hAnsi="Arial Narrow" w:cs="Tahoma"/>
          <w:bCs/>
          <w:sz w:val="22"/>
          <w:szCs w:val="22"/>
          <w:lang w:val="ru-RU"/>
        </w:rPr>
        <w:t xml:space="preserve">периоду </w:t>
      </w:r>
      <w:r w:rsidR="00384927" w:rsidRPr="00A90BF7">
        <w:rPr>
          <w:rFonts w:ascii="Arial Narrow" w:hAnsi="Arial Narrow" w:cs="Tahoma"/>
          <w:sz w:val="22"/>
          <w:szCs w:val="22"/>
          <w:lang w:val="ru-RU"/>
        </w:rPr>
        <w:t>јануар</w:t>
      </w:r>
      <w:r w:rsidR="003A0849" w:rsidRPr="00A90BF7">
        <w:rPr>
          <w:rFonts w:ascii="Arial Narrow" w:hAnsi="Arial Narrow" w:cs="Tahoma"/>
          <w:sz w:val="22"/>
          <w:szCs w:val="22"/>
          <w:lang w:val="ru-RU"/>
        </w:rPr>
        <w:t xml:space="preserve"> - </w:t>
      </w:r>
      <w:r w:rsidR="0031402B" w:rsidRPr="00A90BF7">
        <w:rPr>
          <w:rFonts w:ascii="Arial Narrow" w:hAnsi="Arial Narrow" w:cs="Tahoma"/>
          <w:sz w:val="22"/>
          <w:lang w:val="ru-RU"/>
        </w:rPr>
        <w:t>мај</w:t>
      </w:r>
      <w:r w:rsidR="00BE4A93" w:rsidRPr="00A90BF7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201</w:t>
      </w:r>
      <w:r w:rsidR="00384927" w:rsidRPr="00A90BF7">
        <w:rPr>
          <w:rFonts w:ascii="Arial Narrow" w:hAnsi="Arial Narrow" w:cs="Tahoma"/>
          <w:sz w:val="22"/>
          <w:szCs w:val="22"/>
          <w:lang w:val="sr-Cyrl-CS"/>
        </w:rPr>
        <w:t>6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остварују </w:t>
      </w:r>
      <w:r w:rsidR="00BE4A93" w:rsidRPr="00A90BF7">
        <w:rPr>
          <w:rFonts w:ascii="Arial Narrow" w:hAnsi="Arial Narrow" w:cs="Tahoma"/>
          <w:sz w:val="22"/>
          <w:szCs w:val="22"/>
          <w:lang w:val="sr-Cyrl-CS"/>
        </w:rPr>
        <w:t xml:space="preserve">обрађено дрво 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од </w:t>
      </w:r>
      <w:r w:rsidR="0031402B" w:rsidRPr="00A90BF7">
        <w:rPr>
          <w:rFonts w:ascii="Arial Narrow" w:hAnsi="Arial Narrow" w:cs="Tahoma"/>
          <w:sz w:val="22"/>
          <w:szCs w:val="22"/>
          <w:lang w:val="sr-Cyrl-CS"/>
        </w:rPr>
        <w:t>67</w:t>
      </w:r>
      <w:r w:rsidR="003A0849" w:rsidRPr="00A90BF7">
        <w:rPr>
          <w:rFonts w:ascii="Arial Narrow" w:hAnsi="Arial Narrow" w:cs="Tahoma"/>
          <w:sz w:val="22"/>
          <w:szCs w:val="22"/>
          <w:lang w:val="sr-Cyrl-CS"/>
        </w:rPr>
        <w:t xml:space="preserve"> милиона КМ, што износи </w:t>
      </w:r>
      <w:r w:rsidR="00BE4A93" w:rsidRPr="00A90BF7">
        <w:rPr>
          <w:rFonts w:ascii="Arial Narrow" w:hAnsi="Arial Narrow" w:cs="Tahoma"/>
          <w:sz w:val="22"/>
          <w:szCs w:val="22"/>
          <w:lang w:val="sr-Cyrl-CS"/>
        </w:rPr>
        <w:t>6</w:t>
      </w:r>
      <w:r w:rsidR="008902BA" w:rsidRPr="00A90BF7">
        <w:rPr>
          <w:rFonts w:ascii="Arial Narrow" w:hAnsi="Arial Narrow" w:cs="Tahoma"/>
          <w:sz w:val="22"/>
          <w:szCs w:val="22"/>
          <w:lang w:val="sr-Cyrl-CS"/>
        </w:rPr>
        <w:t>,</w:t>
      </w:r>
      <w:r w:rsidR="00BE4A93" w:rsidRPr="00A90BF7">
        <w:rPr>
          <w:rFonts w:ascii="Arial Narrow" w:hAnsi="Arial Narrow" w:cs="Tahoma"/>
          <w:sz w:val="22"/>
          <w:szCs w:val="22"/>
          <w:lang w:val="sr-Cyrl-CS"/>
        </w:rPr>
        <w:t>1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A90BF7">
        <w:rPr>
          <w:rFonts w:ascii="Arial Narrow" w:hAnsi="Arial Narrow" w:cs="Tahoma"/>
          <w:sz w:val="22"/>
          <w:szCs w:val="22"/>
          <w:lang w:val="sr-Cyrl-BA"/>
        </w:rPr>
        <w:t>н</w:t>
      </w:r>
      <w:r w:rsidRPr="00A90BF7">
        <w:rPr>
          <w:rFonts w:ascii="Arial Narrow" w:hAnsi="Arial Narrow" w:cs="Tahoma"/>
          <w:sz w:val="22"/>
          <w:szCs w:val="22"/>
          <w:lang w:val="ru-RU"/>
        </w:rPr>
        <w:t>афт</w:t>
      </w:r>
      <w:r w:rsidRPr="00A90BF7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A90BF7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A90BF7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A90BF7">
        <w:rPr>
          <w:rFonts w:ascii="Arial Narrow" w:hAnsi="Arial Narrow" w:cs="Tahoma"/>
          <w:sz w:val="22"/>
          <w:szCs w:val="22"/>
          <w:lang w:val="ru-RU"/>
        </w:rPr>
        <w:t>сиров</w:t>
      </w:r>
      <w:r w:rsidRPr="00A90BF7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BE4A93" w:rsidRPr="00A90BF7">
        <w:rPr>
          <w:rFonts w:ascii="Arial Narrow" w:hAnsi="Arial Narrow" w:cs="Tahoma"/>
          <w:sz w:val="22"/>
          <w:szCs w:val="22"/>
          <w:lang w:val="sr-Cyrl-BA"/>
        </w:rPr>
        <w:t>1</w:t>
      </w:r>
      <w:r w:rsidR="0031402B" w:rsidRPr="00A90BF7">
        <w:rPr>
          <w:rFonts w:ascii="Arial Narrow" w:hAnsi="Arial Narrow" w:cs="Tahoma"/>
          <w:sz w:val="22"/>
          <w:szCs w:val="22"/>
          <w:lang w:val="sr-Cyrl-BA"/>
        </w:rPr>
        <w:t>37</w:t>
      </w:r>
      <w:r w:rsidR="008F10AE" w:rsidRPr="00A90BF7">
        <w:rPr>
          <w:rFonts w:ascii="Arial Narrow" w:hAnsi="Arial Narrow" w:cs="Tahoma"/>
          <w:sz w:val="22"/>
          <w:szCs w:val="22"/>
          <w:lang w:val="sr-Cyrl-BA"/>
        </w:rPr>
        <w:t xml:space="preserve"> милиона КМ, што износи </w:t>
      </w:r>
      <w:r w:rsidR="0031402B" w:rsidRPr="00A90BF7">
        <w:rPr>
          <w:rFonts w:ascii="Arial Narrow" w:hAnsi="Arial Narrow" w:cs="Tahoma"/>
          <w:sz w:val="22"/>
          <w:szCs w:val="22"/>
          <w:lang w:val="sr-Cyrl-BA"/>
        </w:rPr>
        <w:t>8</w:t>
      </w:r>
      <w:r w:rsidR="008F10AE" w:rsidRPr="00A90BF7">
        <w:rPr>
          <w:rFonts w:ascii="Arial Narrow" w:hAnsi="Arial Narrow" w:cs="Tahoma"/>
          <w:sz w:val="22"/>
          <w:szCs w:val="22"/>
          <w:lang w:val="sr-Cyrl-BA"/>
        </w:rPr>
        <w:t>,</w:t>
      </w:r>
      <w:r w:rsidR="0031402B" w:rsidRPr="00A90BF7">
        <w:rPr>
          <w:rFonts w:ascii="Arial Narrow" w:hAnsi="Arial Narrow" w:cs="Tahoma"/>
          <w:sz w:val="22"/>
          <w:szCs w:val="22"/>
          <w:lang w:val="sr-Cyrl-BA"/>
        </w:rPr>
        <w:t>4</w:t>
      </w:r>
      <w:r w:rsidRPr="00A90BF7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A90BF7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15CDB" w:rsidRPr="0072615B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Pr="0072615B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72615B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72615B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52DE1" w:rsidRPr="0072615B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52DE1" w:rsidRPr="0072615B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72615B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84927" w:rsidRPr="0072615B" w:rsidRDefault="0038492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84927" w:rsidRPr="0072615B" w:rsidRDefault="0038492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84927" w:rsidRPr="0072615B" w:rsidRDefault="0038492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72615B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72615B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72615B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72615B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72615B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72615B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72615B" w:rsidRDefault="00CC339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 id="_x0000_s1068" type="#_x0000_t202" style="position:absolute;left:0;text-align:left;margin-left:89.5pt;margin-top:5.55pt;width:64.2pt;height:19.75pt;z-index:251664384;mso-width-relative:margin;mso-height-relative:margin" filled="f" stroked="f">
            <v:textbox style="mso-next-textbox:#_x0000_s1068">
              <w:txbxContent>
                <w:p w:rsidR="00A90BF7" w:rsidRPr="000A1309" w:rsidRDefault="00A90BF7" w:rsidP="00750905">
                  <w:pPr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BA70D8" w:rsidRPr="0072615B" w:rsidRDefault="00CC339F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05.35pt;margin-top:212.5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A90BF7" w:rsidRPr="000A1309" w:rsidRDefault="00A90BF7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59.7pt;margin-top:212.5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A90BF7" w:rsidRPr="000A1309" w:rsidRDefault="00A90BF7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5</w:t>
                  </w:r>
                </w:p>
              </w:txbxContent>
            </v:textbox>
          </v:shape>
        </w:pict>
      </w:r>
      <w:r w:rsidR="0031402B">
        <w:rPr>
          <w:noProof/>
        </w:rPr>
        <w:drawing>
          <wp:inline distT="0" distB="0" distL="0" distR="0">
            <wp:extent cx="5278582" cy="2820389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A0849" w:rsidRPr="0072615B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101E3A" w:rsidRPr="0072615B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72615B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45291E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22"/>
          <w:szCs w:val="22"/>
          <w:lang w:val="ru-RU"/>
        </w:rPr>
      </w:pPr>
      <w:r w:rsidRPr="0045291E">
        <w:rPr>
          <w:rFonts w:ascii="Arial Narrow" w:hAnsi="Arial Narrow" w:cs="Tahoma"/>
          <w:sz w:val="22"/>
          <w:szCs w:val="22"/>
          <w:lang w:val="ru-RU"/>
        </w:rPr>
        <w:t xml:space="preserve">Графикон </w:t>
      </w:r>
      <w:r w:rsidR="0066022A" w:rsidRPr="0045291E">
        <w:rPr>
          <w:rFonts w:ascii="Arial Narrow" w:hAnsi="Arial Narrow" w:cs="Tahoma"/>
          <w:sz w:val="22"/>
          <w:szCs w:val="22"/>
          <w:lang w:val="sr-Latn-BA"/>
        </w:rPr>
        <w:t>3</w:t>
      </w:r>
      <w:r w:rsidRPr="0045291E">
        <w:rPr>
          <w:rFonts w:ascii="Arial Narrow" w:hAnsi="Arial Narrow" w:cs="Tahoma"/>
          <w:sz w:val="22"/>
          <w:szCs w:val="22"/>
          <w:lang w:val="ru-RU"/>
        </w:rPr>
        <w:t xml:space="preserve">. </w:t>
      </w:r>
      <w:r w:rsidRPr="0045291E">
        <w:rPr>
          <w:rFonts w:ascii="Arial Narrow" w:hAnsi="Arial Narrow" w:cs="Tahoma"/>
          <w:iCs/>
          <w:sz w:val="22"/>
          <w:szCs w:val="22"/>
          <w:lang w:val="sr-Cyrl-CS"/>
        </w:rPr>
        <w:t>Из</w:t>
      </w:r>
      <w:r w:rsidRPr="0045291E">
        <w:rPr>
          <w:rFonts w:ascii="Arial Narrow" w:hAnsi="Arial Narrow" w:cs="Tahoma"/>
          <w:iCs/>
          <w:sz w:val="22"/>
          <w:szCs w:val="22"/>
          <w:lang w:val="ru-RU"/>
        </w:rPr>
        <w:t xml:space="preserve">воз и </w:t>
      </w:r>
      <w:r w:rsidRPr="0045291E">
        <w:rPr>
          <w:rFonts w:ascii="Arial Narrow" w:hAnsi="Arial Narrow" w:cs="Tahoma"/>
          <w:iCs/>
          <w:sz w:val="22"/>
          <w:szCs w:val="22"/>
          <w:lang w:val="sr-Cyrl-CS"/>
        </w:rPr>
        <w:t>у</w:t>
      </w:r>
      <w:r w:rsidRPr="0045291E">
        <w:rPr>
          <w:rFonts w:ascii="Arial Narrow" w:hAnsi="Arial Narrow" w:cs="Tahoma"/>
          <w:iCs/>
          <w:sz w:val="22"/>
          <w:szCs w:val="22"/>
          <w:lang w:val="ru-RU"/>
        </w:rPr>
        <w:t>воз по мјесецима</w:t>
      </w:r>
    </w:p>
    <w:p w:rsidR="002E1D1D" w:rsidRPr="0072615B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72615B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7261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612FE" w:rsidRPr="004C3AAF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4C20B5" w:rsidRPr="00252DE1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52DE1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252DE1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66022A" w:rsidRPr="00252DE1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252DE1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52DE1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66022A" w:rsidRPr="00252DE1" w:rsidRDefault="00CC339F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3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252DE1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252DE1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66022A" w:rsidRPr="00252DE1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52DE1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66022A" w:rsidRPr="00252DE1" w:rsidRDefault="00CC339F" w:rsidP="00252DE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66022A" w:rsidRPr="009504BB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52DE1">
              <w:rPr>
                <w:rFonts w:ascii="Arial Narrow" w:hAnsi="Arial Narrow" w:cs="Tahoma"/>
                <w:sz w:val="18"/>
                <w:szCs w:val="18"/>
                <w:lang w:val="sr-Cyrl-CS"/>
              </w:rPr>
              <w:t>Мирјана Бандур</w:t>
            </w:r>
          </w:p>
          <w:p w:rsidR="0066022A" w:rsidRPr="00252DE1" w:rsidRDefault="00CC339F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</w:tc>
      </w:tr>
      <w:tr w:rsidR="0066022A" w:rsidRPr="00252DE1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252DE1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66022A" w:rsidRPr="00252DE1" w:rsidRDefault="00CC339F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6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  <w:p w:rsidR="0066022A" w:rsidRPr="00252DE1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252DE1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252DE1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C20B5" w:rsidRPr="00CA19B5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CA19B5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CA19B5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CA19B5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C790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CC790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CC790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CC790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CC339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;mso-position-horizontal-relative:text;mso-position-vertical-relative:text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4C20B5" w:rsidRPr="00CA19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CA19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CA19B5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CA19B5">
              <w:rPr>
                <w:rFonts w:ascii="Arial Narrow" w:hAnsi="Arial Narrow" w:cs="Tahoma"/>
                <w:sz w:val="18"/>
              </w:rPr>
              <w:t>те</w:t>
            </w:r>
            <w:r w:rsidRPr="00CA19B5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CA19B5">
              <w:rPr>
                <w:rFonts w:ascii="Arial Narrow" w:hAnsi="Arial Narrow" w:cs="Tahoma"/>
                <w:sz w:val="18"/>
              </w:rPr>
              <w:t xml:space="preserve">е </w:t>
            </w:r>
            <w:r w:rsidRPr="00CA19B5">
              <w:rPr>
                <w:rFonts w:ascii="Arial Narrow" w:hAnsi="Arial Narrow" w:cs="Tahoma"/>
                <w:sz w:val="18"/>
                <w:lang w:val="sr-Cyrl-BA"/>
              </w:rPr>
              <w:t>припремило</w:t>
            </w:r>
            <w:r w:rsidRPr="00CA19B5">
              <w:rPr>
                <w:rFonts w:ascii="Arial Narrow" w:hAnsi="Arial Narrow" w:cs="Tahoma"/>
                <w:sz w:val="18"/>
              </w:rPr>
              <w:t xml:space="preserve"> </w:t>
            </w:r>
            <w:r w:rsidRPr="00CA19B5">
              <w:rPr>
                <w:rFonts w:ascii="Arial Narrow" w:hAnsi="Arial Narrow" w:cs="Tahoma"/>
                <w:sz w:val="18"/>
                <w:lang w:val="sr-Cyrl-CS"/>
              </w:rPr>
              <w:t>одјељење публикација</w:t>
            </w:r>
          </w:p>
        </w:tc>
      </w:tr>
      <w:tr w:rsidR="004C20B5" w:rsidRPr="009504BB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Владан Сибиновић, начелник одјељења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CA19B5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CA19B5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CA19B5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7" w:history="1"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E2A9A" w:rsidRPr="00CA19B5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CA19B5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CA19B5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CA19B5" w:rsidRDefault="00CC339F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sectPr w:rsidR="009E2A9A" w:rsidRPr="00CA19B5" w:rsidSect="0076768F">
      <w:headerReference w:type="default" r:id="rId18"/>
      <w:footerReference w:type="default" r:id="rId19"/>
      <w:footerReference w:type="first" r:id="rId20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BF7" w:rsidRDefault="00A90BF7">
      <w:r>
        <w:separator/>
      </w:r>
    </w:p>
  </w:endnote>
  <w:endnote w:type="continuationSeparator" w:id="0">
    <w:p w:rsidR="00A90BF7" w:rsidRDefault="00A9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F7" w:rsidRDefault="00CC339F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A90BF7" w:rsidRPr="00175687" w:rsidRDefault="00A90BF7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CC339F">
                    <w:rPr>
                      <w:rFonts w:ascii="Tahoma" w:hAnsi="Tahoma" w:cs="Tahoma"/>
                      <w:noProof/>
                      <w:color w:val="FFFFFF"/>
                    </w:rPr>
                    <w:t>2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F7" w:rsidRDefault="00CC339F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A90BF7" w:rsidRPr="00175687" w:rsidRDefault="00A90BF7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CC339F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BF7" w:rsidRDefault="00A90BF7">
      <w:r>
        <w:separator/>
      </w:r>
    </w:p>
  </w:footnote>
  <w:footnote w:type="continuationSeparator" w:id="0">
    <w:p w:rsidR="00A90BF7" w:rsidRDefault="00A90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A90BF7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A90BF7" w:rsidRPr="00DB5870" w:rsidRDefault="00A90BF7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A90BF7" w:rsidRPr="00DB5870" w:rsidRDefault="00A90BF7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A90BF7" w:rsidRPr="005D5311" w:rsidRDefault="00A90BF7" w:rsidP="00224614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431915">
            <w:rPr>
              <w:rFonts w:ascii="Arial Narrow" w:hAnsi="Arial Narrow" w:cs="Tahoma"/>
              <w:color w:val="1F497D" w:themeColor="text2"/>
              <w:sz w:val="16"/>
            </w:rPr>
            <w:t>2</w:t>
          </w:r>
          <w:r>
            <w:rPr>
              <w:rFonts w:ascii="Arial Narrow" w:hAnsi="Arial Narrow" w:cs="Tahoma"/>
              <w:color w:val="1F497D" w:themeColor="text2"/>
              <w:sz w:val="16"/>
              <w:lang w:val="sr-Latn-BA"/>
            </w:rPr>
            <w:t>2</w:t>
          </w:r>
          <w:r w:rsidRPr="00431915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. 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VI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</w:rPr>
            <w:t xml:space="preserve"> 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>201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6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CS"/>
            </w:rPr>
            <w:t>.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 Број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CS"/>
            </w:rPr>
            <w:t xml:space="preserve"> 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1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Latn-BA"/>
            </w:rPr>
            <w:t>60</w:t>
          </w:r>
          <w:r w:rsidRPr="00A64260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/1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</w:rPr>
            <w:t>6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A90BF7" w:rsidRDefault="00CC339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B3B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AC9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614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A2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EDA"/>
    <w:rsid w:val="00315794"/>
    <w:rsid w:val="00316671"/>
    <w:rsid w:val="003169EF"/>
    <w:rsid w:val="003170C4"/>
    <w:rsid w:val="00317BE9"/>
    <w:rsid w:val="00317F21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91E"/>
    <w:rsid w:val="00453016"/>
    <w:rsid w:val="004532C0"/>
    <w:rsid w:val="0045350E"/>
    <w:rsid w:val="00453C0D"/>
    <w:rsid w:val="00454068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5F5B"/>
    <w:rsid w:val="00486AF3"/>
    <w:rsid w:val="00486BB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0DB5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905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75D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5695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D54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773"/>
    <w:rsid w:val="00A87D08"/>
    <w:rsid w:val="00A87D87"/>
    <w:rsid w:val="00A87DDF"/>
    <w:rsid w:val="00A90589"/>
    <w:rsid w:val="00A905EA"/>
    <w:rsid w:val="00A90A0C"/>
    <w:rsid w:val="00A90BF7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FEB"/>
    <w:rsid w:val="00B0510C"/>
    <w:rsid w:val="00B055AA"/>
    <w:rsid w:val="00B06280"/>
    <w:rsid w:val="00B0675B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D2B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39F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8E0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77D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87D"/>
    <w:rsid w:val="00DC2009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8E8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DA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18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4E1"/>
    <w:rsid w:val="00EB1C9A"/>
    <w:rsid w:val="00EB21F8"/>
    <w:rsid w:val="00EB2360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075A"/>
    <w:rsid w:val="00F61BAF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8D40A84C-B32F-4DAF-9D6B-40663CC8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mirjana.bandur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tesic@rzs.rs.ba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2015</c:v>
                  </c:pt>
                  <c:pt idx="8">
                    <c:v>2016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832</c:v>
                </c:pt>
                <c:pt idx="1">
                  <c:v>843</c:v>
                </c:pt>
                <c:pt idx="2">
                  <c:v>834</c:v>
                </c:pt>
                <c:pt idx="3">
                  <c:v>834</c:v>
                </c:pt>
                <c:pt idx="4">
                  <c:v>834</c:v>
                </c:pt>
                <c:pt idx="5">
                  <c:v>824</c:v>
                </c:pt>
                <c:pt idx="6">
                  <c:v>824</c:v>
                </c:pt>
                <c:pt idx="7">
                  <c:v>834</c:v>
                </c:pt>
                <c:pt idx="8">
                  <c:v>816</c:v>
                </c:pt>
                <c:pt idx="9">
                  <c:v>838</c:v>
                </c:pt>
                <c:pt idx="10">
                  <c:v>837</c:v>
                </c:pt>
                <c:pt idx="11">
                  <c:v>832</c:v>
                </c:pt>
                <c:pt idx="12">
                  <c:v>841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5363680"/>
        <c:axId val="375364072"/>
      </c:lineChart>
      <c:catAx>
        <c:axId val="375363680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crossAx val="375364072"/>
        <c:crosses val="autoZero"/>
        <c:auto val="1"/>
        <c:lblAlgn val="ctr"/>
        <c:lblOffset val="100"/>
        <c:noMultiLvlLbl val="0"/>
      </c:catAx>
      <c:valAx>
        <c:axId val="375364072"/>
        <c:scaling>
          <c:orientation val="minMax"/>
          <c:max val="900"/>
          <c:min val="60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" sourceLinked="1"/>
        <c:majorTickMark val="out"/>
        <c:minorTickMark val="none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crossAx val="375363680"/>
        <c:crosses val="autoZero"/>
        <c:crossBetween val="between"/>
      </c:valAx>
      <c:spPr>
        <a:ln w="6350">
          <a:solidFill>
            <a:schemeClr val="bg1">
              <a:lumMod val="65000"/>
            </a:schemeClr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Arial Narrow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[1]Sheet1!$C$1</c:f>
              <c:strCache>
                <c:ptCount val="1"/>
                <c:pt idx="0">
                  <c:v>Десезонирани индекси</c:v>
                </c:pt>
              </c:strCache>
            </c:strRef>
          </c:tx>
          <c:marker>
            <c:symbol val="none"/>
          </c:marker>
          <c:cat>
            <c:multiLvlStrRef>
              <c:f>[1]Sheet1!$A$2:$B$50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2012</c:v>
                  </c:pt>
                  <c:pt idx="8">
                    <c:v>2013</c:v>
                  </c:pt>
                  <c:pt idx="20">
                    <c:v>2014</c:v>
                  </c:pt>
                  <c:pt idx="32">
                    <c:v>2015</c:v>
                  </c:pt>
                  <c:pt idx="44">
                    <c:v>2016</c:v>
                  </c:pt>
                </c:lvl>
              </c:multiLvlStrCache>
            </c:multiLvlStrRef>
          </c:cat>
          <c:val>
            <c:numRef>
              <c:f>[1]Sheet1!$C$2:$C$50</c:f>
              <c:numCache>
                <c:formatCode>General</c:formatCode>
                <c:ptCount val="49"/>
                <c:pt idx="0">
                  <c:v>99.293935009529719</c:v>
                </c:pt>
                <c:pt idx="1">
                  <c:v>99.622721799441237</c:v>
                </c:pt>
                <c:pt idx="2">
                  <c:v>93.542477078722698</c:v>
                </c:pt>
                <c:pt idx="3">
                  <c:v>99.66274594877703</c:v>
                </c:pt>
                <c:pt idx="4">
                  <c:v>106.27038820845478</c:v>
                </c:pt>
                <c:pt idx="5">
                  <c:v>100.5751082313857</c:v>
                </c:pt>
                <c:pt idx="6">
                  <c:v>99.246464121544747</c:v>
                </c:pt>
                <c:pt idx="7">
                  <c:v>102.49817944787767</c:v>
                </c:pt>
                <c:pt idx="8">
                  <c:v>102.09490433709286</c:v>
                </c:pt>
                <c:pt idx="9">
                  <c:v>100.3262725829278</c:v>
                </c:pt>
                <c:pt idx="10">
                  <c:v>99.810613122487979</c:v>
                </c:pt>
                <c:pt idx="11">
                  <c:v>109.50059150570431</c:v>
                </c:pt>
                <c:pt idx="12">
                  <c:v>102.70242407422546</c:v>
                </c:pt>
                <c:pt idx="13">
                  <c:v>105.0009516987005</c:v>
                </c:pt>
                <c:pt idx="14">
                  <c:v>110.36483231510879</c:v>
                </c:pt>
                <c:pt idx="15">
                  <c:v>106.79869562686426</c:v>
                </c:pt>
                <c:pt idx="16">
                  <c:v>100.95451607500227</c:v>
                </c:pt>
                <c:pt idx="17">
                  <c:v>101.85974460507677</c:v>
                </c:pt>
                <c:pt idx="18">
                  <c:v>105.20350952710444</c:v>
                </c:pt>
                <c:pt idx="19">
                  <c:v>106.49294538322719</c:v>
                </c:pt>
                <c:pt idx="20">
                  <c:v>107.11502591150465</c:v>
                </c:pt>
                <c:pt idx="21">
                  <c:v>104.92037483922128</c:v>
                </c:pt>
                <c:pt idx="22">
                  <c:v>101.25277107242422</c:v>
                </c:pt>
                <c:pt idx="23">
                  <c:v>103.57350949380954</c:v>
                </c:pt>
                <c:pt idx="24">
                  <c:v>102.55331638152748</c:v>
                </c:pt>
                <c:pt idx="25">
                  <c:v>103.85068126147981</c:v>
                </c:pt>
                <c:pt idx="26">
                  <c:v>106.00427086843203</c:v>
                </c:pt>
                <c:pt idx="27">
                  <c:v>99.887411424572434</c:v>
                </c:pt>
                <c:pt idx="28">
                  <c:v>109.82649579026253</c:v>
                </c:pt>
                <c:pt idx="29">
                  <c:v>107.94417901243736</c:v>
                </c:pt>
                <c:pt idx="30">
                  <c:v>107.80964367877642</c:v>
                </c:pt>
                <c:pt idx="31">
                  <c:v>106.27126495802722</c:v>
                </c:pt>
                <c:pt idx="32">
                  <c:v>109.61300412340645</c:v>
                </c:pt>
                <c:pt idx="33">
                  <c:v>109.94209741059075</c:v>
                </c:pt>
                <c:pt idx="34">
                  <c:v>103.2510839093728</c:v>
                </c:pt>
                <c:pt idx="35">
                  <c:v>106.86228647852172</c:v>
                </c:pt>
                <c:pt idx="36">
                  <c:v>109.43034343598927</c:v>
                </c:pt>
                <c:pt idx="37">
                  <c:v>108.18090894343537</c:v>
                </c:pt>
                <c:pt idx="38">
                  <c:v>107.59431434893305</c:v>
                </c:pt>
                <c:pt idx="39">
                  <c:v>110.62737930493847</c:v>
                </c:pt>
                <c:pt idx="40">
                  <c:v>106.38897735425122</c:v>
                </c:pt>
                <c:pt idx="41">
                  <c:v>108.84053743547908</c:v>
                </c:pt>
                <c:pt idx="42">
                  <c:v>107.90644624818839</c:v>
                </c:pt>
                <c:pt idx="43">
                  <c:v>107.26389965025805</c:v>
                </c:pt>
                <c:pt idx="44">
                  <c:v>103.98297508754455</c:v>
                </c:pt>
                <c:pt idx="45">
                  <c:v>114.39133761468362</c:v>
                </c:pt>
                <c:pt idx="46">
                  <c:v>121.08310521964739</c:v>
                </c:pt>
                <c:pt idx="47">
                  <c:v>111.91656099020334</c:v>
                </c:pt>
                <c:pt idx="48">
                  <c:v>116.10975335081285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[1]Sheet1!$D$1</c:f>
              <c:strCache>
                <c:ptCount val="1"/>
                <c:pt idx="0">
                  <c:v>Тренд индекси</c:v>
                </c:pt>
              </c:strCache>
            </c:strRef>
          </c:tx>
          <c:marker>
            <c:symbol val="none"/>
          </c:marker>
          <c:cat>
            <c:multiLvlStrRef>
              <c:f>[1]Sheet1!$A$2:$B$50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2012</c:v>
                  </c:pt>
                  <c:pt idx="8">
                    <c:v>2013</c:v>
                  </c:pt>
                  <c:pt idx="20">
                    <c:v>2014</c:v>
                  </c:pt>
                  <c:pt idx="32">
                    <c:v>2015</c:v>
                  </c:pt>
                  <c:pt idx="44">
                    <c:v>2016</c:v>
                  </c:pt>
                </c:lvl>
              </c:multiLvlStrCache>
            </c:multiLvlStrRef>
          </c:cat>
          <c:val>
            <c:numRef>
              <c:f>[1]Sheet1!$D$2:$D$50</c:f>
              <c:numCache>
                <c:formatCode>General</c:formatCode>
                <c:ptCount val="49"/>
                <c:pt idx="0">
                  <c:v>100.91605915481769</c:v>
                </c:pt>
                <c:pt idx="1">
                  <c:v>100.82008238979211</c:v>
                </c:pt>
                <c:pt idx="2">
                  <c:v>100.81926145980613</c:v>
                </c:pt>
                <c:pt idx="3">
                  <c:v>101.0485150309221</c:v>
                </c:pt>
                <c:pt idx="4">
                  <c:v>101.33994788276834</c:v>
                </c:pt>
                <c:pt idx="5">
                  <c:v>101.4991398659168</c:v>
                </c:pt>
                <c:pt idx="6">
                  <c:v>101.67734156907157</c:v>
                </c:pt>
                <c:pt idx="7">
                  <c:v>101.9401272210718</c:v>
                </c:pt>
                <c:pt idx="8">
                  <c:v>102.20619867235445</c:v>
                </c:pt>
                <c:pt idx="9">
                  <c:v>102.47106118866864</c:v>
                </c:pt>
                <c:pt idx="10">
                  <c:v>102.84474574081572</c:v>
                </c:pt>
                <c:pt idx="11">
                  <c:v>103.27132736273308</c:v>
                </c:pt>
                <c:pt idx="12">
                  <c:v>103.56852569523315</c:v>
                </c:pt>
                <c:pt idx="13">
                  <c:v>103.84550444059963</c:v>
                </c:pt>
                <c:pt idx="14">
                  <c:v>104.09085995951014</c:v>
                </c:pt>
                <c:pt idx="15">
                  <c:v>104.13577270902999</c:v>
                </c:pt>
                <c:pt idx="16">
                  <c:v>104.09584785915652</c:v>
                </c:pt>
                <c:pt idx="17">
                  <c:v>104.15734718533011</c:v>
                </c:pt>
                <c:pt idx="18">
                  <c:v>104.30721666352532</c:v>
                </c:pt>
                <c:pt idx="19">
                  <c:v>104.43718097776242</c:v>
                </c:pt>
                <c:pt idx="20">
                  <c:v>104.49701108036547</c:v>
                </c:pt>
                <c:pt idx="21">
                  <c:v>104.47246923683795</c:v>
                </c:pt>
                <c:pt idx="22">
                  <c:v>104.45183402262754</c:v>
                </c:pt>
                <c:pt idx="23">
                  <c:v>104.52987865593298</c:v>
                </c:pt>
                <c:pt idx="24">
                  <c:v>104.67282899906456</c:v>
                </c:pt>
                <c:pt idx="25">
                  <c:v>104.89783546822424</c:v>
                </c:pt>
                <c:pt idx="26">
                  <c:v>105.14848516600344</c:v>
                </c:pt>
                <c:pt idx="27">
                  <c:v>105.44194870965826</c:v>
                </c:pt>
                <c:pt idx="28">
                  <c:v>105.86068066105376</c:v>
                </c:pt>
                <c:pt idx="29">
                  <c:v>106.2283580679474</c:v>
                </c:pt>
                <c:pt idx="30">
                  <c:v>106.50167937983052</c:v>
                </c:pt>
                <c:pt idx="31">
                  <c:v>106.76553318945714</c:v>
                </c:pt>
                <c:pt idx="32">
                  <c:v>107.03397582164878</c:v>
                </c:pt>
                <c:pt idx="33">
                  <c:v>107.2250714940965</c:v>
                </c:pt>
                <c:pt idx="34">
                  <c:v>107.36294033713386</c:v>
                </c:pt>
                <c:pt idx="35">
                  <c:v>107.6196199015484</c:v>
                </c:pt>
                <c:pt idx="36">
                  <c:v>107.93653464737771</c:v>
                </c:pt>
                <c:pt idx="37">
                  <c:v>108.21286251072011</c:v>
                </c:pt>
                <c:pt idx="38">
                  <c:v>108.51266950583542</c:v>
                </c:pt>
                <c:pt idx="39">
                  <c:v>108.83180404427839</c:v>
                </c:pt>
                <c:pt idx="40">
                  <c:v>109.1468925911753</c:v>
                </c:pt>
                <c:pt idx="41">
                  <c:v>109.53317225806398</c:v>
                </c:pt>
                <c:pt idx="42">
                  <c:v>109.99611981212846</c:v>
                </c:pt>
                <c:pt idx="43">
                  <c:v>110.52802305866381</c:v>
                </c:pt>
                <c:pt idx="44">
                  <c:v>111.23463744839859</c:v>
                </c:pt>
                <c:pt idx="45">
                  <c:v>112.18357666085315</c:v>
                </c:pt>
                <c:pt idx="46">
                  <c:v>113.08264106856095</c:v>
                </c:pt>
                <c:pt idx="47">
                  <c:v>113.78126080342388</c:v>
                </c:pt>
                <c:pt idx="48">
                  <c:v>114.49526756391192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3472680"/>
        <c:axId val="373472288"/>
      </c:lineChart>
      <c:catAx>
        <c:axId val="373472680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373472288"/>
        <c:crosses val="autoZero"/>
        <c:auto val="1"/>
        <c:lblAlgn val="ctr"/>
        <c:lblOffset val="100"/>
        <c:noMultiLvlLbl val="0"/>
      </c:catAx>
      <c:valAx>
        <c:axId val="373472288"/>
        <c:scaling>
          <c:orientation val="minMax"/>
          <c:max val="125"/>
          <c:min val="9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373472680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974636370146376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zaMaj2016!$A$2</c:f>
              <c:strCache>
                <c:ptCount val="1"/>
                <c:pt idx="0">
                  <c:v>Увоз           </c:v>
                </c:pt>
              </c:strCache>
            </c:strRef>
          </c:tx>
          <c:marker>
            <c:symbol val="none"/>
          </c:marker>
          <c:cat>
            <c:strRef>
              <c:f>zaMaj2016!$B$1:$N$1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zaMaj2016!$B$2:$N$2</c:f>
              <c:numCache>
                <c:formatCode>General</c:formatCode>
                <c:ptCount val="13"/>
                <c:pt idx="0">
                  <c:v>393112</c:v>
                </c:pt>
                <c:pt idx="1">
                  <c:v>372846</c:v>
                </c:pt>
                <c:pt idx="2">
                  <c:v>442035</c:v>
                </c:pt>
                <c:pt idx="3">
                  <c:v>336534</c:v>
                </c:pt>
                <c:pt idx="4">
                  <c:v>390519</c:v>
                </c:pt>
                <c:pt idx="5">
                  <c:v>397166</c:v>
                </c:pt>
                <c:pt idx="6">
                  <c:v>346318</c:v>
                </c:pt>
                <c:pt idx="7">
                  <c:v>288270</c:v>
                </c:pt>
                <c:pt idx="8">
                  <c:v>227697</c:v>
                </c:pt>
                <c:pt idx="9">
                  <c:v>326706</c:v>
                </c:pt>
                <c:pt idx="10">
                  <c:v>352510</c:v>
                </c:pt>
                <c:pt idx="11">
                  <c:v>406283</c:v>
                </c:pt>
                <c:pt idx="12">
                  <c:v>312920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zaMaj2016!$A$3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zaMaj2016!$B$1:$N$1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zaMaj2016!$B$3:$N$3</c:f>
              <c:numCache>
                <c:formatCode>0</c:formatCode>
                <c:ptCount val="13"/>
                <c:pt idx="0">
                  <c:v>207541</c:v>
                </c:pt>
                <c:pt idx="1">
                  <c:v>238678</c:v>
                </c:pt>
                <c:pt idx="2">
                  <c:v>243048</c:v>
                </c:pt>
                <c:pt idx="3">
                  <c:v>201596</c:v>
                </c:pt>
                <c:pt idx="4">
                  <c:v>237628</c:v>
                </c:pt>
                <c:pt idx="5">
                  <c:v>240795</c:v>
                </c:pt>
                <c:pt idx="6">
                  <c:v>202399</c:v>
                </c:pt>
                <c:pt idx="7">
                  <c:v>146158</c:v>
                </c:pt>
                <c:pt idx="8">
                  <c:v>183779</c:v>
                </c:pt>
                <c:pt idx="9">
                  <c:v>211524</c:v>
                </c:pt>
                <c:pt idx="10">
                  <c:v>239782</c:v>
                </c:pt>
                <c:pt idx="11">
                  <c:v>228100</c:v>
                </c:pt>
                <c:pt idx="12">
                  <c:v>233872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9923920"/>
        <c:axId val="189922744"/>
      </c:lineChart>
      <c:catAx>
        <c:axId val="189923920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crossAx val="189922744"/>
        <c:crosses val="autoZero"/>
        <c:auto val="1"/>
        <c:lblAlgn val="ctr"/>
        <c:lblOffset val="100"/>
        <c:noMultiLvlLbl val="0"/>
      </c:catAx>
      <c:valAx>
        <c:axId val="189922744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#,##0" sourceLinked="0"/>
        <c:majorTickMark val="out"/>
        <c:minorTickMark val="none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crossAx val="189923920"/>
        <c:crosses val="autoZero"/>
        <c:crossBetween val="between"/>
      </c:valAx>
      <c:spPr>
        <a:ln w="6350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82107031774821349"/>
          <c:y val="5.4021271533820366E-2"/>
          <c:w val="0.17597459515673755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D84BA-ABA1-42E0-A97F-58E2B520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3522</TotalTime>
  <Pages>5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9323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Jelena Kadnic</cp:lastModifiedBy>
  <cp:revision>570</cp:revision>
  <cp:lastPrinted>2015-12-17T11:01:00Z</cp:lastPrinted>
  <dcterms:created xsi:type="dcterms:W3CDTF">2014-03-14T12:01:00Z</dcterms:created>
  <dcterms:modified xsi:type="dcterms:W3CDTF">2016-06-22T06:09:00Z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