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7D4F70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/No. </w:t>
            </w:r>
            <w:r w:rsidR="007D4F7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јану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ар</w:t>
            </w:r>
            <w:proofErr w:type="gramEnd"/>
            <w:r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AD1F00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53D89">
        <w:rPr>
          <w:rFonts w:ascii="Arial Narrow" w:hAnsi="Arial Narrow" w:cs="Tahoma"/>
          <w:b/>
          <w:color w:val="FF0000"/>
          <w:sz w:val="30"/>
          <w:szCs w:val="30"/>
          <w:lang w:val="sr-Cyrl-CS"/>
        </w:rPr>
        <w:t xml:space="preserve">  </w:t>
      </w:r>
      <w:proofErr w:type="spellStart"/>
      <w:r w:rsidR="00E33D13" w:rsidRPr="00AD1F00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proofErr w:type="spellEnd"/>
      <w:r w:rsidR="00E33D13" w:rsidRPr="00AD1F00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AD1F00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AD1F00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AD1F00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AD1F00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B747A8" w:rsidRPr="00AD1F00">
        <w:rPr>
          <w:rFonts w:ascii="Arial Narrow" w:hAnsi="Arial Narrow" w:cs="Tahoma"/>
          <w:b/>
          <w:sz w:val="30"/>
          <w:szCs w:val="30"/>
          <w:lang w:val="sr-Cyrl-BA"/>
        </w:rPr>
        <w:t>дец</w:t>
      </w:r>
      <w:r w:rsidR="00F0781C" w:rsidRPr="00AD1F00">
        <w:rPr>
          <w:rFonts w:ascii="Arial Narrow" w:hAnsi="Arial Narrow" w:cs="Tahoma"/>
          <w:b/>
          <w:sz w:val="30"/>
          <w:szCs w:val="30"/>
          <w:lang w:val="sr-Cyrl-BA"/>
        </w:rPr>
        <w:t>ем</w:t>
      </w:r>
      <w:r w:rsidR="00675807" w:rsidRPr="00AD1F00">
        <w:rPr>
          <w:rFonts w:ascii="Arial Narrow" w:hAnsi="Arial Narrow" w:cs="Tahoma"/>
          <w:b/>
          <w:sz w:val="30"/>
          <w:szCs w:val="30"/>
          <w:lang w:val="sr-Cyrl-BA"/>
        </w:rPr>
        <w:t>бру</w:t>
      </w:r>
      <w:r w:rsidR="00E33D13" w:rsidRPr="00AD1F00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AD1F00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B747A8" w:rsidRPr="00AD1F00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625174" w:rsidRPr="00AD1F00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AD1F0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AD1F00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AD1F0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D1F00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AD1F00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AD1F00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AD1F00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B747A8" w:rsidRPr="00AD1F00">
        <w:rPr>
          <w:rFonts w:ascii="Arial Narrow" w:hAnsi="Arial Narrow" w:cs="Tahoma"/>
          <w:b/>
          <w:sz w:val="28"/>
          <w:szCs w:val="28"/>
          <w:lang w:val="ru-RU"/>
        </w:rPr>
        <w:t>59</w:t>
      </w:r>
      <w:r w:rsidRPr="00AD1F00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D1F00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D1F00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D1F00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AD1F00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Административне и помоћне услужне </w:t>
      </w:r>
      <w:proofErr w:type="spellStart"/>
      <w:r w:rsidR="00470221" w:rsidRPr="00AD1F00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48741A" w:rsidRPr="00AD1F00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AD1F00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B747A8" w:rsidRPr="00AD1F00">
        <w:rPr>
          <w:rFonts w:ascii="Arial Narrow" w:hAnsi="Arial Narrow" w:cs="Tahoma"/>
          <w:b/>
          <w:sz w:val="28"/>
          <w:szCs w:val="28"/>
          <w:lang w:val="sr-Cyrl-BA"/>
        </w:rPr>
        <w:t>21</w:t>
      </w:r>
      <w:r w:rsidRPr="00AD1F00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D1F0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D1F00">
        <w:rPr>
          <w:rFonts w:ascii="Tahoma" w:hAnsi="Tahoma" w:cs="Tahoma"/>
          <w:b/>
          <w:lang w:val="sr-Cyrl-CS"/>
        </w:rPr>
        <w:tab/>
      </w:r>
      <w:r w:rsidRPr="00AD1F00">
        <w:rPr>
          <w:rFonts w:ascii="Tahoma" w:hAnsi="Tahoma" w:cs="Tahoma"/>
          <w:b/>
          <w:lang w:val="sr-Cyrl-CS"/>
        </w:rPr>
        <w:tab/>
      </w:r>
    </w:p>
    <w:p w:rsidR="00B82005" w:rsidRPr="00AD1F0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D1F00">
        <w:rPr>
          <w:rFonts w:ascii="Arial Narrow" w:hAnsi="Arial Narrow" w:cs="Tahoma"/>
          <w:sz w:val="22"/>
          <w:lang w:val="sr-Cyrl-BA"/>
        </w:rPr>
        <w:t>П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AD1F00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нето плата</w:t>
      </w:r>
      <w:r w:rsidRPr="00AD1F00">
        <w:rPr>
          <w:rFonts w:ascii="Arial Narrow" w:hAnsi="Arial Narrow" w:cs="Tahoma"/>
          <w:b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AD1F00">
        <w:rPr>
          <w:rFonts w:ascii="Arial Narrow" w:hAnsi="Arial Narrow" w:cs="Tahoma"/>
          <w:b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747A8" w:rsidRPr="00AD1F00">
        <w:rPr>
          <w:rFonts w:ascii="Arial Narrow" w:hAnsi="Arial Narrow" w:cs="Tahoma"/>
          <w:sz w:val="22"/>
          <w:lang w:val="sr-Cyrl-CS"/>
        </w:rPr>
        <w:t>дец</w:t>
      </w:r>
      <w:r w:rsidR="00F0781C" w:rsidRPr="00AD1F00">
        <w:rPr>
          <w:rFonts w:ascii="Arial Narrow" w:hAnsi="Arial Narrow" w:cs="Tahoma"/>
          <w:sz w:val="22"/>
          <w:lang w:val="sr-Cyrl-CS"/>
        </w:rPr>
        <w:t>ем</w:t>
      </w:r>
      <w:r w:rsidR="00675807" w:rsidRPr="00AD1F00">
        <w:rPr>
          <w:rFonts w:ascii="Arial Narrow" w:hAnsi="Arial Narrow" w:cs="Tahoma"/>
          <w:sz w:val="22"/>
          <w:lang w:val="sr-Cyrl-CS"/>
        </w:rPr>
        <w:t>бру</w:t>
      </w:r>
      <w:r w:rsidRPr="00AD1F0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AD1F00">
        <w:rPr>
          <w:rFonts w:ascii="Arial Narrow" w:hAnsi="Arial Narrow" w:cs="Tahoma"/>
          <w:sz w:val="22"/>
          <w:lang w:val="sr-Cyrl-CS"/>
        </w:rPr>
        <w:t>5</w:t>
      </w:r>
      <w:r w:rsidRPr="00AD1F00">
        <w:rPr>
          <w:rFonts w:ascii="Arial Narrow" w:hAnsi="Arial Narrow" w:cs="Tahoma"/>
          <w:sz w:val="22"/>
          <w:lang w:val="sr-Cyrl-CS"/>
        </w:rPr>
        <w:t>.</w:t>
      </w:r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године износи</w:t>
      </w:r>
      <w:r w:rsidR="00C247D0">
        <w:rPr>
          <w:rFonts w:ascii="Arial Narrow" w:hAnsi="Arial Narrow" w:cs="Tahoma"/>
          <w:sz w:val="22"/>
          <w:lang w:val="sr-Cyrl-BA"/>
        </w:rPr>
        <w:t>ла је</w:t>
      </w:r>
      <w:r w:rsidRPr="00AD1F0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077650">
        <w:rPr>
          <w:rFonts w:ascii="Arial Narrow" w:hAnsi="Arial Narrow" w:cs="Tahoma"/>
          <w:b/>
          <w:sz w:val="22"/>
        </w:rPr>
        <w:t xml:space="preserve">       </w:t>
      </w:r>
      <w:r w:rsidRPr="00AD1F00">
        <w:rPr>
          <w:rFonts w:ascii="Arial Narrow" w:hAnsi="Arial Narrow" w:cs="Tahoma"/>
          <w:sz w:val="22"/>
          <w:lang w:val="sr-Cyrl-CS"/>
        </w:rPr>
        <w:t>8</w:t>
      </w:r>
      <w:r w:rsidR="00B747A8" w:rsidRPr="00AD1F00">
        <w:rPr>
          <w:rFonts w:ascii="Arial Narrow" w:hAnsi="Arial Narrow" w:cs="Tahoma"/>
          <w:sz w:val="22"/>
          <w:lang w:val="sr-Cyrl-CS"/>
        </w:rPr>
        <w:t>3</w:t>
      </w:r>
      <w:r w:rsidR="00625174" w:rsidRPr="00AD1F00">
        <w:rPr>
          <w:rFonts w:ascii="Arial Narrow" w:hAnsi="Arial Narrow" w:cs="Tahoma"/>
          <w:sz w:val="22"/>
          <w:lang w:val="sr-Cyrl-CS"/>
        </w:rPr>
        <w:t>4</w:t>
      </w:r>
      <w:r w:rsidRPr="00AD1F00">
        <w:rPr>
          <w:rFonts w:ascii="Arial Narrow" w:hAnsi="Arial Narrow" w:cs="Tahoma"/>
          <w:sz w:val="22"/>
          <w:lang w:val="sr-Cyrl-CS"/>
        </w:rPr>
        <w:t xml:space="preserve"> КМ</w:t>
      </w:r>
      <w:r w:rsidRPr="00AD1F00">
        <w:rPr>
          <w:rFonts w:ascii="Arial Narrow" w:hAnsi="Arial Narrow" w:cs="Tahoma"/>
          <w:sz w:val="22"/>
          <w:lang w:val="hr-HR"/>
        </w:rPr>
        <w:t>,</w:t>
      </w:r>
      <w:r w:rsidRPr="00AD1F00">
        <w:rPr>
          <w:rFonts w:ascii="Arial Narrow" w:hAnsi="Arial Narrow" w:cs="Tahoma"/>
          <w:sz w:val="22"/>
          <w:lang w:val="ru-RU"/>
        </w:rPr>
        <w:t xml:space="preserve"> а п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AD1F00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бруто плата</w:t>
      </w:r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1 3</w:t>
      </w:r>
      <w:r w:rsidR="00B747A8" w:rsidRPr="00AD1F00">
        <w:rPr>
          <w:rFonts w:ascii="Arial Narrow" w:hAnsi="Arial Narrow" w:cs="Tahoma"/>
          <w:sz w:val="22"/>
          <w:lang w:val="sr-Cyrl-CS"/>
        </w:rPr>
        <w:t>44</w:t>
      </w:r>
      <w:r w:rsidR="00F0781C" w:rsidRPr="00AD1F00">
        <w:rPr>
          <w:rFonts w:ascii="Arial Narrow" w:hAnsi="Arial Narrow" w:cs="Tahoma"/>
          <w:sz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КМ.</w:t>
      </w:r>
      <w:r w:rsidR="00B82005" w:rsidRPr="00AD1F00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AD1F00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AD1F00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D1F00">
        <w:rPr>
          <w:rFonts w:ascii="Arial Narrow" w:hAnsi="Arial Narrow" w:cs="Tahoma"/>
          <w:sz w:val="22"/>
          <w:lang w:val="sr-Latn-CS"/>
        </w:rPr>
        <w:t xml:space="preserve">У </w:t>
      </w:r>
      <w:r w:rsidRPr="00AD1F00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B747A8" w:rsidRPr="00AD1F00">
        <w:rPr>
          <w:rFonts w:ascii="Arial Narrow" w:hAnsi="Arial Narrow" w:cs="Tahoma"/>
          <w:sz w:val="22"/>
          <w:lang w:val="sr-Cyrl-CS"/>
        </w:rPr>
        <w:t>дец</w:t>
      </w:r>
      <w:r w:rsidR="00F0781C" w:rsidRPr="00AD1F00">
        <w:rPr>
          <w:rFonts w:ascii="Arial Narrow" w:hAnsi="Arial Narrow" w:cs="Tahoma"/>
          <w:sz w:val="22"/>
          <w:lang w:val="sr-Cyrl-CS"/>
        </w:rPr>
        <w:t>ем</w:t>
      </w:r>
      <w:r w:rsidR="00675807" w:rsidRPr="00AD1F00">
        <w:rPr>
          <w:rFonts w:ascii="Arial Narrow" w:hAnsi="Arial Narrow" w:cs="Tahoma"/>
          <w:sz w:val="22"/>
          <w:lang w:val="sr-Cyrl-CS"/>
        </w:rPr>
        <w:t>бар</w:t>
      </w:r>
      <w:r w:rsidRPr="00AD1F0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AD1F00">
        <w:rPr>
          <w:rFonts w:ascii="Arial Narrow" w:hAnsi="Arial Narrow" w:cs="Tahoma"/>
          <w:sz w:val="22"/>
          <w:lang w:val="sr-Cyrl-CS"/>
        </w:rPr>
        <w:t>4</w:t>
      </w:r>
      <w:r w:rsidRPr="00AD1F00">
        <w:rPr>
          <w:rFonts w:ascii="Arial Narrow" w:hAnsi="Arial Narrow" w:cs="Tahoma"/>
          <w:sz w:val="22"/>
          <w:lang w:val="sr-Cyrl-CS"/>
        </w:rPr>
        <w:t xml:space="preserve">. </w:t>
      </w:r>
      <w:r w:rsidRPr="00AD1F00">
        <w:rPr>
          <w:rFonts w:ascii="Arial Narrow" w:hAnsi="Arial Narrow" w:cs="Tahoma"/>
          <w:sz w:val="22"/>
          <w:lang w:val="sr-Cyrl-BA"/>
        </w:rPr>
        <w:t>г</w:t>
      </w:r>
      <w:r w:rsidRPr="00AD1F00">
        <w:rPr>
          <w:rFonts w:ascii="Arial Narrow" w:hAnsi="Arial Narrow" w:cs="Tahoma"/>
          <w:sz w:val="22"/>
          <w:lang w:val="sr-Cyrl-CS"/>
        </w:rPr>
        <w:t>одине</w:t>
      </w:r>
      <w:r w:rsidRPr="00AD1F00">
        <w:rPr>
          <w:rFonts w:ascii="Arial Narrow" w:hAnsi="Arial Narrow" w:cs="Tahoma"/>
          <w:sz w:val="22"/>
          <w:lang w:val="sr-Latn-BA"/>
        </w:rPr>
        <w:t>,</w:t>
      </w:r>
      <w:r w:rsidRPr="00AD1F00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нето плата исплаћена у </w:t>
      </w:r>
      <w:r w:rsidR="00B747A8" w:rsidRPr="00AD1F00">
        <w:rPr>
          <w:rFonts w:ascii="Arial Narrow" w:hAnsi="Arial Narrow" w:cs="Tahoma"/>
          <w:sz w:val="22"/>
          <w:lang w:val="sr-Cyrl-CS"/>
        </w:rPr>
        <w:t>дец</w:t>
      </w:r>
      <w:r w:rsidR="00F0781C" w:rsidRPr="00AD1F00">
        <w:rPr>
          <w:rFonts w:ascii="Arial Narrow" w:hAnsi="Arial Narrow" w:cs="Tahoma"/>
          <w:sz w:val="22"/>
          <w:lang w:val="sr-Cyrl-CS"/>
        </w:rPr>
        <w:t>ем</w:t>
      </w:r>
      <w:r w:rsidR="00675807" w:rsidRPr="00AD1F00">
        <w:rPr>
          <w:rFonts w:ascii="Arial Narrow" w:hAnsi="Arial Narrow" w:cs="Tahoma"/>
          <w:sz w:val="22"/>
          <w:lang w:val="sr-Cyrl-CS"/>
        </w:rPr>
        <w:t>бру</w:t>
      </w:r>
      <w:r w:rsidRPr="00AD1F0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AD1F00">
        <w:rPr>
          <w:rFonts w:ascii="Arial Narrow" w:hAnsi="Arial Narrow" w:cs="Tahoma"/>
          <w:sz w:val="22"/>
          <w:lang w:val="sr-Cyrl-CS"/>
        </w:rPr>
        <w:t>5</w:t>
      </w:r>
      <w:r w:rsidRPr="00AD1F00">
        <w:rPr>
          <w:rFonts w:ascii="Arial Narrow" w:hAnsi="Arial Narrow" w:cs="Tahoma"/>
          <w:sz w:val="22"/>
          <w:lang w:val="sr-Cyrl-CS"/>
        </w:rPr>
        <w:t xml:space="preserve">. </w:t>
      </w:r>
      <w:r w:rsidR="00077650" w:rsidRPr="00AD1F00">
        <w:rPr>
          <w:rFonts w:ascii="Arial Narrow" w:hAnsi="Arial Narrow" w:cs="Tahoma"/>
          <w:sz w:val="22"/>
          <w:lang w:val="sr-Cyrl-BA"/>
        </w:rPr>
        <w:t>г</w:t>
      </w:r>
      <w:r w:rsidR="00077650" w:rsidRPr="00AD1F00">
        <w:rPr>
          <w:rFonts w:ascii="Arial Narrow" w:hAnsi="Arial Narrow" w:cs="Tahoma"/>
          <w:sz w:val="22"/>
          <w:lang w:val="sr-Cyrl-CS"/>
        </w:rPr>
        <w:t>одине</w:t>
      </w:r>
      <w:r w:rsidR="00077650" w:rsidRPr="00AD1F00">
        <w:rPr>
          <w:rFonts w:ascii="Arial Narrow" w:hAnsi="Arial Narrow" w:cs="Tahoma"/>
          <w:sz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 xml:space="preserve">реално је </w:t>
      </w:r>
      <w:r w:rsidR="00077650">
        <w:rPr>
          <w:rFonts w:ascii="Arial Narrow" w:hAnsi="Arial Narrow" w:cs="Tahoma"/>
          <w:sz w:val="22"/>
          <w:lang w:val="sr-Cyrl-CS"/>
        </w:rPr>
        <w:t xml:space="preserve">била </w:t>
      </w:r>
      <w:r w:rsidRPr="00AD1F00">
        <w:rPr>
          <w:rFonts w:ascii="Arial Narrow" w:hAnsi="Arial Narrow" w:cs="Tahoma"/>
          <w:sz w:val="22"/>
          <w:lang w:val="sr-Cyrl-CS"/>
        </w:rPr>
        <w:t xml:space="preserve">већа за </w:t>
      </w:r>
      <w:r w:rsidR="00FF3EA0" w:rsidRPr="00AD1F00">
        <w:rPr>
          <w:rFonts w:ascii="Arial Narrow" w:hAnsi="Arial Narrow" w:cs="Tahoma"/>
          <w:sz w:val="22"/>
          <w:lang w:val="sr-Cyrl-CS"/>
        </w:rPr>
        <w:t>1</w:t>
      </w:r>
      <w:r w:rsidRPr="00AD1F00">
        <w:rPr>
          <w:rFonts w:ascii="Arial Narrow" w:hAnsi="Arial Narrow" w:cs="Tahoma"/>
          <w:sz w:val="22"/>
          <w:lang w:val="sr-Cyrl-CS"/>
        </w:rPr>
        <w:t>,</w:t>
      </w:r>
      <w:r w:rsidR="00B747A8" w:rsidRPr="00AD1F00">
        <w:rPr>
          <w:rFonts w:ascii="Arial Narrow" w:hAnsi="Arial Narrow" w:cs="Tahoma"/>
          <w:sz w:val="22"/>
          <w:lang w:val="sr-Cyrl-CS"/>
        </w:rPr>
        <w:t>4</w:t>
      </w:r>
      <w:r w:rsidRPr="00AD1F00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B747A8" w:rsidRPr="00AD1F00">
        <w:rPr>
          <w:rFonts w:ascii="Arial Narrow" w:hAnsi="Arial Narrow" w:cs="Tahoma"/>
          <w:sz w:val="22"/>
          <w:lang w:val="sr-Cyrl-CS"/>
        </w:rPr>
        <w:t>новем</w:t>
      </w:r>
      <w:r w:rsidR="00FF3EA0" w:rsidRPr="00AD1F00">
        <w:rPr>
          <w:rFonts w:ascii="Arial Narrow" w:hAnsi="Arial Narrow" w:cs="Tahoma"/>
          <w:sz w:val="22"/>
          <w:lang w:val="sr-Cyrl-CS"/>
        </w:rPr>
        <w:t>бар</w:t>
      </w:r>
      <w:r w:rsidRPr="00AD1F00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AD1F00">
        <w:rPr>
          <w:rFonts w:ascii="Arial Narrow" w:hAnsi="Arial Narrow" w:cs="Tahoma"/>
          <w:sz w:val="22"/>
          <w:lang w:val="sr-Cyrl-CS"/>
        </w:rPr>
        <w:t>5</w:t>
      </w:r>
      <w:r w:rsidRPr="00AD1F00">
        <w:rPr>
          <w:rFonts w:ascii="Arial Narrow" w:hAnsi="Arial Narrow" w:cs="Tahoma"/>
          <w:sz w:val="22"/>
          <w:lang w:val="sr-Cyrl-CS"/>
        </w:rPr>
        <w:t>. године</w:t>
      </w:r>
      <w:r w:rsidR="00C247D0">
        <w:rPr>
          <w:rFonts w:ascii="Arial Narrow" w:hAnsi="Arial Narrow" w:cs="Tahoma"/>
          <w:sz w:val="22"/>
          <w:lang w:val="sr-Cyrl-CS"/>
        </w:rPr>
        <w:t>,</w:t>
      </w:r>
      <w:r w:rsidRPr="00AD1F00">
        <w:rPr>
          <w:rFonts w:ascii="Arial Narrow" w:hAnsi="Arial Narrow" w:cs="Tahoma"/>
          <w:sz w:val="22"/>
          <w:lang w:val="sr-Cyrl-CS"/>
        </w:rPr>
        <w:t xml:space="preserve"> </w:t>
      </w:r>
      <w:r w:rsidR="00B747A8" w:rsidRPr="00AD1F00">
        <w:rPr>
          <w:rFonts w:ascii="Arial Narrow" w:hAnsi="Arial Narrow" w:cs="Tahoma"/>
          <w:sz w:val="22"/>
          <w:lang w:val="sr-Cyrl-CS"/>
        </w:rPr>
        <w:t>такође</w:t>
      </w:r>
      <w:r w:rsidR="00C247D0">
        <w:rPr>
          <w:rFonts w:ascii="Arial Narrow" w:hAnsi="Arial Narrow" w:cs="Tahoma"/>
          <w:sz w:val="22"/>
          <w:lang w:val="sr-Cyrl-CS"/>
        </w:rPr>
        <w:t>,</w:t>
      </w:r>
      <w:r w:rsidR="00B747A8" w:rsidRPr="00AD1F00">
        <w:rPr>
          <w:rFonts w:ascii="Arial Narrow" w:hAnsi="Arial Narrow" w:cs="Tahoma"/>
          <w:sz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 xml:space="preserve">реално </w:t>
      </w:r>
      <w:r w:rsidR="00F0781C" w:rsidRPr="00AD1F00">
        <w:rPr>
          <w:rFonts w:ascii="Arial Narrow" w:hAnsi="Arial Narrow" w:cs="Tahoma"/>
          <w:sz w:val="22"/>
          <w:lang w:val="sr-Cyrl-CS"/>
        </w:rPr>
        <w:t>већа</w:t>
      </w:r>
      <w:r w:rsidR="00675807" w:rsidRPr="00AD1F00">
        <w:rPr>
          <w:rFonts w:ascii="Arial Narrow" w:hAnsi="Arial Narrow" w:cs="Tahoma"/>
          <w:sz w:val="22"/>
          <w:lang w:val="sr-Cyrl-CS"/>
        </w:rPr>
        <w:t xml:space="preserve"> за </w:t>
      </w:r>
      <w:r w:rsidR="00B747A8" w:rsidRPr="00AD1F00">
        <w:rPr>
          <w:rFonts w:ascii="Arial Narrow" w:hAnsi="Arial Narrow" w:cs="Tahoma"/>
          <w:sz w:val="22"/>
          <w:lang w:val="sr-Cyrl-CS"/>
        </w:rPr>
        <w:t>1</w:t>
      </w:r>
      <w:r w:rsidR="00675807" w:rsidRPr="00AD1F00">
        <w:rPr>
          <w:rFonts w:ascii="Arial Narrow" w:hAnsi="Arial Narrow" w:cs="Tahoma"/>
          <w:sz w:val="22"/>
          <w:lang w:val="sr-Cyrl-CS"/>
        </w:rPr>
        <w:t>,</w:t>
      </w:r>
      <w:r w:rsidR="00B747A8" w:rsidRPr="00AD1F00">
        <w:rPr>
          <w:rFonts w:ascii="Arial Narrow" w:hAnsi="Arial Narrow" w:cs="Tahoma"/>
          <w:sz w:val="22"/>
          <w:lang w:val="sr-Cyrl-CS"/>
        </w:rPr>
        <w:t>4</w:t>
      </w:r>
      <w:r w:rsidR="00675807" w:rsidRPr="00AD1F00">
        <w:rPr>
          <w:rFonts w:ascii="Arial Narrow" w:hAnsi="Arial Narrow" w:cs="Tahoma"/>
          <w:sz w:val="22"/>
          <w:lang w:val="sr-Cyrl-CS"/>
        </w:rPr>
        <w:t>%</w:t>
      </w:r>
      <w:r w:rsidRPr="00AD1F00">
        <w:rPr>
          <w:rFonts w:ascii="Arial Narrow" w:hAnsi="Arial Narrow" w:cs="Tahoma"/>
          <w:sz w:val="22"/>
          <w:lang w:val="sr-Cyrl-CS"/>
        </w:rPr>
        <w:t>.</w:t>
      </w:r>
    </w:p>
    <w:p w:rsidR="00B747A8" w:rsidRPr="00AD1F00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DC70B4" w:rsidRPr="00AD1F00" w:rsidRDefault="00DC70B4" w:rsidP="00DC70B4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D1F00">
        <w:rPr>
          <w:rFonts w:ascii="Arial Narrow" w:hAnsi="Arial Narrow" w:cs="Tahoma"/>
          <w:sz w:val="22"/>
          <w:lang w:val="sr-Cyrl-BA"/>
        </w:rPr>
        <w:t>П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нето плата</w:t>
      </w:r>
      <w:r w:rsidRPr="00AD1F00">
        <w:rPr>
          <w:rFonts w:ascii="Arial Narrow" w:hAnsi="Arial Narrow" w:cs="Tahoma"/>
          <w:b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исплаћена у 2015.</w:t>
      </w:r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години износи</w:t>
      </w:r>
      <w:r w:rsidR="00077650">
        <w:rPr>
          <w:rFonts w:ascii="Arial Narrow" w:hAnsi="Arial Narrow" w:cs="Tahoma"/>
          <w:sz w:val="22"/>
          <w:lang w:val="sr-Cyrl-RS"/>
        </w:rPr>
        <w:t>ла је</w:t>
      </w:r>
      <w:r w:rsidRPr="00AD1F00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831 КМ</w:t>
      </w:r>
      <w:r w:rsidR="00C247D0">
        <w:rPr>
          <w:rFonts w:ascii="Arial Narrow" w:hAnsi="Arial Narrow" w:cs="Tahoma"/>
          <w:sz w:val="22"/>
          <w:lang w:val="sr-Cyrl-CS"/>
        </w:rPr>
        <w:t>,</w:t>
      </w:r>
      <w:r w:rsidRPr="00AD1F00">
        <w:rPr>
          <w:rFonts w:ascii="Arial Narrow" w:hAnsi="Arial Narrow" w:cs="Tahoma"/>
          <w:sz w:val="22"/>
          <w:lang w:val="ru-RU"/>
        </w:rPr>
        <w:t xml:space="preserve"> а п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бруто плата</w:t>
      </w:r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 xml:space="preserve">1 340 КМ. </w:t>
      </w:r>
      <w:r w:rsidRPr="00AD1F00">
        <w:rPr>
          <w:rFonts w:ascii="Arial Narrow" w:hAnsi="Arial Narrow" w:cs="Tahoma"/>
          <w:sz w:val="22"/>
          <w:lang w:val="sr-Latn-CS"/>
        </w:rPr>
        <w:t xml:space="preserve">У </w:t>
      </w:r>
      <w:r w:rsidRPr="00AD1F00">
        <w:rPr>
          <w:rFonts w:ascii="Arial Narrow" w:hAnsi="Arial Narrow" w:cs="Tahoma"/>
          <w:sz w:val="22"/>
          <w:lang w:val="sr-Cyrl-CS"/>
        </w:rPr>
        <w:t xml:space="preserve">односу на 2014. </w:t>
      </w:r>
      <w:r w:rsidRPr="00AD1F00">
        <w:rPr>
          <w:rFonts w:ascii="Arial Narrow" w:hAnsi="Arial Narrow" w:cs="Tahoma"/>
          <w:sz w:val="22"/>
          <w:lang w:val="sr-Cyrl-BA"/>
        </w:rPr>
        <w:t>г</w:t>
      </w:r>
      <w:r w:rsidRPr="00AD1F00">
        <w:rPr>
          <w:rFonts w:ascii="Arial Narrow" w:hAnsi="Arial Narrow" w:cs="Tahoma"/>
          <w:sz w:val="22"/>
          <w:lang w:val="sr-Cyrl-CS"/>
        </w:rPr>
        <w:t>одину</w:t>
      </w:r>
      <w:r w:rsidRPr="00AD1F00">
        <w:rPr>
          <w:rFonts w:ascii="Arial Narrow" w:hAnsi="Arial Narrow" w:cs="Tahoma"/>
          <w:sz w:val="22"/>
          <w:lang w:val="sr-Latn-BA"/>
        </w:rPr>
        <w:t>,</w:t>
      </w:r>
      <w:r w:rsidRPr="00AD1F00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нето плата исплаћена у 2015. </w:t>
      </w:r>
      <w:r w:rsidR="00077650">
        <w:rPr>
          <w:rFonts w:ascii="Arial Narrow" w:hAnsi="Arial Narrow" w:cs="Tahoma"/>
          <w:sz w:val="22"/>
          <w:lang w:val="sr-Cyrl-CS"/>
        </w:rPr>
        <w:t xml:space="preserve">години била је већа </w:t>
      </w:r>
      <w:r w:rsidRPr="00AD1F00">
        <w:rPr>
          <w:rFonts w:ascii="Arial Narrow" w:hAnsi="Arial Narrow" w:cs="Tahoma"/>
          <w:sz w:val="22"/>
          <w:lang w:val="sr-Cyrl-CS"/>
        </w:rPr>
        <w:t>номинално за 0,7%</w:t>
      </w:r>
      <w:r w:rsidR="00C247D0">
        <w:rPr>
          <w:rFonts w:ascii="Arial Narrow" w:hAnsi="Arial Narrow" w:cs="Tahoma"/>
          <w:sz w:val="22"/>
          <w:lang w:val="sr-Cyrl-CS"/>
        </w:rPr>
        <w:t>,</w:t>
      </w:r>
      <w:r w:rsidRPr="00AD1F00">
        <w:rPr>
          <w:rFonts w:ascii="Arial Narrow" w:hAnsi="Arial Narrow" w:cs="Tahoma"/>
          <w:sz w:val="22"/>
          <w:lang w:val="sr-Cyrl-CS"/>
        </w:rPr>
        <w:t xml:space="preserve"> а реално за 2,2%.</w:t>
      </w:r>
    </w:p>
    <w:p w:rsidR="00DC70B4" w:rsidRPr="00AD1F00" w:rsidRDefault="00DC70B4" w:rsidP="00DC70B4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B747A8" w:rsidRPr="00AD1F00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 w:rsidRPr="00AD1F00">
        <w:rPr>
          <w:rFonts w:ascii="Arial Narrow" w:hAnsi="Arial Narrow" w:cs="Tahoma"/>
          <w:sz w:val="22"/>
          <w:lang w:val="ru-RU"/>
        </w:rPr>
        <w:t>До повећања</w:t>
      </w:r>
      <w:r w:rsidRPr="00AD1F00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просјечне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нето плате</w:t>
      </w:r>
      <w:r w:rsidRPr="00AD1F00">
        <w:rPr>
          <w:rFonts w:ascii="Arial Narrow" w:hAnsi="Arial Narrow" w:cs="Tahoma"/>
          <w:sz w:val="22"/>
          <w:lang w:val="sr-Cyrl-BA"/>
        </w:rPr>
        <w:t xml:space="preserve"> у децембру 2015. године у односу на новембар 2015.</w:t>
      </w:r>
      <w:r w:rsidRPr="00AD1F00">
        <w:rPr>
          <w:rFonts w:ascii="Arial Narrow" w:hAnsi="Arial Narrow" w:cs="Tahoma"/>
          <w:sz w:val="22"/>
          <w:lang w:val="ru-RU"/>
        </w:rPr>
        <w:t xml:space="preserve"> дошло је</w:t>
      </w:r>
      <w:r w:rsidR="00CD2BD9">
        <w:rPr>
          <w:rFonts w:ascii="Arial Narrow" w:hAnsi="Arial Narrow" w:cs="Tahoma"/>
          <w:sz w:val="22"/>
          <w:lang w:val="sr-Latn-BA"/>
        </w:rPr>
        <w:t xml:space="preserve"> </w:t>
      </w:r>
      <w:r w:rsidR="00CD2BD9">
        <w:rPr>
          <w:rFonts w:ascii="Arial Narrow" w:hAnsi="Arial Narrow" w:cs="Tahoma"/>
          <w:sz w:val="22"/>
          <w:lang w:val="sr-Cyrl-BA"/>
        </w:rPr>
        <w:t>због</w:t>
      </w:r>
      <w:r w:rsidRPr="00AD1F00">
        <w:rPr>
          <w:rFonts w:ascii="Arial Narrow" w:hAnsi="Arial Narrow" w:cs="Tahoma"/>
          <w:sz w:val="22"/>
          <w:lang w:val="ru-RU"/>
        </w:rPr>
        <w:t xml:space="preserve"> већег броја прековремених часова рада и часова рада на државни празник остварених у подручјима дјелатности Информације и комуникације и Производња и снабдијевање електричном енергијом</w:t>
      </w:r>
      <w:r w:rsidR="008963FE">
        <w:rPr>
          <w:rFonts w:ascii="Arial Narrow" w:hAnsi="Arial Narrow" w:cs="Tahoma"/>
          <w:sz w:val="22"/>
          <w:lang w:val="sr-Latn-BA"/>
        </w:rPr>
        <w:t xml:space="preserve">, </w:t>
      </w:r>
      <w:r w:rsidR="008963FE">
        <w:rPr>
          <w:rFonts w:ascii="Arial Narrow" w:hAnsi="Arial Narrow" w:cs="Tahoma"/>
          <w:sz w:val="22"/>
          <w:lang w:val="sr-Cyrl-BA"/>
        </w:rPr>
        <w:t>гасом, паром и климатизација</w:t>
      </w:r>
      <w:r w:rsidR="00C247D0">
        <w:rPr>
          <w:rFonts w:ascii="Arial Narrow" w:hAnsi="Arial Narrow" w:cs="Tahoma"/>
          <w:sz w:val="22"/>
          <w:lang w:val="ru-RU"/>
        </w:rPr>
        <w:t>,</w:t>
      </w:r>
      <w:r w:rsidRPr="00AD1F00">
        <w:rPr>
          <w:rFonts w:ascii="Arial Narrow" w:hAnsi="Arial Narrow" w:cs="Tahoma"/>
          <w:sz w:val="22"/>
          <w:lang w:val="ru-RU"/>
        </w:rPr>
        <w:t xml:space="preserve"> а која запошљавају значајан број радника.</w:t>
      </w:r>
    </w:p>
    <w:p w:rsidR="00B82005" w:rsidRPr="00AD1F00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AD1F0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D1F0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D1F00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747A8" w:rsidRPr="00AD1F00">
        <w:rPr>
          <w:rFonts w:ascii="Arial Narrow" w:hAnsi="Arial Narrow" w:cs="Tahoma"/>
          <w:sz w:val="22"/>
          <w:lang w:val="sr-Cyrl-CS"/>
        </w:rPr>
        <w:t>дец</w:t>
      </w:r>
      <w:r w:rsidR="00F0781C" w:rsidRPr="00AD1F00">
        <w:rPr>
          <w:rFonts w:ascii="Arial Narrow" w:hAnsi="Arial Narrow" w:cs="Tahoma"/>
          <w:sz w:val="22"/>
          <w:lang w:val="sr-Cyrl-CS"/>
        </w:rPr>
        <w:t>ем</w:t>
      </w:r>
      <w:r w:rsidR="00675807" w:rsidRPr="00AD1F00">
        <w:rPr>
          <w:rFonts w:ascii="Arial Narrow" w:hAnsi="Arial Narrow" w:cs="Tahoma"/>
          <w:sz w:val="22"/>
          <w:lang w:val="sr-Cyrl-CS"/>
        </w:rPr>
        <w:t>бру</w:t>
      </w:r>
      <w:r w:rsidRPr="00AD1F0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AD1F00">
        <w:rPr>
          <w:rFonts w:ascii="Arial Narrow" w:hAnsi="Arial Narrow" w:cs="Tahoma"/>
          <w:sz w:val="22"/>
          <w:lang w:val="sr-Cyrl-CS"/>
        </w:rPr>
        <w:t>5</w:t>
      </w:r>
      <w:r w:rsidRPr="00AD1F00">
        <w:rPr>
          <w:rFonts w:ascii="Arial Narrow" w:hAnsi="Arial Narrow" w:cs="Tahoma"/>
          <w:sz w:val="22"/>
          <w:lang w:val="sr-Cyrl-CS"/>
        </w:rPr>
        <w:t xml:space="preserve">. године, највиша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нето плата исплаћена је у подручју </w:t>
      </w:r>
      <w:r w:rsidRPr="00AD1F00">
        <w:rPr>
          <w:rFonts w:ascii="Arial Narrow" w:hAnsi="Arial Narrow" w:cs="Tahoma"/>
          <w:i/>
          <w:sz w:val="22"/>
          <w:lang w:val="sr-Cyrl-CS"/>
        </w:rPr>
        <w:t xml:space="preserve">Финансијске </w:t>
      </w:r>
      <w:proofErr w:type="spellStart"/>
      <w:r w:rsidRPr="00AD1F00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AD1F00">
        <w:rPr>
          <w:rFonts w:ascii="Arial Narrow" w:hAnsi="Arial Narrow" w:cs="Tahoma"/>
          <w:i/>
          <w:sz w:val="22"/>
          <w:lang w:val="sr-Cyrl-CS"/>
        </w:rPr>
        <w:t xml:space="preserve"> и </w:t>
      </w:r>
      <w:proofErr w:type="spellStart"/>
      <w:r w:rsidRPr="00AD1F00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AD1F00">
        <w:rPr>
          <w:rFonts w:ascii="Arial Narrow" w:hAnsi="Arial Narrow" w:cs="Tahoma"/>
          <w:i/>
          <w:sz w:val="22"/>
          <w:lang w:val="sr-Cyrl-CS"/>
        </w:rPr>
        <w:t xml:space="preserve"> осигурања </w:t>
      </w:r>
      <w:r w:rsidRPr="00AD1F00">
        <w:rPr>
          <w:rFonts w:ascii="Arial Narrow" w:hAnsi="Arial Narrow" w:cs="Tahoma"/>
          <w:sz w:val="22"/>
          <w:lang w:val="sr-Cyrl-CS"/>
        </w:rPr>
        <w:t>и износи</w:t>
      </w:r>
      <w:r w:rsidR="00C247D0">
        <w:rPr>
          <w:rFonts w:ascii="Arial Narrow" w:hAnsi="Arial Narrow" w:cs="Tahoma"/>
          <w:sz w:val="22"/>
          <w:lang w:val="sr-Cyrl-CS"/>
        </w:rPr>
        <w:t>ла је</w:t>
      </w:r>
      <w:r w:rsidRPr="00AD1F00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AD1F00">
        <w:rPr>
          <w:rFonts w:ascii="Arial Narrow" w:hAnsi="Arial Narrow" w:cs="Tahoma"/>
          <w:sz w:val="22"/>
          <w:lang w:val="sr-Cyrl-CS"/>
        </w:rPr>
        <w:t>2</w:t>
      </w:r>
      <w:r w:rsidR="00B747A8" w:rsidRPr="00AD1F00">
        <w:rPr>
          <w:rFonts w:ascii="Arial Narrow" w:hAnsi="Arial Narrow" w:cs="Tahoma"/>
          <w:sz w:val="22"/>
          <w:lang w:val="sr-Cyrl-CS"/>
        </w:rPr>
        <w:t>59</w:t>
      </w:r>
      <w:r w:rsidRPr="00AD1F00">
        <w:rPr>
          <w:rFonts w:ascii="Arial Narrow" w:hAnsi="Arial Narrow" w:cs="Tahoma"/>
          <w:sz w:val="22"/>
          <w:lang w:val="sr-Cyrl-CS"/>
        </w:rPr>
        <w:t xml:space="preserve"> КМ</w:t>
      </w:r>
      <w:r w:rsidRPr="00AD1F00">
        <w:rPr>
          <w:rFonts w:ascii="Arial Narrow" w:hAnsi="Arial Narrow" w:cs="Tahoma"/>
          <w:sz w:val="22"/>
          <w:lang w:val="sr-Latn-CS"/>
        </w:rPr>
        <w:t xml:space="preserve">. </w:t>
      </w:r>
      <w:proofErr w:type="spellStart"/>
      <w:r w:rsidRPr="00AD1F00">
        <w:rPr>
          <w:rFonts w:ascii="Arial Narrow" w:hAnsi="Arial Narrow" w:cs="Tahoma"/>
          <w:sz w:val="22"/>
          <w:lang w:val="sr-Latn-CS"/>
        </w:rPr>
        <w:t>Са</w:t>
      </w:r>
      <w:proofErr w:type="spellEnd"/>
      <w:r w:rsidRPr="00AD1F00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Latn-CS"/>
        </w:rPr>
        <w:t>друге</w:t>
      </w:r>
      <w:proofErr w:type="spellEnd"/>
      <w:r w:rsidRPr="00AD1F00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lang w:val="sr-Latn-CS"/>
        </w:rPr>
        <w:t>стране</w:t>
      </w:r>
      <w:proofErr w:type="spellEnd"/>
      <w:r w:rsidRPr="00AD1F00">
        <w:rPr>
          <w:rFonts w:ascii="Arial Narrow" w:hAnsi="Arial Narrow" w:cs="Tahoma"/>
          <w:sz w:val="22"/>
          <w:lang w:val="sr-Latn-CS"/>
        </w:rPr>
        <w:t>,</w:t>
      </w:r>
      <w:r w:rsidRPr="00AD1F00">
        <w:rPr>
          <w:rFonts w:ascii="Arial Narrow" w:hAnsi="Arial Narrow" w:cs="Tahoma"/>
          <w:sz w:val="22"/>
          <w:lang w:val="sr-Cyrl-CS"/>
        </w:rPr>
        <w:t xml:space="preserve"> најнижа </w:t>
      </w:r>
      <w:proofErr w:type="spellStart"/>
      <w:r w:rsidR="00B2374C" w:rsidRPr="00AD1F00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="00B2374C" w:rsidRPr="00AD1F00">
        <w:rPr>
          <w:rFonts w:ascii="Arial Narrow" w:hAnsi="Arial Narrow" w:cs="Tahoma"/>
          <w:sz w:val="22"/>
          <w:lang w:val="sr-Cyrl-CS"/>
        </w:rPr>
        <w:t xml:space="preserve"> </w:t>
      </w:r>
      <w:r w:rsidR="00F54DF7" w:rsidRPr="00AD1F00">
        <w:rPr>
          <w:rFonts w:ascii="Arial Narrow" w:hAnsi="Arial Narrow" w:cs="Tahoma"/>
          <w:sz w:val="22"/>
          <w:lang w:val="sr-Cyrl-BA"/>
        </w:rPr>
        <w:t>нето</w:t>
      </w:r>
      <w:r w:rsidR="00F54DF7" w:rsidRPr="00AD1F00">
        <w:rPr>
          <w:rFonts w:ascii="Arial Narrow" w:hAnsi="Arial Narrow" w:cs="Tahoma"/>
          <w:sz w:val="22"/>
          <w:lang w:val="sr-Latn-BA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 xml:space="preserve">плата у </w:t>
      </w:r>
      <w:r w:rsidR="00B747A8" w:rsidRPr="00AD1F00">
        <w:rPr>
          <w:rFonts w:ascii="Arial Narrow" w:hAnsi="Arial Narrow" w:cs="Tahoma"/>
          <w:sz w:val="22"/>
          <w:lang w:val="sr-Cyrl-CS"/>
        </w:rPr>
        <w:t>дец</w:t>
      </w:r>
      <w:r w:rsidR="00F0781C" w:rsidRPr="00AD1F00">
        <w:rPr>
          <w:rFonts w:ascii="Arial Narrow" w:hAnsi="Arial Narrow" w:cs="Tahoma"/>
          <w:sz w:val="22"/>
          <w:lang w:val="sr-Cyrl-CS"/>
        </w:rPr>
        <w:t>ем</w:t>
      </w:r>
      <w:r w:rsidR="00675807" w:rsidRPr="00AD1F00">
        <w:rPr>
          <w:rFonts w:ascii="Arial Narrow" w:hAnsi="Arial Narrow" w:cs="Tahoma"/>
          <w:sz w:val="22"/>
          <w:lang w:val="sr-Cyrl-CS"/>
        </w:rPr>
        <w:t>бру</w:t>
      </w:r>
      <w:r w:rsidRPr="00AD1F0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AD1F00">
        <w:rPr>
          <w:rFonts w:ascii="Arial Narrow" w:hAnsi="Arial Narrow" w:cs="Tahoma"/>
          <w:sz w:val="22"/>
          <w:lang w:val="sr-Cyrl-CS"/>
        </w:rPr>
        <w:t>5</w:t>
      </w:r>
      <w:r w:rsidRPr="00AD1F00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D1F00">
        <w:rPr>
          <w:rFonts w:ascii="Arial Narrow" w:hAnsi="Arial Narrow" w:cs="Tahoma"/>
          <w:sz w:val="22"/>
          <w:lang w:val="sr-Cyrl-CS"/>
        </w:rPr>
        <w:t>у</w:t>
      </w:r>
      <w:r w:rsidRPr="00AD1F00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AD1F00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AD1F00">
        <w:rPr>
          <w:rFonts w:ascii="Arial Narrow" w:hAnsi="Arial Narrow" w:cs="Tahoma"/>
          <w:sz w:val="22"/>
          <w:lang w:val="sr-Latn-CS"/>
        </w:rPr>
        <w:t xml:space="preserve"> </w:t>
      </w:r>
      <w:r w:rsidRPr="00AD1F00">
        <w:rPr>
          <w:rFonts w:ascii="Arial Narrow" w:hAnsi="Arial Narrow" w:cs="Tahoma"/>
          <w:sz w:val="22"/>
          <w:lang w:val="sr-Cyrl-BA"/>
        </w:rPr>
        <w:t>5</w:t>
      </w:r>
      <w:r w:rsidR="00B747A8" w:rsidRPr="00AD1F00">
        <w:rPr>
          <w:rFonts w:ascii="Arial Narrow" w:hAnsi="Arial Narrow" w:cs="Tahoma"/>
          <w:sz w:val="22"/>
          <w:lang w:val="sr-Cyrl-BA"/>
        </w:rPr>
        <w:t>21</w:t>
      </w:r>
      <w:r w:rsidRPr="00AD1F00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AD1F0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AD1F00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B747A8" w:rsidRPr="00AD1F00">
        <w:rPr>
          <w:rFonts w:ascii="Arial Narrow" w:hAnsi="Arial Narrow" w:cs="Tahoma"/>
          <w:sz w:val="22"/>
          <w:szCs w:val="22"/>
          <w:lang w:val="sr-Cyrl-CS"/>
        </w:rPr>
        <w:t>дец</w:t>
      </w:r>
      <w:r w:rsidR="00F0781C" w:rsidRPr="00AD1F00">
        <w:rPr>
          <w:rFonts w:ascii="Arial Narrow" w:hAnsi="Arial Narrow" w:cs="Tahoma"/>
          <w:sz w:val="22"/>
          <w:szCs w:val="22"/>
          <w:lang w:val="sr-Cyrl-CS"/>
        </w:rPr>
        <w:t>ем</w:t>
      </w:r>
      <w:r w:rsidR="00675807" w:rsidRPr="00AD1F00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AD1F00">
        <w:rPr>
          <w:rFonts w:ascii="Arial Narrow" w:hAnsi="Arial Narrow" w:cs="Tahoma"/>
          <w:sz w:val="22"/>
          <w:szCs w:val="22"/>
          <w:lang w:val="ru-RU"/>
        </w:rPr>
        <w:t>5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747A8" w:rsidRPr="00AD1F00">
        <w:rPr>
          <w:rFonts w:ascii="Arial Narrow" w:hAnsi="Arial Narrow" w:cs="Tahoma"/>
          <w:sz w:val="22"/>
          <w:szCs w:val="22"/>
          <w:lang w:val="ru-RU"/>
        </w:rPr>
        <w:t>новем</w:t>
      </w:r>
      <w:r w:rsidR="00FF3EA0" w:rsidRPr="00AD1F00">
        <w:rPr>
          <w:rFonts w:ascii="Arial Narrow" w:hAnsi="Arial Narrow" w:cs="Tahoma"/>
          <w:sz w:val="22"/>
          <w:szCs w:val="22"/>
          <w:lang w:val="ru-RU"/>
        </w:rPr>
        <w:t>бар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AD1F00">
        <w:rPr>
          <w:rFonts w:ascii="Arial Narrow" w:hAnsi="Arial Narrow" w:cs="Tahoma"/>
          <w:sz w:val="22"/>
          <w:szCs w:val="22"/>
          <w:lang w:val="ru-RU"/>
        </w:rPr>
        <w:t>5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AD1F00">
        <w:rPr>
          <w:rFonts w:ascii="Arial Narrow" w:hAnsi="Arial Narrow" w:cs="Tahoma"/>
          <w:sz w:val="22"/>
          <w:szCs w:val="22"/>
          <w:lang w:val="sr-Latn-CS"/>
        </w:rPr>
        <w:t>р</w:t>
      </w:r>
      <w:proofErr w:type="spellStart"/>
      <w:r w:rsidRPr="00AD1F00">
        <w:rPr>
          <w:rFonts w:ascii="Arial Narrow" w:hAnsi="Arial Narrow" w:cs="Tahoma"/>
          <w:sz w:val="22"/>
          <w:szCs w:val="22"/>
          <w:lang w:val="sr-Cyrl-BA"/>
        </w:rPr>
        <w:t>аст</w:t>
      </w:r>
      <w:proofErr w:type="spellEnd"/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 нето плате забиљежен је у подручјима</w:t>
      </w:r>
      <w:r w:rsidR="00AF6800" w:rsidRPr="00AD1F0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747A8" w:rsidRPr="00AD1F00">
        <w:rPr>
          <w:rFonts w:ascii="Arial Narrow" w:hAnsi="Arial Narrow" w:cs="Tahoma"/>
          <w:i/>
          <w:sz w:val="22"/>
          <w:szCs w:val="22"/>
          <w:lang w:val="ru-RU"/>
        </w:rPr>
        <w:t>Пословање некретнинама</w:t>
      </w:r>
      <w:r w:rsidR="00F0781C" w:rsidRPr="00AD1F0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E11EC" w:rsidRPr="00AD1F00">
        <w:rPr>
          <w:rFonts w:ascii="Arial Narrow" w:hAnsi="Arial Narrow" w:cs="Tahoma"/>
          <w:sz w:val="22"/>
          <w:szCs w:val="22"/>
          <w:lang w:val="sr-Cyrl-BA"/>
        </w:rPr>
        <w:t>7</w:t>
      </w:r>
      <w:r w:rsidR="00F0781C" w:rsidRPr="00AD1F00">
        <w:rPr>
          <w:rFonts w:ascii="Arial Narrow" w:hAnsi="Arial Narrow" w:cs="Tahoma"/>
          <w:sz w:val="22"/>
          <w:szCs w:val="22"/>
          <w:lang w:val="sr-Cyrl-BA"/>
        </w:rPr>
        <w:t>,</w:t>
      </w:r>
      <w:r w:rsidR="008E11EC" w:rsidRPr="00AD1F00">
        <w:rPr>
          <w:rFonts w:ascii="Arial Narrow" w:hAnsi="Arial Narrow" w:cs="Tahoma"/>
          <w:sz w:val="22"/>
          <w:szCs w:val="22"/>
          <w:lang w:val="sr-Cyrl-BA"/>
        </w:rPr>
        <w:t>6</w:t>
      </w:r>
      <w:r w:rsidR="00F0781C" w:rsidRPr="00AD1F00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B747A8" w:rsidRPr="00AD1F00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747A8" w:rsidRPr="00AD1F00">
        <w:rPr>
          <w:rFonts w:ascii="Arial Narrow" w:hAnsi="Arial Narrow" w:cs="Tahoma"/>
          <w:sz w:val="22"/>
          <w:szCs w:val="22"/>
          <w:lang w:val="ru-RU"/>
        </w:rPr>
        <w:t xml:space="preserve"> 4,9% </w:t>
      </w:r>
      <w:r w:rsidR="00FF3EA0" w:rsidRPr="00AD1F00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B747A8" w:rsidRPr="00AD1F00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B747A8" w:rsidRPr="00AD1F00">
        <w:rPr>
          <w:rFonts w:ascii="Arial Narrow" w:hAnsi="Arial Narrow" w:cs="Tahoma"/>
          <w:sz w:val="22"/>
          <w:szCs w:val="22"/>
          <w:lang w:val="sr-Cyrl-BA"/>
        </w:rPr>
        <w:t>4,2%</w:t>
      </w:r>
      <w:r w:rsidR="00FF3EA0" w:rsidRPr="00AD1F00">
        <w:rPr>
          <w:rFonts w:ascii="Arial Narrow" w:hAnsi="Arial Narrow" w:cs="Tahoma"/>
          <w:sz w:val="22"/>
          <w:lang w:val="sr-Cyrl-BA"/>
        </w:rPr>
        <w:t>.</w:t>
      </w:r>
      <w:r w:rsidR="00675807" w:rsidRPr="00AD1F00">
        <w:rPr>
          <w:rFonts w:ascii="Arial Narrow" w:hAnsi="Arial Narrow" w:cs="Tahoma"/>
          <w:sz w:val="22"/>
          <w:lang w:val="sr-Cyrl-BA"/>
        </w:rPr>
        <w:t xml:space="preserve"> </w:t>
      </w:r>
    </w:p>
    <w:p w:rsidR="00FF3EA0" w:rsidRPr="00AD1F00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D1F00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D1F00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AD1F00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proofErr w:type="spellStart"/>
      <w:r w:rsidR="00E33D13" w:rsidRPr="00AD1F00">
        <w:rPr>
          <w:rFonts w:ascii="Arial Narrow" w:hAnsi="Arial Narrow" w:cs="Tahoma"/>
          <w:sz w:val="22"/>
          <w:szCs w:val="22"/>
          <w:lang w:val="sr-Cyrl-CS"/>
        </w:rPr>
        <w:t>оминалном</w:t>
      </w:r>
      <w:proofErr w:type="spellEnd"/>
      <w:r w:rsidR="00E33D13" w:rsidRPr="00AD1F00">
        <w:rPr>
          <w:rFonts w:ascii="Arial Narrow" w:hAnsi="Arial Narrow" w:cs="Tahoma"/>
          <w:sz w:val="22"/>
          <w:szCs w:val="22"/>
          <w:lang w:val="sr-Cyrl-CS"/>
        </w:rPr>
        <w:t xml:space="preserve"> износу, </w:t>
      </w:r>
      <w:proofErr w:type="spellStart"/>
      <w:r w:rsidR="00E33D13" w:rsidRPr="00AD1F00">
        <w:rPr>
          <w:rFonts w:ascii="Arial Narrow" w:hAnsi="Arial Narrow" w:cs="Tahoma"/>
          <w:sz w:val="22"/>
          <w:szCs w:val="22"/>
          <w:lang w:val="sr-Cyrl-CS"/>
        </w:rPr>
        <w:t>забиљежено</w:t>
      </w:r>
      <w:proofErr w:type="spellEnd"/>
      <w:r w:rsidR="00E33D13" w:rsidRPr="00AD1F00">
        <w:rPr>
          <w:rFonts w:ascii="Arial Narrow" w:hAnsi="Arial Narrow" w:cs="Tahoma"/>
          <w:sz w:val="22"/>
          <w:szCs w:val="22"/>
          <w:lang w:val="sr-Cyrl-CS"/>
        </w:rPr>
        <w:t xml:space="preserve"> је у подручјима</w:t>
      </w:r>
      <w:r w:rsidR="007073F3" w:rsidRPr="00AD1F0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53D89" w:rsidRPr="00AD1F00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D53D89" w:rsidRPr="00AD1F0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747A8" w:rsidRPr="00AD1F00">
        <w:rPr>
          <w:rFonts w:ascii="Arial Narrow" w:hAnsi="Arial Narrow" w:cs="Tahoma"/>
          <w:sz w:val="22"/>
          <w:szCs w:val="22"/>
          <w:lang w:val="sr-Cyrl-BA"/>
        </w:rPr>
        <w:t>1</w:t>
      </w:r>
      <w:r w:rsidR="00FF3EA0" w:rsidRPr="00AD1F00">
        <w:rPr>
          <w:rFonts w:ascii="Arial Narrow" w:hAnsi="Arial Narrow" w:cs="Tahoma"/>
          <w:sz w:val="22"/>
          <w:szCs w:val="22"/>
          <w:lang w:val="sr-Cyrl-BA"/>
        </w:rPr>
        <w:t>,</w:t>
      </w:r>
      <w:r w:rsidR="00B747A8" w:rsidRPr="00AD1F00">
        <w:rPr>
          <w:rFonts w:ascii="Arial Narrow" w:hAnsi="Arial Narrow" w:cs="Tahoma"/>
          <w:sz w:val="22"/>
          <w:szCs w:val="22"/>
          <w:lang w:val="sr-Cyrl-BA"/>
        </w:rPr>
        <w:t>1</w:t>
      </w:r>
      <w:r w:rsidR="00FF3EA0" w:rsidRPr="00AD1F00">
        <w:rPr>
          <w:rFonts w:ascii="Arial Narrow" w:hAnsi="Arial Narrow" w:cs="Tahoma"/>
          <w:sz w:val="22"/>
          <w:szCs w:val="22"/>
          <w:lang w:val="sr-Cyrl-BA"/>
        </w:rPr>
        <w:t>%</w:t>
      </w:r>
      <w:r w:rsidR="00B747A8" w:rsidRPr="00AD1F00">
        <w:rPr>
          <w:rFonts w:ascii="Arial Narrow" w:hAnsi="Arial Narrow" w:cs="Tahoma"/>
          <w:sz w:val="22"/>
          <w:szCs w:val="22"/>
          <w:lang w:val="sr-Cyrl-BA"/>
        </w:rPr>
        <w:t>,</w:t>
      </w:r>
      <w:r w:rsidR="00B747A8" w:rsidRPr="00AD1F00">
        <w:rPr>
          <w:rFonts w:ascii="Cambria" w:hAnsi="Cambria" w:cs="Tahoma"/>
          <w:i/>
          <w:sz w:val="22"/>
          <w:szCs w:val="22"/>
          <w:lang w:val="bs-Latn-BA"/>
        </w:rPr>
        <w:t xml:space="preserve"> </w:t>
      </w:r>
      <w:r w:rsidR="00B747A8" w:rsidRPr="00AD1F00">
        <w:rPr>
          <w:rFonts w:ascii="Arial Narrow" w:hAnsi="Arial Narrow" w:cs="Tahoma"/>
          <w:i/>
          <w:sz w:val="22"/>
          <w:szCs w:val="22"/>
          <w:lang w:val="bs-Latn-BA"/>
        </w:rPr>
        <w:t>Финансијске дјелатности и дјелатности осигурања</w:t>
      </w:r>
      <w:r w:rsidR="00B747A8" w:rsidRPr="00AD1F0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747A8" w:rsidRPr="00AD1F00">
        <w:rPr>
          <w:rFonts w:ascii="Arial Narrow" w:hAnsi="Arial Narrow" w:cs="Tahoma"/>
          <w:sz w:val="22"/>
          <w:szCs w:val="22"/>
          <w:lang w:val="sr-Cyrl-BA"/>
        </w:rPr>
        <w:t xml:space="preserve">0,5% и </w:t>
      </w:r>
      <w:r w:rsidR="00B747A8" w:rsidRPr="00AD1F00">
        <w:rPr>
          <w:rFonts w:ascii="Arial Narrow" w:hAnsi="Arial Narrow" w:cs="Tahoma"/>
          <w:i/>
          <w:sz w:val="22"/>
          <w:szCs w:val="22"/>
          <w:lang w:val="sr-Cyrl-BA"/>
        </w:rPr>
        <w:t xml:space="preserve">Пољопривреда, шумарство и риболов </w:t>
      </w:r>
      <w:r w:rsidR="00B747A8" w:rsidRPr="00AD1F00">
        <w:rPr>
          <w:rFonts w:ascii="Arial Narrow" w:hAnsi="Arial Narrow" w:cs="Tahoma"/>
          <w:sz w:val="22"/>
          <w:szCs w:val="22"/>
          <w:lang w:val="sr-Cyrl-BA"/>
        </w:rPr>
        <w:t>0,2%</w:t>
      </w:r>
      <w:r w:rsidR="008E11EC" w:rsidRPr="00AD1F00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AD1F00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D1F00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D1F00">
        <w:rPr>
          <w:rFonts w:ascii="Tahoma" w:hAnsi="Tahoma" w:cs="Tahoma"/>
          <w:i/>
          <w:sz w:val="14"/>
          <w:lang w:val="sr-Cyrl-CS"/>
        </w:rPr>
        <w:t xml:space="preserve"> </w:t>
      </w:r>
      <w:r w:rsidRPr="00AD1F00">
        <w:rPr>
          <w:rFonts w:ascii="Tahoma" w:hAnsi="Tahoma" w:cs="Tahoma"/>
          <w:sz w:val="14"/>
          <w:lang w:val="sr-Cyrl-CS"/>
        </w:rPr>
        <w:t xml:space="preserve">   </w:t>
      </w:r>
      <w:r w:rsidRPr="00AD1F00">
        <w:rPr>
          <w:rFonts w:ascii="Tahoma" w:hAnsi="Tahoma" w:cs="Tahoma"/>
          <w:sz w:val="14"/>
          <w:lang w:val="sr-Latn-CS"/>
        </w:rPr>
        <w:tab/>
      </w:r>
      <w:r w:rsidRPr="00AD1F00">
        <w:rPr>
          <w:rFonts w:ascii="Tahoma" w:hAnsi="Tahoma" w:cs="Tahoma"/>
          <w:sz w:val="14"/>
          <w:lang w:val="sr-Latn-CS"/>
        </w:rPr>
        <w:tab/>
      </w:r>
      <w:r w:rsidRPr="00AD1F00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D1F00">
        <w:rPr>
          <w:rFonts w:ascii="Tahoma" w:hAnsi="Tahoma" w:cs="Tahoma"/>
          <w:sz w:val="14"/>
          <w:lang w:val="sr-Cyrl-BA"/>
        </w:rPr>
        <w:t xml:space="preserve">  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D1F00" w:rsidRDefault="00AD485B" w:rsidP="00E33D13">
      <w:pPr>
        <w:jc w:val="center"/>
        <w:rPr>
          <w:rFonts w:ascii="Tahoma" w:hAnsi="Tahoma" w:cs="Tahoma"/>
          <w:lang w:val="sr-Cyrl-BA"/>
        </w:rPr>
      </w:pPr>
      <w:r w:rsidRPr="00AD1F00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996645</wp:posOffset>
            </wp:positionH>
            <wp:positionV relativeFrom="paragraph">
              <wp:posOffset>1826895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AD1F00">
        <w:rPr>
          <w:rFonts w:ascii="Tahoma" w:hAnsi="Tahoma" w:cs="Tahoma"/>
          <w:szCs w:val="18"/>
          <w:lang w:val="sr-Cyrl-BA"/>
        </w:rPr>
        <w:t xml:space="preserve">  </w:t>
      </w:r>
      <w:r w:rsidR="00B747A8" w:rsidRPr="00AD1F00">
        <w:rPr>
          <w:noProof/>
        </w:rPr>
        <w:drawing>
          <wp:inline distT="0" distB="0" distL="0" distR="0" wp14:anchorId="07976286" wp14:editId="2A407172">
            <wp:extent cx="4572000" cy="250179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AD1F00">
        <w:rPr>
          <w:rFonts w:ascii="Tahoma" w:hAnsi="Tahoma" w:cs="Tahoma"/>
          <w:szCs w:val="18"/>
          <w:lang w:val="sr-Cyrl-BA"/>
        </w:rPr>
        <w:t xml:space="preserve"> </w:t>
      </w:r>
    </w:p>
    <w:p w:rsidR="00E33D13" w:rsidRPr="00AD1F0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D1F0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D1F00">
        <w:rPr>
          <w:rFonts w:ascii="Arial Narrow" w:hAnsi="Arial Narrow" w:cs="Tahoma"/>
          <w:sz w:val="16"/>
          <w:szCs w:val="22"/>
          <w:lang w:val="sr-Latn-BA"/>
        </w:rPr>
        <w:t>1</w:t>
      </w:r>
      <w:r w:rsidRPr="00AD1F00">
        <w:rPr>
          <w:rFonts w:ascii="Arial Narrow" w:hAnsi="Arial Narrow" w:cs="Tahoma"/>
          <w:sz w:val="16"/>
          <w:szCs w:val="22"/>
          <w:lang w:val="sr-Cyrl-CS"/>
        </w:rPr>
        <w:t>.</w:t>
      </w:r>
      <w:r w:rsidRPr="00AD1F0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D1F00">
        <w:rPr>
          <w:rFonts w:ascii="Arial Narrow" w:hAnsi="Arial Narrow" w:cs="Tahoma"/>
          <w:sz w:val="16"/>
          <w:szCs w:val="22"/>
          <w:lang w:val="sr-Cyrl-CS"/>
        </w:rPr>
        <w:t>П</w:t>
      </w:r>
      <w:r w:rsidRPr="00AD1F00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D1F00">
        <w:rPr>
          <w:rFonts w:ascii="Arial Narrow" w:hAnsi="Arial Narrow" w:cs="Tahoma"/>
          <w:sz w:val="16"/>
          <w:szCs w:val="22"/>
        </w:rPr>
        <w:t>e</w:t>
      </w:r>
      <w:r w:rsidRPr="00AD1F00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AD1F00">
        <w:rPr>
          <w:rFonts w:ascii="Arial Narrow" w:hAnsi="Arial Narrow" w:cs="Tahoma"/>
          <w:sz w:val="16"/>
          <w:szCs w:val="22"/>
        </w:rPr>
        <w:t>e</w:t>
      </w:r>
      <w:r w:rsidRPr="00AD1F00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6034D" w:rsidRPr="00AD1F00" w:rsidRDefault="00B6034D" w:rsidP="00B6034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AD1F00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9504BB" w:rsidRPr="00AD1F00">
        <w:rPr>
          <w:rFonts w:ascii="Arial Narrow" w:hAnsi="Arial Narrow" w:cs="Tahoma"/>
          <w:b/>
          <w:sz w:val="30"/>
          <w:szCs w:val="30"/>
          <w:lang w:val="sr-Cyrl-CS"/>
        </w:rPr>
        <w:t>дец</w:t>
      </w:r>
      <w:r w:rsidRPr="00AD1F00">
        <w:rPr>
          <w:rFonts w:ascii="Arial Narrow" w:hAnsi="Arial Narrow" w:cs="Tahoma"/>
          <w:b/>
          <w:sz w:val="30"/>
          <w:szCs w:val="30"/>
          <w:lang w:val="sr-Cyrl-CS"/>
        </w:rPr>
        <w:t>ембру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 xml:space="preserve"> 2015. године </w:t>
      </w:r>
      <w:r w:rsidRPr="00AD1F00">
        <w:rPr>
          <w:rFonts w:ascii="Arial Narrow" w:hAnsi="Arial Narrow" w:cs="Tahoma"/>
          <w:b/>
          <w:sz w:val="30"/>
          <w:szCs w:val="30"/>
          <w:lang w:val="sr-Cyrl-CS"/>
        </w:rPr>
        <w:t>-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>0,</w:t>
      </w:r>
      <w:r w:rsidRPr="00AD1F00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6034D" w:rsidRPr="00AD1F00" w:rsidRDefault="00B6034D" w:rsidP="00B6034D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D1F00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AD1F00">
        <w:rPr>
          <w:rFonts w:ascii="Arial Narrow" w:hAnsi="Arial Narrow" w:cs="Tahoma"/>
          <w:b/>
          <w:sz w:val="30"/>
          <w:szCs w:val="30"/>
        </w:rPr>
        <w:t>XI</w:t>
      </w:r>
      <w:r w:rsidR="009504BB" w:rsidRPr="00AD1F00">
        <w:rPr>
          <w:rFonts w:ascii="Arial Narrow" w:hAnsi="Arial Narrow" w:cs="Tahoma"/>
          <w:b/>
          <w:sz w:val="30"/>
          <w:szCs w:val="30"/>
        </w:rPr>
        <w:t>I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Pr="00AD1F00">
        <w:rPr>
          <w:rFonts w:ascii="Arial Narrow" w:hAnsi="Arial Narrow" w:cs="Tahoma"/>
          <w:b/>
          <w:sz w:val="30"/>
          <w:szCs w:val="30"/>
        </w:rPr>
        <w:t>XI</w:t>
      </w:r>
      <w:r w:rsidR="009504BB" w:rsidRPr="00AD1F00">
        <w:rPr>
          <w:rFonts w:ascii="Arial Narrow" w:hAnsi="Arial Narrow" w:cs="Tahoma"/>
          <w:b/>
          <w:sz w:val="30"/>
          <w:szCs w:val="30"/>
        </w:rPr>
        <w:t>I</w:t>
      </w:r>
      <w:r w:rsidR="009504BB" w:rsidRPr="00AD1F00">
        <w:rPr>
          <w:rFonts w:ascii="Arial Narrow" w:hAnsi="Arial Narrow" w:cs="Tahoma"/>
          <w:b/>
          <w:sz w:val="30"/>
          <w:szCs w:val="30"/>
          <w:lang w:val="sr-Cyrl-BA"/>
        </w:rPr>
        <w:t xml:space="preserve"> 2014) -1,6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E045B0" w:rsidRPr="00AD1F00" w:rsidRDefault="00E045B0" w:rsidP="00E045B0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B6034D" w:rsidRPr="00C247D0" w:rsidRDefault="00B6034D" w:rsidP="00B6034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C247D0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9504BB" w:rsidRPr="00C247D0">
        <w:rPr>
          <w:rFonts w:ascii="Arial Narrow" w:hAnsi="Arial Narrow" w:cs="Tahoma"/>
          <w:sz w:val="22"/>
          <w:lang w:val="sr-Cyrl-BA"/>
        </w:rPr>
        <w:t>дец</w:t>
      </w:r>
      <w:proofErr w:type="spellStart"/>
      <w:r w:rsidRPr="00C247D0">
        <w:rPr>
          <w:rFonts w:ascii="Arial Narrow" w:hAnsi="Arial Narrow" w:cs="Tahoma"/>
          <w:sz w:val="22"/>
          <w:lang w:val="sr-Cyrl-CS"/>
        </w:rPr>
        <w:t>ембру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 2015. године у односу на претходни мјесец, у просјеку, ниже </w:t>
      </w:r>
      <w:r w:rsidR="00857CE0" w:rsidRPr="00C247D0">
        <w:rPr>
          <w:rFonts w:ascii="Arial Narrow" w:hAnsi="Arial Narrow" w:cs="Tahoma"/>
          <w:sz w:val="22"/>
          <w:lang w:val="sr-Cyrl-BA"/>
        </w:rPr>
        <w:t>су</w:t>
      </w:r>
      <w:r w:rsidR="00857CE0" w:rsidRPr="00C247D0">
        <w:rPr>
          <w:rFonts w:ascii="Arial Narrow" w:hAnsi="Arial Narrow" w:cs="Tahoma"/>
          <w:sz w:val="22"/>
          <w:lang w:val="sr-Cyrl-BA"/>
        </w:rPr>
        <w:t xml:space="preserve"> </w:t>
      </w:r>
      <w:r w:rsidRPr="00C247D0">
        <w:rPr>
          <w:rFonts w:ascii="Arial Narrow" w:hAnsi="Arial Narrow" w:cs="Tahoma"/>
          <w:sz w:val="22"/>
          <w:lang w:val="sr-Cyrl-BA"/>
        </w:rPr>
        <w:t>за 0,2%</w:t>
      </w:r>
      <w:r w:rsidR="006017CC">
        <w:rPr>
          <w:rFonts w:ascii="Arial Narrow" w:hAnsi="Arial Narrow" w:cs="Tahoma"/>
          <w:sz w:val="22"/>
          <w:lang w:val="sr-Cyrl-BA"/>
        </w:rPr>
        <w:t>,</w:t>
      </w:r>
      <w:r w:rsidRPr="00C247D0">
        <w:rPr>
          <w:rFonts w:ascii="Arial Narrow" w:hAnsi="Arial Narrow" w:cs="Tahoma"/>
          <w:sz w:val="22"/>
          <w:lang w:val="sr-Cyrl-BA"/>
        </w:rPr>
        <w:t xml:space="preserve"> док су на годиш</w:t>
      </w:r>
      <w:r w:rsidR="009504BB" w:rsidRPr="00C247D0">
        <w:rPr>
          <w:rFonts w:ascii="Arial Narrow" w:hAnsi="Arial Narrow" w:cs="Tahoma"/>
          <w:sz w:val="22"/>
          <w:lang w:val="sr-Cyrl-BA"/>
        </w:rPr>
        <w:t>њем нивоу, у просјеку ниже за 1,6</w:t>
      </w:r>
      <w:r w:rsidRPr="00C247D0">
        <w:rPr>
          <w:rFonts w:ascii="Arial Narrow" w:hAnsi="Arial Narrow" w:cs="Tahoma"/>
          <w:sz w:val="22"/>
          <w:lang w:val="sr-Cyrl-BA"/>
        </w:rPr>
        <w:t>%.</w:t>
      </w:r>
    </w:p>
    <w:p w:rsidR="00B6034D" w:rsidRPr="00C247D0" w:rsidRDefault="00B6034D" w:rsidP="00B6034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C247D0">
        <w:rPr>
          <w:rFonts w:ascii="Arial Narrow" w:hAnsi="Arial Narrow" w:cs="Tahoma"/>
          <w:sz w:val="22"/>
          <w:lang w:val="sr-Cyrl-BA"/>
        </w:rPr>
        <w:t xml:space="preserve">Од 12 главних одјељака производа и услуга, више цијене забиљежене су у </w:t>
      </w:r>
      <w:r w:rsidR="009504BB" w:rsidRPr="00C247D0">
        <w:rPr>
          <w:rFonts w:ascii="Arial Narrow" w:hAnsi="Arial Narrow" w:cs="Tahoma"/>
          <w:sz w:val="22"/>
          <w:lang w:val="sr-Cyrl-BA"/>
        </w:rPr>
        <w:t>два</w:t>
      </w:r>
      <w:r w:rsidRPr="00C247D0">
        <w:rPr>
          <w:rFonts w:ascii="Arial Narrow" w:hAnsi="Arial Narrow" w:cs="Tahoma"/>
          <w:sz w:val="22"/>
          <w:lang w:val="sr-Cyrl-BA"/>
        </w:rPr>
        <w:t xml:space="preserve">, ниже цијене у </w:t>
      </w:r>
      <w:r w:rsidR="009504BB" w:rsidRPr="00C247D0">
        <w:rPr>
          <w:rFonts w:ascii="Arial Narrow" w:hAnsi="Arial Narrow" w:cs="Tahoma"/>
          <w:sz w:val="22"/>
          <w:lang w:val="sr-Cyrl-BA"/>
        </w:rPr>
        <w:t>четири</w:t>
      </w:r>
      <w:r w:rsidRPr="00C247D0">
        <w:rPr>
          <w:rFonts w:ascii="Arial Narrow" w:hAnsi="Arial Narrow" w:cs="Tahoma"/>
          <w:sz w:val="22"/>
          <w:lang w:val="sr-Cyrl-BA"/>
        </w:rPr>
        <w:t xml:space="preserve">, док су цијене у </w:t>
      </w:r>
      <w:r w:rsidR="009504BB" w:rsidRPr="00C247D0">
        <w:rPr>
          <w:rFonts w:ascii="Arial Narrow" w:hAnsi="Arial Narrow" w:cs="Tahoma"/>
          <w:sz w:val="22"/>
          <w:lang w:val="sr-Cyrl-BA"/>
        </w:rPr>
        <w:t>шест</w:t>
      </w:r>
      <w:r w:rsidRPr="00C247D0">
        <w:rPr>
          <w:rFonts w:ascii="Arial Narrow" w:hAnsi="Arial Narrow" w:cs="Tahoma"/>
          <w:sz w:val="22"/>
          <w:lang w:val="sr-Cyrl-BA"/>
        </w:rPr>
        <w:t xml:space="preserve"> одјељака, у просјеку, остале </w:t>
      </w:r>
      <w:proofErr w:type="spellStart"/>
      <w:r w:rsidRPr="00C247D0">
        <w:rPr>
          <w:rFonts w:ascii="Arial Narrow" w:hAnsi="Arial Narrow" w:cs="Tahoma"/>
          <w:sz w:val="22"/>
          <w:lang w:val="sr-Cyrl-BA"/>
        </w:rPr>
        <w:t>непромијењене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>.</w:t>
      </w:r>
    </w:p>
    <w:p w:rsidR="00B6034D" w:rsidRPr="00C247D0" w:rsidRDefault="009504BB" w:rsidP="00B6034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C247D0">
        <w:rPr>
          <w:rFonts w:ascii="Arial Narrow" w:hAnsi="Arial Narrow" w:cs="Tahoma"/>
          <w:sz w:val="22"/>
          <w:lang w:val="sr-Cyrl-BA"/>
        </w:rPr>
        <w:t>Највећи раст у децембру</w:t>
      </w:r>
      <w:r w:rsidR="00857CE0">
        <w:rPr>
          <w:rFonts w:ascii="Arial Narrow" w:hAnsi="Arial Narrow" w:cs="Tahoma"/>
          <w:sz w:val="22"/>
          <w:lang w:val="sr-Cyrl-BA"/>
        </w:rPr>
        <w:t xml:space="preserve"> 2015. године</w:t>
      </w:r>
      <w:r w:rsidRPr="00C247D0">
        <w:rPr>
          <w:rFonts w:ascii="Arial Narrow" w:hAnsi="Arial Narrow" w:cs="Tahoma"/>
          <w:sz w:val="22"/>
          <w:lang w:val="sr-Cyrl-BA"/>
        </w:rPr>
        <w:t>, забиљежен је у</w:t>
      </w:r>
      <w:r w:rsidRPr="00C247D0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247D0">
        <w:rPr>
          <w:rFonts w:ascii="Arial Narrow" w:hAnsi="Arial Narrow" w:cs="Tahoma"/>
          <w:sz w:val="22"/>
          <w:lang w:val="sr-Cyrl-BA"/>
        </w:rPr>
        <w:t xml:space="preserve">одјељку </w:t>
      </w:r>
      <w:r w:rsidRPr="00C247D0">
        <w:rPr>
          <w:rFonts w:ascii="Arial Narrow" w:hAnsi="Arial Narrow" w:cs="Tahoma"/>
          <w:i/>
          <w:sz w:val="22"/>
          <w:lang w:val="sr-Cyrl-BA"/>
        </w:rPr>
        <w:t xml:space="preserve">Храна и безалкохолна пића </w:t>
      </w:r>
      <w:r w:rsidRPr="00C247D0">
        <w:rPr>
          <w:rFonts w:ascii="Arial Narrow" w:hAnsi="Arial Narrow" w:cs="Tahoma"/>
          <w:sz w:val="22"/>
          <w:lang w:val="sr-Cyrl-BA"/>
        </w:rPr>
        <w:t xml:space="preserve">(0,4%) и то у групи свјеже поврће (8,1%) </w:t>
      </w:r>
      <w:proofErr w:type="spellStart"/>
      <w:r w:rsidRPr="00C247D0">
        <w:rPr>
          <w:rFonts w:ascii="Arial Narrow" w:hAnsi="Arial Narrow" w:cs="Tahoma"/>
          <w:sz w:val="22"/>
          <w:lang w:val="sr-Cyrl-BA"/>
        </w:rPr>
        <w:t>усљед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 виших сезонских цијена, те у групи шећер, џем, </w:t>
      </w:r>
      <w:proofErr w:type="spellStart"/>
      <w:r w:rsidRPr="00C247D0">
        <w:rPr>
          <w:rFonts w:ascii="Arial Narrow" w:hAnsi="Arial Narrow" w:cs="Tahoma"/>
          <w:sz w:val="22"/>
          <w:lang w:val="sr-Cyrl-BA"/>
        </w:rPr>
        <w:t>мед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 и др. производи (1,0%)</w:t>
      </w:r>
      <w:r w:rsidR="006017CC">
        <w:rPr>
          <w:rFonts w:ascii="Arial Narrow" w:hAnsi="Arial Narrow" w:cs="Tahoma"/>
          <w:sz w:val="22"/>
          <w:lang w:val="sr-Cyrl-BA"/>
        </w:rPr>
        <w:t>,</w:t>
      </w:r>
      <w:r w:rsidRPr="00C247D0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C247D0">
        <w:rPr>
          <w:rFonts w:ascii="Arial Narrow" w:hAnsi="Arial Narrow" w:cs="Tahoma"/>
          <w:sz w:val="22"/>
          <w:lang w:val="sr-Cyrl-BA"/>
        </w:rPr>
        <w:t>усљед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 виших набавних цијена шећера. Нешто мање повећање забиљежено је код цијена св</w:t>
      </w:r>
      <w:r w:rsidR="006017CC">
        <w:rPr>
          <w:rFonts w:ascii="Arial Narrow" w:hAnsi="Arial Narrow" w:cs="Tahoma"/>
          <w:sz w:val="22"/>
          <w:lang w:val="sr-Cyrl-BA"/>
        </w:rPr>
        <w:t>ј</w:t>
      </w:r>
      <w:r w:rsidRPr="00C247D0">
        <w:rPr>
          <w:rFonts w:ascii="Arial Narrow" w:hAnsi="Arial Narrow" w:cs="Tahoma"/>
          <w:sz w:val="22"/>
          <w:lang w:val="sr-Cyrl-BA"/>
        </w:rPr>
        <w:t>еже рибе (0,5%)</w:t>
      </w:r>
      <w:r w:rsidR="006017CC">
        <w:rPr>
          <w:rFonts w:ascii="Arial Narrow" w:hAnsi="Arial Narrow" w:cs="Tahoma"/>
          <w:sz w:val="22"/>
          <w:lang w:val="sr-Cyrl-BA"/>
        </w:rPr>
        <w:t>,</w:t>
      </w:r>
      <w:r w:rsidRPr="00C247D0">
        <w:rPr>
          <w:rFonts w:ascii="Arial Narrow" w:hAnsi="Arial Narrow" w:cs="Tahoma"/>
          <w:sz w:val="22"/>
          <w:lang w:val="sr-Cyrl-BA"/>
        </w:rPr>
        <w:t xml:space="preserve"> те у групи млијеко и млијечни производи (0,6%). Због различитих цијена добављача, мање повећање забиљежено је и у одјељку </w:t>
      </w:r>
      <w:r w:rsidRPr="00C247D0">
        <w:rPr>
          <w:rFonts w:ascii="Arial Narrow" w:hAnsi="Arial Narrow" w:cs="Tahoma"/>
          <w:i/>
          <w:sz w:val="22"/>
          <w:lang w:val="sr-Cyrl-BA"/>
        </w:rPr>
        <w:t>Здравство</w:t>
      </w:r>
      <w:r w:rsidRPr="00C247D0">
        <w:rPr>
          <w:rFonts w:ascii="Arial Narrow" w:hAnsi="Arial Narrow" w:cs="Tahoma"/>
          <w:sz w:val="22"/>
          <w:lang w:val="sr-Cyrl-BA"/>
        </w:rPr>
        <w:t xml:space="preserve"> (0,1%) у групи фармацеутски производи.</w:t>
      </w:r>
    </w:p>
    <w:p w:rsidR="00B6034D" w:rsidRPr="00C247D0" w:rsidRDefault="00B6034D" w:rsidP="00B6034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C247D0">
        <w:rPr>
          <w:rFonts w:ascii="Arial Narrow" w:hAnsi="Arial Narrow" w:cs="Tahoma"/>
          <w:sz w:val="22"/>
          <w:lang w:val="sr-Cyrl-BA"/>
        </w:rPr>
        <w:t>У одјељцима</w:t>
      </w:r>
      <w:r w:rsidRPr="00C247D0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9504BB" w:rsidRPr="00C247D0">
        <w:rPr>
          <w:rFonts w:ascii="Arial Narrow" w:hAnsi="Arial Narrow" w:cs="Tahoma"/>
          <w:i/>
          <w:sz w:val="22"/>
          <w:lang w:val="sr-Cyrl-BA"/>
        </w:rPr>
        <w:t xml:space="preserve">Алкохолна пића и дуван, Становање, Комуникације, Рекреација и култура, Образовање </w:t>
      </w:r>
      <w:r w:rsidR="009504BB" w:rsidRPr="006017CC">
        <w:rPr>
          <w:rFonts w:ascii="Arial Narrow" w:hAnsi="Arial Narrow" w:cs="Tahoma"/>
          <w:sz w:val="22"/>
          <w:lang w:val="sr-Cyrl-BA"/>
        </w:rPr>
        <w:t>и</w:t>
      </w:r>
      <w:r w:rsidR="009504BB" w:rsidRPr="00C247D0">
        <w:rPr>
          <w:rFonts w:ascii="Arial Narrow" w:hAnsi="Arial Narrow" w:cs="Tahoma"/>
          <w:i/>
          <w:sz w:val="22"/>
          <w:lang w:val="sr-Cyrl-BA"/>
        </w:rPr>
        <w:t xml:space="preserve"> Ресторани и хотели</w:t>
      </w:r>
      <w:r w:rsidR="009504BB" w:rsidRPr="00C247D0">
        <w:rPr>
          <w:rFonts w:ascii="Arial Narrow" w:hAnsi="Arial Narrow" w:cs="Tahoma"/>
          <w:sz w:val="22"/>
          <w:lang w:val="sr-Cyrl-BA"/>
        </w:rPr>
        <w:t xml:space="preserve"> </w:t>
      </w:r>
      <w:r w:rsidRPr="00C247D0">
        <w:rPr>
          <w:rFonts w:ascii="Arial Narrow" w:hAnsi="Arial Narrow" w:cs="Tahoma"/>
          <w:sz w:val="22"/>
          <w:lang w:val="sr-Cyrl-BA"/>
        </w:rPr>
        <w:t xml:space="preserve">цијене су, у просјеку, остале </w:t>
      </w:r>
      <w:proofErr w:type="spellStart"/>
      <w:r w:rsidRPr="00C247D0">
        <w:rPr>
          <w:rFonts w:ascii="Arial Narrow" w:hAnsi="Arial Narrow" w:cs="Tahoma"/>
          <w:sz w:val="22"/>
          <w:lang w:val="sr-Cyrl-BA"/>
        </w:rPr>
        <w:t>непромијењене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>.</w:t>
      </w:r>
    </w:p>
    <w:p w:rsidR="009504BB" w:rsidRPr="00C247D0" w:rsidRDefault="009504BB" w:rsidP="009504BB">
      <w:pPr>
        <w:jc w:val="both"/>
        <w:rPr>
          <w:rFonts w:ascii="Arial Narrow" w:hAnsi="Arial Narrow" w:cs="Tahoma"/>
          <w:sz w:val="22"/>
          <w:lang w:val="sr-Cyrl-BA"/>
        </w:rPr>
      </w:pPr>
      <w:r w:rsidRPr="00C247D0">
        <w:rPr>
          <w:rFonts w:ascii="Arial Narrow" w:hAnsi="Arial Narrow" w:cs="Tahoma"/>
          <w:sz w:val="22"/>
          <w:lang w:val="sr-Cyrl-BA"/>
        </w:rPr>
        <w:t>Нај</w:t>
      </w:r>
      <w:r w:rsidR="004C793B">
        <w:rPr>
          <w:rFonts w:ascii="Arial Narrow" w:hAnsi="Arial Narrow" w:cs="Tahoma"/>
          <w:sz w:val="22"/>
          <w:lang w:val="sr-Cyrl-BA"/>
        </w:rPr>
        <w:t>већи пад</w:t>
      </w:r>
      <w:r w:rsidRPr="00C247D0">
        <w:rPr>
          <w:rFonts w:ascii="Arial Narrow" w:hAnsi="Arial Narrow" w:cs="Tahoma"/>
          <w:sz w:val="22"/>
          <w:lang w:val="sr-Cyrl-BA"/>
        </w:rPr>
        <w:t xml:space="preserve"> цијен</w:t>
      </w:r>
      <w:r w:rsidR="004C793B">
        <w:rPr>
          <w:rFonts w:ascii="Arial Narrow" w:hAnsi="Arial Narrow" w:cs="Tahoma"/>
          <w:sz w:val="22"/>
          <w:lang w:val="sr-Cyrl-BA"/>
        </w:rPr>
        <w:t>а</w:t>
      </w:r>
      <w:r w:rsidRPr="00C247D0">
        <w:rPr>
          <w:rFonts w:ascii="Arial Narrow" w:hAnsi="Arial Narrow" w:cs="Tahoma"/>
          <w:sz w:val="22"/>
          <w:lang w:val="sr-Cyrl-BA"/>
        </w:rPr>
        <w:t xml:space="preserve"> у </w:t>
      </w:r>
      <w:proofErr w:type="spellStart"/>
      <w:r w:rsidRPr="00C247D0">
        <w:rPr>
          <w:rFonts w:ascii="Arial Narrow" w:hAnsi="Arial Narrow" w:cs="Tahoma"/>
          <w:sz w:val="22"/>
          <w:lang w:val="sr-Cyrl-CS"/>
        </w:rPr>
        <w:t>децембр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у </w:t>
      </w:r>
      <w:r w:rsidR="00857CE0">
        <w:rPr>
          <w:rFonts w:ascii="Arial Narrow" w:hAnsi="Arial Narrow" w:cs="Tahoma"/>
          <w:sz w:val="22"/>
          <w:lang w:val="sr-Cyrl-BA"/>
        </w:rPr>
        <w:t>2015. године</w:t>
      </w:r>
      <w:r w:rsidR="00857CE0" w:rsidRPr="00C247D0">
        <w:rPr>
          <w:rFonts w:ascii="Arial Narrow" w:hAnsi="Arial Narrow" w:cs="Tahoma"/>
          <w:sz w:val="22"/>
          <w:lang w:val="sr-Cyrl-BA"/>
        </w:rPr>
        <w:t xml:space="preserve"> </w:t>
      </w:r>
      <w:r w:rsidRPr="00C247D0">
        <w:rPr>
          <w:rFonts w:ascii="Arial Narrow" w:hAnsi="Arial Narrow" w:cs="Tahoma"/>
          <w:sz w:val="22"/>
          <w:lang w:val="sr-Cyrl-BA"/>
        </w:rPr>
        <w:t xml:space="preserve">забиљежен </w:t>
      </w:r>
      <w:r w:rsidR="004C793B">
        <w:rPr>
          <w:rFonts w:ascii="Arial Narrow" w:hAnsi="Arial Narrow" w:cs="Tahoma"/>
          <w:sz w:val="22"/>
          <w:lang w:val="sr-Cyrl-BA"/>
        </w:rPr>
        <w:t>је</w:t>
      </w:r>
      <w:r w:rsidRPr="00C247D0">
        <w:rPr>
          <w:rFonts w:ascii="Arial Narrow" w:hAnsi="Arial Narrow" w:cs="Tahoma"/>
          <w:sz w:val="22"/>
          <w:lang w:val="sr-Cyrl-BA"/>
        </w:rPr>
        <w:t xml:space="preserve"> у одјељку </w:t>
      </w:r>
      <w:r w:rsidRPr="00C247D0">
        <w:rPr>
          <w:rFonts w:ascii="Arial Narrow" w:hAnsi="Arial Narrow" w:cs="Tahoma"/>
          <w:i/>
          <w:sz w:val="22"/>
          <w:lang w:val="sr-Cyrl-BA"/>
        </w:rPr>
        <w:t>Одјећа и обућа</w:t>
      </w:r>
      <w:r w:rsidRPr="00C247D0">
        <w:rPr>
          <w:rFonts w:ascii="Arial Narrow" w:hAnsi="Arial Narrow" w:cs="Tahoma"/>
          <w:sz w:val="22"/>
          <w:lang w:val="sr-Cyrl-BA"/>
        </w:rPr>
        <w:t xml:space="preserve"> (3,1%)</w:t>
      </w:r>
      <w:r w:rsidR="006017CC">
        <w:rPr>
          <w:rFonts w:ascii="Arial Narrow" w:hAnsi="Arial Narrow" w:cs="Tahoma"/>
          <w:sz w:val="22"/>
          <w:lang w:val="sr-Cyrl-BA"/>
        </w:rPr>
        <w:t>,</w:t>
      </w:r>
      <w:r w:rsidR="0039408F" w:rsidRPr="00C247D0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="0039408F" w:rsidRPr="00C247D0">
        <w:rPr>
          <w:rFonts w:ascii="Arial Narrow" w:hAnsi="Arial Narrow" w:cs="Tahoma"/>
          <w:sz w:val="22"/>
          <w:lang w:val="sr-Cyrl-BA"/>
        </w:rPr>
        <w:t>усљед</w:t>
      </w:r>
      <w:proofErr w:type="spellEnd"/>
      <w:r w:rsidR="0039408F" w:rsidRPr="00C247D0">
        <w:rPr>
          <w:rFonts w:ascii="Arial Narrow" w:hAnsi="Arial Narrow" w:cs="Tahoma"/>
          <w:sz w:val="22"/>
          <w:lang w:val="sr-Cyrl-BA"/>
        </w:rPr>
        <w:t xml:space="preserve"> великог броја сезонских и</w:t>
      </w:r>
      <w:r w:rsidRPr="00C247D0">
        <w:rPr>
          <w:rFonts w:ascii="Arial Narrow" w:hAnsi="Arial Narrow" w:cs="Tahoma"/>
          <w:sz w:val="22"/>
          <w:lang w:val="sr-Cyrl-BA"/>
        </w:rPr>
        <w:t xml:space="preserve"> новогодишњих попуста и других врста снижења, затим у одјељку </w:t>
      </w:r>
      <w:proofErr w:type="spellStart"/>
      <w:r w:rsidRPr="00C247D0">
        <w:rPr>
          <w:rFonts w:ascii="Arial Narrow" w:hAnsi="Arial Narrow" w:cs="Tahoma"/>
          <w:i/>
          <w:sz w:val="22"/>
          <w:lang w:val="sr-Cyrl-BA"/>
        </w:rPr>
        <w:t>Превоз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 (1,1%)</w:t>
      </w:r>
      <w:r w:rsidR="006017CC">
        <w:rPr>
          <w:rFonts w:ascii="Arial Narrow" w:hAnsi="Arial Narrow" w:cs="Tahoma"/>
          <w:sz w:val="22"/>
          <w:lang w:val="sr-Cyrl-BA"/>
        </w:rPr>
        <w:t>,</w:t>
      </w:r>
      <w:r w:rsidRPr="00C247D0">
        <w:rPr>
          <w:rFonts w:ascii="Arial Narrow" w:hAnsi="Arial Narrow" w:cs="Tahoma"/>
          <w:sz w:val="22"/>
          <w:lang w:val="sr-Cyrl-BA"/>
        </w:rPr>
        <w:t xml:space="preserve"> највише због нижих набавних цијена горива. Ниже цијене забиљежене су још и у одјељку </w:t>
      </w:r>
      <w:r w:rsidRPr="00C247D0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C247D0">
        <w:rPr>
          <w:rFonts w:ascii="Arial Narrow" w:hAnsi="Arial Narrow" w:cs="Tahoma"/>
          <w:sz w:val="22"/>
          <w:lang w:val="sr-Cyrl-BA"/>
        </w:rPr>
        <w:t xml:space="preserve"> (0,5%) због већег броја новогодишњих попуста на различитим апаратим</w:t>
      </w:r>
      <w:r w:rsidR="006017CC">
        <w:rPr>
          <w:rFonts w:ascii="Arial Narrow" w:hAnsi="Arial Narrow" w:cs="Tahoma"/>
          <w:sz w:val="22"/>
          <w:lang w:val="sr-Cyrl-BA"/>
        </w:rPr>
        <w:t>а</w:t>
      </w:r>
      <w:r w:rsidRPr="00C247D0">
        <w:rPr>
          <w:rFonts w:ascii="Arial Narrow" w:hAnsi="Arial Narrow" w:cs="Tahoma"/>
          <w:sz w:val="22"/>
          <w:lang w:val="sr-Cyrl-BA"/>
        </w:rPr>
        <w:t xml:space="preserve"> и другој опреми за домаћинство, те у одјељку </w:t>
      </w:r>
      <w:r w:rsidRPr="00C247D0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C247D0">
        <w:rPr>
          <w:rFonts w:ascii="Arial Narrow" w:hAnsi="Arial Narrow" w:cs="Tahoma"/>
          <w:sz w:val="22"/>
          <w:lang w:val="sr-Cyrl-BA"/>
        </w:rPr>
        <w:t xml:space="preserve"> (0,1%)</w:t>
      </w:r>
      <w:r w:rsidR="006017CC">
        <w:rPr>
          <w:rFonts w:ascii="Arial Narrow" w:hAnsi="Arial Narrow" w:cs="Tahoma"/>
          <w:sz w:val="22"/>
          <w:lang w:val="sr-Cyrl-BA"/>
        </w:rPr>
        <w:t>,</w:t>
      </w:r>
      <w:r w:rsidRPr="00C247D0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C247D0">
        <w:rPr>
          <w:rFonts w:ascii="Arial Narrow" w:hAnsi="Arial Narrow" w:cs="Tahoma"/>
          <w:sz w:val="22"/>
          <w:lang w:val="sr-Cyrl-BA"/>
        </w:rPr>
        <w:t>усљед</w:t>
      </w:r>
      <w:proofErr w:type="spellEnd"/>
      <w:r w:rsidRPr="00C247D0">
        <w:rPr>
          <w:rFonts w:ascii="Arial Narrow" w:hAnsi="Arial Narrow" w:cs="Tahoma"/>
          <w:sz w:val="22"/>
          <w:lang w:val="sr-Cyrl-BA"/>
        </w:rPr>
        <w:t xml:space="preserve"> нижих (акцијских) цијена у групи производи за одржавање личне хигијене. </w:t>
      </w:r>
    </w:p>
    <w:p w:rsidR="00152F07" w:rsidRPr="00AD1F00" w:rsidRDefault="00152F07" w:rsidP="00E045B0">
      <w:pPr>
        <w:jc w:val="both"/>
        <w:rPr>
          <w:rFonts w:ascii="Arial Narrow" w:hAnsi="Arial Narrow" w:cs="Tahoma"/>
          <w:lang w:val="sr-Cyrl-BA"/>
        </w:rPr>
      </w:pPr>
    </w:p>
    <w:p w:rsidR="00CA3895" w:rsidRPr="00AD1F00" w:rsidRDefault="00CA3895" w:rsidP="00CA389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  <w:lang w:val="sr-Cyrl-CS"/>
        </w:rPr>
      </w:pPr>
      <w:r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Календарски прилагођена 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Pr="00AD1F00">
        <w:rPr>
          <w:rFonts w:ascii="Arial Narrow" w:hAnsi="Arial Narrow" w:cs="Tahoma"/>
          <w:b/>
          <w:sz w:val="28"/>
          <w:szCs w:val="28"/>
        </w:rPr>
        <w:t>I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Pr="00AD1F00">
        <w:rPr>
          <w:rFonts w:ascii="Arial Narrow" w:hAnsi="Arial Narrow" w:cs="Tahoma"/>
          <w:b/>
          <w:sz w:val="28"/>
          <w:szCs w:val="28"/>
        </w:rPr>
        <w:t>XI</w:t>
      </w:r>
      <w:r w:rsidR="00374BDC" w:rsidRPr="00AD1F00">
        <w:rPr>
          <w:rFonts w:ascii="Arial Narrow" w:hAnsi="Arial Narrow" w:cs="Tahoma"/>
          <w:b/>
          <w:sz w:val="28"/>
          <w:szCs w:val="28"/>
        </w:rPr>
        <w:t>I</w:t>
      </w:r>
      <w:r w:rsidRPr="00AD1F0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>15</w:t>
      </w:r>
      <w:r w:rsidRPr="00AD1F00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Pr="00AD1F00">
        <w:rPr>
          <w:rFonts w:ascii="Arial Narrow" w:hAnsi="Arial Narrow" w:cs="Tahoma"/>
          <w:b/>
          <w:sz w:val="28"/>
          <w:szCs w:val="28"/>
        </w:rPr>
        <w:t>I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Pr="00AD1F00">
        <w:rPr>
          <w:rFonts w:ascii="Arial Narrow" w:hAnsi="Arial Narrow" w:cs="Tahoma"/>
          <w:b/>
          <w:sz w:val="28"/>
          <w:szCs w:val="28"/>
        </w:rPr>
        <w:t>XI</w:t>
      </w:r>
      <w:r w:rsidR="00374BDC" w:rsidRPr="00AD1F00">
        <w:rPr>
          <w:rFonts w:ascii="Arial Narrow" w:hAnsi="Arial Narrow" w:cs="Tahoma"/>
          <w:b/>
          <w:sz w:val="28"/>
          <w:szCs w:val="28"/>
        </w:rPr>
        <w:t>I</w:t>
      </w:r>
      <w:r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Pr="00AD1F00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>4.</w:t>
      </w:r>
      <w:r w:rsidRPr="00AD1F00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већа </w:t>
      </w:r>
      <w:r w:rsidR="00374BDC"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>2</w:t>
      </w:r>
      <w:r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>,</w:t>
      </w:r>
      <w:r w:rsidR="00374BDC"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>7</w:t>
      </w:r>
      <w:r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</w:p>
    <w:p w:rsidR="00BA7878" w:rsidRPr="00AD1F00" w:rsidRDefault="00BA7878" w:rsidP="00BA787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  <w:lang w:val="sr-Cyrl-CS"/>
        </w:rPr>
      </w:pPr>
      <w:r w:rsidRPr="00AD1F00">
        <w:rPr>
          <w:rFonts w:ascii="Arial Narrow" w:hAnsi="Arial Narrow" w:cs="Tahoma"/>
          <w:b/>
          <w:sz w:val="28"/>
          <w:szCs w:val="28"/>
          <w:lang w:val="ru-RU"/>
        </w:rPr>
        <w:t xml:space="preserve">Број запослених у индустрији </w:t>
      </w:r>
      <w:r w:rsidRPr="00AD1F00">
        <w:rPr>
          <w:rFonts w:ascii="Arial Narrow" w:hAnsi="Arial Narrow" w:cs="Tahoma"/>
          <w:b/>
          <w:sz w:val="28"/>
          <w:szCs w:val="28"/>
          <w:lang w:val="sr-Cyrl-CS"/>
        </w:rPr>
        <w:t>(</w:t>
      </w:r>
      <w:r w:rsidR="006017CC" w:rsidRPr="00AD1F00">
        <w:rPr>
          <w:rFonts w:ascii="Arial Narrow" w:hAnsi="Arial Narrow" w:cs="Tahoma"/>
          <w:b/>
          <w:sz w:val="28"/>
          <w:szCs w:val="28"/>
        </w:rPr>
        <w:t>I</w:t>
      </w:r>
      <w:r w:rsidR="006017CC" w:rsidRPr="00AD1F00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="006017CC" w:rsidRPr="00AD1F00">
        <w:rPr>
          <w:rFonts w:ascii="Arial Narrow" w:hAnsi="Arial Narrow" w:cs="Tahoma"/>
          <w:b/>
          <w:sz w:val="28"/>
          <w:szCs w:val="28"/>
        </w:rPr>
        <w:t>XII</w:t>
      </w:r>
      <w:r w:rsidR="006017CC" w:rsidRPr="00AD1F0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6017CC" w:rsidRPr="00AD1F00">
        <w:rPr>
          <w:rFonts w:ascii="Arial Narrow" w:hAnsi="Arial Narrow" w:cs="Tahoma"/>
          <w:b/>
          <w:sz w:val="28"/>
          <w:szCs w:val="28"/>
          <w:lang w:val="sr-Cyrl-CS"/>
        </w:rPr>
        <w:t>15</w:t>
      </w:r>
      <w:r w:rsidR="006017CC" w:rsidRPr="00AD1F00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="006017CC" w:rsidRPr="00AD1F00">
        <w:rPr>
          <w:rFonts w:ascii="Arial Narrow" w:hAnsi="Arial Narrow" w:cs="Tahoma"/>
          <w:b/>
          <w:sz w:val="28"/>
          <w:szCs w:val="28"/>
        </w:rPr>
        <w:t>I</w:t>
      </w:r>
      <w:r w:rsidR="006017CC" w:rsidRPr="00AD1F00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="006017CC" w:rsidRPr="00AD1F00">
        <w:rPr>
          <w:rFonts w:ascii="Arial Narrow" w:hAnsi="Arial Narrow" w:cs="Tahoma"/>
          <w:b/>
          <w:sz w:val="28"/>
          <w:szCs w:val="28"/>
        </w:rPr>
        <w:t>XII</w:t>
      </w:r>
      <w:r w:rsidR="006017CC"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6017CC" w:rsidRPr="00AD1F00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6017CC" w:rsidRPr="00AD1F00">
        <w:rPr>
          <w:rFonts w:ascii="Arial Narrow" w:hAnsi="Arial Narrow" w:cs="Tahoma"/>
          <w:b/>
          <w:bCs/>
          <w:sz w:val="28"/>
          <w:szCs w:val="28"/>
          <w:lang w:val="sr-Cyrl-CS"/>
        </w:rPr>
        <w:t>4.</w:t>
      </w:r>
      <w:r w:rsidRPr="00AD1F00">
        <w:rPr>
          <w:rFonts w:ascii="Arial Narrow" w:hAnsi="Arial Narrow" w:cs="Tahoma"/>
          <w:b/>
          <w:sz w:val="28"/>
          <w:szCs w:val="28"/>
          <w:lang w:val="ru-RU"/>
        </w:rPr>
        <w:t xml:space="preserve">) већи </w:t>
      </w:r>
      <w:r w:rsidR="006017CC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AD1F00">
        <w:rPr>
          <w:rFonts w:ascii="Arial Narrow" w:hAnsi="Arial Narrow" w:cs="Tahoma"/>
          <w:b/>
          <w:sz w:val="28"/>
          <w:szCs w:val="28"/>
          <w:lang w:val="ru-RU"/>
        </w:rPr>
        <w:t>,</w:t>
      </w:r>
      <w:r w:rsidR="006017CC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Pr="00AD1F00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CA3895" w:rsidRPr="00AD1F00" w:rsidRDefault="00CA3895" w:rsidP="00CA3895">
      <w:pPr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CA3895" w:rsidRDefault="00CA3895" w:rsidP="00CA38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D1F00">
        <w:rPr>
          <w:rFonts w:ascii="Arial Narrow" w:hAnsi="Arial Narrow" w:cs="Tahoma"/>
          <w:b/>
          <w:sz w:val="22"/>
          <w:szCs w:val="22"/>
          <w:lang w:val="sr-Cyrl-CS"/>
        </w:rPr>
        <w:t>Календарски прилагођена индустријска производња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у периоду јануар</w:t>
      </w:r>
      <w:r w:rsidR="00601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-</w:t>
      </w:r>
      <w:r w:rsidR="006017C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74BDC"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>децембар</w:t>
      </w:r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2015.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г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одине</w:t>
      </w:r>
      <w:r w:rsidRPr="00AD1F00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у поређењу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истим периодом </w:t>
      </w:r>
      <w:r w:rsidRPr="00AD1F00">
        <w:rPr>
          <w:rFonts w:ascii="Arial Narrow" w:hAnsi="Arial Narrow" w:cs="Tahoma"/>
          <w:sz w:val="22"/>
          <w:szCs w:val="22"/>
          <w:lang w:val="ru-RU"/>
        </w:rPr>
        <w:t>2014.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57CE0">
        <w:rPr>
          <w:rFonts w:ascii="Arial Narrow" w:hAnsi="Arial Narrow" w:cs="Tahoma"/>
          <w:sz w:val="22"/>
          <w:lang w:val="sr-Cyrl-BA"/>
        </w:rPr>
        <w:t>године</w:t>
      </w:r>
      <w:r w:rsidR="00857CE0"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57CE0">
        <w:rPr>
          <w:rFonts w:ascii="Arial Narrow" w:hAnsi="Arial Narrow" w:cs="Tahoma"/>
          <w:sz w:val="22"/>
          <w:szCs w:val="22"/>
          <w:lang w:val="sr-Cyrl-CS"/>
        </w:rPr>
        <w:t xml:space="preserve">била је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већа за 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2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7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%. У подручју </w:t>
      </w:r>
      <w:proofErr w:type="spellStart"/>
      <w:r w:rsidRPr="00AD1F00">
        <w:rPr>
          <w:rFonts w:ascii="Arial Narrow" w:hAnsi="Arial Narrow" w:cs="Tahoma"/>
          <w:i/>
          <w:sz w:val="22"/>
          <w:szCs w:val="22"/>
          <w:lang w:val="sr-Cyrl-CS"/>
        </w:rPr>
        <w:t>Вађењ</w:t>
      </w:r>
      <w:proofErr w:type="spellEnd"/>
      <w:r w:rsidRPr="00AD1F00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Pr="00AD1F00">
        <w:rPr>
          <w:rFonts w:ascii="Arial Narrow" w:hAnsi="Arial Narrow" w:cs="Tahoma"/>
          <w:i/>
          <w:sz w:val="22"/>
          <w:szCs w:val="22"/>
          <w:lang w:val="sr-Cyrl-CS"/>
        </w:rPr>
        <w:t xml:space="preserve"> руда и камена</w:t>
      </w:r>
      <w:r w:rsidRPr="00AD1F0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>остварен је</w:t>
      </w:r>
      <w:r w:rsidRPr="00AD1F0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раст од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 10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2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%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у </w:t>
      </w:r>
      <w:r w:rsidRPr="00AD1F00">
        <w:rPr>
          <w:rFonts w:ascii="Arial Narrow" w:hAnsi="Arial Narrow" w:cs="Tahoma"/>
          <w:i/>
          <w:sz w:val="22"/>
          <w:szCs w:val="22"/>
          <w:lang w:val="sr-Cyrl-CS"/>
        </w:rPr>
        <w:t>Прерађивачкој индустрији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раст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од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2,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7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%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, док је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у </w:t>
      </w:r>
      <w:r w:rsidRPr="00AD1F00">
        <w:rPr>
          <w:rFonts w:ascii="Arial Narrow" w:hAnsi="Arial Narrow" w:cs="Tahoma"/>
          <w:i/>
          <w:sz w:val="22"/>
          <w:szCs w:val="22"/>
          <w:lang w:val="sr-Cyrl-CS"/>
        </w:rPr>
        <w:t xml:space="preserve">Производњи и </w:t>
      </w:r>
      <w:proofErr w:type="spellStart"/>
      <w:r w:rsidRPr="00AD1F00">
        <w:rPr>
          <w:rFonts w:ascii="Arial Narrow" w:hAnsi="Arial Narrow" w:cs="Tahoma"/>
          <w:i/>
          <w:sz w:val="22"/>
          <w:szCs w:val="22"/>
          <w:lang w:val="sr-Cyrl-CS"/>
        </w:rPr>
        <w:t>снабдијевању</w:t>
      </w:r>
      <w:proofErr w:type="spellEnd"/>
      <w:r w:rsidRPr="00AD1F00">
        <w:rPr>
          <w:rFonts w:ascii="Arial Narrow" w:hAnsi="Arial Narrow" w:cs="Tahoma"/>
          <w:i/>
          <w:sz w:val="22"/>
          <w:szCs w:val="22"/>
          <w:lang w:val="sr-Cyrl-CS"/>
        </w:rPr>
        <w:t xml:space="preserve"> електричном енергијом, гасом, паром и климатизацији </w:t>
      </w:r>
      <w:r w:rsidR="00374BDC" w:rsidRPr="00AD1F00">
        <w:rPr>
          <w:rFonts w:ascii="Arial Narrow" w:hAnsi="Arial Narrow" w:cs="Tahoma"/>
          <w:sz w:val="22"/>
          <w:szCs w:val="22"/>
          <w:lang w:val="sr-Cyrl-BA"/>
        </w:rPr>
        <w:t>забиљежен пад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1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0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%. </w:t>
      </w:r>
    </w:p>
    <w:p w:rsidR="00857CE0" w:rsidRPr="00AD1F00" w:rsidRDefault="00857CE0" w:rsidP="00CA38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CA3895" w:rsidRPr="00AD1F00" w:rsidRDefault="00CA3895" w:rsidP="00CA38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>намјене</w:t>
      </w:r>
      <w:proofErr w:type="spellEnd"/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производа,</w:t>
      </w:r>
      <w:r w:rsidRPr="00AD1F0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у периоду јануар</w:t>
      </w:r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>-</w:t>
      </w:r>
      <w:r w:rsidR="00374BDC"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децембар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2015.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г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одине</w:t>
      </w:r>
      <w:r w:rsidRPr="00AD1F00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у поређењу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истим периодом </w:t>
      </w:r>
      <w:r w:rsidRPr="00AD1F00">
        <w:rPr>
          <w:rFonts w:ascii="Arial Narrow" w:hAnsi="Arial Narrow" w:cs="Tahoma"/>
          <w:sz w:val="22"/>
          <w:szCs w:val="22"/>
          <w:lang w:val="ru-RU"/>
        </w:rPr>
        <w:t>2014.</w:t>
      </w:r>
      <w:r w:rsidRPr="00AD1F0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производња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Cyrl-CS"/>
        </w:rPr>
        <w:t>нетрајних</w:t>
      </w:r>
      <w:proofErr w:type="spellEnd"/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производа за широку потрошњу</w:t>
      </w:r>
      <w:r w:rsidRPr="00AD1F0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="00857CE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била је </w:t>
      </w:r>
      <w:r w:rsidRPr="00AD1F00">
        <w:rPr>
          <w:rFonts w:ascii="Arial Narrow" w:hAnsi="Arial Narrow" w:cs="Tahoma"/>
          <w:spacing w:val="-2"/>
          <w:sz w:val="22"/>
          <w:szCs w:val="22"/>
          <w:lang w:val="sr-Cyrl-BA"/>
        </w:rPr>
        <w:t>већа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за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7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4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%,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Cyrl-CS"/>
        </w:rPr>
        <w:t>интермедијарних</w:t>
      </w:r>
      <w:proofErr w:type="spellEnd"/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производа за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74BDC" w:rsidRPr="00AD1F00">
        <w:rPr>
          <w:rFonts w:ascii="Arial Narrow" w:hAnsi="Arial Narrow" w:cs="Tahoma"/>
          <w:sz w:val="22"/>
          <w:szCs w:val="22"/>
          <w:lang w:val="sr-Cyrl-BA"/>
        </w:rPr>
        <w:t>4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BA"/>
        </w:rPr>
        <w:t>4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трајних производа за широку потрошњу за 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2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4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% и енергије за 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1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0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%, док је производња капиталних производа </w:t>
      </w:r>
      <w:r w:rsidR="00857CE0">
        <w:rPr>
          <w:rFonts w:ascii="Arial Narrow" w:hAnsi="Arial Narrow" w:cs="Tahoma"/>
          <w:sz w:val="22"/>
          <w:szCs w:val="22"/>
          <w:lang w:val="sr-Cyrl-CS"/>
        </w:rPr>
        <w:t xml:space="preserve">била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мања за 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5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374BDC" w:rsidRPr="00AD1F00">
        <w:rPr>
          <w:rFonts w:ascii="Arial Narrow" w:hAnsi="Arial Narrow" w:cs="Tahoma"/>
          <w:sz w:val="22"/>
          <w:szCs w:val="22"/>
          <w:lang w:val="sr-Cyrl-CS"/>
        </w:rPr>
        <w:t>6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152F07" w:rsidRPr="00AD1F00" w:rsidRDefault="00152F07" w:rsidP="00152F07">
      <w:pPr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0213F8" w:rsidRPr="00AD1F00" w:rsidRDefault="000213F8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D1F00">
        <w:rPr>
          <w:rFonts w:ascii="Arial Narrow" w:hAnsi="Arial Narrow" w:cs="Tahoma"/>
          <w:b/>
          <w:sz w:val="22"/>
          <w:szCs w:val="22"/>
          <w:lang w:val="ru-RU"/>
        </w:rPr>
        <w:t>Број запослених у индустрији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="00374BDC"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>децембру</w:t>
      </w:r>
      <w:r w:rsidR="002859AA" w:rsidRPr="00AD1F0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>201</w:t>
      </w:r>
      <w:r w:rsidR="00B85D9D" w:rsidRPr="00AD1F00">
        <w:rPr>
          <w:rFonts w:ascii="Arial Narrow" w:hAnsi="Arial Narrow" w:cs="Tahoma"/>
          <w:sz w:val="22"/>
          <w:szCs w:val="22"/>
          <w:lang w:val="ru-RU"/>
        </w:rPr>
        <w:t>5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. године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односу на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просјечан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мјесечни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број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запослених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у 201</w:t>
      </w:r>
      <w:r w:rsidR="002859AA" w:rsidRPr="00AD1F00">
        <w:rPr>
          <w:rFonts w:ascii="Arial Narrow" w:hAnsi="Arial Narrow" w:cs="Tahoma"/>
          <w:sz w:val="22"/>
          <w:szCs w:val="22"/>
          <w:lang w:val="sr-Cyrl-CS"/>
        </w:rPr>
        <w:t>4</w:t>
      </w:r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 w:rsidR="002859AA" w:rsidRPr="00AD1F00">
        <w:rPr>
          <w:rFonts w:ascii="Arial Narrow" w:hAnsi="Arial Narrow" w:cs="Tahoma"/>
          <w:sz w:val="22"/>
          <w:szCs w:val="22"/>
          <w:lang w:val="sr-Cyrl-CS"/>
        </w:rPr>
        <w:t>г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одини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857CE0">
        <w:rPr>
          <w:rFonts w:ascii="Arial Narrow" w:hAnsi="Arial Narrow" w:cs="Tahoma"/>
          <w:sz w:val="22"/>
          <w:szCs w:val="22"/>
          <w:lang w:val="sr-Cyrl-RS"/>
        </w:rPr>
        <w:t xml:space="preserve">био је </w:t>
      </w:r>
      <w:r w:rsidR="00AC4206" w:rsidRPr="00AD1F00">
        <w:rPr>
          <w:rFonts w:ascii="Arial Narrow" w:hAnsi="Arial Narrow" w:cs="Tahoma"/>
          <w:sz w:val="22"/>
          <w:szCs w:val="22"/>
          <w:lang w:val="sr-Cyrl-CS"/>
        </w:rPr>
        <w:t>већи</w:t>
      </w:r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Latn-CS"/>
        </w:rPr>
        <w:t>за</w:t>
      </w:r>
      <w:proofErr w:type="spellEnd"/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DF08E8" w:rsidRPr="00AD1F00">
        <w:rPr>
          <w:rFonts w:ascii="Arial Narrow" w:hAnsi="Arial Narrow" w:cs="Tahoma"/>
          <w:sz w:val="22"/>
          <w:szCs w:val="22"/>
          <w:lang w:val="sr-Cyrl-CS"/>
        </w:rPr>
        <w:t>1</w:t>
      </w:r>
      <w:r w:rsidRPr="00AD1F00">
        <w:rPr>
          <w:rFonts w:ascii="Arial Narrow" w:hAnsi="Arial Narrow" w:cs="Tahoma"/>
          <w:sz w:val="22"/>
          <w:szCs w:val="22"/>
          <w:lang w:val="sr-Latn-CS"/>
        </w:rPr>
        <w:t>,</w:t>
      </w:r>
      <w:r w:rsidR="00B9777F" w:rsidRPr="00AD1F00">
        <w:rPr>
          <w:rFonts w:ascii="Arial Narrow" w:hAnsi="Arial Narrow" w:cs="Tahoma"/>
          <w:sz w:val="22"/>
          <w:szCs w:val="22"/>
          <w:lang w:val="sr-Cyrl-CS"/>
        </w:rPr>
        <w:t>3</w:t>
      </w:r>
      <w:r w:rsidRPr="00AD1F00">
        <w:rPr>
          <w:rFonts w:ascii="Arial Narrow" w:hAnsi="Arial Narrow" w:cs="Tahoma"/>
          <w:sz w:val="22"/>
          <w:szCs w:val="22"/>
          <w:lang w:val="sr-Latn-CS"/>
        </w:rPr>
        <w:t>%</w:t>
      </w:r>
      <w:r w:rsidR="006017CC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у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Latn-CS"/>
        </w:rPr>
        <w:t>односу</w:t>
      </w:r>
      <w:proofErr w:type="spellEnd"/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Latn-CS"/>
        </w:rPr>
        <w:t>на</w:t>
      </w:r>
      <w:proofErr w:type="spellEnd"/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исти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мјесец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прошле</w:t>
      </w:r>
      <w:proofErr w:type="spellEnd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AD1F00">
        <w:rPr>
          <w:rFonts w:ascii="Arial Narrow" w:hAnsi="Arial Narrow" w:cs="Tahoma"/>
          <w:sz w:val="22"/>
          <w:szCs w:val="22"/>
          <w:lang w:val="sr-Latn-CS"/>
        </w:rPr>
        <w:t>године</w:t>
      </w:r>
      <w:proofErr w:type="spellEnd"/>
      <w:r w:rsidR="006017C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57CE0">
        <w:rPr>
          <w:rFonts w:ascii="Arial Narrow" w:hAnsi="Arial Narrow" w:cs="Tahoma"/>
          <w:sz w:val="22"/>
          <w:szCs w:val="22"/>
          <w:lang w:val="sr-Cyrl-BA"/>
        </w:rPr>
        <w:t xml:space="preserve">био је </w:t>
      </w:r>
      <w:r w:rsidR="006017CC">
        <w:rPr>
          <w:rFonts w:ascii="Arial Narrow" w:hAnsi="Arial Narrow" w:cs="Tahoma"/>
          <w:sz w:val="22"/>
          <w:szCs w:val="22"/>
          <w:lang w:val="sr-Cyrl-BA"/>
        </w:rPr>
        <w:t>већи</w:t>
      </w:r>
      <w:r w:rsidR="00857CE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152F07" w:rsidRPr="00AD1F00">
        <w:rPr>
          <w:rFonts w:ascii="Arial Narrow" w:hAnsi="Arial Narrow" w:cs="Tahoma"/>
          <w:sz w:val="22"/>
          <w:szCs w:val="22"/>
          <w:lang w:val="sr-Cyrl-CS"/>
        </w:rPr>
        <w:t>0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B9777F" w:rsidRPr="00AD1F00">
        <w:rPr>
          <w:rFonts w:ascii="Arial Narrow" w:hAnsi="Arial Narrow" w:cs="Tahoma"/>
          <w:sz w:val="22"/>
          <w:szCs w:val="22"/>
          <w:lang w:val="sr-Cyrl-CS"/>
        </w:rPr>
        <w:t>5</w:t>
      </w:r>
      <w:r w:rsidR="00AC4206" w:rsidRPr="00AD1F00">
        <w:rPr>
          <w:rFonts w:ascii="Arial Narrow" w:hAnsi="Arial Narrow" w:cs="Tahoma"/>
          <w:sz w:val="22"/>
          <w:szCs w:val="22"/>
          <w:lang w:val="sr-Cyrl-CS"/>
        </w:rPr>
        <w:t>%</w:t>
      </w:r>
      <w:r w:rsidR="00152F07" w:rsidRPr="00AD1F00">
        <w:rPr>
          <w:rFonts w:ascii="Arial Narrow" w:hAnsi="Arial Narrow" w:cs="Tahoma"/>
          <w:sz w:val="22"/>
          <w:szCs w:val="22"/>
          <w:lang w:val="sr-Cyrl-CS"/>
        </w:rPr>
        <w:t>, док је</w:t>
      </w:r>
      <w:r w:rsidR="000F4C35" w:rsidRPr="00AD1F00">
        <w:rPr>
          <w:rFonts w:ascii="Arial Narrow" w:hAnsi="Arial Narrow" w:cs="Tahoma"/>
          <w:sz w:val="22"/>
          <w:szCs w:val="22"/>
          <w:lang w:val="sr-Cyrl-CS"/>
        </w:rPr>
        <w:t xml:space="preserve"> у</w:t>
      </w:r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Latn-CS"/>
        </w:rPr>
        <w:t>односу</w:t>
      </w:r>
      <w:proofErr w:type="spellEnd"/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Latn-CS"/>
        </w:rPr>
        <w:t>на</w:t>
      </w:r>
      <w:proofErr w:type="spellEnd"/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9777F" w:rsidRPr="00AD1F00">
        <w:rPr>
          <w:rFonts w:ascii="Arial Narrow" w:hAnsi="Arial Narrow" w:cs="Tahoma"/>
          <w:sz w:val="22"/>
          <w:szCs w:val="22"/>
          <w:lang w:val="sr-Cyrl-CS"/>
        </w:rPr>
        <w:t>новембар</w:t>
      </w:r>
      <w:r w:rsidR="00DC2009" w:rsidRPr="00AD1F00">
        <w:rPr>
          <w:rFonts w:ascii="Arial Narrow" w:hAnsi="Arial Narrow" w:cs="Tahoma"/>
          <w:sz w:val="22"/>
          <w:szCs w:val="22"/>
          <w:lang w:val="sr-Cyrl-CS"/>
        </w:rPr>
        <w:t xml:space="preserve"> 2015.</w:t>
      </w:r>
      <w:r w:rsidR="00DC2009" w:rsidRPr="00AD1F00">
        <w:rPr>
          <w:rFonts w:ascii="Arial Narrow" w:hAnsi="Arial Narrow" w:cs="Tahoma"/>
          <w:sz w:val="22"/>
          <w:szCs w:val="22"/>
          <w:lang w:val="ru-RU"/>
        </w:rPr>
        <w:t xml:space="preserve"> године</w:t>
      </w:r>
      <w:r w:rsidR="007D064A" w:rsidRPr="00AD1F0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152F07" w:rsidRPr="00AD1F00">
        <w:rPr>
          <w:rFonts w:ascii="Arial Narrow" w:hAnsi="Arial Narrow" w:cs="Tahoma"/>
          <w:sz w:val="22"/>
          <w:szCs w:val="22"/>
          <w:lang w:val="ru-RU"/>
        </w:rPr>
        <w:t xml:space="preserve">мањи </w:t>
      </w:r>
      <w:r w:rsidRPr="00AD1F00">
        <w:rPr>
          <w:rFonts w:ascii="Arial Narrow" w:hAnsi="Arial Narrow" w:cs="Tahoma"/>
          <w:sz w:val="22"/>
          <w:szCs w:val="22"/>
          <w:lang w:val="ru-RU"/>
        </w:rPr>
        <w:t>за</w:t>
      </w:r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85D9D" w:rsidRPr="00AD1F00">
        <w:rPr>
          <w:rFonts w:ascii="Arial Narrow" w:hAnsi="Arial Narrow" w:cs="Tahoma"/>
          <w:sz w:val="22"/>
          <w:szCs w:val="22"/>
          <w:lang w:val="sr-Cyrl-CS"/>
        </w:rPr>
        <w:t>0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B9777F" w:rsidRPr="00AD1F00">
        <w:rPr>
          <w:rFonts w:ascii="Arial Narrow" w:hAnsi="Arial Narrow" w:cs="Tahoma"/>
          <w:sz w:val="22"/>
          <w:szCs w:val="22"/>
          <w:lang w:val="sr-Cyrl-CS"/>
        </w:rPr>
        <w:t>5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%.</w:t>
      </w:r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Број запослених у индустрији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AD1F00">
        <w:rPr>
          <w:rFonts w:ascii="Arial Narrow" w:hAnsi="Arial Narrow" w:cs="Tahoma"/>
          <w:sz w:val="22"/>
          <w:szCs w:val="22"/>
          <w:lang w:val="ru-RU"/>
        </w:rPr>
        <w:t>периоду јануар</w:t>
      </w:r>
      <w:r w:rsidR="006017C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>-</w:t>
      </w:r>
      <w:r w:rsidR="006017C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B9777F" w:rsidRPr="00AD1F00">
        <w:rPr>
          <w:rFonts w:ascii="Arial Narrow" w:hAnsi="Arial Narrow" w:cs="Tahoma"/>
          <w:sz w:val="22"/>
          <w:szCs w:val="22"/>
          <w:lang w:val="ru-RU"/>
        </w:rPr>
        <w:t>децембар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201</w:t>
      </w:r>
      <w:r w:rsidR="00B85D9D" w:rsidRPr="00AD1F00">
        <w:rPr>
          <w:rFonts w:ascii="Arial Narrow" w:hAnsi="Arial Narrow" w:cs="Tahoma"/>
          <w:sz w:val="22"/>
          <w:szCs w:val="22"/>
          <w:lang w:val="sr-Cyrl-CS"/>
        </w:rPr>
        <w:t>5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. године, у односу на исти период прошле године,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857CE0">
        <w:rPr>
          <w:rFonts w:ascii="Arial Narrow" w:hAnsi="Arial Narrow" w:cs="Tahoma"/>
          <w:sz w:val="22"/>
          <w:szCs w:val="22"/>
          <w:lang w:val="ru-RU"/>
        </w:rPr>
        <w:t xml:space="preserve">био је </w:t>
      </w:r>
      <w:r w:rsidRPr="00AD1F00">
        <w:rPr>
          <w:rFonts w:ascii="Arial Narrow" w:hAnsi="Arial Narrow" w:cs="Tahoma"/>
          <w:sz w:val="22"/>
          <w:szCs w:val="22"/>
          <w:lang w:val="ru-RU"/>
        </w:rPr>
        <w:t>већи</w:t>
      </w:r>
      <w:r w:rsidR="00857CE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>за 1,</w:t>
      </w:r>
      <w:r w:rsidR="00DF08E8" w:rsidRPr="00AD1F00">
        <w:rPr>
          <w:rFonts w:ascii="Arial Narrow" w:hAnsi="Arial Narrow" w:cs="Tahoma"/>
          <w:sz w:val="22"/>
          <w:szCs w:val="22"/>
          <w:lang w:val="ru-RU"/>
        </w:rPr>
        <w:t>3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у</w:t>
      </w:r>
      <w:r w:rsidRPr="00AD1F00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85D9D" w:rsidRPr="00AD1F00">
        <w:rPr>
          <w:rFonts w:ascii="Arial Narrow" w:hAnsi="Arial Narrow" w:cs="Tahoma"/>
          <w:sz w:val="22"/>
          <w:szCs w:val="22"/>
          <w:lang w:val="ru-RU"/>
        </w:rPr>
        <w:t xml:space="preserve">подручју </w:t>
      </w:r>
      <w:r w:rsidR="00B85D9D" w:rsidRPr="00AD1F00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</w:t>
      </w:r>
      <w:r w:rsidR="00D27610">
        <w:rPr>
          <w:rFonts w:ascii="Arial Narrow" w:hAnsi="Arial Narrow" w:cs="Tahoma"/>
          <w:i/>
          <w:sz w:val="22"/>
          <w:szCs w:val="22"/>
          <w:lang w:val="ru-RU"/>
        </w:rPr>
        <w:t>а</w:t>
      </w:r>
      <w:r w:rsidR="00B85D9D" w:rsidRPr="00AD1F0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остварен је раст од </w:t>
      </w:r>
      <w:r w:rsidR="00DF08E8" w:rsidRPr="00AD1F00">
        <w:rPr>
          <w:rFonts w:ascii="Arial Narrow" w:hAnsi="Arial Narrow" w:cs="Tahoma"/>
          <w:sz w:val="22"/>
          <w:szCs w:val="22"/>
          <w:lang w:val="sr-Cyrl-CS"/>
        </w:rPr>
        <w:t>2</w:t>
      </w:r>
      <w:r w:rsidRPr="00AD1F00">
        <w:rPr>
          <w:rFonts w:ascii="Arial Narrow" w:hAnsi="Arial Narrow" w:cs="Tahoma"/>
          <w:sz w:val="22"/>
          <w:szCs w:val="22"/>
          <w:lang w:val="ru-RU"/>
        </w:rPr>
        <w:t>,</w:t>
      </w:r>
      <w:r w:rsidR="00B9777F" w:rsidRPr="00AD1F00">
        <w:rPr>
          <w:rFonts w:ascii="Arial Narrow" w:hAnsi="Arial Narrow" w:cs="Tahoma"/>
          <w:sz w:val="22"/>
          <w:szCs w:val="22"/>
          <w:lang w:val="ru-RU"/>
        </w:rPr>
        <w:t>3</w:t>
      </w:r>
      <w:r w:rsidRPr="00AD1F00">
        <w:rPr>
          <w:rFonts w:ascii="Arial Narrow" w:hAnsi="Arial Narrow" w:cs="Tahoma"/>
          <w:sz w:val="22"/>
          <w:szCs w:val="22"/>
          <w:lang w:val="ru-RU"/>
        </w:rPr>
        <w:t>%,</w:t>
      </w:r>
      <w:r w:rsidRPr="00AD1F0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B85D9D" w:rsidRPr="00AD1F00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="00B85D9D" w:rsidRPr="00AD1F00">
        <w:rPr>
          <w:rFonts w:ascii="Arial Narrow" w:hAnsi="Arial Narrow" w:cs="Tahoma"/>
          <w:i/>
          <w:sz w:val="22"/>
          <w:szCs w:val="22"/>
          <w:lang w:val="sr-Cyrl-CS"/>
        </w:rPr>
        <w:t>Вађење руда и камена</w:t>
      </w:r>
      <w:r w:rsidR="00B85D9D" w:rsidRPr="00AD1F0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раст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DF08E8" w:rsidRPr="00AD1F00">
        <w:rPr>
          <w:rFonts w:ascii="Arial Narrow" w:hAnsi="Arial Narrow" w:cs="Tahoma"/>
          <w:sz w:val="22"/>
          <w:szCs w:val="22"/>
          <w:lang w:val="sr-Cyrl-CS"/>
        </w:rPr>
        <w:t>1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,</w:t>
      </w:r>
      <w:r w:rsidR="00B9777F" w:rsidRPr="00AD1F00">
        <w:rPr>
          <w:rFonts w:ascii="Arial Narrow" w:hAnsi="Arial Narrow" w:cs="Tahoma"/>
          <w:sz w:val="22"/>
          <w:szCs w:val="22"/>
          <w:lang w:val="sr-Cyrl-CS"/>
        </w:rPr>
        <w:t>7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% и у подручју </w:t>
      </w:r>
      <w:r w:rsidRPr="00AD1F00">
        <w:rPr>
          <w:rFonts w:ascii="Arial Narrow" w:hAnsi="Arial Narrow" w:cs="Tahoma"/>
          <w:i/>
          <w:sz w:val="22"/>
          <w:szCs w:val="22"/>
          <w:lang w:val="ru-RU"/>
        </w:rPr>
        <w:t>Прерађивачка индустрија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раст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од </w:t>
      </w:r>
      <w:r w:rsidR="002859AA" w:rsidRPr="00AD1F00">
        <w:rPr>
          <w:rFonts w:ascii="Arial Narrow" w:hAnsi="Arial Narrow" w:cs="Tahoma"/>
          <w:sz w:val="22"/>
          <w:szCs w:val="22"/>
          <w:lang w:val="ru-RU"/>
        </w:rPr>
        <w:t>1</w:t>
      </w:r>
      <w:r w:rsidRPr="00AD1F00">
        <w:rPr>
          <w:rFonts w:ascii="Arial Narrow" w:hAnsi="Arial Narrow" w:cs="Tahoma"/>
          <w:sz w:val="22"/>
          <w:szCs w:val="22"/>
          <w:lang w:val="ru-RU"/>
        </w:rPr>
        <w:t>,</w:t>
      </w:r>
      <w:r w:rsidR="00B9777F" w:rsidRPr="00AD1F00">
        <w:rPr>
          <w:rFonts w:ascii="Arial Narrow" w:hAnsi="Arial Narrow" w:cs="Tahoma"/>
          <w:sz w:val="22"/>
          <w:szCs w:val="22"/>
          <w:lang w:val="ru-RU"/>
        </w:rPr>
        <w:t>0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%. </w:t>
      </w:r>
    </w:p>
    <w:p w:rsidR="000213F8" w:rsidRPr="00AD1F00" w:rsidRDefault="00B9777F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AD1F00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AD1F00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proofErr w:type="spellStart"/>
      <w:r w:rsidRPr="00AD1F00">
        <w:rPr>
          <w:rFonts w:ascii="Arial Narrow" w:hAnsi="Arial Narrow" w:cs="Tahoma"/>
          <w:sz w:val="16"/>
          <w:szCs w:val="16"/>
          <w:lang w:val="sr-Latn-CS"/>
        </w:rPr>
        <w:t>Графикон</w:t>
      </w:r>
      <w:proofErr w:type="spellEnd"/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66022A" w:rsidRPr="00AD1F00">
        <w:rPr>
          <w:rFonts w:ascii="Arial Narrow" w:hAnsi="Arial Narrow" w:cs="Tahoma"/>
          <w:sz w:val="16"/>
          <w:szCs w:val="16"/>
          <w:lang w:val="sr-Latn-CS"/>
        </w:rPr>
        <w:t>2</w:t>
      </w:r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proofErr w:type="spellStart"/>
      <w:r w:rsidRPr="00AD1F00">
        <w:rPr>
          <w:rFonts w:ascii="Arial Narrow" w:hAnsi="Arial Narrow" w:cs="Tahoma"/>
          <w:sz w:val="16"/>
          <w:szCs w:val="16"/>
          <w:lang w:val="sr-Latn-CS"/>
        </w:rPr>
        <w:t>Индекси</w:t>
      </w:r>
      <w:proofErr w:type="spellEnd"/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16"/>
          <w:szCs w:val="16"/>
          <w:lang w:val="sr-Latn-CS"/>
        </w:rPr>
        <w:t>индустријске</w:t>
      </w:r>
      <w:proofErr w:type="spellEnd"/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AD1F00">
        <w:rPr>
          <w:rFonts w:ascii="Arial Narrow" w:hAnsi="Arial Narrow" w:cs="Tahoma"/>
          <w:sz w:val="16"/>
          <w:szCs w:val="16"/>
          <w:lang w:val="sr-Latn-CS"/>
        </w:rPr>
        <w:t>производње</w:t>
      </w:r>
      <w:proofErr w:type="spellEnd"/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B9777F" w:rsidRPr="00AD1F00">
        <w:rPr>
          <w:rFonts w:ascii="Arial Narrow" w:hAnsi="Arial Narrow" w:cs="Tahoma"/>
          <w:sz w:val="16"/>
          <w:szCs w:val="16"/>
          <w:lang w:val="sr-Cyrl-CS"/>
        </w:rPr>
        <w:t>децембар</w:t>
      </w:r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D1F00">
        <w:rPr>
          <w:rFonts w:ascii="Arial Narrow" w:hAnsi="Arial Narrow" w:cs="Tahoma"/>
          <w:sz w:val="16"/>
          <w:szCs w:val="16"/>
          <w:lang w:val="sr-Latn-BA"/>
        </w:rPr>
        <w:t>1</w:t>
      </w:r>
      <w:r w:rsidRPr="00AD1F00">
        <w:rPr>
          <w:rFonts w:ascii="Arial Narrow" w:hAnsi="Arial Narrow" w:cs="Tahoma"/>
          <w:sz w:val="16"/>
          <w:szCs w:val="16"/>
          <w:lang w:val="sr-Cyrl-CS"/>
        </w:rPr>
        <w:t>1</w:t>
      </w:r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B9777F" w:rsidRPr="00AD1F00">
        <w:rPr>
          <w:rFonts w:ascii="Arial Narrow" w:hAnsi="Arial Narrow" w:cs="Tahoma"/>
          <w:sz w:val="16"/>
          <w:szCs w:val="16"/>
          <w:lang w:val="sr-Cyrl-CS"/>
        </w:rPr>
        <w:t>децембар</w:t>
      </w:r>
      <w:r w:rsidRPr="00AD1F00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AD1F00">
        <w:rPr>
          <w:rFonts w:ascii="Arial Narrow" w:hAnsi="Arial Narrow" w:cs="Tahoma"/>
          <w:sz w:val="16"/>
          <w:szCs w:val="16"/>
          <w:lang w:val="sr-Cyrl-CS"/>
        </w:rPr>
        <w:t>5</w:t>
      </w:r>
      <w:r w:rsidRPr="00AD1F00">
        <w:rPr>
          <w:rFonts w:ascii="Arial Narrow" w:hAnsi="Arial Narrow" w:cs="Tahoma"/>
          <w:sz w:val="16"/>
          <w:szCs w:val="16"/>
          <w:lang w:val="sr-Latn-CS"/>
        </w:rPr>
        <w:t>. (</w:t>
      </w:r>
      <w:r w:rsidRPr="00AD1F0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D1F00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6E4C93" w:rsidRPr="00AD1F00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AD1F00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D1F00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D1F00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AD1F00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8F10AE" w:rsidRPr="00AD1F00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7E3425" w:rsidRPr="00AD1F00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8902BA" w:rsidRPr="00AD1F00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D1F0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AD1F00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AD1F00">
        <w:rPr>
          <w:rFonts w:ascii="Arial Narrow" w:hAnsi="Arial Narrow" w:cs="Tahoma"/>
          <w:b/>
          <w:sz w:val="30"/>
          <w:szCs w:val="30"/>
          <w:lang w:val="sr-Latn-CS"/>
        </w:rPr>
        <w:t>5.</w:t>
      </w:r>
      <w:r w:rsidRPr="00AD1F00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AD1F0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8F10AE" w:rsidRPr="00AD1F00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7E3425" w:rsidRPr="00AD1F00">
        <w:rPr>
          <w:rFonts w:ascii="Arial Narrow" w:hAnsi="Arial Narrow" w:cs="Tahoma"/>
          <w:b/>
          <w:sz w:val="30"/>
          <w:szCs w:val="30"/>
          <w:lang w:val="hr-HR"/>
        </w:rPr>
        <w:t>8</w:t>
      </w:r>
      <w:r w:rsidR="008F10AE" w:rsidRPr="00AD1F00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7E3425" w:rsidRPr="00AD1F00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AD1F00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AD1F00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F442FA" w:rsidRPr="00AD1F00" w:rsidRDefault="00F442FA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AD1F00">
        <w:rPr>
          <w:rFonts w:ascii="Arial Narrow" w:hAnsi="Arial Narrow" w:cs="Tahoma"/>
          <w:sz w:val="22"/>
          <w:lang w:val="sr-Cyrl-BA"/>
        </w:rPr>
        <w:t xml:space="preserve">У </w:t>
      </w:r>
      <w:r w:rsidR="007E3425" w:rsidRPr="00AD1F00">
        <w:rPr>
          <w:rFonts w:ascii="Arial Narrow" w:hAnsi="Arial Narrow" w:cs="Tahoma"/>
          <w:sz w:val="22"/>
          <w:lang w:val="sr-Cyrl-BA"/>
        </w:rPr>
        <w:t>децембру</w:t>
      </w:r>
      <w:r w:rsidRPr="00AD1F00">
        <w:rPr>
          <w:rFonts w:ascii="Arial Narrow" w:hAnsi="Arial Narrow" w:cs="Tahoma"/>
          <w:sz w:val="22"/>
          <w:lang w:val="sr-Cyrl-BA"/>
        </w:rPr>
        <w:t xml:space="preserve"> 201</w:t>
      </w:r>
      <w:r w:rsidRPr="00AD1F00">
        <w:rPr>
          <w:rFonts w:ascii="Arial Narrow" w:hAnsi="Arial Narrow" w:cs="Tahoma"/>
          <w:sz w:val="22"/>
          <w:lang w:val="sr-Latn-CS"/>
        </w:rPr>
        <w:t>5</w:t>
      </w:r>
      <w:r w:rsidRPr="00AD1F00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7E3425" w:rsidRPr="00AD1F00">
        <w:rPr>
          <w:rFonts w:ascii="Arial Narrow" w:hAnsi="Arial Narrow" w:cs="Tahoma"/>
          <w:sz w:val="22"/>
          <w:lang w:val="sr-Cyrl-BA"/>
        </w:rPr>
        <w:t>146</w:t>
      </w:r>
      <w:r w:rsidRPr="00AD1F00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7E3425" w:rsidRPr="00AD1F00">
        <w:rPr>
          <w:rFonts w:ascii="Arial Narrow" w:hAnsi="Arial Narrow" w:cs="Tahoma"/>
          <w:sz w:val="22"/>
          <w:lang w:val="sr-Cyrl-BA"/>
        </w:rPr>
        <w:t>288</w:t>
      </w:r>
      <w:r w:rsidRPr="00AD1F00">
        <w:rPr>
          <w:rFonts w:ascii="Arial Narrow" w:hAnsi="Arial Narrow" w:cs="Tahoma"/>
          <w:sz w:val="22"/>
          <w:lang w:val="sr-Cyrl-BA"/>
        </w:rPr>
        <w:t xml:space="preserve"> милион</w:t>
      </w:r>
      <w:r w:rsidR="008F10AE" w:rsidRPr="00AD1F00">
        <w:rPr>
          <w:rFonts w:ascii="Arial Narrow" w:hAnsi="Arial Narrow" w:cs="Tahoma"/>
          <w:sz w:val="22"/>
          <w:lang w:val="sr-Cyrl-BA"/>
        </w:rPr>
        <w:t>а</w:t>
      </w:r>
      <w:r w:rsidRPr="00AD1F00">
        <w:rPr>
          <w:rFonts w:ascii="Arial Narrow" w:hAnsi="Arial Narrow" w:cs="Tahoma"/>
          <w:sz w:val="22"/>
          <w:lang w:val="sr-Cyrl-BA"/>
        </w:rPr>
        <w:t xml:space="preserve"> КМ.</w:t>
      </w:r>
    </w:p>
    <w:p w:rsidR="00F442FA" w:rsidRPr="00AD1F00" w:rsidRDefault="00F442FA" w:rsidP="00F442FA">
      <w:pPr>
        <w:jc w:val="both"/>
        <w:rPr>
          <w:rFonts w:ascii="Arial Narrow" w:hAnsi="Arial Narrow" w:cs="Tahoma"/>
          <w:sz w:val="22"/>
          <w:lang w:val="sr-Latn-CS"/>
        </w:rPr>
      </w:pPr>
    </w:p>
    <w:p w:rsidR="00F442FA" w:rsidRPr="00AD1F00" w:rsidRDefault="00F442FA" w:rsidP="00F442FA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AD1F00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AD1F00">
        <w:rPr>
          <w:rFonts w:ascii="Arial Narrow" w:hAnsi="Arial Narrow" w:cs="Tahoma"/>
          <w:sz w:val="22"/>
          <w:lang w:val="bs-Cyrl-BA"/>
        </w:rPr>
        <w:t>е</w:t>
      </w:r>
      <w:r w:rsidRPr="00AD1F00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AD1F00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AD1F00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7E3425" w:rsidRPr="00AD1F00">
        <w:rPr>
          <w:rFonts w:ascii="Arial Narrow" w:hAnsi="Arial Narrow" w:cs="Tahoma"/>
          <w:sz w:val="22"/>
          <w:lang w:val="sr-Cyrl-BA"/>
        </w:rPr>
        <w:t xml:space="preserve">децембру </w:t>
      </w:r>
      <w:r w:rsidRPr="00AD1F00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8902BA" w:rsidRPr="00AD1F00">
        <w:rPr>
          <w:rFonts w:ascii="Arial Narrow" w:hAnsi="Arial Narrow" w:cs="Tahoma"/>
          <w:sz w:val="22"/>
          <w:lang w:val="sr-Cyrl-BA"/>
        </w:rPr>
        <w:t>5</w:t>
      </w:r>
      <w:r w:rsidR="007E3425" w:rsidRPr="00AD1F00">
        <w:rPr>
          <w:rFonts w:ascii="Arial Narrow" w:hAnsi="Arial Narrow" w:cs="Tahoma"/>
          <w:sz w:val="22"/>
          <w:lang w:val="sr-Cyrl-BA"/>
        </w:rPr>
        <w:t>0</w:t>
      </w:r>
      <w:r w:rsidRPr="00AD1F00">
        <w:rPr>
          <w:rFonts w:ascii="Arial Narrow" w:hAnsi="Arial Narrow" w:cs="Tahoma"/>
          <w:sz w:val="22"/>
          <w:lang w:val="sr-Cyrl-BA"/>
        </w:rPr>
        <w:t>,</w:t>
      </w:r>
      <w:r w:rsidR="008902BA" w:rsidRPr="00AD1F00">
        <w:rPr>
          <w:rFonts w:ascii="Arial Narrow" w:hAnsi="Arial Narrow" w:cs="Tahoma"/>
          <w:sz w:val="22"/>
          <w:lang w:val="sr-Cyrl-BA"/>
        </w:rPr>
        <w:t>7</w:t>
      </w:r>
      <w:r w:rsidRPr="00AD1F00">
        <w:rPr>
          <w:rFonts w:ascii="Arial Narrow" w:hAnsi="Arial Narrow" w:cs="Tahoma"/>
          <w:sz w:val="22"/>
          <w:lang w:val="sr-Cyrl-BA"/>
        </w:rPr>
        <w:t xml:space="preserve">%.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 xml:space="preserve">период јануар </w:t>
      </w:r>
      <w:r w:rsidR="007E3425" w:rsidRPr="00AD1F00">
        <w:rPr>
          <w:rFonts w:ascii="Arial Narrow" w:hAnsi="Arial Narrow" w:cs="Tahoma"/>
          <w:sz w:val="22"/>
          <w:lang w:val="ru-RU"/>
        </w:rPr>
        <w:t xml:space="preserve">- 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>децембар 2015.</w:t>
      </w:r>
      <w:r w:rsidR="00E34FF5" w:rsidRPr="00AD1F00">
        <w:rPr>
          <w:rFonts w:ascii="Arial Narrow" w:hAnsi="Arial Narrow" w:cs="Tahoma"/>
          <w:sz w:val="22"/>
          <w:szCs w:val="22"/>
          <w:lang w:val="ru-RU"/>
        </w:rPr>
        <w:t xml:space="preserve"> годин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>у износио је 58</w:t>
      </w:r>
      <w:r w:rsidR="008F10AE" w:rsidRPr="00AD1F00">
        <w:rPr>
          <w:rFonts w:ascii="Arial Narrow" w:hAnsi="Arial Narrow" w:cs="Tahoma"/>
          <w:sz w:val="22"/>
          <w:szCs w:val="22"/>
          <w:lang w:val="ru-RU"/>
        </w:rPr>
        <w:t>,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>5</w:t>
      </w:r>
      <w:r w:rsidRPr="00AD1F00">
        <w:rPr>
          <w:rFonts w:ascii="Arial Narrow" w:hAnsi="Arial Narrow" w:cs="Tahoma"/>
          <w:sz w:val="22"/>
          <w:szCs w:val="22"/>
          <w:lang w:val="ru-RU"/>
        </w:rPr>
        <w:t>%.</w:t>
      </w:r>
    </w:p>
    <w:p w:rsidR="00F442FA" w:rsidRPr="00AD1F00" w:rsidRDefault="00F442FA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AD1F00" w:rsidRDefault="00F442FA" w:rsidP="00F442FA">
      <w:pPr>
        <w:jc w:val="both"/>
        <w:rPr>
          <w:rFonts w:ascii="Tahoma" w:hAnsi="Tahoma" w:cs="Tahoma"/>
          <w:lang w:val="ru-RU"/>
        </w:rPr>
      </w:pPr>
      <w:r w:rsidRPr="00AD1F00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 xml:space="preserve">децембар </w:t>
      </w:r>
      <w:r w:rsidRPr="00AD1F00">
        <w:rPr>
          <w:rFonts w:ascii="Arial Narrow" w:hAnsi="Arial Narrow" w:cs="Tahoma"/>
          <w:sz w:val="22"/>
          <w:lang w:val="ru-RU"/>
        </w:rPr>
        <w:t xml:space="preserve">2015. </w:t>
      </w:r>
      <w:r w:rsidR="00ED3E99" w:rsidRPr="00AD1F00">
        <w:rPr>
          <w:rFonts w:ascii="Arial Narrow" w:hAnsi="Arial Narrow" w:cs="Tahoma"/>
          <w:sz w:val="22"/>
          <w:lang w:val="sr-Cyrl-BA"/>
        </w:rPr>
        <w:t xml:space="preserve">године </w:t>
      </w:r>
      <w:r w:rsidRPr="00AD1F00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ED3E99">
        <w:rPr>
          <w:rFonts w:ascii="Arial Narrow" w:hAnsi="Arial Narrow" w:cs="Tahoma"/>
          <w:sz w:val="22"/>
          <w:lang w:val="ru-RU"/>
        </w:rPr>
        <w:t>двије</w:t>
      </w:r>
      <w:r w:rsidR="00E34FF5" w:rsidRPr="00AD1F00">
        <w:rPr>
          <w:rFonts w:ascii="Arial Narrow" w:hAnsi="Arial Narrow" w:cs="Tahoma"/>
          <w:sz w:val="22"/>
          <w:lang w:val="ru-RU"/>
        </w:rPr>
        <w:t xml:space="preserve"> милијарде</w:t>
      </w:r>
      <w:r w:rsidRPr="00AD1F00">
        <w:rPr>
          <w:rFonts w:ascii="Arial Narrow" w:hAnsi="Arial Narrow" w:cs="Tahoma"/>
          <w:sz w:val="22"/>
          <w:lang w:val="ru-RU"/>
        </w:rPr>
        <w:t xml:space="preserve"> </w:t>
      </w:r>
      <w:r w:rsidR="007E3425" w:rsidRPr="00AD1F00">
        <w:rPr>
          <w:rFonts w:ascii="Arial Narrow" w:hAnsi="Arial Narrow" w:cs="Tahoma"/>
          <w:sz w:val="22"/>
          <w:lang w:val="ru-RU"/>
        </w:rPr>
        <w:t>513</w:t>
      </w:r>
      <w:r w:rsidRPr="00AD1F00">
        <w:rPr>
          <w:rFonts w:ascii="Arial Narrow" w:hAnsi="Arial Narrow" w:cs="Tahoma"/>
          <w:sz w:val="22"/>
          <w:lang w:val="ru-RU"/>
        </w:rPr>
        <w:t xml:space="preserve"> милион</w:t>
      </w:r>
      <w:r w:rsidR="007E3425" w:rsidRPr="00AD1F00">
        <w:rPr>
          <w:rFonts w:ascii="Arial Narrow" w:hAnsi="Arial Narrow" w:cs="Tahoma"/>
          <w:sz w:val="22"/>
          <w:lang w:val="ru-RU"/>
        </w:rPr>
        <w:t>а</w:t>
      </w:r>
      <w:r w:rsidR="008F10AE" w:rsidRPr="00AD1F00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7E3425" w:rsidRPr="00AD1F00">
        <w:rPr>
          <w:rFonts w:ascii="Arial Narrow" w:hAnsi="Arial Narrow" w:cs="Tahoma"/>
          <w:sz w:val="22"/>
          <w:lang w:val="ru-RU"/>
        </w:rPr>
        <w:t>6</w:t>
      </w:r>
      <w:r w:rsidR="008F10AE" w:rsidRPr="00AD1F00">
        <w:rPr>
          <w:rFonts w:ascii="Arial Narrow" w:hAnsi="Arial Narrow" w:cs="Tahoma"/>
          <w:sz w:val="22"/>
          <w:lang w:val="ru-RU"/>
        </w:rPr>
        <w:t>,</w:t>
      </w:r>
      <w:r w:rsidR="007E3425" w:rsidRPr="00AD1F00">
        <w:rPr>
          <w:rFonts w:ascii="Arial Narrow" w:hAnsi="Arial Narrow" w:cs="Tahoma"/>
          <w:sz w:val="22"/>
          <w:lang w:val="ru-RU"/>
        </w:rPr>
        <w:t>6</w:t>
      </w:r>
      <w:r w:rsidRPr="00AD1F00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414FB0">
        <w:rPr>
          <w:rFonts w:ascii="Arial Narrow" w:hAnsi="Arial Narrow" w:cs="Tahoma"/>
          <w:sz w:val="22"/>
          <w:lang w:val="ru-RU"/>
        </w:rPr>
        <w:t>четири</w:t>
      </w:r>
      <w:r w:rsidRPr="00AD1F00">
        <w:rPr>
          <w:rFonts w:ascii="Arial Narrow" w:hAnsi="Arial Narrow" w:cs="Tahoma"/>
          <w:sz w:val="22"/>
          <w:lang w:val="ru-RU"/>
        </w:rPr>
        <w:t xml:space="preserve"> милијарде </w:t>
      </w:r>
      <w:r w:rsidR="007E3425" w:rsidRPr="00AD1F00">
        <w:rPr>
          <w:rFonts w:ascii="Arial Narrow" w:hAnsi="Arial Narrow" w:cs="Tahoma"/>
          <w:sz w:val="22"/>
          <w:lang w:val="ru-RU"/>
        </w:rPr>
        <w:t>296</w:t>
      </w:r>
      <w:r w:rsidRPr="00AD1F00">
        <w:rPr>
          <w:rFonts w:ascii="Arial Narrow" w:hAnsi="Arial Narrow" w:cs="Tahoma"/>
          <w:sz w:val="22"/>
          <w:lang w:val="ru-RU"/>
        </w:rPr>
        <w:t xml:space="preserve"> милиона КМ, што је за </w:t>
      </w:r>
      <w:r w:rsidR="00E34FF5" w:rsidRPr="00AD1F00">
        <w:rPr>
          <w:rFonts w:ascii="Arial Narrow" w:hAnsi="Arial Narrow" w:cs="Tahoma"/>
          <w:sz w:val="22"/>
          <w:lang w:val="sr-Cyrl-BA"/>
        </w:rPr>
        <w:t>1</w:t>
      </w:r>
      <w:r w:rsidR="007E3425" w:rsidRPr="00AD1F00">
        <w:rPr>
          <w:rFonts w:ascii="Arial Narrow" w:hAnsi="Arial Narrow" w:cs="Tahoma"/>
          <w:sz w:val="22"/>
          <w:lang w:val="sr-Cyrl-BA"/>
        </w:rPr>
        <w:t>3</w:t>
      </w:r>
      <w:r w:rsidRPr="00AD1F00">
        <w:rPr>
          <w:rFonts w:ascii="Arial Narrow" w:hAnsi="Arial Narrow" w:cs="Tahoma"/>
          <w:sz w:val="22"/>
          <w:lang w:val="sr-Latn-CS"/>
        </w:rPr>
        <w:t>,</w:t>
      </w:r>
      <w:r w:rsidR="007E3425" w:rsidRPr="00AD1F00">
        <w:rPr>
          <w:rFonts w:ascii="Arial Narrow" w:hAnsi="Arial Narrow" w:cs="Tahoma"/>
          <w:sz w:val="22"/>
          <w:lang w:val="sr-Cyrl-BA"/>
        </w:rPr>
        <w:t>1</w:t>
      </w:r>
      <w:r w:rsidRPr="00AD1F00">
        <w:rPr>
          <w:rFonts w:ascii="Arial Narrow" w:hAnsi="Arial Narrow" w:cs="Tahoma"/>
          <w:sz w:val="22"/>
          <w:lang w:val="ru-RU"/>
        </w:rPr>
        <w:t xml:space="preserve">% </w:t>
      </w:r>
      <w:proofErr w:type="spellStart"/>
      <w:r w:rsidRPr="00AD1F00">
        <w:rPr>
          <w:rFonts w:ascii="Arial Narrow" w:hAnsi="Arial Narrow" w:cs="Tahoma"/>
          <w:sz w:val="22"/>
          <w:lang w:val="sr-Latn-CS"/>
        </w:rPr>
        <w:t>мање</w:t>
      </w:r>
      <w:proofErr w:type="spellEnd"/>
      <w:r w:rsidRPr="00AD1F00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F442FA" w:rsidRPr="00AD1F00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AD1F00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D1F00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D1F00">
        <w:rPr>
          <w:rFonts w:ascii="Arial Narrow" w:hAnsi="Arial Narrow" w:cs="Tahoma"/>
          <w:sz w:val="22"/>
        </w:rPr>
        <w:t>e</w:t>
      </w:r>
      <w:r w:rsidRPr="00AD1F00">
        <w:rPr>
          <w:rFonts w:ascii="Arial Narrow" w:hAnsi="Arial Narrow" w:cs="Tahoma"/>
          <w:sz w:val="22"/>
          <w:lang w:val="ru-RU"/>
        </w:rPr>
        <w:t xml:space="preserve"> Српск</w:t>
      </w:r>
      <w:r w:rsidRPr="00AD1F00">
        <w:rPr>
          <w:rFonts w:ascii="Arial Narrow" w:hAnsi="Arial Narrow" w:cs="Tahoma"/>
          <w:sz w:val="22"/>
        </w:rPr>
        <w:t>e</w:t>
      </w:r>
      <w:r w:rsidRPr="00AD1F00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 xml:space="preserve">децембар </w:t>
      </w:r>
      <w:r w:rsidRPr="00AD1F00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од </w:t>
      </w:r>
      <w:r w:rsidR="007E3425" w:rsidRPr="00AD1F00">
        <w:rPr>
          <w:rFonts w:ascii="Arial Narrow" w:hAnsi="Arial Narrow" w:cs="Tahoma"/>
          <w:sz w:val="22"/>
          <w:lang w:val="sr-Cyrl-BA"/>
        </w:rPr>
        <w:t>451</w:t>
      </w:r>
      <w:r w:rsidR="007D2CAE" w:rsidRPr="00AD1F00">
        <w:rPr>
          <w:rFonts w:ascii="Arial Narrow" w:hAnsi="Arial Narrow" w:cs="Tahoma"/>
          <w:sz w:val="22"/>
          <w:lang w:val="sr-Latn-BA"/>
        </w:rPr>
        <w:t xml:space="preserve"> </w:t>
      </w:r>
      <w:r w:rsidRPr="00AD1F00">
        <w:rPr>
          <w:rFonts w:ascii="Arial Narrow" w:hAnsi="Arial Narrow" w:cs="Tahoma"/>
          <w:sz w:val="22"/>
          <w:lang w:val="sr-Cyrl-CS"/>
        </w:rPr>
        <w:t>милион КМ, односно 18,</w:t>
      </w:r>
      <w:r w:rsidR="007E3425" w:rsidRPr="00AD1F00">
        <w:rPr>
          <w:rFonts w:ascii="Arial Narrow" w:hAnsi="Arial Narrow" w:cs="Tahoma"/>
          <w:sz w:val="22"/>
          <w:lang w:val="sr-Cyrl-CS"/>
        </w:rPr>
        <w:t>0</w:t>
      </w:r>
      <w:r w:rsidRPr="00AD1F00">
        <w:rPr>
          <w:rFonts w:ascii="Arial Narrow" w:hAnsi="Arial Narrow" w:cs="Tahoma"/>
          <w:sz w:val="22"/>
          <w:lang w:val="sr-Cyrl-CS"/>
        </w:rPr>
        <w:t>%</w:t>
      </w:r>
      <w:r w:rsidRPr="00AD1F00">
        <w:rPr>
          <w:rFonts w:ascii="Arial Narrow" w:hAnsi="Arial Narrow" w:cs="Tahoma"/>
          <w:sz w:val="22"/>
          <w:lang w:val="ru-RU"/>
        </w:rPr>
        <w:t xml:space="preserve">, </w:t>
      </w:r>
      <w:r w:rsidRPr="00AD1F00">
        <w:rPr>
          <w:rFonts w:ascii="Arial Narrow" w:hAnsi="Arial Narrow" w:cs="Tahoma"/>
          <w:sz w:val="22"/>
          <w:lang w:val="sr-Cyrl-CS"/>
        </w:rPr>
        <w:t xml:space="preserve">те у Србију </w:t>
      </w:r>
      <w:r w:rsidR="008902BA" w:rsidRPr="00AD1F00">
        <w:rPr>
          <w:rFonts w:ascii="Arial Narrow" w:hAnsi="Arial Narrow" w:cs="Tahoma"/>
          <w:sz w:val="22"/>
          <w:lang w:val="sr-Cyrl-BA"/>
        </w:rPr>
        <w:t>3</w:t>
      </w:r>
      <w:r w:rsidR="007E3425" w:rsidRPr="00AD1F00">
        <w:rPr>
          <w:rFonts w:ascii="Arial Narrow" w:hAnsi="Arial Narrow" w:cs="Tahoma"/>
          <w:sz w:val="22"/>
          <w:lang w:val="sr-Cyrl-BA"/>
        </w:rPr>
        <w:t>27</w:t>
      </w:r>
      <w:r w:rsidR="007E3425" w:rsidRPr="00AD1F00">
        <w:rPr>
          <w:rFonts w:ascii="Arial Narrow" w:hAnsi="Arial Narrow" w:cs="Tahoma"/>
          <w:sz w:val="22"/>
          <w:lang w:val="sr-Cyrl-CS"/>
        </w:rPr>
        <w:t xml:space="preserve"> милиона КМ, односно 13,0</w:t>
      </w:r>
      <w:r w:rsidRPr="00AD1F00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периоду, </w:t>
      </w:r>
      <w:r w:rsidRPr="00AD1F00">
        <w:rPr>
          <w:rFonts w:ascii="Arial Narrow" w:hAnsi="Arial Narrow" w:cs="Tahoma"/>
          <w:sz w:val="22"/>
          <w:lang w:val="sr-Cyrl-BA"/>
        </w:rPr>
        <w:t>н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ајвише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се увозило из Србије и то у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од </w:t>
      </w:r>
      <w:r w:rsidR="007E3425" w:rsidRPr="00AD1F00">
        <w:rPr>
          <w:rFonts w:ascii="Arial Narrow" w:hAnsi="Arial Narrow" w:cs="Tahoma"/>
          <w:sz w:val="22"/>
          <w:lang w:val="sr-Cyrl-BA"/>
        </w:rPr>
        <w:t>754</w:t>
      </w:r>
      <w:r w:rsidR="00E34FF5" w:rsidRPr="00AD1F00">
        <w:rPr>
          <w:rFonts w:ascii="Arial Narrow" w:hAnsi="Arial Narrow" w:cs="Tahoma"/>
          <w:sz w:val="22"/>
          <w:lang w:val="sr-Cyrl-CS"/>
        </w:rPr>
        <w:t xml:space="preserve"> милиона КМ, односно 17,</w:t>
      </w:r>
      <w:r w:rsidR="007E3425" w:rsidRPr="00AD1F00">
        <w:rPr>
          <w:rFonts w:ascii="Arial Narrow" w:hAnsi="Arial Narrow" w:cs="Tahoma"/>
          <w:sz w:val="22"/>
          <w:lang w:val="sr-Cyrl-CS"/>
        </w:rPr>
        <w:t>6</w:t>
      </w:r>
      <w:r w:rsidRPr="00AD1F00">
        <w:rPr>
          <w:rFonts w:ascii="Arial Narrow" w:hAnsi="Arial Narrow" w:cs="Tahoma"/>
          <w:sz w:val="22"/>
          <w:lang w:val="sr-Cyrl-CS"/>
        </w:rPr>
        <w:t xml:space="preserve">% и из Русије, у </w:t>
      </w:r>
      <w:proofErr w:type="spellStart"/>
      <w:r w:rsidRPr="00AD1F00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AD1F00">
        <w:rPr>
          <w:rFonts w:ascii="Arial Narrow" w:hAnsi="Arial Narrow" w:cs="Tahoma"/>
          <w:sz w:val="22"/>
          <w:lang w:val="sr-Cyrl-CS"/>
        </w:rPr>
        <w:t xml:space="preserve"> од </w:t>
      </w:r>
      <w:r w:rsidR="007E3425" w:rsidRPr="00AD1F00">
        <w:rPr>
          <w:rFonts w:ascii="Arial Narrow" w:hAnsi="Arial Narrow" w:cs="Tahoma"/>
          <w:sz w:val="22"/>
          <w:lang w:val="sr-Cyrl-BA"/>
        </w:rPr>
        <w:t>686</w:t>
      </w:r>
      <w:r w:rsidR="007E3425" w:rsidRPr="00AD1F00">
        <w:rPr>
          <w:rFonts w:ascii="Arial Narrow" w:hAnsi="Arial Narrow" w:cs="Tahoma"/>
          <w:sz w:val="22"/>
          <w:lang w:val="sr-Cyrl-CS"/>
        </w:rPr>
        <w:t xml:space="preserve"> милиона КМ, односно 16,0</w:t>
      </w:r>
      <w:r w:rsidRPr="00AD1F00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AD1F00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AD1F00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D1F00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AD1F00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="007E3425" w:rsidRPr="00AD1F00">
        <w:rPr>
          <w:rFonts w:ascii="Arial Narrow" w:hAnsi="Arial Narrow" w:cs="Tahoma"/>
          <w:sz w:val="22"/>
          <w:szCs w:val="22"/>
          <w:lang w:val="ru-RU"/>
        </w:rPr>
        <w:t xml:space="preserve">децембар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>2015. године, највеће учешће у извозу оствар</w:t>
      </w:r>
      <w:r w:rsidR="00414FB0">
        <w:rPr>
          <w:rFonts w:ascii="Arial Narrow" w:hAnsi="Arial Narrow" w:cs="Tahoma"/>
          <w:sz w:val="22"/>
          <w:szCs w:val="22"/>
          <w:lang w:val="sr-Cyrl-CS"/>
        </w:rPr>
        <w:t>или с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proofErr w:type="spellStart"/>
      <w:r w:rsidR="007E3425" w:rsidRPr="00AD1F00">
        <w:rPr>
          <w:rFonts w:ascii="Arial Narrow" w:hAnsi="Arial Narrow" w:cs="Tahoma"/>
          <w:sz w:val="22"/>
          <w:szCs w:val="22"/>
          <w:lang w:val="sr-Cyrl-CS"/>
        </w:rPr>
        <w:t>вјештачки</w:t>
      </w:r>
      <w:proofErr w:type="spellEnd"/>
      <w:r w:rsidR="007E3425" w:rsidRPr="00AD1F00">
        <w:rPr>
          <w:rFonts w:ascii="Arial Narrow" w:hAnsi="Arial Narrow" w:cs="Tahoma"/>
          <w:sz w:val="22"/>
          <w:szCs w:val="22"/>
          <w:lang w:val="sr-Cyrl-CS"/>
        </w:rPr>
        <w:t xml:space="preserve"> корунд, алуминијум оксид и алуминијум хидроксид 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са укупном </w:t>
      </w:r>
      <w:proofErr w:type="spellStart"/>
      <w:r w:rsidRPr="00AD1F00">
        <w:rPr>
          <w:rFonts w:ascii="Arial Narrow" w:hAnsi="Arial Narrow" w:cs="Tahoma"/>
          <w:sz w:val="22"/>
          <w:szCs w:val="22"/>
          <w:lang w:val="sr-Cyrl-CS"/>
        </w:rPr>
        <w:t>вриједношћу</w:t>
      </w:r>
      <w:proofErr w:type="spellEnd"/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8902BA" w:rsidRPr="00AD1F00">
        <w:rPr>
          <w:rFonts w:ascii="Arial Narrow" w:hAnsi="Arial Narrow" w:cs="Tahoma"/>
          <w:sz w:val="22"/>
          <w:szCs w:val="22"/>
          <w:lang w:val="sr-Cyrl-CS"/>
        </w:rPr>
        <w:t>1</w:t>
      </w:r>
      <w:r w:rsidR="007E3425" w:rsidRPr="00AD1F00">
        <w:rPr>
          <w:rFonts w:ascii="Arial Narrow" w:hAnsi="Arial Narrow" w:cs="Tahoma"/>
          <w:sz w:val="22"/>
          <w:szCs w:val="22"/>
          <w:lang w:val="sr-Cyrl-CS"/>
        </w:rPr>
        <w:t>62</w:t>
      </w:r>
      <w:r w:rsidR="008902BA" w:rsidRPr="00AD1F00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6,</w:t>
      </w:r>
      <w:r w:rsidR="007E3425" w:rsidRPr="00AD1F00">
        <w:rPr>
          <w:rFonts w:ascii="Arial Narrow" w:hAnsi="Arial Narrow" w:cs="Tahoma"/>
          <w:sz w:val="22"/>
          <w:szCs w:val="22"/>
          <w:lang w:val="sr-Cyrl-CS"/>
        </w:rPr>
        <w:t>4</w:t>
      </w:r>
      <w:r w:rsidRPr="00AD1F00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н</w:t>
      </w:r>
      <w:r w:rsidRPr="00AD1F00">
        <w:rPr>
          <w:rFonts w:ascii="Arial Narrow" w:hAnsi="Arial Narrow" w:cs="Tahoma"/>
          <w:sz w:val="22"/>
          <w:szCs w:val="22"/>
          <w:lang w:val="ru-RU"/>
        </w:rPr>
        <w:t>афт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AD1F00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AD1F00">
        <w:rPr>
          <w:rFonts w:ascii="Arial Narrow" w:hAnsi="Arial Narrow" w:cs="Tahoma"/>
          <w:sz w:val="22"/>
          <w:szCs w:val="22"/>
          <w:lang w:val="ru-RU"/>
        </w:rPr>
        <w:t>сиров</w:t>
      </w:r>
      <w:r w:rsidRPr="00AD1F00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8902BA" w:rsidRPr="00AD1F00">
        <w:rPr>
          <w:rFonts w:ascii="Arial Narrow" w:hAnsi="Arial Narrow" w:cs="Tahoma"/>
          <w:sz w:val="22"/>
          <w:szCs w:val="22"/>
          <w:lang w:val="sr-Cyrl-BA"/>
        </w:rPr>
        <w:t>6</w:t>
      </w:r>
      <w:r w:rsidR="007E3425" w:rsidRPr="00AD1F00">
        <w:rPr>
          <w:rFonts w:ascii="Arial Narrow" w:hAnsi="Arial Narrow" w:cs="Tahoma"/>
          <w:sz w:val="22"/>
          <w:szCs w:val="22"/>
          <w:lang w:val="sr-Cyrl-BA"/>
        </w:rPr>
        <w:t>3</w:t>
      </w:r>
      <w:r w:rsidR="008902BA" w:rsidRPr="00AD1F00">
        <w:rPr>
          <w:rFonts w:ascii="Arial Narrow" w:hAnsi="Arial Narrow" w:cs="Tahoma"/>
          <w:sz w:val="22"/>
          <w:szCs w:val="22"/>
          <w:lang w:val="sr-Cyrl-BA"/>
        </w:rPr>
        <w:t>4</w:t>
      </w:r>
      <w:r w:rsidR="008F10AE" w:rsidRPr="00AD1F00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1</w:t>
      </w:r>
      <w:r w:rsidR="007E3425" w:rsidRPr="00AD1F00">
        <w:rPr>
          <w:rFonts w:ascii="Arial Narrow" w:hAnsi="Arial Narrow" w:cs="Tahoma"/>
          <w:sz w:val="22"/>
          <w:szCs w:val="22"/>
          <w:lang w:val="sr-Cyrl-BA"/>
        </w:rPr>
        <w:t>4</w:t>
      </w:r>
      <w:r w:rsidR="008F10AE" w:rsidRPr="00AD1F00">
        <w:rPr>
          <w:rFonts w:ascii="Arial Narrow" w:hAnsi="Arial Narrow" w:cs="Tahoma"/>
          <w:sz w:val="22"/>
          <w:szCs w:val="22"/>
          <w:lang w:val="sr-Cyrl-BA"/>
        </w:rPr>
        <w:t>,</w:t>
      </w:r>
      <w:r w:rsidR="007E3425" w:rsidRPr="00AD1F00">
        <w:rPr>
          <w:rFonts w:ascii="Arial Narrow" w:hAnsi="Arial Narrow" w:cs="Tahoma"/>
          <w:sz w:val="22"/>
          <w:szCs w:val="22"/>
          <w:lang w:val="sr-Cyrl-BA"/>
        </w:rPr>
        <w:t>8</w:t>
      </w:r>
      <w:r w:rsidRPr="00AD1F00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D1F0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AD1F00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017CC" w:rsidRDefault="00414FB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65pt;margin-top:6.25pt;width:64.2pt;height:19.75pt;z-index:251664384;mso-width-relative:margin;mso-height-relative:margin" stroked="f">
            <v:textbox style="mso-next-textbox:#_x0000_s1068">
              <w:txbxContent>
                <w:p w:rsidR="00374BDC" w:rsidRPr="000A1309" w:rsidRDefault="00374BDC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AD1F00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AD1F00" w:rsidRDefault="00414FB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6.9pt;margin-top:172.8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374BDC" w:rsidRPr="000A1309" w:rsidRDefault="00374BDC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71.15pt;margin-top:176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374BDC" w:rsidRPr="000A1309" w:rsidRDefault="00374BDC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7E3425" w:rsidRPr="00AD1F00">
        <w:rPr>
          <w:noProof/>
        </w:rPr>
        <w:drawing>
          <wp:inline distT="0" distB="0" distL="0" distR="0">
            <wp:extent cx="3969328" cy="230886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814" w:rsidRPr="00AD1F00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AD1F00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AD1F00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D1F0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AD1F00">
        <w:rPr>
          <w:rFonts w:ascii="Arial Narrow" w:hAnsi="Arial Narrow" w:cs="Tahoma"/>
          <w:sz w:val="16"/>
          <w:szCs w:val="22"/>
          <w:lang w:val="sr-Latn-BA"/>
        </w:rPr>
        <w:t>3</w:t>
      </w:r>
      <w:r w:rsidRPr="00AD1F0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D1F0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D1F0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D1F0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D1F0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AD1F00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2E1D1D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AD1F00" w:rsidRPr="00AD1F00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AD1F00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AD1F00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AD1F00" w:rsidRPr="00AD1F00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D1F0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AD1F0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AD1F0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AD1F0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AD1F0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AD1F0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AD1F0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AD1F00" w:rsidRPr="00AD1F00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AD1F0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AD1F00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AD1F00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Биљана </w:t>
            </w:r>
            <w:proofErr w:type="spellStart"/>
            <w:r w:rsidRPr="00AD1F00">
              <w:rPr>
                <w:rFonts w:ascii="Arial Narrow" w:hAnsi="Arial Narrow" w:cs="Tahoma"/>
                <w:sz w:val="18"/>
                <w:szCs w:val="18"/>
                <w:lang w:val="sr-Cyrl-BA"/>
              </w:rPr>
              <w:t>Глушац</w:t>
            </w:r>
            <w:proofErr w:type="spellEnd"/>
          </w:p>
          <w:p w:rsidR="0066022A" w:rsidRPr="00AD1F00" w:rsidRDefault="00414FB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AD1F0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AD1F00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AD1F00" w:rsidRPr="00AD1F00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AD1F0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</w:t>
            </w:r>
            <w:proofErr w:type="spellStart"/>
            <w:r w:rsidRPr="00AD1F0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цијена</w:t>
            </w:r>
            <w:proofErr w:type="spellEnd"/>
            <w:r w:rsidRPr="00AD1F0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AD1F0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AD1F00" w:rsidRDefault="00414FB0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AD1F00" w:rsidRPr="00AD1F00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AD1F0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AD1F00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Мирјана </w:t>
            </w:r>
            <w:proofErr w:type="spellStart"/>
            <w:r w:rsidRPr="00AD1F00">
              <w:rPr>
                <w:rFonts w:ascii="Arial Narrow" w:hAnsi="Arial Narrow" w:cs="Tahoma"/>
                <w:sz w:val="18"/>
                <w:szCs w:val="18"/>
                <w:lang w:val="sr-Cyrl-CS"/>
              </w:rPr>
              <w:t>Бандур</w:t>
            </w:r>
            <w:proofErr w:type="spellEnd"/>
          </w:p>
          <w:p w:rsidR="0066022A" w:rsidRPr="00AD1F00" w:rsidRDefault="00414FB0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AD1F00" w:rsidRPr="00AD1F00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AD1F0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D1F00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мр Сања </w:t>
            </w:r>
            <w:proofErr w:type="spellStart"/>
            <w:r w:rsidRPr="00AD1F00">
              <w:rPr>
                <w:rFonts w:ascii="Arial Narrow" w:hAnsi="Arial Narrow" w:cs="Tahoma"/>
                <w:sz w:val="18"/>
                <w:szCs w:val="18"/>
                <w:lang w:val="sr-Cyrl-CS"/>
              </w:rPr>
              <w:t>Стојчевић</w:t>
            </w:r>
            <w:proofErr w:type="spellEnd"/>
            <w:r w:rsidRPr="00AD1F00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AD1F00">
              <w:rPr>
                <w:rFonts w:ascii="Arial Narrow" w:hAnsi="Arial Narrow" w:cs="Tahoma"/>
                <w:sz w:val="18"/>
                <w:szCs w:val="18"/>
                <w:lang w:val="sr-Cyrl-CS"/>
              </w:rPr>
              <w:t>Увалић</w:t>
            </w:r>
            <w:proofErr w:type="spellEnd"/>
          </w:p>
          <w:p w:rsidR="0066022A" w:rsidRPr="00AD1F00" w:rsidRDefault="00414FB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AD1F0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AD1F0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AD1F0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AD1F0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proofErr w:type="spellStart"/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просјек</w:t>
            </w:r>
            <w:proofErr w:type="spellEnd"/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proofErr w:type="spellStart"/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  <w:proofErr w:type="spellEnd"/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CA19B5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9E2A9A" w:rsidRPr="00CA19B5" w:rsidRDefault="00414FB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proofErr w:type="spellEnd"/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Др Радмила 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Чичковић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414FB0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BDC" w:rsidRDefault="00374BDC">
      <w:r>
        <w:separator/>
      </w:r>
    </w:p>
  </w:endnote>
  <w:endnote w:type="continuationSeparator" w:id="0">
    <w:p w:rsidR="00374BDC" w:rsidRDefault="0037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DC" w:rsidRDefault="00414FB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374BDC" w:rsidRPr="00175687" w:rsidRDefault="00374BD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414FB0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DC" w:rsidRDefault="00414FB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374BDC" w:rsidRPr="00175687" w:rsidRDefault="00374BD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D3E99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BDC" w:rsidRDefault="00374BDC">
      <w:r>
        <w:separator/>
      </w:r>
    </w:p>
  </w:footnote>
  <w:footnote w:type="continuationSeparator" w:id="0">
    <w:p w:rsidR="00374BDC" w:rsidRDefault="0037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374BD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74BDC" w:rsidRPr="00DB5870" w:rsidRDefault="00374BD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374BDC" w:rsidRPr="00DB5870" w:rsidRDefault="00374BDC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74BDC" w:rsidRPr="005D5311" w:rsidRDefault="00374BDC" w:rsidP="007D4F7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/No. </w:t>
          </w:r>
          <w:r w:rsidR="007D4F7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CS"/>
            </w:rPr>
            <w:t>2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74BDC" w:rsidRDefault="00414FB0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650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B0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3B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7CC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70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CE0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3FE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1F00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7D0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2BD9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6AF"/>
    <w:rsid w:val="00D26CAA"/>
    <w:rsid w:val="00D271E3"/>
    <w:rsid w:val="00D27610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3E99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5F94120-B263-41BB-8043-AB7F01FE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5\dec%202015\za%20Graf%20XII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2014</c:v>
                  </c:pt>
                  <c:pt idx="1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836</c:v>
                </c:pt>
                <c:pt idx="1">
                  <c:v>812</c:v>
                </c:pt>
                <c:pt idx="2">
                  <c:v>834</c:v>
                </c:pt>
                <c:pt idx="3">
                  <c:v>831</c:v>
                </c:pt>
                <c:pt idx="4">
                  <c:v>835</c:v>
                </c:pt>
                <c:pt idx="5">
                  <c:v>832</c:v>
                </c:pt>
                <c:pt idx="6">
                  <c:v>843</c:v>
                </c:pt>
                <c:pt idx="7">
                  <c:v>834</c:v>
                </c:pt>
                <c:pt idx="8">
                  <c:v>834</c:v>
                </c:pt>
                <c:pt idx="9">
                  <c:v>834</c:v>
                </c:pt>
                <c:pt idx="10">
                  <c:v>824</c:v>
                </c:pt>
                <c:pt idx="11">
                  <c:v>824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614984"/>
        <c:axId val="135615368"/>
      </c:lineChart>
      <c:catAx>
        <c:axId val="13561498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35615368"/>
        <c:crosses val="autoZero"/>
        <c:auto val="1"/>
        <c:lblAlgn val="ctr"/>
        <c:lblOffset val="100"/>
        <c:noMultiLvlLbl val="0"/>
      </c:catAx>
      <c:valAx>
        <c:axId val="135615368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356149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'C:\Users\zecal\Desktop\[Za grafikon u saopstenju - decembar 2015..xlsx]Sheet1'!$C$1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'C:\Users\zecal\Desktop\[Za grafikon u saopstenju - decembar 2015..xlsx]Sheet1'!$A$2:$B$50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13">
                    <c:v>2013</c:v>
                  </c:pt>
                  <c:pt idx="25">
                    <c:v>2014</c:v>
                  </c:pt>
                  <c:pt idx="37">
                    <c:v>2015</c:v>
                  </c:pt>
                </c:lvl>
              </c:multiLvlStrCache>
            </c:multiLvlStrRef>
          </c:cat>
          <c:val>
            <c:numRef>
              <c:f>'C:\Users\zecal\Desktop\[Za grafikon u saopstenju - decembar 2015..xlsx]Sheet1'!$C$2:$C$50</c:f>
              <c:numCache>
                <c:formatCode>0.0</c:formatCode>
                <c:ptCount val="49"/>
                <c:pt idx="0">
                  <c:v>100.44025590448538</c:v>
                </c:pt>
                <c:pt idx="1">
                  <c:v>102.62887327592811</c:v>
                </c:pt>
                <c:pt idx="2">
                  <c:v>97.499368888457852</c:v>
                </c:pt>
                <c:pt idx="3">
                  <c:v>101.28568766595559</c:v>
                </c:pt>
                <c:pt idx="4">
                  <c:v>101.56821801602045</c:v>
                </c:pt>
                <c:pt idx="5">
                  <c:v>99.423492219881709</c:v>
                </c:pt>
                <c:pt idx="6">
                  <c:v>99.709184492640574</c:v>
                </c:pt>
                <c:pt idx="7">
                  <c:v>93.490854006062904</c:v>
                </c:pt>
                <c:pt idx="8">
                  <c:v>99.734371961539239</c:v>
                </c:pt>
                <c:pt idx="9">
                  <c:v>106.03081274255732</c:v>
                </c:pt>
                <c:pt idx="10">
                  <c:v>100.59397359895344</c:v>
                </c:pt>
                <c:pt idx="11">
                  <c:v>99.186015805691127</c:v>
                </c:pt>
                <c:pt idx="12">
                  <c:v>102.24572166852229</c:v>
                </c:pt>
                <c:pt idx="13">
                  <c:v>101.37441006942294</c:v>
                </c:pt>
                <c:pt idx="14">
                  <c:v>100.44257577216908</c:v>
                </c:pt>
                <c:pt idx="15">
                  <c:v>100.63811532208899</c:v>
                </c:pt>
                <c:pt idx="16">
                  <c:v>109.33363923807772</c:v>
                </c:pt>
                <c:pt idx="17">
                  <c:v>102.96107838222531</c:v>
                </c:pt>
                <c:pt idx="18">
                  <c:v>104.89980006569787</c:v>
                </c:pt>
                <c:pt idx="19">
                  <c:v>110.3755228582627</c:v>
                </c:pt>
                <c:pt idx="20">
                  <c:v>106.71824193919187</c:v>
                </c:pt>
                <c:pt idx="21">
                  <c:v>100.78492205879671</c:v>
                </c:pt>
                <c:pt idx="22">
                  <c:v>101.76535257706782</c:v>
                </c:pt>
                <c:pt idx="23">
                  <c:v>104.93121218933284</c:v>
                </c:pt>
                <c:pt idx="24">
                  <c:v>106.23026597160697</c:v>
                </c:pt>
                <c:pt idx="25">
                  <c:v>105.47256441155655</c:v>
                </c:pt>
                <c:pt idx="26">
                  <c:v>105.27622956473031</c:v>
                </c:pt>
                <c:pt idx="27">
                  <c:v>102.98936314154329</c:v>
                </c:pt>
                <c:pt idx="28">
                  <c:v>103.32908741242373</c:v>
                </c:pt>
                <c:pt idx="29">
                  <c:v>102.76516947824823</c:v>
                </c:pt>
                <c:pt idx="30">
                  <c:v>104.14787058463068</c:v>
                </c:pt>
                <c:pt idx="31">
                  <c:v>105.9414810646728</c:v>
                </c:pt>
                <c:pt idx="32">
                  <c:v>99.660855202093558</c:v>
                </c:pt>
                <c:pt idx="33">
                  <c:v>109.63839800979572</c:v>
                </c:pt>
                <c:pt idx="34">
                  <c:v>107.70277232360532</c:v>
                </c:pt>
                <c:pt idx="35">
                  <c:v>107.21023349385747</c:v>
                </c:pt>
                <c:pt idx="36">
                  <c:v>105.91149871974248</c:v>
                </c:pt>
                <c:pt idx="37">
                  <c:v>106.28810428027292</c:v>
                </c:pt>
                <c:pt idx="38">
                  <c:v>111.07093863282226</c:v>
                </c:pt>
                <c:pt idx="39">
                  <c:v>106.96355947361904</c:v>
                </c:pt>
                <c:pt idx="40">
                  <c:v>106.10331877985622</c:v>
                </c:pt>
                <c:pt idx="41">
                  <c:v>110.21751849221479</c:v>
                </c:pt>
                <c:pt idx="42">
                  <c:v>108.89347471396808</c:v>
                </c:pt>
                <c:pt idx="43">
                  <c:v>107.44658623296687</c:v>
                </c:pt>
                <c:pt idx="44">
                  <c:v>110.24817373187292</c:v>
                </c:pt>
                <c:pt idx="45">
                  <c:v>105.99162858937849</c:v>
                </c:pt>
                <c:pt idx="46">
                  <c:v>108.13556809745752</c:v>
                </c:pt>
                <c:pt idx="47">
                  <c:v>107.2662287493024</c:v>
                </c:pt>
                <c:pt idx="48">
                  <c:v>106.24688276095351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'C:\Users\zecal\Desktop\[Za grafikon u saopstenju - decembar 2015..xlsx]Sheet1'!$D$1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'C:\Users\zecal\Desktop\[Za grafikon u saopstenju - decembar 2015..xlsx]Sheet1'!$A$2:$B$50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13">
                    <c:v>2013</c:v>
                  </c:pt>
                  <c:pt idx="25">
                    <c:v>2014</c:v>
                  </c:pt>
                  <c:pt idx="37">
                    <c:v>2015</c:v>
                  </c:pt>
                </c:lvl>
              </c:multiLvlStrCache>
            </c:multiLvlStrRef>
          </c:cat>
          <c:val>
            <c:numRef>
              <c:f>'C:\Users\zecal\Desktop\[Za grafikon u saopstenju - decembar 2015..xlsx]Sheet1'!$D$2:$D$50</c:f>
              <c:numCache>
                <c:formatCode>0.0</c:formatCode>
                <c:ptCount val="49"/>
                <c:pt idx="0">
                  <c:v>101.96557699616858</c:v>
                </c:pt>
                <c:pt idx="1">
                  <c:v>101.69120666321871</c:v>
                </c:pt>
                <c:pt idx="2">
                  <c:v>101.43256193753108</c:v>
                </c:pt>
                <c:pt idx="3">
                  <c:v>101.27128496236777</c:v>
                </c:pt>
                <c:pt idx="4">
                  <c:v>101.13632534377081</c:v>
                </c:pt>
                <c:pt idx="5">
                  <c:v>100.99470810091418</c:v>
                </c:pt>
                <c:pt idx="6">
                  <c:v>100.88911425918458</c:v>
                </c:pt>
                <c:pt idx="7">
                  <c:v>100.8764799678801</c:v>
                </c:pt>
                <c:pt idx="8">
                  <c:v>101.09470094694882</c:v>
                </c:pt>
                <c:pt idx="9">
                  <c:v>101.37540398802744</c:v>
                </c:pt>
                <c:pt idx="10">
                  <c:v>101.5281834096766</c:v>
                </c:pt>
                <c:pt idx="11">
                  <c:v>101.7011803789793</c:v>
                </c:pt>
                <c:pt idx="12">
                  <c:v>101.95832052820209</c:v>
                </c:pt>
                <c:pt idx="13">
                  <c:v>102.22934310277275</c:v>
                </c:pt>
                <c:pt idx="14">
                  <c:v>102.52033230464527</c:v>
                </c:pt>
                <c:pt idx="15">
                  <c:v>102.91431909798462</c:v>
                </c:pt>
                <c:pt idx="16">
                  <c:v>103.33858540706281</c:v>
                </c:pt>
                <c:pt idx="17">
                  <c:v>103.62976929465395</c:v>
                </c:pt>
                <c:pt idx="18">
                  <c:v>103.89756587753917</c:v>
                </c:pt>
                <c:pt idx="19">
                  <c:v>104.1318557268077</c:v>
                </c:pt>
                <c:pt idx="20">
                  <c:v>104.16593915159544</c:v>
                </c:pt>
                <c:pt idx="21">
                  <c:v>104.11573479120985</c:v>
                </c:pt>
                <c:pt idx="22">
                  <c:v>104.16939351448586</c:v>
                </c:pt>
                <c:pt idx="23">
                  <c:v>104.31493369975352</c:v>
                </c:pt>
                <c:pt idx="24">
                  <c:v>104.44202290737094</c:v>
                </c:pt>
                <c:pt idx="25">
                  <c:v>104.51470797918726</c:v>
                </c:pt>
                <c:pt idx="26">
                  <c:v>104.54581053289974</c:v>
                </c:pt>
                <c:pt idx="27">
                  <c:v>104.56732583107342</c:v>
                </c:pt>
                <c:pt idx="28">
                  <c:v>104.63569448928469</c:v>
                </c:pt>
                <c:pt idx="29">
                  <c:v>104.76332012333242</c:v>
                </c:pt>
                <c:pt idx="30">
                  <c:v>104.96937827711183</c:v>
                </c:pt>
                <c:pt idx="31">
                  <c:v>105.18622526076275</c:v>
                </c:pt>
                <c:pt idx="32">
                  <c:v>105.44356566142913</c:v>
                </c:pt>
                <c:pt idx="33">
                  <c:v>105.82887550974412</c:v>
                </c:pt>
                <c:pt idx="34">
                  <c:v>106.1605820320916</c:v>
                </c:pt>
                <c:pt idx="35">
                  <c:v>106.40306345186774</c:v>
                </c:pt>
                <c:pt idx="36">
                  <c:v>106.63573845963263</c:v>
                </c:pt>
                <c:pt idx="37">
                  <c:v>106.89708743518914</c:v>
                </c:pt>
                <c:pt idx="38">
                  <c:v>107.16005057082121</c:v>
                </c:pt>
                <c:pt idx="39">
                  <c:v>107.32413547994432</c:v>
                </c:pt>
                <c:pt idx="40">
                  <c:v>107.48763154678338</c:v>
                </c:pt>
                <c:pt idx="41">
                  <c:v>107.69250417367292</c:v>
                </c:pt>
                <c:pt idx="42">
                  <c:v>107.82766877708598</c:v>
                </c:pt>
                <c:pt idx="43">
                  <c:v>107.93218338115773</c:v>
                </c:pt>
                <c:pt idx="44">
                  <c:v>108.03103519213738</c:v>
                </c:pt>
                <c:pt idx="45">
                  <c:v>108.09771875219228</c:v>
                </c:pt>
                <c:pt idx="46">
                  <c:v>108.20647334448579</c:v>
                </c:pt>
                <c:pt idx="47">
                  <c:v>108.34844706027322</c:v>
                </c:pt>
                <c:pt idx="48">
                  <c:v>108.53094137813703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698624"/>
        <c:axId val="135699008"/>
      </c:lineChart>
      <c:catAx>
        <c:axId val="1356986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5699008"/>
        <c:crosses val="autoZero"/>
        <c:auto val="1"/>
        <c:lblAlgn val="ctr"/>
        <c:lblOffset val="100"/>
        <c:noMultiLvlLbl val="0"/>
      </c:catAx>
      <c:valAx>
        <c:axId val="13569900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56986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8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zaDec2015!$A$2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zaDec2015!$B$1:$N$1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zaDec2015!$B$2:$N$2</c:f>
              <c:numCache>
                <c:formatCode>General</c:formatCode>
                <c:ptCount val="13"/>
                <c:pt idx="0">
                  <c:v>434262</c:v>
                </c:pt>
                <c:pt idx="1">
                  <c:v>225106</c:v>
                </c:pt>
                <c:pt idx="2">
                  <c:v>345525</c:v>
                </c:pt>
                <c:pt idx="3">
                  <c:v>403648</c:v>
                </c:pt>
                <c:pt idx="4">
                  <c:v>355008</c:v>
                </c:pt>
                <c:pt idx="5">
                  <c:v>393112</c:v>
                </c:pt>
                <c:pt idx="6">
                  <c:v>372846</c:v>
                </c:pt>
                <c:pt idx="7">
                  <c:v>442035</c:v>
                </c:pt>
                <c:pt idx="8">
                  <c:v>336534</c:v>
                </c:pt>
                <c:pt idx="9">
                  <c:v>390519</c:v>
                </c:pt>
                <c:pt idx="10">
                  <c:v>397166</c:v>
                </c:pt>
                <c:pt idx="11">
                  <c:v>346318</c:v>
                </c:pt>
                <c:pt idx="12">
                  <c:v>288270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zaDec2015!$A$3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zaDec2015!$B$1:$N$1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zaDec2015!$B$3:$N$3</c:f>
              <c:numCache>
                <c:formatCode>0</c:formatCode>
                <c:ptCount val="13"/>
                <c:pt idx="0">
                  <c:v>206415</c:v>
                </c:pt>
                <c:pt idx="1">
                  <c:v>169816</c:v>
                </c:pt>
                <c:pt idx="2">
                  <c:v>201174</c:v>
                </c:pt>
                <c:pt idx="3">
                  <c:v>214811</c:v>
                </c:pt>
                <c:pt idx="4">
                  <c:v>209561</c:v>
                </c:pt>
                <c:pt idx="5">
                  <c:v>207541</c:v>
                </c:pt>
                <c:pt idx="6">
                  <c:v>238678</c:v>
                </c:pt>
                <c:pt idx="7">
                  <c:v>243048</c:v>
                </c:pt>
                <c:pt idx="8">
                  <c:v>201596</c:v>
                </c:pt>
                <c:pt idx="9">
                  <c:v>237628</c:v>
                </c:pt>
                <c:pt idx="10">
                  <c:v>240795</c:v>
                </c:pt>
                <c:pt idx="11">
                  <c:v>202399</c:v>
                </c:pt>
                <c:pt idx="12">
                  <c:v>146158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715704"/>
        <c:axId val="135716088"/>
      </c:lineChart>
      <c:catAx>
        <c:axId val="13571570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35716088"/>
        <c:crosses val="autoZero"/>
        <c:auto val="1"/>
        <c:lblAlgn val="ctr"/>
        <c:lblOffset val="100"/>
        <c:noMultiLvlLbl val="0"/>
      </c:catAx>
      <c:valAx>
        <c:axId val="135716088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35715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66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EE40-8F0B-437E-A407-1484160E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9003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515</cp:revision>
  <cp:lastPrinted>2015-12-17T11:01:00Z</cp:lastPrinted>
  <dcterms:created xsi:type="dcterms:W3CDTF">2014-03-14T12:01:00Z</dcterms:created>
  <dcterms:modified xsi:type="dcterms:W3CDTF">2016-01-21T11:04:00Z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