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1B25E0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DC17C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50FFF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V</w:t>
            </w:r>
            <w:r w:rsidR="00DC17C9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DC2DCC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72615B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DC17C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209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DC17C9" w:rsidP="00DC2DCC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август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7712D7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026EAC"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ју</w:t>
      </w:r>
      <w:r w:rsidR="001A1E7A" w:rsidRPr="007712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л</w:t>
      </w:r>
      <w:r w:rsidR="00026EAC"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у</w:t>
      </w:r>
      <w:r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7712D7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38</w:t>
      </w:r>
      <w:r w:rsidRPr="007712D7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7712D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712D7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7712D7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7712D7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1A1E7A" w:rsidRPr="007712D7">
        <w:rPr>
          <w:rFonts w:ascii="Arial Narrow" w:hAnsi="Arial Narrow" w:cs="Tahoma"/>
          <w:b/>
          <w:sz w:val="28"/>
          <w:szCs w:val="28"/>
          <w:lang w:val="ru-RU"/>
        </w:rPr>
        <w:t>67</w:t>
      </w:r>
      <w:r w:rsidRPr="007712D7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7712D7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7712D7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7712D7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7712D7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7712D7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7712D7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7712D7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1A1E7A" w:rsidRPr="007712D7">
        <w:rPr>
          <w:rFonts w:ascii="Arial Narrow" w:hAnsi="Arial Narrow" w:cs="Tahoma"/>
          <w:b/>
          <w:sz w:val="28"/>
          <w:szCs w:val="28"/>
          <w:lang w:val="sr-Cyrl-BA"/>
        </w:rPr>
        <w:t>16</w:t>
      </w:r>
      <w:r w:rsidRPr="007712D7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7712D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7712D7">
        <w:rPr>
          <w:rFonts w:ascii="Tahoma" w:hAnsi="Tahoma" w:cs="Tahoma"/>
          <w:b/>
          <w:lang w:val="sr-Cyrl-CS"/>
        </w:rPr>
        <w:tab/>
      </w:r>
      <w:r w:rsidRPr="007712D7">
        <w:rPr>
          <w:rFonts w:ascii="Tahoma" w:hAnsi="Tahoma" w:cs="Tahoma"/>
          <w:b/>
          <w:lang w:val="sr-Cyrl-CS"/>
        </w:rPr>
        <w:tab/>
      </w:r>
    </w:p>
    <w:p w:rsidR="00B82005" w:rsidRPr="007712D7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7712D7">
        <w:rPr>
          <w:rFonts w:ascii="Arial Narrow" w:hAnsi="Arial Narrow" w:cs="Tahoma"/>
          <w:sz w:val="22"/>
          <w:lang w:val="sr-Cyrl-BA"/>
        </w:rPr>
        <w:t>П</w:t>
      </w:r>
      <w:r w:rsidRPr="007712D7">
        <w:rPr>
          <w:rFonts w:ascii="Arial Narrow" w:hAnsi="Arial Narrow" w:cs="Tahoma"/>
          <w:sz w:val="22"/>
          <w:lang w:val="sr-Cyrl-CS"/>
        </w:rPr>
        <w:t>росјечна</w:t>
      </w:r>
      <w:r w:rsidRPr="007712D7">
        <w:rPr>
          <w:rFonts w:ascii="Arial Narrow" w:hAnsi="Arial Narrow" w:cs="Tahoma"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мјесечна нето плата</w:t>
      </w:r>
      <w:r w:rsidRPr="007712D7">
        <w:rPr>
          <w:rFonts w:ascii="Arial Narrow" w:hAnsi="Arial Narrow" w:cs="Tahoma"/>
          <w:b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7712D7">
        <w:rPr>
          <w:rFonts w:ascii="Arial Narrow" w:hAnsi="Arial Narrow" w:cs="Tahoma"/>
          <w:b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A1E7A" w:rsidRPr="007712D7">
        <w:rPr>
          <w:rFonts w:ascii="Arial Narrow" w:hAnsi="Arial Narrow" w:cs="Tahoma"/>
          <w:sz w:val="22"/>
          <w:lang w:val="sr-Cyrl-CS"/>
        </w:rPr>
        <w:t>јул</w:t>
      </w:r>
      <w:r w:rsidR="00026EAC"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>.</w:t>
      </w:r>
      <w:r w:rsidRPr="007712D7">
        <w:rPr>
          <w:rFonts w:ascii="Arial Narrow" w:hAnsi="Arial Narrow" w:cs="Tahoma"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7712D7">
        <w:rPr>
          <w:rFonts w:ascii="Arial Narrow" w:hAnsi="Arial Narrow" w:cs="Tahoma"/>
          <w:sz w:val="22"/>
          <w:lang w:val="sr-Cyrl-BA"/>
        </w:rPr>
        <w:t>ла је</w:t>
      </w:r>
      <w:r w:rsidRPr="007712D7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8</w:t>
      </w:r>
      <w:r w:rsidR="001A1E7A" w:rsidRPr="007712D7">
        <w:rPr>
          <w:rFonts w:ascii="Arial Narrow" w:hAnsi="Arial Narrow" w:cs="Tahoma"/>
          <w:sz w:val="22"/>
          <w:lang w:val="sr-Cyrl-CS"/>
        </w:rPr>
        <w:t>38</w:t>
      </w:r>
      <w:r w:rsidRPr="007712D7">
        <w:rPr>
          <w:rFonts w:ascii="Arial Narrow" w:hAnsi="Arial Narrow" w:cs="Tahoma"/>
          <w:sz w:val="22"/>
          <w:lang w:val="sr-Cyrl-CS"/>
        </w:rPr>
        <w:t xml:space="preserve"> КМ</w:t>
      </w:r>
      <w:r w:rsidRPr="007712D7">
        <w:rPr>
          <w:rFonts w:ascii="Arial Narrow" w:hAnsi="Arial Narrow" w:cs="Tahoma"/>
          <w:sz w:val="22"/>
          <w:lang w:val="hr-HR"/>
        </w:rPr>
        <w:t>,</w:t>
      </w:r>
      <w:r w:rsidRPr="007712D7">
        <w:rPr>
          <w:rFonts w:ascii="Arial Narrow" w:hAnsi="Arial Narrow" w:cs="Tahoma"/>
          <w:sz w:val="22"/>
          <w:lang w:val="ru-RU"/>
        </w:rPr>
        <w:t xml:space="preserve"> а п</w:t>
      </w:r>
      <w:r w:rsidRPr="007712D7">
        <w:rPr>
          <w:rFonts w:ascii="Arial Narrow" w:hAnsi="Arial Narrow" w:cs="Tahoma"/>
          <w:sz w:val="22"/>
          <w:lang w:val="sr-Cyrl-CS"/>
        </w:rPr>
        <w:t>росјечна</w:t>
      </w:r>
      <w:r w:rsidRPr="007712D7">
        <w:rPr>
          <w:rFonts w:ascii="Arial Narrow" w:hAnsi="Arial Narrow" w:cs="Tahoma"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7712D7">
        <w:rPr>
          <w:rFonts w:ascii="Arial Narrow" w:hAnsi="Arial Narrow" w:cs="Tahoma"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1 3</w:t>
      </w:r>
      <w:r w:rsidR="00652176" w:rsidRPr="007712D7">
        <w:rPr>
          <w:rFonts w:ascii="Arial Narrow" w:hAnsi="Arial Narrow" w:cs="Tahoma"/>
          <w:sz w:val="22"/>
          <w:lang w:val="sr-Cyrl-CS"/>
        </w:rPr>
        <w:t>5</w:t>
      </w:r>
      <w:r w:rsidR="001A1E7A" w:rsidRPr="007712D7">
        <w:rPr>
          <w:rFonts w:ascii="Arial Narrow" w:hAnsi="Arial Narrow" w:cs="Tahoma"/>
          <w:sz w:val="22"/>
          <w:lang w:val="sr-Cyrl-CS"/>
        </w:rPr>
        <w:t>0</w:t>
      </w:r>
      <w:r w:rsidR="00F0781C"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КМ.</w:t>
      </w:r>
      <w:r w:rsidR="00B82005" w:rsidRPr="007712D7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7712D7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7712D7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Latn-CS"/>
        </w:rPr>
        <w:t xml:space="preserve">У </w:t>
      </w:r>
      <w:r w:rsidRPr="007712D7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026EAC" w:rsidRPr="007712D7">
        <w:rPr>
          <w:rFonts w:ascii="Arial Narrow" w:hAnsi="Arial Narrow" w:cs="Tahoma"/>
          <w:sz w:val="22"/>
          <w:lang w:val="sr-Cyrl-CS"/>
        </w:rPr>
        <w:t>ју</w:t>
      </w:r>
      <w:r w:rsidR="001A1E7A" w:rsidRPr="007712D7">
        <w:rPr>
          <w:rFonts w:ascii="Arial Narrow" w:hAnsi="Arial Narrow" w:cs="Tahoma"/>
          <w:sz w:val="22"/>
          <w:lang w:val="sr-Cyrl-CS"/>
        </w:rPr>
        <w:t>л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712D7">
        <w:rPr>
          <w:rFonts w:ascii="Arial Narrow" w:hAnsi="Arial Narrow" w:cs="Tahoma"/>
          <w:sz w:val="22"/>
          <w:lang w:val="sr-Cyrl-CS"/>
        </w:rPr>
        <w:t>5</w:t>
      </w:r>
      <w:r w:rsidRPr="007712D7">
        <w:rPr>
          <w:rFonts w:ascii="Arial Narrow" w:hAnsi="Arial Narrow" w:cs="Tahoma"/>
          <w:sz w:val="22"/>
          <w:lang w:val="sr-Cyrl-CS"/>
        </w:rPr>
        <w:t xml:space="preserve">. </w:t>
      </w:r>
      <w:r w:rsidRPr="007712D7">
        <w:rPr>
          <w:rFonts w:ascii="Arial Narrow" w:hAnsi="Arial Narrow" w:cs="Tahoma"/>
          <w:sz w:val="22"/>
          <w:lang w:val="sr-Cyrl-BA"/>
        </w:rPr>
        <w:t>г</w:t>
      </w:r>
      <w:r w:rsidRPr="007712D7">
        <w:rPr>
          <w:rFonts w:ascii="Arial Narrow" w:hAnsi="Arial Narrow" w:cs="Tahoma"/>
          <w:sz w:val="22"/>
          <w:lang w:val="sr-Cyrl-CS"/>
        </w:rPr>
        <w:t>одине</w:t>
      </w:r>
      <w:r w:rsidRPr="007712D7">
        <w:rPr>
          <w:rFonts w:ascii="Arial Narrow" w:hAnsi="Arial Narrow" w:cs="Tahoma"/>
          <w:sz w:val="22"/>
          <w:lang w:val="sr-Latn-BA"/>
        </w:rPr>
        <w:t>,</w:t>
      </w:r>
      <w:r w:rsidRPr="007712D7">
        <w:rPr>
          <w:rFonts w:ascii="Arial Narrow" w:hAnsi="Arial Narrow" w:cs="Tahoma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026EAC" w:rsidRPr="007712D7">
        <w:rPr>
          <w:rFonts w:ascii="Arial Narrow" w:hAnsi="Arial Narrow" w:cs="Tahoma"/>
          <w:sz w:val="22"/>
          <w:lang w:val="sr-Cyrl-CS"/>
        </w:rPr>
        <w:t>ју</w:t>
      </w:r>
      <w:r w:rsidR="001A1E7A" w:rsidRPr="007712D7">
        <w:rPr>
          <w:rFonts w:ascii="Arial Narrow" w:hAnsi="Arial Narrow" w:cs="Tahoma"/>
          <w:sz w:val="22"/>
          <w:lang w:val="sr-Cyrl-CS"/>
        </w:rPr>
        <w:t>л</w:t>
      </w:r>
      <w:r w:rsidR="00026EAC"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026EAC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A1E7A" w:rsidRPr="007712D7">
        <w:rPr>
          <w:rFonts w:ascii="Arial Narrow" w:hAnsi="Arial Narrow" w:cs="Tahoma"/>
          <w:sz w:val="22"/>
          <w:lang w:val="sr-Cyrl-CS"/>
        </w:rPr>
        <w:t>5</w:t>
      </w:r>
      <w:r w:rsidRPr="007712D7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1A1E7A" w:rsidRPr="007712D7">
        <w:rPr>
          <w:rFonts w:ascii="Arial Narrow" w:hAnsi="Arial Narrow" w:cs="Tahoma"/>
          <w:sz w:val="22"/>
          <w:lang w:val="sr-Cyrl-CS"/>
        </w:rPr>
        <w:t>јун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1A1E7A" w:rsidRPr="007712D7">
        <w:rPr>
          <w:rFonts w:ascii="Arial Narrow" w:hAnsi="Arial Narrow" w:cs="Tahoma"/>
          <w:sz w:val="22"/>
          <w:lang w:val="sr-Cyrl-CS"/>
        </w:rPr>
        <w:t>мања</w:t>
      </w:r>
      <w:r w:rsidR="00675807" w:rsidRPr="007712D7">
        <w:rPr>
          <w:rFonts w:ascii="Arial Narrow" w:hAnsi="Arial Narrow" w:cs="Tahoma"/>
          <w:sz w:val="22"/>
          <w:lang w:val="sr-Cyrl-CS"/>
        </w:rPr>
        <w:t xml:space="preserve"> за </w:t>
      </w:r>
      <w:r w:rsidR="00026EAC" w:rsidRPr="007712D7">
        <w:rPr>
          <w:rFonts w:ascii="Arial Narrow" w:hAnsi="Arial Narrow" w:cs="Tahoma"/>
          <w:sz w:val="22"/>
          <w:lang w:val="sr-Cyrl-CS"/>
        </w:rPr>
        <w:t>0</w:t>
      </w:r>
      <w:r w:rsidR="00675807" w:rsidRPr="007712D7">
        <w:rPr>
          <w:rFonts w:ascii="Arial Narrow" w:hAnsi="Arial Narrow" w:cs="Tahoma"/>
          <w:sz w:val="22"/>
          <w:lang w:val="sr-Cyrl-CS"/>
        </w:rPr>
        <w:t>,</w:t>
      </w:r>
      <w:r w:rsidR="001A1E7A" w:rsidRPr="007712D7">
        <w:rPr>
          <w:rFonts w:ascii="Arial Narrow" w:hAnsi="Arial Narrow" w:cs="Tahoma"/>
          <w:sz w:val="22"/>
          <w:lang w:val="sr-Cyrl-CS"/>
        </w:rPr>
        <w:t>5</w:t>
      </w:r>
      <w:r w:rsidR="00675807" w:rsidRPr="007712D7">
        <w:rPr>
          <w:rFonts w:ascii="Arial Narrow" w:hAnsi="Arial Narrow" w:cs="Tahoma"/>
          <w:sz w:val="22"/>
          <w:lang w:val="sr-Cyrl-CS"/>
        </w:rPr>
        <w:t>%</w:t>
      </w:r>
      <w:r w:rsidRPr="007712D7">
        <w:rPr>
          <w:rFonts w:ascii="Arial Narrow" w:hAnsi="Arial Narrow" w:cs="Tahoma"/>
          <w:sz w:val="22"/>
          <w:lang w:val="sr-Cyrl-CS"/>
        </w:rPr>
        <w:t>.</w:t>
      </w:r>
    </w:p>
    <w:p w:rsidR="00B747A8" w:rsidRPr="007712D7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1A1E7A" w:rsidRPr="007712D7" w:rsidRDefault="001A1E7A" w:rsidP="001A1E7A">
      <w:pPr>
        <w:tabs>
          <w:tab w:val="left" w:pos="1134"/>
        </w:tabs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До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смањења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просјечне нето плате у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јулу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2016. у односу на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јун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2016. дошло је углавном због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мањег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броја плаћених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прековремених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часова рада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часова рада на државни празник у подручјима дјелатности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Информације и комуникације,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>Вађење руда и камена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Производња и снабдијевање електричном енергијом,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 гасом, паром и климатизација</w:t>
      </w:r>
      <w:r w:rsidR="00C07571" w:rsidRPr="007712D7">
        <w:rPr>
          <w:rFonts w:ascii="Arial Narrow" w:hAnsi="Arial Narrow" w:cs="Tahoma"/>
          <w:sz w:val="22"/>
          <w:szCs w:val="22"/>
          <w:lang w:val="sr-Latn-BA"/>
        </w:rPr>
        <w:t>,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 а која запошљавају значајан број радника.</w:t>
      </w:r>
    </w:p>
    <w:p w:rsidR="00B82005" w:rsidRPr="007712D7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7712D7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7712D7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26EAC" w:rsidRPr="007712D7">
        <w:rPr>
          <w:rFonts w:ascii="Arial Narrow" w:hAnsi="Arial Narrow" w:cs="Tahoma"/>
          <w:sz w:val="22"/>
          <w:lang w:val="sr-Cyrl-CS"/>
        </w:rPr>
        <w:t>ју</w:t>
      </w:r>
      <w:r w:rsidR="001A1E7A" w:rsidRPr="007712D7">
        <w:rPr>
          <w:rFonts w:ascii="Arial Narrow" w:hAnsi="Arial Narrow" w:cs="Tahoma"/>
          <w:sz w:val="22"/>
          <w:lang w:val="sr-Cyrl-CS"/>
        </w:rPr>
        <w:t>л</w:t>
      </w:r>
      <w:r w:rsidR="00026EAC"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="001A1E7A" w:rsidRPr="007712D7">
        <w:rPr>
          <w:rFonts w:ascii="Arial Narrow" w:hAnsi="Arial Narrow" w:cs="Tahoma"/>
          <w:i/>
          <w:sz w:val="22"/>
          <w:lang w:val="sr-Cyrl-CS"/>
        </w:rPr>
        <w:t>Финансијске дјелатности и дјелатности осигурања</w:t>
      </w:r>
      <w:r w:rsidRPr="007712D7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и износи</w:t>
      </w:r>
      <w:r w:rsidR="00F6529E" w:rsidRPr="007712D7">
        <w:rPr>
          <w:rFonts w:ascii="Arial Narrow" w:hAnsi="Arial Narrow" w:cs="Tahoma"/>
          <w:sz w:val="22"/>
          <w:lang w:val="sr-Cyrl-CS"/>
        </w:rPr>
        <w:t>ла је</w:t>
      </w:r>
      <w:r w:rsidRPr="007712D7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7712D7">
        <w:rPr>
          <w:rFonts w:ascii="Arial Narrow" w:hAnsi="Arial Narrow" w:cs="Tahoma"/>
          <w:sz w:val="22"/>
          <w:lang w:val="sr-Cyrl-CS"/>
        </w:rPr>
        <w:t>2</w:t>
      </w:r>
      <w:r w:rsidR="001A1E7A" w:rsidRPr="007712D7">
        <w:rPr>
          <w:rFonts w:ascii="Arial Narrow" w:hAnsi="Arial Narrow" w:cs="Tahoma"/>
          <w:sz w:val="22"/>
          <w:lang w:val="sr-Cyrl-CS"/>
        </w:rPr>
        <w:t>67</w:t>
      </w:r>
      <w:r w:rsidRPr="007712D7">
        <w:rPr>
          <w:rFonts w:ascii="Arial Narrow" w:hAnsi="Arial Narrow" w:cs="Tahoma"/>
          <w:sz w:val="22"/>
          <w:lang w:val="sr-Cyrl-CS"/>
        </w:rPr>
        <w:t xml:space="preserve"> КМ</w:t>
      </w:r>
      <w:r w:rsidRPr="007712D7">
        <w:rPr>
          <w:rFonts w:ascii="Arial Narrow" w:hAnsi="Arial Narrow" w:cs="Tahoma"/>
          <w:sz w:val="22"/>
          <w:lang w:val="sr-Latn-CS"/>
        </w:rPr>
        <w:t>. Са друге стране,</w:t>
      </w:r>
      <w:r w:rsidRPr="007712D7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7712D7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7712D7">
        <w:rPr>
          <w:rFonts w:ascii="Arial Narrow" w:hAnsi="Arial Narrow" w:cs="Tahoma"/>
          <w:sz w:val="22"/>
          <w:lang w:val="sr-Cyrl-BA"/>
        </w:rPr>
        <w:t>нето</w:t>
      </w:r>
      <w:r w:rsidR="00F54DF7" w:rsidRPr="007712D7">
        <w:rPr>
          <w:rFonts w:ascii="Arial Narrow" w:hAnsi="Arial Narrow" w:cs="Tahoma"/>
          <w:sz w:val="22"/>
          <w:lang w:val="sr-Latn-BA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плата у </w:t>
      </w:r>
      <w:r w:rsidR="001A1E7A" w:rsidRPr="007712D7">
        <w:rPr>
          <w:rFonts w:ascii="Arial Narrow" w:hAnsi="Arial Narrow" w:cs="Tahoma"/>
          <w:sz w:val="22"/>
          <w:lang w:val="sr-Cyrl-CS"/>
        </w:rPr>
        <w:t>јул</w:t>
      </w:r>
      <w:r w:rsidR="00026EAC"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7712D7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7712D7">
        <w:rPr>
          <w:rFonts w:ascii="Arial Narrow" w:hAnsi="Arial Narrow" w:cs="Tahoma"/>
          <w:sz w:val="22"/>
          <w:lang w:val="sr-Cyrl-BA"/>
        </w:rPr>
        <w:t>5</w:t>
      </w:r>
      <w:r w:rsidR="001A1E7A" w:rsidRPr="007712D7">
        <w:rPr>
          <w:rFonts w:ascii="Arial Narrow" w:hAnsi="Arial Narrow" w:cs="Tahoma"/>
          <w:sz w:val="22"/>
          <w:lang w:val="sr-Cyrl-BA"/>
        </w:rPr>
        <w:t>16</w:t>
      </w:r>
      <w:r w:rsidRPr="007712D7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7712D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7712D7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026EAC" w:rsidRPr="007712D7">
        <w:rPr>
          <w:rFonts w:ascii="Arial Narrow" w:hAnsi="Arial Narrow" w:cs="Tahoma"/>
          <w:sz w:val="22"/>
          <w:szCs w:val="22"/>
          <w:lang w:val="sr-Cyrl-CS"/>
        </w:rPr>
        <w:t>ју</w:t>
      </w:r>
      <w:r w:rsidR="001A1E7A" w:rsidRPr="007712D7">
        <w:rPr>
          <w:rFonts w:ascii="Arial Narrow" w:hAnsi="Arial Narrow" w:cs="Tahoma"/>
          <w:sz w:val="22"/>
          <w:szCs w:val="22"/>
          <w:lang w:val="sr-Cyrl-CS"/>
        </w:rPr>
        <w:t>лу</w:t>
      </w:r>
      <w:r w:rsidR="000F053E" w:rsidRPr="007712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7712D7">
        <w:rPr>
          <w:rFonts w:ascii="Arial Narrow" w:hAnsi="Arial Narrow" w:cs="Tahoma"/>
          <w:sz w:val="22"/>
          <w:szCs w:val="22"/>
          <w:lang w:val="ru-RU"/>
        </w:rPr>
        <w:t>6</w:t>
      </w:r>
      <w:r w:rsidRPr="007712D7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A1E7A" w:rsidRPr="007712D7">
        <w:rPr>
          <w:rFonts w:ascii="Arial Narrow" w:hAnsi="Arial Narrow" w:cs="Tahoma"/>
          <w:sz w:val="22"/>
          <w:szCs w:val="22"/>
          <w:lang w:val="sr-Cyrl-CS"/>
        </w:rPr>
        <w:t>јун</w:t>
      </w:r>
      <w:r w:rsidR="000F053E" w:rsidRPr="007712D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7712D7">
        <w:rPr>
          <w:rFonts w:ascii="Arial Narrow" w:hAnsi="Arial Narrow" w:cs="Tahoma"/>
          <w:sz w:val="22"/>
          <w:szCs w:val="22"/>
          <w:lang w:val="ru-RU"/>
        </w:rPr>
        <w:t>6</w:t>
      </w:r>
      <w:r w:rsidRPr="007712D7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7712D7">
        <w:rPr>
          <w:rFonts w:ascii="Arial Narrow" w:hAnsi="Arial Narrow" w:cs="Tahoma"/>
          <w:sz w:val="22"/>
          <w:szCs w:val="22"/>
          <w:lang w:val="sr-Latn-CS"/>
        </w:rPr>
        <w:t>р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7712D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>Д</w:t>
      </w:r>
      <w:r w:rsidR="001A1E7A" w:rsidRPr="007712D7">
        <w:rPr>
          <w:rFonts w:ascii="Arial Narrow" w:hAnsi="Arial Narrow" w:cs="Tahoma"/>
          <w:i/>
          <w:sz w:val="22"/>
          <w:szCs w:val="22"/>
          <w:lang w:val="ru-RU"/>
        </w:rPr>
        <w:t xml:space="preserve">јелатности здравствене заштите и социјалног рада 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 xml:space="preserve">1,1%, 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 xml:space="preserve"> 1,0% и 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 xml:space="preserve"> 0,7%.</w:t>
      </w:r>
      <w:r w:rsidR="001A1E7A" w:rsidRPr="007712D7">
        <w:rPr>
          <w:rFonts w:ascii="Arial Narrow" w:hAnsi="Arial Narrow" w:cs="Tahoma"/>
          <w:sz w:val="22"/>
          <w:lang w:val="sr-Cyrl-BA"/>
        </w:rPr>
        <w:t xml:space="preserve"> </w:t>
      </w:r>
    </w:p>
    <w:p w:rsidR="00FF3EA0" w:rsidRPr="007712D7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7712D7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712D7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7712D7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7712D7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7712D7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7712D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A1E7A" w:rsidRPr="007712D7">
        <w:rPr>
          <w:rFonts w:ascii="Arial Narrow" w:hAnsi="Arial Narrow" w:cs="Tahoma"/>
          <w:i/>
          <w:sz w:val="22"/>
          <w:lang w:val="sr-Cyrl-CS"/>
        </w:rPr>
        <w:t>Информације и комуникације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>7,0%,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 xml:space="preserve"> Стручне, научне и техничке дјелатности 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 xml:space="preserve">6,2% и </w:t>
      </w:r>
      <w:r w:rsidR="001A1E7A" w:rsidRPr="007712D7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1A1E7A" w:rsidRPr="007712D7">
        <w:rPr>
          <w:rFonts w:ascii="Arial Narrow" w:hAnsi="Arial Narrow" w:cs="Tahoma"/>
          <w:sz w:val="22"/>
          <w:szCs w:val="22"/>
          <w:lang w:val="sr-Cyrl-BA"/>
        </w:rPr>
        <w:t xml:space="preserve"> 4,9%.</w:t>
      </w:r>
    </w:p>
    <w:p w:rsidR="00396802" w:rsidRPr="007712D7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7712D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7712D7">
        <w:rPr>
          <w:rFonts w:ascii="Tahoma" w:hAnsi="Tahoma" w:cs="Tahoma"/>
          <w:i/>
          <w:sz w:val="14"/>
          <w:lang w:val="sr-Cyrl-CS"/>
        </w:rPr>
        <w:t xml:space="preserve"> </w:t>
      </w:r>
      <w:r w:rsidRPr="007712D7">
        <w:rPr>
          <w:rFonts w:ascii="Tahoma" w:hAnsi="Tahoma" w:cs="Tahoma"/>
          <w:sz w:val="14"/>
          <w:lang w:val="sr-Cyrl-CS"/>
        </w:rPr>
        <w:t xml:space="preserve">   </w:t>
      </w:r>
      <w:r w:rsidRPr="007712D7">
        <w:rPr>
          <w:rFonts w:ascii="Tahoma" w:hAnsi="Tahoma" w:cs="Tahoma"/>
          <w:sz w:val="14"/>
          <w:lang w:val="sr-Latn-CS"/>
        </w:rPr>
        <w:tab/>
      </w:r>
      <w:r w:rsidRPr="007712D7">
        <w:rPr>
          <w:rFonts w:ascii="Tahoma" w:hAnsi="Tahoma" w:cs="Tahoma"/>
          <w:sz w:val="14"/>
          <w:lang w:val="sr-Latn-CS"/>
        </w:rPr>
        <w:tab/>
      </w:r>
      <w:r w:rsidRPr="007712D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7712D7">
        <w:rPr>
          <w:rFonts w:ascii="Tahoma" w:hAnsi="Tahoma" w:cs="Tahoma"/>
          <w:sz w:val="14"/>
          <w:lang w:val="sr-Cyrl-BA"/>
        </w:rPr>
        <w:t xml:space="preserve">  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7712D7" w:rsidRDefault="00AD485B" w:rsidP="00E33D13">
      <w:pPr>
        <w:jc w:val="center"/>
        <w:rPr>
          <w:rFonts w:ascii="Tahoma" w:hAnsi="Tahoma" w:cs="Tahoma"/>
          <w:lang w:val="sr-Cyrl-BA"/>
        </w:rPr>
      </w:pPr>
      <w:r w:rsidRPr="007712D7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7712D7">
        <w:rPr>
          <w:rFonts w:ascii="Tahoma" w:hAnsi="Tahoma" w:cs="Tahoma"/>
          <w:szCs w:val="18"/>
          <w:lang w:val="sr-Cyrl-BA"/>
        </w:rPr>
        <w:t xml:space="preserve">   </w:t>
      </w:r>
      <w:r w:rsidR="006F20BC" w:rsidRPr="007712D7">
        <w:rPr>
          <w:noProof/>
        </w:rPr>
        <w:drawing>
          <wp:inline distT="0" distB="0" distL="0" distR="0" wp14:anchorId="240C2808" wp14:editId="21F74DE4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7712D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7712D7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7712D7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7712D7">
        <w:rPr>
          <w:rFonts w:ascii="Arial Narrow" w:hAnsi="Arial Narrow" w:cs="Tahoma"/>
          <w:sz w:val="16"/>
          <w:szCs w:val="22"/>
          <w:lang w:val="sr-Latn-BA"/>
        </w:rPr>
        <w:t>1</w:t>
      </w:r>
      <w:r w:rsidRPr="007712D7">
        <w:rPr>
          <w:rFonts w:ascii="Arial Narrow" w:hAnsi="Arial Narrow" w:cs="Tahoma"/>
          <w:sz w:val="16"/>
          <w:szCs w:val="22"/>
          <w:lang w:val="sr-Cyrl-CS"/>
        </w:rPr>
        <w:t>.</w:t>
      </w:r>
      <w:r w:rsidRPr="007712D7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7712D7">
        <w:rPr>
          <w:rFonts w:ascii="Arial Narrow" w:hAnsi="Arial Narrow" w:cs="Tahoma"/>
          <w:sz w:val="16"/>
          <w:szCs w:val="22"/>
          <w:lang w:val="sr-Cyrl-CS"/>
        </w:rPr>
        <w:t>П</w:t>
      </w:r>
      <w:r w:rsidRPr="007712D7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7712D7">
        <w:rPr>
          <w:rFonts w:ascii="Arial Narrow" w:hAnsi="Arial Narrow" w:cs="Tahoma"/>
          <w:sz w:val="16"/>
          <w:szCs w:val="22"/>
        </w:rPr>
        <w:t>e</w:t>
      </w:r>
      <w:r w:rsidRPr="007712D7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7712D7">
        <w:rPr>
          <w:rFonts w:ascii="Arial Narrow" w:hAnsi="Arial Narrow" w:cs="Tahoma"/>
          <w:sz w:val="16"/>
          <w:szCs w:val="22"/>
        </w:rPr>
        <w:t>e</w:t>
      </w:r>
      <w:r w:rsidRPr="007712D7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7712D7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7712D7" w:rsidRDefault="004832EC">
      <w:pPr>
        <w:rPr>
          <w:rFonts w:ascii="Arial Narrow" w:hAnsi="Arial Narrow" w:cs="Tahoma"/>
          <w:sz w:val="22"/>
          <w:lang w:val="sr-Latn-BA"/>
        </w:rPr>
      </w:pPr>
    </w:p>
    <w:p w:rsidR="004832EC" w:rsidRPr="007712D7" w:rsidRDefault="004832EC">
      <w:pPr>
        <w:rPr>
          <w:rFonts w:ascii="Arial Narrow" w:hAnsi="Arial Narrow" w:cs="Tahoma"/>
          <w:sz w:val="22"/>
          <w:lang w:val="sr-Latn-BA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712D7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јулу 2016. године -0,3%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7712D7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C07571" w:rsidRPr="007712D7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C07571" w:rsidRPr="007712D7">
        <w:rPr>
          <w:rFonts w:ascii="Arial Narrow" w:hAnsi="Arial Narrow" w:cs="Tahoma"/>
          <w:b/>
          <w:sz w:val="30"/>
          <w:szCs w:val="30"/>
          <w:lang w:val="sr-Latn-BA"/>
        </w:rPr>
        <w:t>VII</w:t>
      </w:r>
      <w:r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 2015) -1,0%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</w:rPr>
      </w:pPr>
      <w:r w:rsidRPr="007712D7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7712D7">
        <w:rPr>
          <w:rFonts w:ascii="Arial Narrow" w:hAnsi="Arial Narrow" w:cs="Tahoma"/>
          <w:sz w:val="22"/>
          <w:lang w:val="sr-Cyrl-CS"/>
        </w:rPr>
        <w:t>јулу</w:t>
      </w:r>
      <w:r w:rsidRPr="007712D7">
        <w:rPr>
          <w:rFonts w:ascii="Arial Narrow" w:hAnsi="Arial Narrow" w:cs="Tahoma"/>
          <w:sz w:val="22"/>
          <w:lang w:val="sr-Cyrl-BA"/>
        </w:rPr>
        <w:t xml:space="preserve"> 2016. године у односу на претходни мјесец, у просјеку су ниже за 0,3%, док су на годишњем нивоу, у просјеку ниже за 1,0%.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пет, ниже цијене у четири, док су цијене у три одјељака, у просјеку остале непромијењене.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>Највећи раст цијена у јулу забиљежен је у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  <w:lang w:val="sr-Cyrl-BA"/>
        </w:rPr>
        <w:t>одјељку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 Намјештај и покућство </w:t>
      </w:r>
      <w:r w:rsidRPr="007712D7">
        <w:rPr>
          <w:rFonts w:ascii="Arial Narrow" w:hAnsi="Arial Narrow" w:cs="Tahoma"/>
          <w:sz w:val="22"/>
          <w:lang w:val="sr-Cyrl-BA"/>
        </w:rPr>
        <w:t>(0,6%) усљед виших цијена у групи производи за чишћење и одржавање домаћинства (1,0%), те у групи намјештај (0,7%), затим у одјељку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 Превоз</w:t>
      </w:r>
      <w:r w:rsidRPr="007712D7">
        <w:rPr>
          <w:rFonts w:ascii="Arial Narrow" w:hAnsi="Arial Narrow" w:cs="Tahoma"/>
          <w:sz w:val="22"/>
          <w:lang w:val="sr-Cyrl-BA"/>
        </w:rPr>
        <w:t xml:space="preserve"> (0,5%), највише у групи горива и мазива (1,2%) усљед виших набавних цијена бензина. У одјељку Рекреација и Култура (0,4%) више цијене забиљежене су у групи путни аранжмани у иностранству усљед виших, сезонских цијена у термину јул/август. Више цијене забиљежене су у одјељку 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Здравство </w:t>
      </w:r>
      <w:r w:rsidRPr="007712D7">
        <w:rPr>
          <w:rFonts w:ascii="Arial Narrow" w:hAnsi="Arial Narrow" w:cs="Tahoma"/>
          <w:sz w:val="22"/>
          <w:lang w:val="sr-Cyrl-BA"/>
        </w:rPr>
        <w:t xml:space="preserve">(0,3%) усљед нових добављачких цијена мањег броја лијекова и у одјељку </w:t>
      </w:r>
      <w:r w:rsidRPr="007712D7">
        <w:rPr>
          <w:rFonts w:ascii="Arial Narrow" w:hAnsi="Arial Narrow" w:cs="Tahoma"/>
          <w:i/>
          <w:sz w:val="22"/>
          <w:lang w:val="sr-Cyrl-BA"/>
        </w:rPr>
        <w:t>Ресторани и хотели</w:t>
      </w:r>
      <w:r w:rsidRPr="007712D7">
        <w:rPr>
          <w:rFonts w:ascii="Arial Narrow" w:hAnsi="Arial Narrow" w:cs="Tahoma"/>
          <w:sz w:val="22"/>
          <w:lang w:val="sr-Cyrl-BA"/>
        </w:rPr>
        <w:t xml:space="preserve"> (0,1%) усљед нових цијена у групи услуг</w:t>
      </w:r>
      <w:r w:rsidRPr="007712D7">
        <w:rPr>
          <w:rFonts w:ascii="Arial Narrow" w:hAnsi="Arial Narrow" w:cs="Tahoma"/>
          <w:sz w:val="22"/>
        </w:rPr>
        <w:t>e</w:t>
      </w:r>
      <w:r w:rsidRPr="007712D7">
        <w:rPr>
          <w:rFonts w:ascii="Arial Narrow" w:hAnsi="Arial Narrow" w:cs="Tahoma"/>
          <w:sz w:val="22"/>
          <w:lang w:val="sr-Cyrl-BA"/>
        </w:rPr>
        <w:t xml:space="preserve"> смјештај</w:t>
      </w:r>
      <w:r w:rsidRPr="007712D7">
        <w:rPr>
          <w:rFonts w:ascii="Arial Narrow" w:hAnsi="Arial Narrow" w:cs="Tahoma"/>
          <w:sz w:val="22"/>
        </w:rPr>
        <w:t>a</w:t>
      </w:r>
      <w:r w:rsidRPr="007712D7">
        <w:rPr>
          <w:rFonts w:ascii="Arial Narrow" w:hAnsi="Arial Narrow" w:cs="Tahoma"/>
          <w:sz w:val="22"/>
          <w:lang w:val="sr-Cyrl-BA"/>
        </w:rPr>
        <w:t xml:space="preserve"> у хотелима.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>У одјељцима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: Алкохолна пића и дуван, Комуникације и Образовање </w:t>
      </w:r>
      <w:r w:rsidRPr="007712D7">
        <w:rPr>
          <w:rFonts w:ascii="Arial Narrow" w:hAnsi="Arial Narrow" w:cs="Tahoma"/>
          <w:sz w:val="22"/>
          <w:lang w:val="sr-Cyrl-BA"/>
        </w:rPr>
        <w:t>цијене су, у просјеку остале непромијењене.</w:t>
      </w: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</w:p>
    <w:p w:rsidR="00D05260" w:rsidRPr="007712D7" w:rsidRDefault="00D05260" w:rsidP="00D05260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>Нај</w:t>
      </w:r>
      <w:r w:rsidR="00C07571" w:rsidRPr="007712D7">
        <w:rPr>
          <w:rFonts w:ascii="Arial Narrow" w:hAnsi="Arial Narrow" w:cs="Tahoma"/>
          <w:sz w:val="22"/>
          <w:lang w:val="sr-Cyrl-BA"/>
        </w:rPr>
        <w:t>већи пад</w:t>
      </w:r>
      <w:r w:rsidRPr="007712D7">
        <w:rPr>
          <w:rFonts w:ascii="Arial Narrow" w:hAnsi="Arial Narrow" w:cs="Tahoma"/>
          <w:sz w:val="22"/>
          <w:lang w:val="sr-Cyrl-BA"/>
        </w:rPr>
        <w:t xml:space="preserve"> цијен</w:t>
      </w:r>
      <w:r w:rsidR="00C07571" w:rsidRPr="007712D7">
        <w:rPr>
          <w:rFonts w:ascii="Arial Narrow" w:hAnsi="Arial Narrow" w:cs="Tahoma"/>
          <w:sz w:val="22"/>
          <w:lang w:val="sr-Cyrl-BA"/>
        </w:rPr>
        <w:t>а</w:t>
      </w:r>
      <w:r w:rsidRPr="007712D7">
        <w:rPr>
          <w:rFonts w:ascii="Arial Narrow" w:hAnsi="Arial Narrow" w:cs="Tahoma"/>
          <w:sz w:val="22"/>
          <w:lang w:val="sr-Cyrl-BA"/>
        </w:rPr>
        <w:t xml:space="preserve"> у </w:t>
      </w:r>
      <w:r w:rsidRPr="007712D7">
        <w:rPr>
          <w:rFonts w:ascii="Arial Narrow" w:hAnsi="Arial Narrow" w:cs="Tahoma"/>
          <w:sz w:val="22"/>
          <w:lang w:val="sr-Cyrl-CS"/>
        </w:rPr>
        <w:t>јул</w:t>
      </w:r>
      <w:r w:rsidRPr="007712D7">
        <w:rPr>
          <w:rFonts w:ascii="Arial Narrow" w:hAnsi="Arial Narrow" w:cs="Tahoma"/>
          <w:sz w:val="22"/>
          <w:lang w:val="sr-Cyrl-BA"/>
        </w:rPr>
        <w:t xml:space="preserve">у забиљежен </w:t>
      </w:r>
      <w:r w:rsidR="00C07571" w:rsidRPr="007712D7">
        <w:rPr>
          <w:rFonts w:ascii="Arial Narrow" w:hAnsi="Arial Narrow" w:cs="Tahoma"/>
          <w:sz w:val="22"/>
          <w:lang w:val="sr-Cyrl-BA"/>
        </w:rPr>
        <w:t>је</w:t>
      </w:r>
      <w:r w:rsidRPr="007712D7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7712D7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7712D7">
        <w:rPr>
          <w:rFonts w:ascii="Arial Narrow" w:hAnsi="Arial Narrow" w:cs="Tahoma"/>
          <w:sz w:val="22"/>
          <w:lang w:val="sr-Cyrl-BA"/>
        </w:rPr>
        <w:t xml:space="preserve"> (3,7%) усљед великог броја сезонских снижења, највише у групи обућа (6,5%), затим у одјељку 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Остала добра и услуге </w:t>
      </w:r>
      <w:r w:rsidRPr="007712D7">
        <w:rPr>
          <w:rFonts w:ascii="Arial Narrow" w:hAnsi="Arial Narrow" w:cs="Tahoma"/>
          <w:sz w:val="22"/>
          <w:lang w:val="sr-Cyrl-BA"/>
        </w:rPr>
        <w:t>(0,7%) усљед акцијских и тзв. трајно ниских цијена у групи производи за одржавање личне хигијене (1,7%).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  <w:lang w:val="sr-Cyrl-BA"/>
        </w:rPr>
        <w:t>У одјељку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 Храна и безалкохолна пића</w:t>
      </w:r>
      <w:r w:rsidRPr="007712D7">
        <w:rPr>
          <w:rFonts w:ascii="Arial Narrow" w:hAnsi="Arial Narrow" w:cs="Tahoma"/>
          <w:sz w:val="22"/>
          <w:lang w:val="sr-Cyrl-BA"/>
        </w:rPr>
        <w:t xml:space="preserve"> (0,5%) такође, су забиљежене ниже цијене, а највише у групи поврће (11,0%) усљед нижих, сезонских цијена појединих производа у овом периоду. Ниже цијене забиљежене су још у одјељку </w:t>
      </w:r>
      <w:r w:rsidRPr="007712D7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7712D7">
        <w:rPr>
          <w:rFonts w:ascii="Arial Narrow" w:hAnsi="Arial Narrow" w:cs="Tahoma"/>
          <w:sz w:val="22"/>
          <w:lang w:val="sr-Cyrl-BA"/>
        </w:rPr>
        <w:t>(0,2%) усљед нижих набавних цијена у групи гас у боцама (1,8%).</w:t>
      </w:r>
    </w:p>
    <w:p w:rsidR="007B3C79" w:rsidRPr="007712D7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7712D7" w:rsidRDefault="00D05260" w:rsidP="007712D7">
      <w:pPr>
        <w:jc w:val="center"/>
        <w:rPr>
          <w:rFonts w:ascii="Arial Narrow" w:hAnsi="Arial Narrow" w:cs="Tahoma"/>
          <w:sz w:val="22"/>
          <w:szCs w:val="22"/>
          <w:lang w:val="sr-Cyrl-BA"/>
        </w:rPr>
      </w:pPr>
      <w:r w:rsidRPr="007712D7">
        <w:rPr>
          <w:noProof/>
        </w:rPr>
        <w:drawing>
          <wp:inline distT="0" distB="0" distL="0" distR="0" wp14:anchorId="7C0282BB" wp14:editId="075E2F0E">
            <wp:extent cx="5467985" cy="3059430"/>
            <wp:effectExtent l="0" t="0" r="0" b="762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7712D7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7712D7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7712D7">
        <w:rPr>
          <w:rFonts w:ascii="Arial Narrow" w:hAnsi="Arial Narrow" w:cs="Tahoma"/>
          <w:sz w:val="16"/>
          <w:szCs w:val="16"/>
          <w:lang w:val="sr-Cyrl-BA"/>
        </w:rPr>
        <w:t>2</w:t>
      </w:r>
      <w:r w:rsidRPr="007712D7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856D8" w:rsidRPr="007712D7" w:rsidRDefault="009856D8" w:rsidP="009856D8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9856D8" w:rsidRPr="007712D7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856D8" w:rsidRPr="007712D7" w:rsidRDefault="009856D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7712D7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7712D7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33595C" w:rsidRPr="007712D7">
        <w:rPr>
          <w:rFonts w:ascii="Arial Narrow" w:hAnsi="Arial Narrow" w:cs="Tahoma"/>
          <w:b/>
          <w:sz w:val="30"/>
          <w:szCs w:val="30"/>
        </w:rPr>
        <w:t>V</w:t>
      </w:r>
      <w:r w:rsidR="001B25E0" w:rsidRPr="007712D7">
        <w:rPr>
          <w:rFonts w:ascii="Arial Narrow" w:hAnsi="Arial Narrow" w:cs="Tahoma"/>
          <w:b/>
          <w:sz w:val="30"/>
          <w:szCs w:val="30"/>
        </w:rPr>
        <w:t>I</w:t>
      </w:r>
      <w:r w:rsidR="00CD7671" w:rsidRPr="007712D7">
        <w:rPr>
          <w:rFonts w:ascii="Arial Narrow" w:hAnsi="Arial Narrow" w:cs="Tahoma"/>
          <w:b/>
          <w:sz w:val="30"/>
          <w:szCs w:val="30"/>
        </w:rPr>
        <w:t>I</w:t>
      </w:r>
      <w:r w:rsidRPr="007712D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7712D7">
        <w:rPr>
          <w:rFonts w:ascii="Arial Narrow" w:hAnsi="Arial Narrow" w:cs="Tahoma"/>
          <w:b/>
          <w:sz w:val="30"/>
          <w:szCs w:val="30"/>
        </w:rPr>
        <w:t>6</w:t>
      </w:r>
      <w:r w:rsidR="009034C3" w:rsidRPr="007712D7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33595C" w:rsidRPr="007712D7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="001B25E0" w:rsidRPr="007712D7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CD7671" w:rsidRPr="007712D7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7712D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7712D7">
        <w:rPr>
          <w:rFonts w:ascii="Arial Narrow" w:hAnsi="Arial Narrow" w:cs="Tahoma"/>
          <w:b/>
          <w:bCs/>
          <w:sz w:val="30"/>
          <w:szCs w:val="30"/>
        </w:rPr>
        <w:t>5.</w:t>
      </w:r>
      <w:r w:rsidRPr="007712D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1B25E0"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B25E0" w:rsidRPr="007712D7" w:rsidRDefault="001B25E0" w:rsidP="001B25E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7712D7">
        <w:rPr>
          <w:rFonts w:ascii="Arial Narrow" w:hAnsi="Arial Narrow" w:cs="Tahoma"/>
          <w:b/>
          <w:sz w:val="30"/>
          <w:szCs w:val="30"/>
        </w:rPr>
        <w:t>VII</w:t>
      </w:r>
      <w:r w:rsidRPr="007712D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7712D7">
        <w:rPr>
          <w:rFonts w:ascii="Arial Narrow" w:hAnsi="Arial Narrow" w:cs="Tahoma"/>
          <w:b/>
          <w:sz w:val="30"/>
          <w:szCs w:val="30"/>
        </w:rPr>
        <w:t>6</w:t>
      </w:r>
      <w:r w:rsidRPr="007712D7">
        <w:rPr>
          <w:rFonts w:ascii="Arial Narrow" w:hAnsi="Arial Narrow" w:cs="Tahoma"/>
          <w:b/>
          <w:sz w:val="30"/>
          <w:szCs w:val="30"/>
          <w:lang w:val="sr-Latn-BA"/>
        </w:rPr>
        <w:t>/VI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7712D7">
        <w:rPr>
          <w:rFonts w:ascii="Arial Narrow" w:hAnsi="Arial Narrow" w:cs="Tahoma"/>
          <w:b/>
          <w:bCs/>
          <w:sz w:val="30"/>
          <w:szCs w:val="30"/>
          <w:lang w:val="ru-RU"/>
        </w:rPr>
        <w:t>2016</w:t>
      </w:r>
      <w:r w:rsidRPr="007712D7">
        <w:rPr>
          <w:rFonts w:ascii="Arial Narrow" w:hAnsi="Arial Narrow" w:cs="Tahoma"/>
          <w:b/>
          <w:bCs/>
          <w:sz w:val="30"/>
          <w:szCs w:val="30"/>
        </w:rPr>
        <w:t>.</w:t>
      </w:r>
      <w:r w:rsidRPr="007712D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BA"/>
        </w:rPr>
        <w:t>1</w:t>
      </w:r>
      <w:r w:rsidRPr="007712D7">
        <w:rPr>
          <w:rFonts w:ascii="Arial Narrow" w:hAnsi="Arial Narrow" w:cs="Tahoma"/>
          <w:b/>
          <w:bCs/>
          <w:sz w:val="30"/>
          <w:szCs w:val="30"/>
          <w:lang w:val="sr-Cyrl-CS"/>
        </w:rPr>
        <w:t>,2%</w:t>
      </w:r>
    </w:p>
    <w:p w:rsidR="00166F34" w:rsidRPr="007712D7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7712D7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3595C" w:rsidRPr="007712D7">
        <w:rPr>
          <w:rFonts w:ascii="Arial Narrow" w:hAnsi="Arial Narrow" w:cs="Tahoma"/>
          <w:b/>
          <w:sz w:val="28"/>
        </w:rPr>
        <w:t>V</w:t>
      </w:r>
      <w:r w:rsidR="001B25E0" w:rsidRPr="007712D7">
        <w:rPr>
          <w:rFonts w:ascii="Arial Narrow" w:hAnsi="Arial Narrow" w:cs="Tahoma"/>
          <w:b/>
          <w:sz w:val="28"/>
        </w:rPr>
        <w:t>I</w:t>
      </w:r>
      <w:r w:rsidR="00CD7671" w:rsidRPr="007712D7">
        <w:rPr>
          <w:rFonts w:ascii="Arial Narrow" w:hAnsi="Arial Narrow" w:cs="Tahoma"/>
          <w:b/>
          <w:sz w:val="28"/>
        </w:rPr>
        <w:t>I</w:t>
      </w:r>
      <w:r w:rsidRPr="007712D7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712D7">
        <w:rPr>
          <w:rFonts w:ascii="Arial Narrow" w:hAnsi="Arial Narrow" w:cs="Tahoma"/>
          <w:b/>
          <w:sz w:val="28"/>
        </w:rPr>
        <w:t>6</w:t>
      </w:r>
      <w:r w:rsidRPr="007712D7">
        <w:rPr>
          <w:rFonts w:ascii="Arial Narrow" w:hAnsi="Arial Narrow" w:cs="Tahoma"/>
          <w:b/>
          <w:sz w:val="28"/>
          <w:lang w:val="ru-RU"/>
        </w:rPr>
        <w:t>/</w:t>
      </w:r>
      <w:r w:rsidR="0033595C" w:rsidRPr="007712D7">
        <w:rPr>
          <w:rFonts w:ascii="Arial Narrow" w:hAnsi="Arial Narrow" w:cs="Tahoma"/>
          <w:b/>
          <w:sz w:val="28"/>
        </w:rPr>
        <w:t>V</w:t>
      </w:r>
      <w:r w:rsidR="001B25E0" w:rsidRPr="007712D7">
        <w:rPr>
          <w:rFonts w:ascii="Arial Narrow" w:hAnsi="Arial Narrow" w:cs="Tahoma"/>
          <w:b/>
          <w:sz w:val="28"/>
        </w:rPr>
        <w:t>I</w:t>
      </w:r>
      <w:r w:rsidR="00CD7671" w:rsidRPr="007712D7">
        <w:rPr>
          <w:rFonts w:ascii="Arial Narrow" w:hAnsi="Arial Narrow" w:cs="Tahoma"/>
          <w:b/>
          <w:sz w:val="28"/>
        </w:rPr>
        <w:t>I</w:t>
      </w:r>
      <w:r w:rsidRPr="007712D7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7712D7">
        <w:rPr>
          <w:rFonts w:ascii="Arial Narrow" w:hAnsi="Arial Narrow" w:cs="Tahoma"/>
          <w:b/>
          <w:sz w:val="28"/>
        </w:rPr>
        <w:t>5</w:t>
      </w:r>
      <w:r w:rsidRPr="007712D7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7712D7">
        <w:rPr>
          <w:rFonts w:ascii="Arial Narrow" w:hAnsi="Arial Narrow" w:cs="Tahoma"/>
          <w:b/>
          <w:sz w:val="28"/>
          <w:lang w:val="ru-RU"/>
        </w:rPr>
        <w:t>већи</w:t>
      </w:r>
      <w:r w:rsidRPr="007712D7">
        <w:rPr>
          <w:rFonts w:ascii="Arial Narrow" w:hAnsi="Arial Narrow" w:cs="Tahoma"/>
          <w:b/>
          <w:sz w:val="28"/>
          <w:lang w:val="ru-RU"/>
        </w:rPr>
        <w:t xml:space="preserve"> </w:t>
      </w:r>
      <w:r w:rsidR="001B25E0" w:rsidRPr="007712D7">
        <w:rPr>
          <w:rFonts w:ascii="Arial Narrow" w:hAnsi="Arial Narrow" w:cs="Tahoma"/>
          <w:b/>
          <w:sz w:val="28"/>
          <w:lang w:val="sr-Cyrl-CS"/>
        </w:rPr>
        <w:t>1</w:t>
      </w:r>
      <w:r w:rsidRPr="007712D7">
        <w:rPr>
          <w:rFonts w:ascii="Arial Narrow" w:hAnsi="Arial Narrow" w:cs="Tahoma"/>
          <w:b/>
          <w:sz w:val="28"/>
          <w:lang w:val="ru-RU"/>
        </w:rPr>
        <w:t>,</w:t>
      </w:r>
      <w:r w:rsidR="001B25E0" w:rsidRPr="007712D7">
        <w:rPr>
          <w:rFonts w:ascii="Arial Narrow" w:hAnsi="Arial Narrow" w:cs="Tahoma"/>
          <w:b/>
          <w:sz w:val="28"/>
          <w:lang w:val="ru-RU"/>
        </w:rPr>
        <w:t>1</w:t>
      </w:r>
      <w:r w:rsidRPr="007712D7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7712D7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F06D21" w:rsidRPr="007712D7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7712D7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7712D7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7712D7">
        <w:rPr>
          <w:rFonts w:ascii="Arial Narrow" w:hAnsi="Arial Narrow" w:cs="Tahoma"/>
          <w:sz w:val="22"/>
        </w:rPr>
        <w:t xml:space="preserve"> у 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у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</w:rPr>
        <w:t>201</w:t>
      </w:r>
      <w:r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</w:rPr>
        <w:t xml:space="preserve">. </w:t>
      </w:r>
      <w:r w:rsidRPr="007712D7">
        <w:rPr>
          <w:rFonts w:ascii="Arial Narrow" w:hAnsi="Arial Narrow" w:cs="Tahoma"/>
          <w:sz w:val="22"/>
          <w:lang w:val="sr-Cyrl-BA"/>
        </w:rPr>
        <w:t>г</w:t>
      </w:r>
      <w:r w:rsidRPr="007712D7">
        <w:rPr>
          <w:rFonts w:ascii="Arial Narrow" w:hAnsi="Arial Narrow" w:cs="Tahoma"/>
          <w:sz w:val="22"/>
        </w:rPr>
        <w:t>одине</w:t>
      </w:r>
      <w:r w:rsidRPr="007712D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</w:rPr>
        <w:t xml:space="preserve">у поређењу </w:t>
      </w:r>
      <w:r w:rsidRPr="007712D7">
        <w:rPr>
          <w:rFonts w:ascii="Arial Narrow" w:hAnsi="Arial Narrow" w:cs="Tahoma"/>
          <w:sz w:val="22"/>
          <w:lang w:val="sr-Cyrl-BA"/>
        </w:rPr>
        <w:t xml:space="preserve">са 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ом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>2015.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1B25E0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>%.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7712D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7712D7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7712D7">
        <w:rPr>
          <w:rFonts w:ascii="Arial Narrow" w:hAnsi="Arial Narrow" w:cs="Tahoma"/>
          <w:sz w:val="22"/>
          <w:lang w:val="sr-Cyrl-CS"/>
        </w:rPr>
        <w:t>раст</w:t>
      </w:r>
      <w:r w:rsidR="00CD7671" w:rsidRPr="007712D7">
        <w:rPr>
          <w:rFonts w:ascii="Arial Narrow" w:hAnsi="Arial Narrow" w:cs="Tahoma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  <w:lang w:val="sr-Cyrl-BA"/>
        </w:rPr>
        <w:t>од</w:t>
      </w:r>
      <w:r w:rsidRPr="007712D7">
        <w:rPr>
          <w:rFonts w:ascii="Arial Narrow" w:hAnsi="Arial Narrow" w:cs="Tahoma"/>
          <w:sz w:val="22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>22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3</w:t>
      </w:r>
      <w:r w:rsidRPr="007712D7">
        <w:rPr>
          <w:rFonts w:ascii="Arial Narrow" w:hAnsi="Arial Narrow" w:cs="Tahoma"/>
          <w:sz w:val="22"/>
        </w:rPr>
        <w:t>%</w:t>
      </w:r>
      <w:r w:rsidR="0033595C" w:rsidRPr="007712D7">
        <w:rPr>
          <w:rFonts w:ascii="Arial Narrow" w:hAnsi="Arial Narrow" w:cs="Tahoma"/>
          <w:sz w:val="22"/>
          <w:lang w:val="sr-Cyrl-CS"/>
        </w:rPr>
        <w:t xml:space="preserve"> и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у </w:t>
      </w:r>
      <w:r w:rsidR="001B25E0" w:rsidRPr="007712D7">
        <w:rPr>
          <w:rFonts w:ascii="Arial Narrow" w:hAnsi="Arial Narrow" w:cs="Tahoma"/>
          <w:i/>
          <w:sz w:val="22"/>
        </w:rPr>
        <w:t>Прерађивачк</w:t>
      </w:r>
      <w:r w:rsidR="001B25E0" w:rsidRPr="007712D7">
        <w:rPr>
          <w:rFonts w:ascii="Arial Narrow" w:hAnsi="Arial Narrow" w:cs="Tahoma"/>
          <w:i/>
          <w:sz w:val="22"/>
          <w:lang w:val="sr-Cyrl-CS"/>
        </w:rPr>
        <w:t>ој</w:t>
      </w:r>
      <w:r w:rsidR="001B25E0" w:rsidRPr="007712D7">
        <w:rPr>
          <w:rFonts w:ascii="Arial Narrow" w:hAnsi="Arial Narrow" w:cs="Tahoma"/>
          <w:i/>
          <w:sz w:val="22"/>
        </w:rPr>
        <w:t xml:space="preserve"> индустриј</w:t>
      </w:r>
      <w:r w:rsidR="001B25E0" w:rsidRPr="007712D7">
        <w:rPr>
          <w:rFonts w:ascii="Arial Narrow" w:hAnsi="Arial Narrow" w:cs="Tahoma"/>
          <w:i/>
          <w:sz w:val="22"/>
          <w:lang w:val="sr-Cyrl-CS"/>
        </w:rPr>
        <w:t>и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 раст</w:t>
      </w:r>
      <w:r w:rsidRPr="007712D7">
        <w:rPr>
          <w:rFonts w:ascii="Arial Narrow" w:hAnsi="Arial Narrow" w:cs="Tahoma"/>
          <w:sz w:val="22"/>
          <w:lang w:val="sr-Cyrl-CS"/>
        </w:rPr>
        <w:t xml:space="preserve"> од </w:t>
      </w:r>
      <w:r w:rsidR="001B25E0" w:rsidRPr="007712D7">
        <w:rPr>
          <w:rFonts w:ascii="Arial Narrow" w:hAnsi="Arial Narrow" w:cs="Tahoma"/>
          <w:sz w:val="22"/>
          <w:lang w:val="sr-Cyrl-CS"/>
        </w:rPr>
        <w:t>5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2</w:t>
      </w:r>
      <w:r w:rsidRPr="007712D7">
        <w:rPr>
          <w:rFonts w:ascii="Arial Narrow" w:hAnsi="Arial Narrow" w:cs="Tahoma"/>
          <w:sz w:val="22"/>
          <w:lang w:val="sr-Cyrl-CS"/>
        </w:rPr>
        <w:t>%</w:t>
      </w:r>
      <w:r w:rsidR="0033595C" w:rsidRPr="007712D7">
        <w:rPr>
          <w:rFonts w:ascii="Arial Narrow" w:hAnsi="Arial Narrow" w:cs="Tahoma"/>
          <w:sz w:val="22"/>
          <w:lang w:val="sr-Cyrl-CS"/>
        </w:rPr>
        <w:t xml:space="preserve">, док је </w:t>
      </w:r>
      <w:r w:rsidRPr="007712D7">
        <w:rPr>
          <w:rFonts w:ascii="Arial Narrow" w:hAnsi="Arial Narrow" w:cs="Tahoma"/>
          <w:sz w:val="22"/>
          <w:lang w:val="sr-Cyrl-BA"/>
        </w:rPr>
        <w:t xml:space="preserve">у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7712D7">
        <w:rPr>
          <w:rFonts w:ascii="Arial Narrow" w:hAnsi="Arial Narrow" w:cs="Tahoma"/>
          <w:i/>
          <w:sz w:val="22"/>
        </w:rPr>
        <w:t>Вађењ</w:t>
      </w:r>
      <w:r w:rsidR="001B25E0" w:rsidRPr="007712D7">
        <w:rPr>
          <w:rFonts w:ascii="Arial Narrow" w:hAnsi="Arial Narrow" w:cs="Tahoma"/>
          <w:i/>
          <w:sz w:val="22"/>
          <w:lang w:val="sr-Cyrl-CS"/>
        </w:rPr>
        <w:t>е</w:t>
      </w:r>
      <w:r w:rsidR="001B25E0" w:rsidRPr="007712D7">
        <w:rPr>
          <w:rFonts w:ascii="Arial Narrow" w:hAnsi="Arial Narrow" w:cs="Tahoma"/>
          <w:i/>
          <w:sz w:val="22"/>
        </w:rPr>
        <w:t xml:space="preserve"> руда и камена</w:t>
      </w:r>
      <w:r w:rsidR="001B25E0" w:rsidRPr="007712D7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>забиљежен пад</w:t>
      </w:r>
      <w:r w:rsidR="00CD7671"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од</w:t>
      </w:r>
      <w:r w:rsidRPr="007712D7">
        <w:rPr>
          <w:rFonts w:ascii="Arial Narrow" w:hAnsi="Arial Narrow" w:cs="Tahoma"/>
          <w:sz w:val="22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>9</w:t>
      </w:r>
      <w:r w:rsidRPr="007712D7">
        <w:rPr>
          <w:rFonts w:ascii="Arial Narrow" w:hAnsi="Arial Narrow" w:cs="Tahoma"/>
          <w:sz w:val="22"/>
        </w:rPr>
        <w:t>,</w:t>
      </w:r>
      <w:r w:rsidR="001B25E0" w:rsidRPr="007712D7">
        <w:rPr>
          <w:rFonts w:ascii="Arial Narrow" w:hAnsi="Arial Narrow" w:cs="Tahoma"/>
          <w:sz w:val="22"/>
          <w:lang w:val="sr-Cyrl-BA"/>
        </w:rPr>
        <w:t>6</w:t>
      </w:r>
      <w:r w:rsidRPr="007712D7">
        <w:rPr>
          <w:rFonts w:ascii="Arial Narrow" w:hAnsi="Arial Narrow" w:cs="Tahoma"/>
          <w:sz w:val="22"/>
        </w:rPr>
        <w:t>%</w:t>
      </w:r>
      <w:r w:rsidRPr="007712D7">
        <w:rPr>
          <w:rFonts w:ascii="Arial Narrow" w:hAnsi="Arial Narrow" w:cs="Tahoma"/>
          <w:sz w:val="22"/>
          <w:lang w:val="sr-Cyrl-CS"/>
        </w:rPr>
        <w:t xml:space="preserve">.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7712D7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7712D7">
        <w:rPr>
          <w:rFonts w:ascii="Arial Narrow" w:hAnsi="Arial Narrow" w:cs="Tahoma"/>
          <w:sz w:val="22"/>
        </w:rPr>
        <w:t xml:space="preserve">у 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у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</w:rPr>
        <w:t>201</w:t>
      </w:r>
      <w:r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</w:rPr>
        <w:t xml:space="preserve">. </w:t>
      </w:r>
      <w:r w:rsidRPr="007712D7">
        <w:rPr>
          <w:rFonts w:ascii="Arial Narrow" w:hAnsi="Arial Narrow" w:cs="Tahoma"/>
          <w:sz w:val="22"/>
          <w:lang w:val="sr-Cyrl-BA"/>
        </w:rPr>
        <w:t>г</w:t>
      </w:r>
      <w:r w:rsidRPr="007712D7">
        <w:rPr>
          <w:rFonts w:ascii="Arial Narrow" w:hAnsi="Arial Narrow" w:cs="Tahoma"/>
          <w:sz w:val="22"/>
        </w:rPr>
        <w:t>одине</w:t>
      </w:r>
      <w:r w:rsidRPr="007712D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</w:rPr>
        <w:t xml:space="preserve">у поређењу </w:t>
      </w:r>
      <w:r w:rsidRPr="007712D7">
        <w:rPr>
          <w:rFonts w:ascii="Arial Narrow" w:hAnsi="Arial Narrow" w:cs="Tahoma"/>
          <w:sz w:val="22"/>
          <w:lang w:val="sr-Cyrl-BA"/>
        </w:rPr>
        <w:t xml:space="preserve">са 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CD7671" w:rsidRPr="007712D7">
        <w:rPr>
          <w:rFonts w:ascii="Arial Narrow" w:hAnsi="Arial Narrow" w:cs="Tahoma"/>
          <w:spacing w:val="-2"/>
          <w:sz w:val="22"/>
          <w:lang w:val="sr-Cyrl-CS"/>
        </w:rPr>
        <w:t>ом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>2015</w:t>
      </w:r>
      <w:r w:rsidRPr="007712D7">
        <w:rPr>
          <w:rFonts w:ascii="Arial Narrow" w:hAnsi="Arial Narrow" w:cs="Tahoma"/>
          <w:sz w:val="22"/>
          <w:lang w:val="sr-Cyrl-CS"/>
        </w:rPr>
        <w:t xml:space="preserve">, </w:t>
      </w:r>
      <w:r w:rsidR="001B25E0" w:rsidRPr="007712D7">
        <w:rPr>
          <w:rFonts w:ascii="Arial Narrow" w:hAnsi="Arial Narrow" w:cs="Tahoma"/>
          <w:sz w:val="22"/>
          <w:lang w:val="sr-Cyrl-CS"/>
        </w:rPr>
        <w:t>мања</w:t>
      </w:r>
      <w:r w:rsidRPr="007712D7">
        <w:rPr>
          <w:rFonts w:ascii="Arial Narrow" w:hAnsi="Arial Narrow" w:cs="Tahoma"/>
          <w:sz w:val="22"/>
          <w:lang w:val="sr-Cyrl-CS"/>
        </w:rPr>
        <w:t xml:space="preserve"> је за </w:t>
      </w:r>
      <w:r w:rsidR="001B25E0" w:rsidRPr="007712D7">
        <w:rPr>
          <w:rFonts w:ascii="Arial Narrow" w:hAnsi="Arial Narrow" w:cs="Tahoma"/>
          <w:sz w:val="22"/>
          <w:lang w:val="sr-Cyrl-CS"/>
        </w:rPr>
        <w:t>3</w:t>
      </w:r>
      <w:r w:rsidRPr="007712D7">
        <w:rPr>
          <w:rFonts w:ascii="Arial Narrow" w:hAnsi="Arial Narrow" w:cs="Tahoma"/>
          <w:sz w:val="22"/>
          <w:lang w:val="bs-Latn-BA"/>
        </w:rPr>
        <w:t>,</w:t>
      </w:r>
      <w:r w:rsidR="001B25E0" w:rsidRPr="007712D7">
        <w:rPr>
          <w:rFonts w:ascii="Arial Narrow" w:hAnsi="Arial Narrow" w:cs="Tahoma"/>
          <w:sz w:val="22"/>
          <w:lang w:val="sr-Cyrl-BA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 xml:space="preserve">%,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7712D7">
        <w:rPr>
          <w:rFonts w:ascii="Arial Narrow" w:hAnsi="Arial Narrow" w:cs="Tahoma"/>
          <w:sz w:val="22"/>
          <w:lang w:val="sr-Cyrl-CS"/>
        </w:rPr>
        <w:t xml:space="preserve">за </w:t>
      </w:r>
      <w:r w:rsidR="001B25E0" w:rsidRPr="007712D7">
        <w:rPr>
          <w:rFonts w:ascii="Arial Narrow" w:hAnsi="Arial Narrow" w:cs="Tahoma"/>
          <w:sz w:val="22"/>
          <w:lang w:val="sr-Cyrl-CS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5</w:t>
      </w:r>
      <w:r w:rsidR="009034C3" w:rsidRPr="007712D7">
        <w:rPr>
          <w:rFonts w:ascii="Arial Narrow" w:hAnsi="Arial Narrow" w:cs="Tahoma"/>
          <w:sz w:val="22"/>
          <w:lang w:val="sr-Cyrl-CS"/>
        </w:rPr>
        <w:t>%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 и</w:t>
      </w:r>
      <w:r w:rsidR="009034C3" w:rsidRPr="007712D7">
        <w:rPr>
          <w:rFonts w:ascii="Arial Narrow" w:hAnsi="Arial Narrow" w:cs="Tahoma"/>
          <w:sz w:val="22"/>
          <w:lang w:val="sr-Cyrl-CS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7712D7">
        <w:rPr>
          <w:rFonts w:ascii="Arial Narrow" w:hAnsi="Arial Narrow" w:cs="Tahoma"/>
          <w:sz w:val="22"/>
          <w:lang w:val="sr-Cyrl-CS"/>
        </w:rPr>
        <w:t xml:space="preserve">за </w:t>
      </w:r>
      <w:r w:rsidR="001B25E0" w:rsidRPr="007712D7">
        <w:rPr>
          <w:rFonts w:ascii="Arial Narrow" w:hAnsi="Arial Narrow" w:cs="Tahoma"/>
          <w:sz w:val="22"/>
          <w:lang w:val="sr-Cyrl-CS"/>
        </w:rPr>
        <w:t>16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9</w:t>
      </w:r>
      <w:r w:rsidRPr="007712D7">
        <w:rPr>
          <w:rFonts w:ascii="Arial Narrow" w:hAnsi="Arial Narrow" w:cs="Tahoma"/>
          <w:sz w:val="22"/>
          <w:lang w:val="sr-Cyrl-CS"/>
        </w:rPr>
        <w:t>%</w:t>
      </w:r>
      <w:r w:rsidR="001B25E0" w:rsidRPr="007712D7">
        <w:rPr>
          <w:rFonts w:ascii="Arial Narrow" w:hAnsi="Arial Narrow" w:cs="Tahoma"/>
          <w:sz w:val="22"/>
          <w:lang w:val="sr-Cyrl-CS"/>
        </w:rPr>
        <w:t>,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="009034C3" w:rsidRPr="007712D7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енергије већа за 22,5% и 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за </w:t>
      </w:r>
      <w:r w:rsidR="001B25E0" w:rsidRPr="007712D7">
        <w:rPr>
          <w:rFonts w:ascii="Arial Narrow" w:hAnsi="Arial Narrow" w:cs="Tahoma"/>
          <w:sz w:val="22"/>
          <w:lang w:val="sr-Cyrl-CS"/>
        </w:rPr>
        <w:t>7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9</w:t>
      </w:r>
      <w:r w:rsidRPr="007712D7">
        <w:rPr>
          <w:rFonts w:ascii="Arial Narrow" w:hAnsi="Arial Narrow" w:cs="Tahoma"/>
          <w:sz w:val="22"/>
          <w:lang w:val="sr-Cyrl-CS"/>
        </w:rPr>
        <w:t>%</w:t>
      </w:r>
      <w:r w:rsidR="00164A0E" w:rsidRPr="007712D7">
        <w:rPr>
          <w:rFonts w:ascii="Arial Narrow" w:hAnsi="Arial Narrow" w:cs="Tahoma"/>
          <w:sz w:val="22"/>
          <w:lang w:val="sr-Cyrl-CS"/>
        </w:rPr>
        <w:t>.</w:t>
      </w:r>
    </w:p>
    <w:p w:rsidR="00F06D21" w:rsidRPr="007712D7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B25E0" w:rsidRPr="007712D7" w:rsidRDefault="001B25E0" w:rsidP="001B25E0">
      <w:pPr>
        <w:jc w:val="both"/>
        <w:rPr>
          <w:rFonts w:ascii="Arial Narrow" w:hAnsi="Arial Narrow" w:cs="Tahoma"/>
          <w:sz w:val="22"/>
          <w:lang w:val="sr-Cyrl-CS"/>
        </w:rPr>
      </w:pPr>
      <w:r w:rsidRPr="007712D7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7712D7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7712D7">
        <w:rPr>
          <w:rFonts w:ascii="Arial Narrow" w:hAnsi="Arial Narrow" w:cs="Tahoma"/>
          <w:sz w:val="22"/>
        </w:rPr>
        <w:t xml:space="preserve"> у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јулу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</w:rPr>
        <w:t>201</w:t>
      </w:r>
      <w:r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</w:rPr>
        <w:t xml:space="preserve">. </w:t>
      </w:r>
      <w:r w:rsidRPr="007712D7">
        <w:rPr>
          <w:rFonts w:ascii="Arial Narrow" w:hAnsi="Arial Narrow" w:cs="Tahoma"/>
          <w:sz w:val="22"/>
          <w:lang w:val="sr-Cyrl-BA"/>
        </w:rPr>
        <w:t>г</w:t>
      </w:r>
      <w:r w:rsidRPr="007712D7">
        <w:rPr>
          <w:rFonts w:ascii="Arial Narrow" w:hAnsi="Arial Narrow" w:cs="Tahoma"/>
          <w:sz w:val="22"/>
        </w:rPr>
        <w:t>одине</w:t>
      </w:r>
      <w:r w:rsidRPr="007712D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</w:rPr>
        <w:t xml:space="preserve">у поређењу </w:t>
      </w:r>
      <w:r w:rsidRPr="007712D7">
        <w:rPr>
          <w:rFonts w:ascii="Arial Narrow" w:hAnsi="Arial Narrow" w:cs="Tahoma"/>
          <w:sz w:val="22"/>
          <w:lang w:val="sr-Cyrl-BA"/>
        </w:rPr>
        <w:t xml:space="preserve">са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јуном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>2016.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већа је за 1,2%.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7712D7">
        <w:rPr>
          <w:rFonts w:ascii="Arial Narrow" w:hAnsi="Arial Narrow" w:cs="Tahoma"/>
          <w:i/>
          <w:sz w:val="22"/>
        </w:rPr>
        <w:t>Вађењ</w:t>
      </w:r>
      <w:r w:rsidRPr="007712D7">
        <w:rPr>
          <w:rFonts w:ascii="Arial Narrow" w:hAnsi="Arial Narrow" w:cs="Tahoma"/>
          <w:i/>
          <w:sz w:val="22"/>
          <w:lang w:val="sr-Cyrl-CS"/>
        </w:rPr>
        <w:t>е</w:t>
      </w:r>
      <w:r w:rsidRPr="007712D7">
        <w:rPr>
          <w:rFonts w:ascii="Arial Narrow" w:hAnsi="Arial Narrow" w:cs="Tahoma"/>
          <w:i/>
          <w:sz w:val="22"/>
        </w:rPr>
        <w:t xml:space="preserve"> руда и камена</w:t>
      </w:r>
      <w:r w:rsidRPr="007712D7">
        <w:rPr>
          <w:rFonts w:ascii="Arial Narrow" w:hAnsi="Arial Narrow" w:cs="Tahoma"/>
          <w:i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остварен је раст</w:t>
      </w:r>
      <w:r w:rsidRPr="007712D7">
        <w:rPr>
          <w:rFonts w:ascii="Arial Narrow" w:hAnsi="Arial Narrow" w:cs="Tahoma"/>
          <w:sz w:val="22"/>
          <w:lang w:val="sr-Cyrl-BA"/>
        </w:rPr>
        <w:t xml:space="preserve"> од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6,9</w:t>
      </w:r>
      <w:r w:rsidRPr="007712D7">
        <w:rPr>
          <w:rFonts w:ascii="Arial Narrow" w:hAnsi="Arial Narrow" w:cs="Tahoma"/>
          <w:sz w:val="22"/>
        </w:rPr>
        <w:t>%</w:t>
      </w:r>
      <w:r w:rsidRPr="007712D7">
        <w:rPr>
          <w:rFonts w:ascii="Arial Narrow" w:hAnsi="Arial Narrow" w:cs="Tahoma"/>
          <w:sz w:val="22"/>
          <w:lang w:val="sr-Cyrl-CS"/>
        </w:rPr>
        <w:t xml:space="preserve"> и у </w:t>
      </w:r>
      <w:r w:rsidRPr="007712D7">
        <w:rPr>
          <w:rFonts w:ascii="Arial Narrow" w:hAnsi="Arial Narrow" w:cs="Tahoma"/>
          <w:i/>
          <w:sz w:val="22"/>
        </w:rPr>
        <w:t>Прерађивачк</w:t>
      </w:r>
      <w:r w:rsidRPr="007712D7">
        <w:rPr>
          <w:rFonts w:ascii="Arial Narrow" w:hAnsi="Arial Narrow" w:cs="Tahoma"/>
          <w:i/>
          <w:sz w:val="22"/>
          <w:lang w:val="sr-Cyrl-CS"/>
        </w:rPr>
        <w:t>ој</w:t>
      </w:r>
      <w:r w:rsidRPr="007712D7">
        <w:rPr>
          <w:rFonts w:ascii="Arial Narrow" w:hAnsi="Arial Narrow" w:cs="Tahoma"/>
          <w:i/>
          <w:sz w:val="22"/>
        </w:rPr>
        <w:t xml:space="preserve"> индустриј</w:t>
      </w:r>
      <w:r w:rsidRPr="007712D7">
        <w:rPr>
          <w:rFonts w:ascii="Arial Narrow" w:hAnsi="Arial Narrow" w:cs="Tahoma"/>
          <w:i/>
          <w:sz w:val="22"/>
          <w:lang w:val="sr-Cyrl-CS"/>
        </w:rPr>
        <w:t>и</w:t>
      </w:r>
      <w:r w:rsidRPr="007712D7">
        <w:rPr>
          <w:rFonts w:ascii="Arial Narrow" w:hAnsi="Arial Narrow" w:cs="Tahoma"/>
          <w:sz w:val="22"/>
          <w:lang w:val="sr-Cyrl-CS"/>
        </w:rPr>
        <w:t xml:space="preserve"> раст од 2,0%, док је </w:t>
      </w:r>
      <w:r w:rsidRPr="007712D7">
        <w:rPr>
          <w:rFonts w:ascii="Arial Narrow" w:hAnsi="Arial Narrow" w:cs="Tahoma"/>
          <w:sz w:val="22"/>
          <w:lang w:val="sr-Cyrl-BA"/>
        </w:rPr>
        <w:t xml:space="preserve">у </w:t>
      </w:r>
      <w:r w:rsidRPr="007712D7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7712D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7712D7">
        <w:rPr>
          <w:rFonts w:ascii="Arial Narrow" w:hAnsi="Arial Narrow" w:cs="Tahoma"/>
          <w:sz w:val="22"/>
          <w:lang w:val="sr-Cyrl-CS"/>
        </w:rPr>
        <w:t xml:space="preserve"> забиљежен пад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од</w:t>
      </w:r>
      <w:r w:rsidRPr="007712D7">
        <w:rPr>
          <w:rFonts w:ascii="Arial Narrow" w:hAnsi="Arial Narrow" w:cs="Tahoma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4</w:t>
      </w:r>
      <w:r w:rsidRPr="007712D7">
        <w:rPr>
          <w:rFonts w:ascii="Arial Narrow" w:hAnsi="Arial Narrow" w:cs="Tahoma"/>
          <w:sz w:val="22"/>
        </w:rPr>
        <w:t>,</w:t>
      </w:r>
      <w:r w:rsidRPr="007712D7">
        <w:rPr>
          <w:rFonts w:ascii="Arial Narrow" w:hAnsi="Arial Narrow" w:cs="Tahoma"/>
          <w:sz w:val="22"/>
          <w:lang w:val="sr-Cyrl-BA"/>
        </w:rPr>
        <w:t>7</w:t>
      </w:r>
      <w:r w:rsidRPr="007712D7">
        <w:rPr>
          <w:rFonts w:ascii="Arial Narrow" w:hAnsi="Arial Narrow" w:cs="Tahoma"/>
          <w:sz w:val="22"/>
        </w:rPr>
        <w:t>%</w:t>
      </w:r>
      <w:r w:rsidRPr="007712D7">
        <w:rPr>
          <w:rFonts w:ascii="Arial Narrow" w:hAnsi="Arial Narrow" w:cs="Tahoma"/>
          <w:sz w:val="22"/>
          <w:lang w:val="sr-Cyrl-CS"/>
        </w:rPr>
        <w:t xml:space="preserve">.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7712D7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7712D7">
        <w:rPr>
          <w:rFonts w:ascii="Arial Narrow" w:hAnsi="Arial Narrow" w:cs="Tahoma"/>
          <w:sz w:val="22"/>
          <w:lang w:val="sr-Cyrl-CS"/>
        </w:rPr>
        <w:t xml:space="preserve"> трајних производа за широку потрошњу </w:t>
      </w:r>
      <w:r w:rsidRPr="007712D7">
        <w:rPr>
          <w:rFonts w:ascii="Arial Narrow" w:hAnsi="Arial Narrow" w:cs="Tahoma"/>
          <w:sz w:val="22"/>
        </w:rPr>
        <w:t xml:space="preserve">у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јулу</w:t>
      </w:r>
      <w:r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</w:rPr>
        <w:t>201</w:t>
      </w:r>
      <w:r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</w:rPr>
        <w:t xml:space="preserve">. </w:t>
      </w:r>
      <w:r w:rsidRPr="007712D7">
        <w:rPr>
          <w:rFonts w:ascii="Arial Narrow" w:hAnsi="Arial Narrow" w:cs="Tahoma"/>
          <w:sz w:val="22"/>
          <w:lang w:val="sr-Cyrl-BA"/>
        </w:rPr>
        <w:t>г</w:t>
      </w:r>
      <w:r w:rsidRPr="007712D7">
        <w:rPr>
          <w:rFonts w:ascii="Arial Narrow" w:hAnsi="Arial Narrow" w:cs="Tahoma"/>
          <w:sz w:val="22"/>
        </w:rPr>
        <w:t>одине</w:t>
      </w:r>
      <w:r w:rsidRPr="007712D7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</w:rPr>
        <w:t xml:space="preserve">у поређењу </w:t>
      </w:r>
      <w:r w:rsidRPr="007712D7">
        <w:rPr>
          <w:rFonts w:ascii="Arial Narrow" w:hAnsi="Arial Narrow" w:cs="Tahoma"/>
          <w:sz w:val="22"/>
          <w:lang w:val="sr-Cyrl-BA"/>
        </w:rPr>
        <w:t xml:space="preserve">са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 xml:space="preserve">јуном </w:t>
      </w:r>
      <w:r w:rsidRPr="007712D7">
        <w:rPr>
          <w:rFonts w:ascii="Arial Narrow" w:hAnsi="Arial Narrow" w:cs="Tahoma"/>
          <w:sz w:val="22"/>
          <w:lang w:val="ru-RU"/>
        </w:rPr>
        <w:t>2016</w:t>
      </w:r>
      <w:r w:rsidRPr="007712D7">
        <w:rPr>
          <w:rFonts w:ascii="Arial Narrow" w:hAnsi="Arial Narrow" w:cs="Tahoma"/>
          <w:sz w:val="22"/>
          <w:lang w:val="sr-Cyrl-CS"/>
        </w:rPr>
        <w:t>, мања је за 0</w:t>
      </w:r>
      <w:r w:rsidRPr="007712D7">
        <w:rPr>
          <w:rFonts w:ascii="Arial Narrow" w:hAnsi="Arial Narrow" w:cs="Tahoma"/>
          <w:sz w:val="22"/>
          <w:lang w:val="bs-Latn-BA"/>
        </w:rPr>
        <w:t>,</w:t>
      </w:r>
      <w:r w:rsidRPr="007712D7">
        <w:rPr>
          <w:rFonts w:ascii="Arial Narrow" w:hAnsi="Arial Narrow" w:cs="Tahoma"/>
          <w:sz w:val="22"/>
          <w:lang w:val="sr-Cyrl-BA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 xml:space="preserve">%, интермедијарних производа за 4,7% и нетрајних производа за широку потрошњу за 5,8%, док је производња енергије већа за 3,0% и </w:t>
      </w:r>
      <w:r w:rsidRPr="007712D7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7712D7">
        <w:rPr>
          <w:rFonts w:ascii="Arial Narrow" w:hAnsi="Arial Narrow" w:cs="Tahoma"/>
          <w:sz w:val="22"/>
          <w:lang w:val="sr-Cyrl-CS"/>
        </w:rPr>
        <w:t xml:space="preserve"> за 1,8%.</w:t>
      </w:r>
    </w:p>
    <w:p w:rsidR="001B25E0" w:rsidRPr="007712D7" w:rsidRDefault="001B25E0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7712D7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  <w:r w:rsidRPr="007712D7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7712D7">
        <w:rPr>
          <w:rFonts w:ascii="Arial Narrow" w:hAnsi="Arial Narrow" w:cs="Tahoma"/>
          <w:sz w:val="22"/>
          <w:lang w:val="ru-RU"/>
        </w:rPr>
        <w:t xml:space="preserve"> у </w:t>
      </w:r>
      <w:r w:rsidR="00300B8C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300B8C" w:rsidRPr="007712D7">
        <w:rPr>
          <w:rFonts w:ascii="Arial Narrow" w:hAnsi="Arial Narrow" w:cs="Tahoma"/>
          <w:spacing w:val="-2"/>
          <w:sz w:val="22"/>
          <w:lang w:val="sr-Cyrl-CS"/>
        </w:rPr>
        <w:t>у</w:t>
      </w:r>
      <w:r w:rsidR="00A905EA" w:rsidRPr="007712D7">
        <w:rPr>
          <w:rFonts w:ascii="Arial Narrow" w:hAnsi="Arial Narrow" w:cs="Tahoma"/>
          <w:spacing w:val="-2"/>
          <w:sz w:val="22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>201</w:t>
      </w:r>
      <w:r w:rsidR="00A905EA" w:rsidRPr="007712D7">
        <w:rPr>
          <w:rFonts w:ascii="Arial Narrow" w:hAnsi="Arial Narrow" w:cs="Tahoma"/>
          <w:sz w:val="22"/>
          <w:lang w:val="ru-RU"/>
        </w:rPr>
        <w:t>6</w:t>
      </w:r>
      <w:r w:rsidRPr="007712D7">
        <w:rPr>
          <w:rFonts w:ascii="Arial Narrow" w:hAnsi="Arial Narrow" w:cs="Tahoma"/>
          <w:sz w:val="22"/>
          <w:lang w:val="ru-RU"/>
        </w:rPr>
        <w:t xml:space="preserve">. године </w:t>
      </w:r>
      <w:r w:rsidRPr="007712D7">
        <w:rPr>
          <w:rFonts w:ascii="Arial Narrow" w:hAnsi="Arial Narrow" w:cs="Tahoma"/>
          <w:sz w:val="22"/>
          <w:lang w:val="sr-Cyrl-CS"/>
        </w:rPr>
        <w:t xml:space="preserve">у </w:t>
      </w:r>
      <w:r w:rsidRPr="007712D7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7712D7">
        <w:rPr>
          <w:rFonts w:ascii="Arial Narrow" w:hAnsi="Arial Narrow" w:cs="Tahoma"/>
          <w:sz w:val="22"/>
          <w:lang w:val="ru-RU"/>
        </w:rPr>
        <w:t xml:space="preserve">на </w:t>
      </w:r>
      <w:r w:rsidR="00300B8C" w:rsidRPr="007712D7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300B8C" w:rsidRPr="007712D7">
        <w:rPr>
          <w:rFonts w:ascii="Arial Narrow" w:hAnsi="Arial Narrow" w:cs="Tahoma"/>
          <w:sz w:val="22"/>
          <w:lang w:val="sr-Cyrl-CS"/>
        </w:rPr>
        <w:t>5</w:t>
      </w:r>
      <w:r w:rsidR="00300B8C" w:rsidRPr="007712D7">
        <w:rPr>
          <w:rFonts w:ascii="Arial Narrow" w:hAnsi="Arial Narrow" w:cs="Tahoma"/>
          <w:sz w:val="22"/>
          <w:lang w:val="sr-Latn-CS"/>
        </w:rPr>
        <w:t xml:space="preserve">. </w:t>
      </w:r>
      <w:r w:rsidR="00300B8C" w:rsidRPr="007712D7">
        <w:rPr>
          <w:rFonts w:ascii="Arial Narrow" w:hAnsi="Arial Narrow" w:cs="Tahoma"/>
          <w:sz w:val="22"/>
          <w:lang w:val="sr-Cyrl-CS"/>
        </w:rPr>
        <w:t>г</w:t>
      </w:r>
      <w:r w:rsidR="00300B8C" w:rsidRPr="007712D7">
        <w:rPr>
          <w:rFonts w:ascii="Arial Narrow" w:hAnsi="Arial Narrow" w:cs="Tahoma"/>
          <w:sz w:val="22"/>
          <w:lang w:val="sr-Latn-CS"/>
        </w:rPr>
        <w:t>одини</w:t>
      </w:r>
      <w:r w:rsidR="00300B8C" w:rsidRPr="007712D7">
        <w:rPr>
          <w:rFonts w:ascii="Arial Narrow" w:hAnsi="Arial Narrow" w:cs="Tahoma"/>
          <w:sz w:val="22"/>
          <w:lang w:val="sr-Cyrl-CS"/>
        </w:rPr>
        <w:t xml:space="preserve"> већи</w:t>
      </w:r>
      <w:r w:rsidRPr="007712D7">
        <w:rPr>
          <w:rFonts w:ascii="Arial Narrow" w:hAnsi="Arial Narrow" w:cs="Tahoma"/>
          <w:sz w:val="22"/>
          <w:lang w:val="sr-Latn-CS"/>
        </w:rPr>
        <w:t xml:space="preserve"> је за </w:t>
      </w:r>
      <w:r w:rsidR="001B25E0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sr-Latn-CS"/>
        </w:rPr>
        <w:t>,</w:t>
      </w:r>
      <w:r w:rsidR="00300B8C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Latn-CS"/>
        </w:rPr>
        <w:t>%</w:t>
      </w:r>
      <w:r w:rsidR="005257A2" w:rsidRPr="007712D7">
        <w:rPr>
          <w:rFonts w:ascii="Arial Narrow" w:hAnsi="Arial Narrow" w:cs="Tahoma"/>
          <w:sz w:val="22"/>
          <w:lang w:val="sr-Cyrl-CS"/>
        </w:rPr>
        <w:t>,</w:t>
      </w:r>
      <w:r w:rsidRPr="007712D7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1B25E0" w:rsidRPr="007712D7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за </w:t>
      </w:r>
      <w:r w:rsidR="001B25E0" w:rsidRPr="007712D7">
        <w:rPr>
          <w:rFonts w:ascii="Arial Narrow" w:hAnsi="Arial Narrow" w:cs="Tahoma"/>
          <w:sz w:val="22"/>
          <w:lang w:val="sr-Cyrl-BA"/>
        </w:rPr>
        <w:t>1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sr-Cyrl-CS"/>
        </w:rPr>
        <w:t>%</w:t>
      </w:r>
      <w:r w:rsidR="005257A2" w:rsidRPr="007712D7">
        <w:rPr>
          <w:rFonts w:ascii="Arial Narrow" w:hAnsi="Arial Narrow" w:cs="Tahoma"/>
          <w:sz w:val="22"/>
          <w:lang w:val="sr-Cyrl-CS"/>
        </w:rPr>
        <w:t xml:space="preserve"> и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1B25E0" w:rsidRPr="007712D7">
        <w:rPr>
          <w:rFonts w:ascii="Arial Narrow" w:hAnsi="Arial Narrow" w:cs="Tahoma"/>
          <w:sz w:val="22"/>
          <w:lang w:val="sr-Cyrl-CS"/>
        </w:rPr>
        <w:t>јун 2016.</w:t>
      </w:r>
      <w:r w:rsidR="001B25E0" w:rsidRPr="007712D7">
        <w:rPr>
          <w:rFonts w:ascii="Arial Narrow" w:hAnsi="Arial Narrow" w:cs="Tahoma"/>
          <w:sz w:val="22"/>
          <w:lang w:val="ru-RU"/>
        </w:rPr>
        <w:t xml:space="preserve"> године </w:t>
      </w:r>
      <w:r w:rsidRPr="007712D7">
        <w:rPr>
          <w:rFonts w:ascii="Arial Narrow" w:hAnsi="Arial Narrow" w:cs="Tahoma"/>
          <w:sz w:val="22"/>
          <w:lang w:val="ru-RU"/>
        </w:rPr>
        <w:t>за</w:t>
      </w:r>
      <w:r w:rsidRPr="007712D7">
        <w:rPr>
          <w:rFonts w:ascii="Arial Narrow" w:hAnsi="Arial Narrow" w:cs="Tahoma"/>
          <w:sz w:val="22"/>
          <w:lang w:val="sr-Latn-CS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1B25E0" w:rsidRPr="007712D7">
        <w:rPr>
          <w:rFonts w:ascii="Arial Narrow" w:hAnsi="Arial Narrow" w:cs="Tahoma"/>
          <w:sz w:val="22"/>
          <w:lang w:val="sr-Cyrl-CS"/>
        </w:rPr>
        <w:t>0</w:t>
      </w:r>
      <w:r w:rsidRPr="007712D7">
        <w:rPr>
          <w:rFonts w:ascii="Arial Narrow" w:hAnsi="Arial Narrow" w:cs="Tahoma"/>
          <w:sz w:val="22"/>
          <w:lang w:val="sr-Cyrl-CS"/>
        </w:rPr>
        <w:t>%.</w:t>
      </w:r>
      <w:r w:rsidRPr="007712D7">
        <w:rPr>
          <w:rFonts w:ascii="Arial Narrow" w:hAnsi="Arial Narrow" w:cs="Tahoma"/>
          <w:sz w:val="22"/>
          <w:lang w:val="sr-Latn-CS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7712D7">
        <w:rPr>
          <w:rFonts w:ascii="Arial Narrow" w:hAnsi="Arial Narrow" w:cs="Tahoma"/>
          <w:sz w:val="22"/>
          <w:lang w:val="sr-Cyrl-CS"/>
        </w:rPr>
        <w:t xml:space="preserve">у </w:t>
      </w:r>
      <w:r w:rsidRPr="007712D7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7712D7">
        <w:rPr>
          <w:rFonts w:ascii="Arial Narrow" w:hAnsi="Arial Narrow" w:cs="Tahoma"/>
          <w:sz w:val="22"/>
          <w:lang w:val="ru-RU"/>
        </w:rPr>
        <w:t>–</w:t>
      </w:r>
      <w:r w:rsidRPr="007712D7">
        <w:rPr>
          <w:rFonts w:ascii="Arial Narrow" w:hAnsi="Arial Narrow" w:cs="Tahoma"/>
          <w:sz w:val="22"/>
          <w:lang w:val="ru-RU"/>
        </w:rPr>
        <w:t xml:space="preserve"> </w:t>
      </w:r>
      <w:r w:rsidR="005257A2" w:rsidRPr="007712D7">
        <w:rPr>
          <w:rFonts w:ascii="Arial Narrow" w:hAnsi="Arial Narrow" w:cs="Tahoma"/>
          <w:spacing w:val="-2"/>
          <w:sz w:val="22"/>
          <w:lang w:val="sr-Cyrl-CS"/>
        </w:rPr>
        <w:t>ју</w:t>
      </w:r>
      <w:r w:rsidR="001B25E0" w:rsidRPr="007712D7">
        <w:rPr>
          <w:rFonts w:ascii="Arial Narrow" w:hAnsi="Arial Narrow" w:cs="Tahoma"/>
          <w:spacing w:val="-2"/>
          <w:sz w:val="22"/>
          <w:lang w:val="sr-Cyrl-CS"/>
        </w:rPr>
        <w:t>л</w:t>
      </w:r>
      <w:r w:rsidR="00BE098B" w:rsidRPr="007712D7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201</w:t>
      </w:r>
      <w:r w:rsidR="00BE098B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7712D7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C2075D" w:rsidRPr="007712D7">
        <w:rPr>
          <w:rFonts w:ascii="Arial Narrow" w:hAnsi="Arial Narrow" w:cs="Tahoma"/>
          <w:sz w:val="22"/>
          <w:szCs w:val="22"/>
          <w:lang w:val="ru-RU"/>
        </w:rPr>
        <w:t>0</w:t>
      </w:r>
      <w:r w:rsidRPr="007712D7">
        <w:rPr>
          <w:rFonts w:ascii="Arial Narrow" w:hAnsi="Arial Narrow" w:cs="Tahoma"/>
          <w:sz w:val="22"/>
          <w:szCs w:val="22"/>
          <w:lang w:val="ru-RU"/>
        </w:rPr>
        <w:t>,</w:t>
      </w:r>
      <w:r w:rsidR="001B25E0" w:rsidRPr="007712D7">
        <w:rPr>
          <w:rFonts w:ascii="Arial Narrow" w:hAnsi="Arial Narrow" w:cs="Tahoma"/>
          <w:sz w:val="22"/>
          <w:szCs w:val="22"/>
          <w:lang w:val="ru-RU"/>
        </w:rPr>
        <w:t>8</w:t>
      </w:r>
      <w:r w:rsidRPr="007712D7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7712D7">
        <w:rPr>
          <w:rFonts w:ascii="Arial Narrow" w:hAnsi="Arial Narrow" w:cs="Tahoma"/>
          <w:sz w:val="22"/>
          <w:lang w:val="sr-Cyrl-CS"/>
        </w:rPr>
        <w:t>у</w:t>
      </w:r>
      <w:r w:rsidRPr="007712D7">
        <w:rPr>
          <w:rFonts w:ascii="Tahoma" w:hAnsi="Tahoma" w:cs="Tahoma"/>
          <w:sz w:val="22"/>
          <w:lang w:val="sr-Cyrl-CS"/>
        </w:rPr>
        <w:t xml:space="preserve"> </w:t>
      </w:r>
      <w:r w:rsidR="00BE098B" w:rsidRPr="007712D7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7712D7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ru-RU"/>
        </w:rPr>
        <w:t>,</w:t>
      </w:r>
      <w:r w:rsidR="005257A2" w:rsidRPr="007712D7">
        <w:rPr>
          <w:rFonts w:ascii="Arial Narrow" w:hAnsi="Arial Narrow" w:cs="Tahoma"/>
          <w:sz w:val="22"/>
          <w:lang w:val="ru-RU"/>
        </w:rPr>
        <w:t>0</w:t>
      </w:r>
      <w:r w:rsidR="00BE098B" w:rsidRPr="007712D7">
        <w:rPr>
          <w:rFonts w:ascii="Arial Narrow" w:hAnsi="Arial Narrow" w:cs="Tahoma"/>
          <w:sz w:val="22"/>
          <w:lang w:val="ru-RU"/>
        </w:rPr>
        <w:t>%</w:t>
      </w:r>
      <w:r w:rsidR="001B25E0" w:rsidRPr="007712D7">
        <w:rPr>
          <w:rFonts w:ascii="Arial Narrow" w:hAnsi="Arial Narrow" w:cs="Tahoma"/>
          <w:sz w:val="22"/>
          <w:lang w:val="ru-RU"/>
        </w:rPr>
        <w:t xml:space="preserve"> и у </w:t>
      </w:r>
      <w:r w:rsidR="001B25E0" w:rsidRPr="007712D7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7712D7">
        <w:rPr>
          <w:rFonts w:ascii="Arial Narrow" w:hAnsi="Arial Narrow" w:cs="Tahoma"/>
          <w:i/>
          <w:sz w:val="22"/>
          <w:lang w:val="sr-Cyrl-CS"/>
        </w:rPr>
        <w:t>Вађења руда и камена</w:t>
      </w:r>
      <w:r w:rsidR="001B25E0" w:rsidRPr="007712D7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7712D7">
        <w:rPr>
          <w:rFonts w:ascii="Arial Narrow" w:hAnsi="Arial Narrow" w:cs="Tahoma"/>
          <w:sz w:val="22"/>
          <w:lang w:val="ru-RU"/>
        </w:rPr>
        <w:t xml:space="preserve">раст од 0,2%, </w:t>
      </w:r>
      <w:r w:rsidR="00BE098B" w:rsidRPr="007712D7">
        <w:rPr>
          <w:rFonts w:ascii="Arial Narrow" w:hAnsi="Arial Narrow" w:cs="Tahoma"/>
          <w:sz w:val="22"/>
          <w:lang w:val="ru-RU"/>
        </w:rPr>
        <w:t>док је</w:t>
      </w:r>
      <w:r w:rsidRPr="007712D7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7712D7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7712D7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7712D7">
        <w:rPr>
          <w:rFonts w:ascii="Arial Narrow" w:hAnsi="Arial Narrow" w:cs="Tahoma"/>
          <w:sz w:val="22"/>
          <w:lang w:val="ru-RU"/>
        </w:rPr>
        <w:t xml:space="preserve"> </w:t>
      </w:r>
      <w:r w:rsidR="00BE098B" w:rsidRPr="007712D7">
        <w:rPr>
          <w:rFonts w:ascii="Arial Narrow" w:hAnsi="Arial Narrow" w:cs="Tahoma"/>
          <w:sz w:val="22"/>
          <w:lang w:val="sr-Cyrl-CS"/>
        </w:rPr>
        <w:t>забиљежен пад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7712D7">
        <w:rPr>
          <w:rFonts w:ascii="Arial Narrow" w:hAnsi="Arial Narrow" w:cs="Tahoma"/>
          <w:sz w:val="22"/>
          <w:lang w:val="ru-RU"/>
        </w:rPr>
        <w:t>0</w:t>
      </w:r>
      <w:r w:rsidRPr="007712D7">
        <w:rPr>
          <w:rFonts w:ascii="Arial Narrow" w:hAnsi="Arial Narrow" w:cs="Tahoma"/>
          <w:sz w:val="22"/>
          <w:lang w:val="ru-RU"/>
        </w:rPr>
        <w:t>,</w:t>
      </w:r>
      <w:r w:rsidR="001B25E0" w:rsidRPr="007712D7">
        <w:rPr>
          <w:rFonts w:ascii="Arial Narrow" w:hAnsi="Arial Narrow" w:cs="Tahoma"/>
          <w:sz w:val="22"/>
          <w:lang w:val="ru-RU"/>
        </w:rPr>
        <w:t>5</w:t>
      </w:r>
      <w:r w:rsidRPr="007712D7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7712D7" w:rsidRDefault="001B25E0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7712D7">
        <w:rPr>
          <w:noProof/>
        </w:rPr>
        <w:drawing>
          <wp:inline distT="0" distB="0" distL="0" distR="0" wp14:anchorId="06360C40" wp14:editId="628094D1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7712D7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7712D7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7A0558" w:rsidRPr="007712D7">
        <w:rPr>
          <w:rFonts w:ascii="Arial Narrow" w:hAnsi="Arial Narrow" w:cs="Tahoma"/>
          <w:sz w:val="16"/>
          <w:szCs w:val="16"/>
          <w:lang w:val="sr-Latn-CS"/>
        </w:rPr>
        <w:t>3</w:t>
      </w:r>
      <w:r w:rsidRPr="007712D7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5257A2" w:rsidRPr="007712D7">
        <w:rPr>
          <w:rFonts w:ascii="Arial Narrow" w:hAnsi="Arial Narrow" w:cs="Tahoma"/>
          <w:sz w:val="16"/>
          <w:szCs w:val="16"/>
          <w:lang w:val="sr-Cyrl-CS"/>
        </w:rPr>
        <w:t>ју</w:t>
      </w:r>
      <w:r w:rsidR="001B25E0" w:rsidRPr="007712D7">
        <w:rPr>
          <w:rFonts w:ascii="Arial Narrow" w:hAnsi="Arial Narrow" w:cs="Tahoma"/>
          <w:sz w:val="16"/>
          <w:szCs w:val="16"/>
          <w:lang w:val="sr-Cyrl-CS"/>
        </w:rPr>
        <w:t>л</w:t>
      </w:r>
      <w:r w:rsidR="00F06D21" w:rsidRPr="007712D7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7712D7">
        <w:rPr>
          <w:rFonts w:ascii="Arial Narrow" w:hAnsi="Arial Narrow" w:cs="Tahoma"/>
          <w:sz w:val="16"/>
          <w:szCs w:val="16"/>
          <w:lang w:val="sr-Latn-CS"/>
        </w:rPr>
        <w:t>20</w:t>
      </w:r>
      <w:r w:rsidRPr="007712D7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7712D7">
        <w:rPr>
          <w:rFonts w:ascii="Arial Narrow" w:hAnsi="Arial Narrow" w:cs="Tahoma"/>
          <w:sz w:val="16"/>
          <w:szCs w:val="16"/>
          <w:lang w:val="sr-Cyrl-CS"/>
        </w:rPr>
        <w:t>2</w:t>
      </w:r>
      <w:r w:rsidRPr="007712D7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1B25E0" w:rsidRPr="007712D7">
        <w:rPr>
          <w:rFonts w:ascii="Arial Narrow" w:hAnsi="Arial Narrow" w:cs="Tahoma"/>
          <w:sz w:val="16"/>
          <w:szCs w:val="16"/>
          <w:lang w:val="sr-Cyrl-CS"/>
        </w:rPr>
        <w:t>јул</w:t>
      </w:r>
      <w:r w:rsidRPr="007712D7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7712D7">
        <w:rPr>
          <w:rFonts w:ascii="Arial Narrow" w:hAnsi="Arial Narrow" w:cs="Tahoma"/>
          <w:sz w:val="16"/>
          <w:szCs w:val="16"/>
          <w:lang w:val="sr-Cyrl-CS"/>
        </w:rPr>
        <w:t>6</w:t>
      </w:r>
      <w:r w:rsidRPr="007712D7">
        <w:rPr>
          <w:rFonts w:ascii="Arial Narrow" w:hAnsi="Arial Narrow" w:cs="Tahoma"/>
          <w:sz w:val="16"/>
          <w:szCs w:val="16"/>
          <w:lang w:val="sr-Latn-CS"/>
        </w:rPr>
        <w:t>. (</w:t>
      </w:r>
      <w:r w:rsidRPr="007712D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7712D7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7712D7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7712D7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712D7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7712D7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7712D7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7712D7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7712D7">
        <w:rPr>
          <w:rFonts w:ascii="Arial Narrow" w:hAnsi="Arial Narrow" w:cs="Tahoma"/>
          <w:b/>
          <w:sz w:val="30"/>
          <w:szCs w:val="30"/>
        </w:rPr>
        <w:t>-</w:t>
      </w:r>
      <w:r w:rsidR="00482652" w:rsidRPr="007712D7">
        <w:rPr>
          <w:rFonts w:ascii="Arial Narrow" w:hAnsi="Arial Narrow" w:cs="Tahoma"/>
          <w:b/>
          <w:sz w:val="30"/>
          <w:szCs w:val="30"/>
        </w:rPr>
        <w:t>V</w:t>
      </w:r>
      <w:r w:rsidR="00466A69" w:rsidRPr="007712D7">
        <w:rPr>
          <w:rFonts w:ascii="Arial Narrow" w:hAnsi="Arial Narrow" w:cs="Tahoma"/>
          <w:b/>
          <w:sz w:val="30"/>
          <w:szCs w:val="30"/>
        </w:rPr>
        <w:t>I</w:t>
      </w:r>
      <w:r w:rsidR="006E7C3A" w:rsidRPr="007712D7">
        <w:rPr>
          <w:rFonts w:ascii="Arial Narrow" w:hAnsi="Arial Narrow" w:cs="Tahoma"/>
          <w:b/>
          <w:sz w:val="30"/>
          <w:szCs w:val="30"/>
        </w:rPr>
        <w:t>I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7712D7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7712D7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7712D7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7712D7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7712D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7712D7">
        <w:rPr>
          <w:rFonts w:ascii="Arial Narrow" w:hAnsi="Arial Narrow" w:cs="Tahoma"/>
          <w:b/>
          <w:sz w:val="30"/>
          <w:szCs w:val="30"/>
        </w:rPr>
        <w:t>6</w:t>
      </w:r>
      <w:r w:rsidR="00466A69" w:rsidRPr="007712D7">
        <w:rPr>
          <w:rFonts w:ascii="Arial Narrow" w:hAnsi="Arial Narrow" w:cs="Tahoma"/>
          <w:b/>
          <w:sz w:val="30"/>
          <w:szCs w:val="30"/>
        </w:rPr>
        <w:t>4</w:t>
      </w:r>
      <w:r w:rsidR="003A0849" w:rsidRPr="007712D7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66A69" w:rsidRPr="007712D7">
        <w:rPr>
          <w:rFonts w:ascii="Arial Narrow" w:hAnsi="Arial Narrow" w:cs="Tahoma"/>
          <w:b/>
          <w:sz w:val="30"/>
          <w:szCs w:val="30"/>
          <w:lang w:val="hr-HR"/>
        </w:rPr>
        <w:t>9</w:t>
      </w:r>
      <w:r w:rsidRPr="007712D7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7712D7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7712D7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7712D7">
        <w:rPr>
          <w:rFonts w:ascii="Arial Narrow" w:hAnsi="Arial Narrow" w:cs="Tahoma"/>
          <w:sz w:val="22"/>
          <w:lang w:val="sr-Cyrl-BA"/>
        </w:rPr>
        <w:t xml:space="preserve">У </w:t>
      </w:r>
      <w:r w:rsidR="00466A69" w:rsidRPr="007712D7">
        <w:rPr>
          <w:rFonts w:ascii="Arial Narrow" w:hAnsi="Arial Narrow" w:cs="Tahoma"/>
          <w:sz w:val="22"/>
          <w:lang w:val="sr-Cyrl-BA"/>
        </w:rPr>
        <w:t>јул</w:t>
      </w:r>
      <w:r w:rsidR="006E7C3A" w:rsidRPr="007712D7">
        <w:rPr>
          <w:rFonts w:ascii="Arial Narrow" w:hAnsi="Arial Narrow" w:cs="Tahoma"/>
          <w:sz w:val="22"/>
          <w:lang w:val="sr-Cyrl-BA"/>
        </w:rPr>
        <w:t>у</w:t>
      </w:r>
      <w:r w:rsidRPr="007712D7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466A69" w:rsidRPr="007712D7">
        <w:rPr>
          <w:rFonts w:ascii="Arial Narrow" w:hAnsi="Arial Narrow" w:cs="Tahoma"/>
          <w:sz w:val="22"/>
          <w:lang w:val="sr-Cyrl-BA"/>
        </w:rPr>
        <w:t>245</w:t>
      </w:r>
      <w:r w:rsidRPr="007712D7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466A69" w:rsidRPr="007712D7">
        <w:rPr>
          <w:rFonts w:ascii="Arial Narrow" w:hAnsi="Arial Narrow" w:cs="Tahoma"/>
          <w:sz w:val="22"/>
          <w:lang w:val="sr-Cyrl-BA"/>
        </w:rPr>
        <w:t>384</w:t>
      </w:r>
      <w:r w:rsidRPr="007712D7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7712D7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7712D7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7712D7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7712D7">
        <w:rPr>
          <w:rFonts w:ascii="Arial Narrow" w:hAnsi="Arial Narrow" w:cs="Tahoma"/>
          <w:sz w:val="22"/>
          <w:lang w:val="bs-Cyrl-BA"/>
        </w:rPr>
        <w:t>е</w:t>
      </w:r>
      <w:r w:rsidRPr="007712D7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7712D7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7712D7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466A69" w:rsidRPr="007712D7">
        <w:rPr>
          <w:rFonts w:ascii="Arial Narrow" w:hAnsi="Arial Narrow" w:cs="Tahoma"/>
          <w:sz w:val="22"/>
          <w:lang w:val="sr-Cyrl-BA"/>
        </w:rPr>
        <w:t>јул</w:t>
      </w:r>
      <w:r w:rsidR="006E7C3A" w:rsidRPr="007712D7">
        <w:rPr>
          <w:rFonts w:ascii="Arial Narrow" w:hAnsi="Arial Narrow" w:cs="Tahoma"/>
          <w:sz w:val="22"/>
          <w:lang w:val="sr-Cyrl-BA"/>
        </w:rPr>
        <w:t>у</w:t>
      </w:r>
      <w:r w:rsidR="00101E3A" w:rsidRPr="007712D7">
        <w:rPr>
          <w:rFonts w:ascii="Arial Narrow" w:hAnsi="Arial Narrow" w:cs="Tahoma"/>
          <w:sz w:val="22"/>
          <w:lang w:val="sr-Cyrl-BA"/>
        </w:rPr>
        <w:t xml:space="preserve"> </w:t>
      </w:r>
      <w:r w:rsidRPr="007712D7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66A69" w:rsidRPr="007712D7">
        <w:rPr>
          <w:rFonts w:ascii="Arial Narrow" w:hAnsi="Arial Narrow" w:cs="Tahoma"/>
          <w:sz w:val="22"/>
          <w:lang w:val="sr-Cyrl-BA"/>
        </w:rPr>
        <w:t>63</w:t>
      </w:r>
      <w:r w:rsidR="00101E3A" w:rsidRPr="007712D7">
        <w:rPr>
          <w:rFonts w:ascii="Arial Narrow" w:hAnsi="Arial Narrow" w:cs="Tahoma"/>
          <w:sz w:val="22"/>
          <w:lang w:val="sr-Cyrl-BA"/>
        </w:rPr>
        <w:t>,</w:t>
      </w:r>
      <w:r w:rsidR="00466A69" w:rsidRPr="007712D7">
        <w:rPr>
          <w:rFonts w:ascii="Arial Narrow" w:hAnsi="Arial Narrow" w:cs="Tahoma"/>
          <w:sz w:val="22"/>
          <w:lang w:val="sr-Cyrl-BA"/>
        </w:rPr>
        <w:t>9</w:t>
      </w:r>
      <w:r w:rsidRPr="007712D7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7712D7">
        <w:rPr>
          <w:rFonts w:ascii="Arial Narrow" w:hAnsi="Arial Narrow" w:cs="Tahoma"/>
          <w:sz w:val="22"/>
          <w:szCs w:val="22"/>
          <w:lang w:val="ru-RU"/>
        </w:rPr>
        <w:t>кривености увоза извозом за првих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66A69" w:rsidRPr="007712D7">
        <w:rPr>
          <w:rFonts w:ascii="Arial Narrow" w:hAnsi="Arial Narrow" w:cs="Tahoma"/>
          <w:sz w:val="22"/>
          <w:szCs w:val="22"/>
          <w:lang w:val="ru-RU"/>
        </w:rPr>
        <w:t>седам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31402B" w:rsidRPr="007712D7">
        <w:rPr>
          <w:rFonts w:ascii="Arial Narrow" w:hAnsi="Arial Narrow" w:cs="Tahoma"/>
          <w:sz w:val="22"/>
          <w:szCs w:val="22"/>
          <w:lang w:val="ru-RU"/>
        </w:rPr>
        <w:t>есеци</w:t>
      </w:r>
      <w:r w:rsidR="00482652" w:rsidRPr="007712D7">
        <w:rPr>
          <w:rFonts w:ascii="Arial Narrow" w:hAnsi="Arial Narrow" w:cs="Tahoma"/>
          <w:sz w:val="22"/>
          <w:szCs w:val="22"/>
          <w:lang w:val="ru-RU"/>
        </w:rPr>
        <w:t xml:space="preserve"> текуће године износио је 6</w:t>
      </w:r>
      <w:r w:rsidR="00466A69" w:rsidRPr="007712D7">
        <w:rPr>
          <w:rFonts w:ascii="Arial Narrow" w:hAnsi="Arial Narrow" w:cs="Tahoma"/>
          <w:sz w:val="22"/>
          <w:szCs w:val="22"/>
          <w:lang w:val="ru-RU"/>
        </w:rPr>
        <w:t>4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>,</w:t>
      </w:r>
      <w:r w:rsidR="00466A69" w:rsidRPr="007712D7">
        <w:rPr>
          <w:rFonts w:ascii="Arial Narrow" w:hAnsi="Arial Narrow" w:cs="Tahoma"/>
          <w:sz w:val="22"/>
          <w:szCs w:val="22"/>
          <w:lang w:val="ru-RU"/>
        </w:rPr>
        <w:t>9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7712D7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7712D7" w:rsidRDefault="00F442FA" w:rsidP="00F442FA">
      <w:pPr>
        <w:jc w:val="both"/>
        <w:rPr>
          <w:rFonts w:ascii="Tahoma" w:hAnsi="Tahoma" w:cs="Tahoma"/>
          <w:lang w:val="ru-RU"/>
        </w:rPr>
      </w:pPr>
      <w:r w:rsidRPr="007712D7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7712D7">
        <w:rPr>
          <w:rFonts w:ascii="Arial Narrow" w:hAnsi="Arial Narrow" w:cs="Tahoma"/>
          <w:sz w:val="22"/>
          <w:lang w:val="ru-RU"/>
        </w:rPr>
        <w:t xml:space="preserve">периоду </w:t>
      </w:r>
      <w:r w:rsidRPr="007712D7">
        <w:rPr>
          <w:rFonts w:ascii="Arial Narrow" w:hAnsi="Arial Narrow" w:cs="Tahoma"/>
          <w:sz w:val="22"/>
          <w:lang w:val="ru-RU"/>
        </w:rPr>
        <w:t>јануар</w:t>
      </w:r>
      <w:r w:rsidR="003A0849" w:rsidRPr="007712D7">
        <w:rPr>
          <w:rFonts w:ascii="Arial Narrow" w:hAnsi="Arial Narrow" w:cs="Tahoma"/>
          <w:sz w:val="22"/>
          <w:lang w:val="ru-RU"/>
        </w:rPr>
        <w:t xml:space="preserve"> - </w:t>
      </w:r>
      <w:r w:rsidR="006E7C3A" w:rsidRPr="007712D7">
        <w:rPr>
          <w:rFonts w:ascii="Arial Narrow" w:hAnsi="Arial Narrow" w:cs="Tahoma"/>
          <w:sz w:val="22"/>
          <w:lang w:val="ru-RU"/>
        </w:rPr>
        <w:t>ју</w:t>
      </w:r>
      <w:r w:rsidR="00466A69" w:rsidRPr="007712D7">
        <w:rPr>
          <w:rFonts w:ascii="Arial Narrow" w:hAnsi="Arial Narrow" w:cs="Tahoma"/>
          <w:sz w:val="22"/>
          <w:lang w:val="ru-RU"/>
        </w:rPr>
        <w:t>л</w:t>
      </w:r>
      <w:r w:rsidR="007E3425" w:rsidRPr="007712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7712D7">
        <w:rPr>
          <w:rFonts w:ascii="Arial Narrow" w:hAnsi="Arial Narrow" w:cs="Tahoma"/>
          <w:sz w:val="22"/>
          <w:lang w:val="ru-RU"/>
        </w:rPr>
        <w:t>2016</w:t>
      </w:r>
      <w:r w:rsidRPr="007712D7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AF73B5" w:rsidRPr="007712D7">
        <w:rPr>
          <w:rFonts w:ascii="Arial Narrow" w:hAnsi="Arial Narrow" w:cs="Tahoma"/>
          <w:sz w:val="22"/>
          <w:lang w:val="ru-RU"/>
        </w:rPr>
        <w:t xml:space="preserve">милијарду </w:t>
      </w:r>
      <w:r w:rsidR="00466A69" w:rsidRPr="007712D7">
        <w:rPr>
          <w:rFonts w:ascii="Arial Narrow" w:hAnsi="Arial Narrow" w:cs="Tahoma"/>
          <w:sz w:val="22"/>
          <w:lang w:val="ru-RU"/>
        </w:rPr>
        <w:t>591</w:t>
      </w:r>
      <w:r w:rsidR="00AF73B5" w:rsidRPr="007712D7">
        <w:rPr>
          <w:rFonts w:ascii="Arial Narrow" w:hAnsi="Arial Narrow" w:cs="Tahoma"/>
          <w:sz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ru-RU"/>
        </w:rPr>
        <w:t>милион</w:t>
      </w:r>
      <w:bookmarkStart w:id="0" w:name="_GoBack"/>
      <w:bookmarkEnd w:id="0"/>
      <w:r w:rsidR="008F10AE" w:rsidRPr="007712D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66A69" w:rsidRPr="007712D7">
        <w:rPr>
          <w:rFonts w:ascii="Arial Narrow" w:hAnsi="Arial Narrow" w:cs="Tahoma"/>
          <w:sz w:val="22"/>
          <w:lang w:val="ru-RU"/>
        </w:rPr>
        <w:t>7</w:t>
      </w:r>
      <w:r w:rsidR="008F10AE" w:rsidRPr="007712D7">
        <w:rPr>
          <w:rFonts w:ascii="Arial Narrow" w:hAnsi="Arial Narrow" w:cs="Tahoma"/>
          <w:sz w:val="22"/>
          <w:lang w:val="ru-RU"/>
        </w:rPr>
        <w:t>,</w:t>
      </w:r>
      <w:r w:rsidR="00466A69" w:rsidRPr="007712D7">
        <w:rPr>
          <w:rFonts w:ascii="Arial Narrow" w:hAnsi="Arial Narrow" w:cs="Tahoma"/>
          <w:sz w:val="22"/>
          <w:lang w:val="ru-RU"/>
        </w:rPr>
        <w:t>5</w:t>
      </w:r>
      <w:r w:rsidRPr="007712D7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7712D7">
        <w:rPr>
          <w:rFonts w:ascii="Arial Narrow" w:hAnsi="Arial Narrow" w:cs="Tahoma"/>
          <w:sz w:val="22"/>
          <w:lang w:val="ru-RU"/>
        </w:rPr>
        <w:t>више</w:t>
      </w:r>
      <w:r w:rsidRPr="007712D7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7712D7">
        <w:rPr>
          <w:rFonts w:ascii="Arial Narrow" w:hAnsi="Arial Narrow" w:cs="Tahoma"/>
          <w:sz w:val="22"/>
          <w:lang w:val="ru-RU"/>
        </w:rPr>
        <w:t>период</w:t>
      </w:r>
      <w:r w:rsidRPr="007712D7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7712D7">
        <w:rPr>
          <w:rFonts w:ascii="Arial Narrow" w:hAnsi="Arial Narrow" w:cs="Tahoma"/>
          <w:sz w:val="22"/>
          <w:lang w:val="ru-RU"/>
        </w:rPr>
        <w:t>периоду</w:t>
      </w:r>
      <w:r w:rsidRPr="007712D7">
        <w:rPr>
          <w:rFonts w:ascii="Arial Narrow" w:hAnsi="Arial Narrow" w:cs="Tahoma"/>
          <w:sz w:val="22"/>
          <w:lang w:val="ru-RU"/>
        </w:rPr>
        <w:t xml:space="preserve">, износио </w:t>
      </w:r>
      <w:r w:rsidR="00DB4F8B">
        <w:rPr>
          <w:rFonts w:ascii="Arial Narrow" w:hAnsi="Arial Narrow" w:cs="Tahoma"/>
          <w:sz w:val="22"/>
          <w:lang w:val="sr-Cyrl-RS"/>
        </w:rPr>
        <w:t>двије</w:t>
      </w:r>
      <w:r w:rsidR="00AF73B5" w:rsidRPr="007712D7">
        <w:rPr>
          <w:rFonts w:ascii="Arial Narrow" w:hAnsi="Arial Narrow" w:cs="Tahoma"/>
          <w:sz w:val="22"/>
          <w:lang w:val="ru-RU"/>
        </w:rPr>
        <w:t xml:space="preserve"> </w:t>
      </w:r>
      <w:r w:rsidR="00BE4A93" w:rsidRPr="007712D7">
        <w:rPr>
          <w:rFonts w:ascii="Arial Narrow" w:hAnsi="Arial Narrow" w:cs="Tahoma"/>
          <w:sz w:val="22"/>
          <w:lang w:val="ru-RU"/>
        </w:rPr>
        <w:t>милијард</w:t>
      </w:r>
      <w:r w:rsidR="00AF73B5" w:rsidRPr="007712D7">
        <w:rPr>
          <w:rFonts w:ascii="Arial Narrow" w:hAnsi="Arial Narrow" w:cs="Tahoma"/>
          <w:sz w:val="22"/>
          <w:lang w:val="ru-RU"/>
        </w:rPr>
        <w:t xml:space="preserve">е </w:t>
      </w:r>
      <w:r w:rsidR="00466A69" w:rsidRPr="007712D7">
        <w:rPr>
          <w:rFonts w:ascii="Arial Narrow" w:hAnsi="Arial Narrow" w:cs="Tahoma"/>
          <w:sz w:val="22"/>
          <w:lang w:val="ru-RU"/>
        </w:rPr>
        <w:t>453</w:t>
      </w:r>
      <w:r w:rsidRPr="007712D7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7712D7">
        <w:rPr>
          <w:rFonts w:ascii="Arial Narrow" w:hAnsi="Arial Narrow" w:cs="Tahoma"/>
          <w:sz w:val="22"/>
          <w:lang w:val="ru-RU"/>
        </w:rPr>
        <w:t>а</w:t>
      </w:r>
      <w:r w:rsidRPr="007712D7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66A69" w:rsidRPr="007712D7">
        <w:rPr>
          <w:rFonts w:ascii="Arial Narrow" w:hAnsi="Arial Narrow" w:cs="Tahoma"/>
          <w:sz w:val="22"/>
          <w:lang w:val="ru-RU"/>
        </w:rPr>
        <w:t>3</w:t>
      </w:r>
      <w:r w:rsidRPr="007712D7">
        <w:rPr>
          <w:rFonts w:ascii="Arial Narrow" w:hAnsi="Arial Narrow" w:cs="Tahoma"/>
          <w:sz w:val="22"/>
          <w:lang w:val="sr-Latn-CS"/>
        </w:rPr>
        <w:t>,</w:t>
      </w:r>
      <w:r w:rsidR="00466A69" w:rsidRPr="007712D7">
        <w:rPr>
          <w:rFonts w:ascii="Arial Narrow" w:hAnsi="Arial Narrow" w:cs="Tahoma"/>
          <w:sz w:val="22"/>
          <w:lang w:val="sr-Cyrl-BA"/>
        </w:rPr>
        <w:t>3</w:t>
      </w:r>
      <w:r w:rsidRPr="007712D7">
        <w:rPr>
          <w:rFonts w:ascii="Arial Narrow" w:hAnsi="Arial Narrow" w:cs="Tahoma"/>
          <w:sz w:val="22"/>
          <w:lang w:val="ru-RU"/>
        </w:rPr>
        <w:t xml:space="preserve">% </w:t>
      </w:r>
      <w:r w:rsidRPr="007712D7">
        <w:rPr>
          <w:rFonts w:ascii="Arial Narrow" w:hAnsi="Arial Narrow" w:cs="Tahoma"/>
          <w:sz w:val="22"/>
          <w:lang w:val="sr-Latn-CS"/>
        </w:rPr>
        <w:t>мање</w:t>
      </w:r>
      <w:r w:rsidRPr="007712D7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7712D7">
        <w:rPr>
          <w:rFonts w:ascii="Arial Narrow" w:hAnsi="Arial Narrow" w:cs="Tahoma"/>
          <w:sz w:val="22"/>
          <w:lang w:val="ru-RU"/>
        </w:rPr>
        <w:t>период</w:t>
      </w:r>
      <w:r w:rsidRPr="007712D7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7712D7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7712D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7712D7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7712D7">
        <w:rPr>
          <w:rFonts w:ascii="Arial Narrow" w:hAnsi="Arial Narrow" w:cs="Tahoma"/>
          <w:sz w:val="22"/>
        </w:rPr>
        <w:t>e</w:t>
      </w:r>
      <w:r w:rsidRPr="007712D7">
        <w:rPr>
          <w:rFonts w:ascii="Arial Narrow" w:hAnsi="Arial Narrow" w:cs="Tahoma"/>
          <w:sz w:val="22"/>
          <w:lang w:val="ru-RU"/>
        </w:rPr>
        <w:t xml:space="preserve"> Српск</w:t>
      </w:r>
      <w:r w:rsidRPr="007712D7">
        <w:rPr>
          <w:rFonts w:ascii="Arial Narrow" w:hAnsi="Arial Narrow" w:cs="Tahoma"/>
          <w:sz w:val="22"/>
        </w:rPr>
        <w:t>e</w:t>
      </w:r>
      <w:r w:rsidRPr="007712D7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7712D7">
        <w:rPr>
          <w:rFonts w:ascii="Arial Narrow" w:hAnsi="Arial Narrow" w:cs="Tahoma"/>
          <w:sz w:val="22"/>
          <w:lang w:val="ru-RU"/>
        </w:rPr>
        <w:t xml:space="preserve">периоду </w:t>
      </w:r>
      <w:r w:rsidRPr="007712D7">
        <w:rPr>
          <w:rFonts w:ascii="Arial Narrow" w:hAnsi="Arial Narrow" w:cs="Tahoma"/>
          <w:sz w:val="22"/>
          <w:lang w:val="ru-RU"/>
        </w:rPr>
        <w:t>јануар</w:t>
      </w:r>
      <w:r w:rsidR="003A0849" w:rsidRPr="007712D7">
        <w:rPr>
          <w:rFonts w:ascii="Arial Narrow" w:hAnsi="Arial Narrow" w:cs="Tahoma"/>
          <w:sz w:val="22"/>
          <w:lang w:val="ru-RU"/>
        </w:rPr>
        <w:t xml:space="preserve"> - </w:t>
      </w:r>
      <w:r w:rsidR="00466A69" w:rsidRPr="007712D7">
        <w:rPr>
          <w:rFonts w:ascii="Arial Narrow" w:hAnsi="Arial Narrow" w:cs="Tahoma"/>
          <w:sz w:val="22"/>
          <w:lang w:val="ru-RU"/>
        </w:rPr>
        <w:t>јул</w:t>
      </w:r>
      <w:r w:rsidR="006E7C3A" w:rsidRPr="007712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201</w:t>
      </w:r>
      <w:r w:rsidR="00384927" w:rsidRPr="007712D7">
        <w:rPr>
          <w:rFonts w:ascii="Arial Narrow" w:hAnsi="Arial Narrow" w:cs="Tahoma"/>
          <w:sz w:val="22"/>
          <w:lang w:val="sr-Cyrl-CS"/>
        </w:rPr>
        <w:t>6</w:t>
      </w:r>
      <w:r w:rsidRPr="007712D7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AF73B5" w:rsidRPr="007712D7">
        <w:rPr>
          <w:rFonts w:ascii="Arial Narrow" w:hAnsi="Arial Narrow" w:cs="Tahoma"/>
          <w:sz w:val="22"/>
          <w:lang w:val="sr-Cyrl-BA"/>
        </w:rPr>
        <w:t>2</w:t>
      </w:r>
      <w:r w:rsidR="00466A69" w:rsidRPr="007712D7">
        <w:rPr>
          <w:rFonts w:ascii="Arial Narrow" w:hAnsi="Arial Narrow" w:cs="Tahoma"/>
          <w:sz w:val="22"/>
          <w:lang w:val="sr-Cyrl-BA"/>
        </w:rPr>
        <w:t>97</w:t>
      </w:r>
      <w:r w:rsidR="007D2CAE" w:rsidRPr="007712D7">
        <w:rPr>
          <w:rFonts w:ascii="Arial Narrow" w:hAnsi="Arial Narrow" w:cs="Tahoma"/>
          <w:sz w:val="22"/>
          <w:lang w:val="sr-Latn-BA"/>
        </w:rPr>
        <w:t xml:space="preserve"> </w:t>
      </w:r>
      <w:r w:rsidRPr="007712D7">
        <w:rPr>
          <w:rFonts w:ascii="Arial Narrow" w:hAnsi="Arial Narrow" w:cs="Tahoma"/>
          <w:sz w:val="22"/>
          <w:lang w:val="sr-Cyrl-CS"/>
        </w:rPr>
        <w:t>милиона КМ, односно 1</w:t>
      </w:r>
      <w:r w:rsidR="00AF73B5" w:rsidRPr="007712D7">
        <w:rPr>
          <w:rFonts w:ascii="Arial Narrow" w:hAnsi="Arial Narrow" w:cs="Tahoma"/>
          <w:sz w:val="22"/>
          <w:lang w:val="sr-Cyrl-CS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>,</w:t>
      </w:r>
      <w:r w:rsidR="00466A69" w:rsidRPr="007712D7">
        <w:rPr>
          <w:rFonts w:ascii="Arial Narrow" w:hAnsi="Arial Narrow" w:cs="Tahoma"/>
          <w:sz w:val="22"/>
          <w:lang w:val="sr-Cyrl-CS"/>
        </w:rPr>
        <w:t>7</w:t>
      </w:r>
      <w:r w:rsidRPr="007712D7">
        <w:rPr>
          <w:rFonts w:ascii="Arial Narrow" w:hAnsi="Arial Narrow" w:cs="Tahoma"/>
          <w:sz w:val="22"/>
          <w:lang w:val="sr-Cyrl-CS"/>
        </w:rPr>
        <w:t>%</w:t>
      </w:r>
      <w:r w:rsidRPr="007712D7">
        <w:rPr>
          <w:rFonts w:ascii="Arial Narrow" w:hAnsi="Arial Narrow" w:cs="Tahoma"/>
          <w:sz w:val="22"/>
          <w:lang w:val="ru-RU"/>
        </w:rPr>
        <w:t xml:space="preserve">, </w:t>
      </w:r>
      <w:r w:rsidRPr="007712D7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7712D7">
        <w:rPr>
          <w:rFonts w:ascii="Arial Narrow" w:hAnsi="Arial Narrow" w:cs="Tahoma"/>
          <w:sz w:val="22"/>
          <w:lang w:val="sr-Cyrl-CS"/>
        </w:rPr>
        <w:t>Србију</w:t>
      </w:r>
      <w:r w:rsidRPr="007712D7">
        <w:rPr>
          <w:rFonts w:ascii="Arial Narrow" w:hAnsi="Arial Narrow" w:cs="Tahoma"/>
          <w:sz w:val="22"/>
          <w:lang w:val="sr-Cyrl-CS"/>
        </w:rPr>
        <w:t xml:space="preserve"> </w:t>
      </w:r>
      <w:r w:rsidR="00466A69" w:rsidRPr="007712D7">
        <w:rPr>
          <w:rFonts w:ascii="Arial Narrow" w:hAnsi="Arial Narrow" w:cs="Tahoma"/>
          <w:sz w:val="22"/>
          <w:lang w:val="sr-Cyrl-CS"/>
        </w:rPr>
        <w:t>187</w:t>
      </w:r>
      <w:r w:rsidR="00384927" w:rsidRPr="007712D7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466A69" w:rsidRPr="007712D7">
        <w:rPr>
          <w:rFonts w:ascii="Arial Narrow" w:hAnsi="Arial Narrow" w:cs="Tahoma"/>
          <w:sz w:val="22"/>
          <w:lang w:val="sr-Cyrl-CS"/>
        </w:rPr>
        <w:t>1</w:t>
      </w:r>
      <w:r w:rsidR="00384927" w:rsidRPr="007712D7">
        <w:rPr>
          <w:rFonts w:ascii="Arial Narrow" w:hAnsi="Arial Narrow" w:cs="Tahoma"/>
          <w:sz w:val="22"/>
          <w:lang w:val="sr-Cyrl-CS"/>
        </w:rPr>
        <w:t>,</w:t>
      </w:r>
      <w:r w:rsidR="00466A69" w:rsidRPr="007712D7">
        <w:rPr>
          <w:rFonts w:ascii="Arial Narrow" w:hAnsi="Arial Narrow" w:cs="Tahoma"/>
          <w:sz w:val="22"/>
          <w:lang w:val="sr-Cyrl-CS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7712D7">
        <w:rPr>
          <w:rFonts w:ascii="Arial Narrow" w:hAnsi="Arial Narrow" w:cs="Tahoma"/>
          <w:sz w:val="22"/>
          <w:lang w:val="sr-Cyrl-CS"/>
        </w:rPr>
        <w:t>периоду</w:t>
      </w:r>
      <w:r w:rsidRPr="007712D7">
        <w:rPr>
          <w:rFonts w:ascii="Arial Narrow" w:hAnsi="Arial Narrow" w:cs="Tahoma"/>
          <w:sz w:val="22"/>
          <w:lang w:val="sr-Cyrl-CS"/>
        </w:rPr>
        <w:t xml:space="preserve">, </w:t>
      </w:r>
      <w:r w:rsidRPr="007712D7">
        <w:rPr>
          <w:rFonts w:ascii="Arial Narrow" w:hAnsi="Arial Narrow" w:cs="Tahoma"/>
          <w:sz w:val="22"/>
          <w:lang w:val="sr-Cyrl-BA"/>
        </w:rPr>
        <w:t>н</w:t>
      </w:r>
      <w:r w:rsidRPr="007712D7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CB7D70" w:rsidRPr="007712D7">
        <w:rPr>
          <w:rFonts w:ascii="Arial Narrow" w:hAnsi="Arial Narrow" w:cs="Tahoma"/>
          <w:sz w:val="22"/>
          <w:lang w:val="sr-Cyrl-BA"/>
        </w:rPr>
        <w:t>436</w:t>
      </w:r>
      <w:r w:rsidR="00101E3A" w:rsidRPr="007712D7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7712D7">
        <w:rPr>
          <w:rFonts w:ascii="Arial Narrow" w:hAnsi="Arial Narrow" w:cs="Tahoma"/>
          <w:sz w:val="22"/>
          <w:lang w:val="sr-Cyrl-CS"/>
        </w:rPr>
        <w:t>милиона КМ, односно 1</w:t>
      </w:r>
      <w:r w:rsidR="00466A69" w:rsidRPr="007712D7">
        <w:rPr>
          <w:rFonts w:ascii="Arial Narrow" w:hAnsi="Arial Narrow" w:cs="Tahoma"/>
          <w:sz w:val="22"/>
          <w:lang w:val="sr-Cyrl-CS"/>
        </w:rPr>
        <w:t>7</w:t>
      </w:r>
      <w:r w:rsidR="00E34FF5" w:rsidRPr="007712D7">
        <w:rPr>
          <w:rFonts w:ascii="Arial Narrow" w:hAnsi="Arial Narrow" w:cs="Tahoma"/>
          <w:sz w:val="22"/>
          <w:lang w:val="sr-Cyrl-CS"/>
        </w:rPr>
        <w:t>,</w:t>
      </w:r>
      <w:r w:rsidR="00466A69" w:rsidRPr="007712D7">
        <w:rPr>
          <w:rFonts w:ascii="Arial Narrow" w:hAnsi="Arial Narrow" w:cs="Tahoma"/>
          <w:sz w:val="22"/>
          <w:lang w:val="sr-Cyrl-CS"/>
        </w:rPr>
        <w:t>8</w:t>
      </w:r>
      <w:r w:rsidRPr="007712D7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7712D7">
        <w:rPr>
          <w:rFonts w:ascii="Arial Narrow" w:hAnsi="Arial Narrow" w:cs="Tahoma"/>
          <w:sz w:val="22"/>
          <w:lang w:val="sr-Cyrl-CS"/>
        </w:rPr>
        <w:t>Италије</w:t>
      </w:r>
      <w:r w:rsidRPr="007712D7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66A69" w:rsidRPr="007712D7">
        <w:rPr>
          <w:rFonts w:ascii="Arial Narrow" w:hAnsi="Arial Narrow" w:cs="Tahoma"/>
          <w:sz w:val="22"/>
          <w:lang w:val="sr-Cyrl-BA"/>
        </w:rPr>
        <w:t>321</w:t>
      </w:r>
      <w:r w:rsidR="003A0849" w:rsidRPr="007712D7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7712D7">
        <w:rPr>
          <w:rFonts w:ascii="Arial Narrow" w:hAnsi="Arial Narrow" w:cs="Tahoma"/>
          <w:sz w:val="22"/>
          <w:lang w:val="sr-Cyrl-CS"/>
        </w:rPr>
        <w:t>а</w:t>
      </w:r>
      <w:r w:rsidR="003A0849" w:rsidRPr="007712D7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7712D7">
        <w:rPr>
          <w:rFonts w:ascii="Arial Narrow" w:hAnsi="Arial Narrow" w:cs="Tahoma"/>
          <w:sz w:val="22"/>
          <w:lang w:val="sr-Cyrl-CS"/>
        </w:rPr>
        <w:t>,</w:t>
      </w:r>
      <w:r w:rsidR="00466A69" w:rsidRPr="007712D7">
        <w:rPr>
          <w:rFonts w:ascii="Arial Narrow" w:hAnsi="Arial Narrow" w:cs="Tahoma"/>
          <w:sz w:val="22"/>
          <w:lang w:val="sr-Cyrl-CS"/>
        </w:rPr>
        <w:t>1</w:t>
      </w:r>
      <w:r w:rsidRPr="007712D7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7712D7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7712D7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7712D7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7712D7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7712D7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7712D7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466A69" w:rsidRPr="007712D7">
        <w:rPr>
          <w:rFonts w:ascii="Arial Narrow" w:hAnsi="Arial Narrow" w:cs="Tahoma"/>
          <w:sz w:val="22"/>
          <w:lang w:val="ru-RU"/>
        </w:rPr>
        <w:t>јул</w:t>
      </w:r>
      <w:r w:rsidR="006E7C3A" w:rsidRPr="007712D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7712D7">
        <w:rPr>
          <w:rFonts w:ascii="Arial Narrow" w:hAnsi="Arial Narrow" w:cs="Tahoma"/>
          <w:sz w:val="22"/>
          <w:szCs w:val="22"/>
          <w:lang w:val="sr-Cyrl-CS"/>
        </w:rPr>
        <w:t>6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7712D7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466A69" w:rsidRPr="007712D7">
        <w:rPr>
          <w:rFonts w:ascii="Arial Narrow" w:hAnsi="Arial Narrow" w:cs="Tahoma"/>
          <w:sz w:val="22"/>
          <w:szCs w:val="22"/>
          <w:lang w:val="sr-Cyrl-CS"/>
        </w:rPr>
        <w:t>97</w:t>
      </w:r>
      <w:r w:rsidR="003A0849" w:rsidRPr="007712D7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7712D7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7712D7">
        <w:rPr>
          <w:rFonts w:ascii="Arial Narrow" w:hAnsi="Arial Narrow" w:cs="Tahoma"/>
          <w:sz w:val="22"/>
          <w:szCs w:val="22"/>
          <w:lang w:val="sr-Cyrl-CS"/>
        </w:rPr>
        <w:t>,</w:t>
      </w:r>
      <w:r w:rsidR="00BE4A93" w:rsidRPr="007712D7">
        <w:rPr>
          <w:rFonts w:ascii="Arial Narrow" w:hAnsi="Arial Narrow" w:cs="Tahoma"/>
          <w:sz w:val="22"/>
          <w:szCs w:val="22"/>
          <w:lang w:val="sr-Cyrl-CS"/>
        </w:rPr>
        <w:t>1</w:t>
      </w:r>
      <w:r w:rsidRPr="007712D7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н</w:t>
      </w:r>
      <w:r w:rsidRPr="007712D7">
        <w:rPr>
          <w:rFonts w:ascii="Arial Narrow" w:hAnsi="Arial Narrow" w:cs="Tahoma"/>
          <w:sz w:val="22"/>
          <w:szCs w:val="22"/>
          <w:lang w:val="ru-RU"/>
        </w:rPr>
        <w:t>афт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7712D7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7712D7">
        <w:rPr>
          <w:rFonts w:ascii="Arial Narrow" w:hAnsi="Arial Narrow" w:cs="Tahoma"/>
          <w:sz w:val="22"/>
          <w:szCs w:val="22"/>
          <w:lang w:val="ru-RU"/>
        </w:rPr>
        <w:t>сиров</w:t>
      </w:r>
      <w:r w:rsidRPr="007712D7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AF73B5" w:rsidRPr="007712D7">
        <w:rPr>
          <w:rFonts w:ascii="Arial Narrow" w:hAnsi="Arial Narrow" w:cs="Tahoma"/>
          <w:sz w:val="22"/>
          <w:szCs w:val="22"/>
          <w:lang w:val="sr-Cyrl-BA"/>
        </w:rPr>
        <w:t>2</w:t>
      </w:r>
      <w:r w:rsidR="00466A69" w:rsidRPr="007712D7">
        <w:rPr>
          <w:rFonts w:ascii="Arial Narrow" w:hAnsi="Arial Narrow" w:cs="Tahoma"/>
          <w:sz w:val="22"/>
          <w:szCs w:val="22"/>
          <w:lang w:val="sr-Cyrl-BA"/>
        </w:rPr>
        <w:t>90</w:t>
      </w:r>
      <w:r w:rsidR="008F10AE" w:rsidRPr="007712D7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7712D7">
        <w:rPr>
          <w:rFonts w:ascii="Arial Narrow" w:hAnsi="Arial Narrow" w:cs="Tahoma"/>
          <w:sz w:val="22"/>
          <w:szCs w:val="22"/>
          <w:lang w:val="sr-Cyrl-BA"/>
        </w:rPr>
        <w:t>1</w:t>
      </w:r>
      <w:r w:rsidR="00466A69" w:rsidRPr="007712D7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7712D7">
        <w:rPr>
          <w:rFonts w:ascii="Arial Narrow" w:hAnsi="Arial Narrow" w:cs="Tahoma"/>
          <w:sz w:val="22"/>
          <w:szCs w:val="22"/>
          <w:lang w:val="sr-Cyrl-BA"/>
        </w:rPr>
        <w:t>,</w:t>
      </w:r>
      <w:r w:rsidR="00466A69" w:rsidRPr="007712D7">
        <w:rPr>
          <w:rFonts w:ascii="Arial Narrow" w:hAnsi="Arial Narrow" w:cs="Tahoma"/>
          <w:sz w:val="22"/>
          <w:szCs w:val="22"/>
          <w:lang w:val="sr-Cyrl-BA"/>
        </w:rPr>
        <w:t>8</w:t>
      </w:r>
      <w:r w:rsidRPr="007712D7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7712D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7712D7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7712D7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7712D7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DC17C9" w:rsidRDefault="00DB4F8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5257A2" w:rsidRPr="000A1309" w:rsidRDefault="005257A2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DC17C9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DC17C9" w:rsidRDefault="00CB7D70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noProof/>
        </w:rPr>
        <w:drawing>
          <wp:inline distT="0" distB="0" distL="0" distR="0" wp14:anchorId="3004B230" wp14:editId="0EEB196F">
            <wp:extent cx="4405746" cy="260465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B4F8B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257A2" w:rsidRPr="000A1309" w:rsidRDefault="005257A2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DC17C9" w:rsidRDefault="00DB4F8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257A2" w:rsidRPr="000A1309" w:rsidRDefault="005257A2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DC17C9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DC17C9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7712D7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7712D7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7712D7">
        <w:rPr>
          <w:rFonts w:ascii="Arial Narrow" w:hAnsi="Arial Narrow" w:cs="Tahoma"/>
          <w:sz w:val="16"/>
          <w:szCs w:val="22"/>
          <w:lang w:val="sr-Latn-BA"/>
        </w:rPr>
        <w:t>4</w:t>
      </w:r>
      <w:r w:rsidRPr="007712D7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7712D7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7712D7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7712D7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7712D7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DC17C9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DC17C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DC17C9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DB4F8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DB4F8B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DC2DCC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DC2DCC" w:rsidRDefault="00DB4F8B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DB4F8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DB4F8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9C69ED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R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  <w:r w:rsidR="009C69ED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9C69ED">
              <w:rPr>
                <w:rFonts w:ascii="Arial Narrow" w:hAnsi="Arial Narrow" w:cs="Tahoma"/>
                <w:sz w:val="18"/>
                <w:szCs w:val="18"/>
                <w:lang w:val="sr-Cyrl-RS"/>
              </w:rPr>
              <w:t>и главни уредник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DB4F8B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A2" w:rsidRDefault="005257A2">
      <w:r>
        <w:separator/>
      </w:r>
    </w:p>
  </w:endnote>
  <w:endnote w:type="continuationSeparator" w:id="0">
    <w:p w:rsidR="005257A2" w:rsidRDefault="0052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DB4F8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B4F8B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A2" w:rsidRDefault="00DB4F8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257A2" w:rsidRPr="00175687" w:rsidRDefault="005257A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B4F8B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A2" w:rsidRDefault="005257A2">
      <w:r>
        <w:separator/>
      </w:r>
    </w:p>
  </w:footnote>
  <w:footnote w:type="continuationSeparator" w:id="0">
    <w:p w:rsidR="005257A2" w:rsidRDefault="00525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5257A2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257A2" w:rsidRPr="00DB5870" w:rsidRDefault="005257A2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5257A2" w:rsidRPr="00DB5870" w:rsidRDefault="005257A2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257A2" w:rsidRPr="005D5311" w:rsidRDefault="005257A2" w:rsidP="00DC17C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</w:t>
          </w:r>
          <w:r w:rsidR="00DC17C9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DC17C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209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257A2" w:rsidRDefault="00DB4F8B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2D7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9ED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8F3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4F8B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2765DCD-F321-492C-B1CE-DED69B38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6\Cijene\Indeksi%20potrosackih%20cijena\Grafikon_2016_jul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834</c:v>
                </c:pt>
                <c:pt idx="2">
                  <c:v>834</c:v>
                </c:pt>
                <c:pt idx="3">
                  <c:v>824</c:v>
                </c:pt>
                <c:pt idx="4">
                  <c:v>824</c:v>
                </c:pt>
                <c:pt idx="5">
                  <c:v>834</c:v>
                </c:pt>
                <c:pt idx="6">
                  <c:v>816</c:v>
                </c:pt>
                <c:pt idx="7">
                  <c:v>838</c:v>
                </c:pt>
                <c:pt idx="8">
                  <c:v>837</c:v>
                </c:pt>
                <c:pt idx="9">
                  <c:v>832</c:v>
                </c:pt>
                <c:pt idx="10">
                  <c:v>841</c:v>
                </c:pt>
                <c:pt idx="11">
                  <c:v>845</c:v>
                </c:pt>
                <c:pt idx="12">
                  <c:v>838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8963312"/>
        <c:axId val="310762392"/>
      </c:lineChart>
      <c:catAx>
        <c:axId val="2589633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10762392"/>
        <c:crosses val="autoZero"/>
        <c:auto val="1"/>
        <c:lblAlgn val="ctr"/>
        <c:lblOffset val="100"/>
        <c:noMultiLvlLbl val="0"/>
      </c:catAx>
      <c:valAx>
        <c:axId val="31076239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589633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739E-2"/>
          <c:w val="0.90069686411149863"/>
          <c:h val="0.76569037656904027"/>
        </c:manualLayout>
      </c:layout>
      <c:lineChart>
        <c:grouping val="standard"/>
        <c:varyColors val="0"/>
        <c:ser>
          <c:idx val="0"/>
          <c:order val="0"/>
          <c:tx>
            <c:strRef>
              <c:f>jul!$C$3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jul!$A$4:$B$16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jul!$C$4:$C$16</c:f>
              <c:numCache>
                <c:formatCode>0.0</c:formatCode>
                <c:ptCount val="13"/>
                <c:pt idx="0" formatCode="General">
                  <c:v>-0.8</c:v>
                </c:pt>
                <c:pt idx="1">
                  <c:v>0</c:v>
                </c:pt>
                <c:pt idx="2" formatCode="General">
                  <c:v>-0.1</c:v>
                </c:pt>
                <c:pt idx="3" formatCode="General">
                  <c:v>0.9</c:v>
                </c:pt>
                <c:pt idx="4" formatCode="General">
                  <c:v>-0.2</c:v>
                </c:pt>
                <c:pt idx="5" formatCode="General">
                  <c:v>-0.2</c:v>
                </c:pt>
                <c:pt idx="6" formatCode="General">
                  <c:v>0.2</c:v>
                </c:pt>
                <c:pt idx="7" formatCode="General">
                  <c:v>-0.2</c:v>
                </c:pt>
                <c:pt idx="8">
                  <c:v>0</c:v>
                </c:pt>
                <c:pt idx="9">
                  <c:v>-1</c:v>
                </c:pt>
                <c:pt idx="10" formatCode="General">
                  <c:v>0.1</c:v>
                </c:pt>
                <c:pt idx="11" formatCode="General">
                  <c:v>-0.2</c:v>
                </c:pt>
                <c:pt idx="12" formatCode="General">
                  <c:v>-0.3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jul!$D$3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jul!$A$4:$B$16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1">
                    <c:v>2015</c:v>
                  </c:pt>
                  <c:pt idx="6">
                    <c:v>2016</c:v>
                  </c:pt>
                </c:lvl>
              </c:multiLvlStrCache>
            </c:multiLvlStrRef>
          </c:cat>
          <c:val>
            <c:numRef>
              <c:f>jul!$D$4:$D$16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-1.6</c:v>
                </c:pt>
                <c:pt idx="2">
                  <c:v>-2.1</c:v>
                </c:pt>
                <c:pt idx="3">
                  <c:v>-2.1</c:v>
                </c:pt>
                <c:pt idx="4" formatCode="0.0">
                  <c:v>-2</c:v>
                </c:pt>
                <c:pt idx="5">
                  <c:v>-1.6</c:v>
                </c:pt>
                <c:pt idx="6">
                  <c:v>-0.9</c:v>
                </c:pt>
                <c:pt idx="7">
                  <c:v>-1.3</c:v>
                </c:pt>
                <c:pt idx="8">
                  <c:v>-1.8</c:v>
                </c:pt>
                <c:pt idx="9">
                  <c:v>-1.7</c:v>
                </c:pt>
                <c:pt idx="10">
                  <c:v>-1.6</c:v>
                </c:pt>
                <c:pt idx="11">
                  <c:v>-1.6</c:v>
                </c:pt>
                <c:pt idx="12" formatCode="0.0">
                  <c:v>-1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8136632"/>
        <c:axId val="312541976"/>
      </c:lineChart>
      <c:catAx>
        <c:axId val="3881366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125419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12541976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8813663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29"/>
          <c:y val="0.87484060194481583"/>
          <c:w val="0.5226480836236953"/>
          <c:h val="8.3682008368201069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  <c:pt idx="18">
                    <c:v>2014</c:v>
                  </c:pt>
                  <c:pt idx="30">
                    <c:v>2015</c:v>
                  </c:pt>
                  <c:pt idx="42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93.544622028709725</c:v>
                </c:pt>
                <c:pt idx="1">
                  <c:v>99.67418788514631</c:v>
                </c:pt>
                <c:pt idx="2">
                  <c:v>106.22555924897068</c:v>
                </c:pt>
                <c:pt idx="3">
                  <c:v>100.59871541117144</c:v>
                </c:pt>
                <c:pt idx="4">
                  <c:v>99.253665659613489</c:v>
                </c:pt>
                <c:pt idx="5">
                  <c:v>102.4550728891756</c:v>
                </c:pt>
                <c:pt idx="6">
                  <c:v>102.10329813048791</c:v>
                </c:pt>
                <c:pt idx="7">
                  <c:v>100.31116147717933</c:v>
                </c:pt>
                <c:pt idx="8">
                  <c:v>99.766254318683053</c:v>
                </c:pt>
                <c:pt idx="9">
                  <c:v>109.49463660142405</c:v>
                </c:pt>
                <c:pt idx="10">
                  <c:v>102.68973629280634</c:v>
                </c:pt>
                <c:pt idx="11">
                  <c:v>105.20664310956204</c:v>
                </c:pt>
                <c:pt idx="12">
                  <c:v>110.39740603499395</c:v>
                </c:pt>
                <c:pt idx="13">
                  <c:v>106.75633084893229</c:v>
                </c:pt>
                <c:pt idx="14">
                  <c:v>100.93726043376978</c:v>
                </c:pt>
                <c:pt idx="15">
                  <c:v>101.86533732147446</c:v>
                </c:pt>
                <c:pt idx="16">
                  <c:v>105.17268208203369</c:v>
                </c:pt>
                <c:pt idx="17">
                  <c:v>106.46180885761554</c:v>
                </c:pt>
                <c:pt idx="18">
                  <c:v>107.07832982581829</c:v>
                </c:pt>
                <c:pt idx="19">
                  <c:v>104.85087728774282</c:v>
                </c:pt>
                <c:pt idx="20">
                  <c:v>101.18101118421413</c:v>
                </c:pt>
                <c:pt idx="21">
                  <c:v>103.56942210743283</c:v>
                </c:pt>
                <c:pt idx="22">
                  <c:v>102.44336110817065</c:v>
                </c:pt>
                <c:pt idx="23">
                  <c:v>104.36782300252713</c:v>
                </c:pt>
                <c:pt idx="24">
                  <c:v>106.03402940229988</c:v>
                </c:pt>
                <c:pt idx="25">
                  <c:v>99.780027294340215</c:v>
                </c:pt>
                <c:pt idx="26">
                  <c:v>109.82475608150514</c:v>
                </c:pt>
                <c:pt idx="27">
                  <c:v>107.93341792488921</c:v>
                </c:pt>
                <c:pt idx="28">
                  <c:v>107.72317102744343</c:v>
                </c:pt>
                <c:pt idx="29">
                  <c:v>106.23941958241718</c:v>
                </c:pt>
                <c:pt idx="30">
                  <c:v>109.51035171713181</c:v>
                </c:pt>
                <c:pt idx="31">
                  <c:v>109.86024977904432</c:v>
                </c:pt>
                <c:pt idx="32">
                  <c:v>103.1565216322807</c:v>
                </c:pt>
                <c:pt idx="33">
                  <c:v>106.77277256032113</c:v>
                </c:pt>
                <c:pt idx="34">
                  <c:v>109.28067920838657</c:v>
                </c:pt>
                <c:pt idx="35">
                  <c:v>109.25253057817183</c:v>
                </c:pt>
                <c:pt idx="36">
                  <c:v>107.63622951337589</c:v>
                </c:pt>
                <c:pt idx="37">
                  <c:v>110.41622467283422</c:v>
                </c:pt>
                <c:pt idx="38">
                  <c:v>106.36104380893755</c:v>
                </c:pt>
                <c:pt idx="39">
                  <c:v>108.75979676779016</c:v>
                </c:pt>
                <c:pt idx="40">
                  <c:v>107.84538946917644</c:v>
                </c:pt>
                <c:pt idx="41">
                  <c:v>107.16370494924423</c:v>
                </c:pt>
                <c:pt idx="42">
                  <c:v>103.85581538493382</c:v>
                </c:pt>
                <c:pt idx="43">
                  <c:v>114.234666612287</c:v>
                </c:pt>
                <c:pt idx="44">
                  <c:v>120.90410652665216</c:v>
                </c:pt>
                <c:pt idx="45">
                  <c:v>111.63751100885663</c:v>
                </c:pt>
                <c:pt idx="46">
                  <c:v>115.87936483558657</c:v>
                </c:pt>
                <c:pt idx="47">
                  <c:v>113.73690000216548</c:v>
                </c:pt>
                <c:pt idx="48">
                  <c:v>115.09071590561776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2012</c:v>
                  </c:pt>
                  <c:pt idx="6">
                    <c:v>2013</c:v>
                  </c:pt>
                  <c:pt idx="18">
                    <c:v>2014</c:v>
                  </c:pt>
                  <c:pt idx="30">
                    <c:v>2015</c:v>
                  </c:pt>
                  <c:pt idx="42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100.83430106144139</c:v>
                </c:pt>
                <c:pt idx="1">
                  <c:v>101.06115629882352</c:v>
                </c:pt>
                <c:pt idx="2">
                  <c:v>101.35092999718921</c:v>
                </c:pt>
                <c:pt idx="3">
                  <c:v>101.50940589270019</c:v>
                </c:pt>
                <c:pt idx="4">
                  <c:v>101.68668629323159</c:v>
                </c:pt>
                <c:pt idx="5">
                  <c:v>101.94847684567242</c:v>
                </c:pt>
                <c:pt idx="6">
                  <c:v>102.21481051991921</c:v>
                </c:pt>
                <c:pt idx="7">
                  <c:v>102.48002367308278</c:v>
                </c:pt>
                <c:pt idx="8">
                  <c:v>102.85481849822661</c:v>
                </c:pt>
                <c:pt idx="9">
                  <c:v>103.28377641770545</c:v>
                </c:pt>
                <c:pt idx="10">
                  <c:v>103.58461561658949</c:v>
                </c:pt>
                <c:pt idx="11">
                  <c:v>103.86440407970727</c:v>
                </c:pt>
                <c:pt idx="12">
                  <c:v>104.10746836734995</c:v>
                </c:pt>
                <c:pt idx="13">
                  <c:v>104.14817082824295</c:v>
                </c:pt>
                <c:pt idx="14">
                  <c:v>104.10581302779276</c:v>
                </c:pt>
                <c:pt idx="15">
                  <c:v>104.16537287275979</c:v>
                </c:pt>
                <c:pt idx="16">
                  <c:v>104.31333159606973</c:v>
                </c:pt>
                <c:pt idx="17">
                  <c:v>104.44206922060948</c:v>
                </c:pt>
                <c:pt idx="18">
                  <c:v>104.50171191968954</c:v>
                </c:pt>
                <c:pt idx="19">
                  <c:v>104.47789084439906</c:v>
                </c:pt>
                <c:pt idx="20">
                  <c:v>104.46068780894441</c:v>
                </c:pt>
                <c:pt idx="21">
                  <c:v>104.54339452075881</c:v>
                </c:pt>
                <c:pt idx="22">
                  <c:v>104.69385920873106</c:v>
                </c:pt>
                <c:pt idx="23">
                  <c:v>104.92570058621074</c:v>
                </c:pt>
                <c:pt idx="24">
                  <c:v>105.17044809036085</c:v>
                </c:pt>
                <c:pt idx="25">
                  <c:v>105.45386897322237</c:v>
                </c:pt>
                <c:pt idx="26">
                  <c:v>105.86691138896575</c:v>
                </c:pt>
                <c:pt idx="27">
                  <c:v>106.22844793116438</c:v>
                </c:pt>
                <c:pt idx="28">
                  <c:v>106.49576739654208</c:v>
                </c:pt>
                <c:pt idx="29">
                  <c:v>106.75491808653108</c:v>
                </c:pt>
                <c:pt idx="30">
                  <c:v>107.01963511844255</c:v>
                </c:pt>
                <c:pt idx="31">
                  <c:v>107.2083755422251</c:v>
                </c:pt>
                <c:pt idx="32">
                  <c:v>107.34647835222569</c:v>
                </c:pt>
                <c:pt idx="33">
                  <c:v>107.60362119903162</c:v>
                </c:pt>
                <c:pt idx="34">
                  <c:v>107.92672114867685</c:v>
                </c:pt>
                <c:pt idx="35">
                  <c:v>108.20451693848609</c:v>
                </c:pt>
                <c:pt idx="36">
                  <c:v>108.47674418609246</c:v>
                </c:pt>
                <c:pt idx="37">
                  <c:v>108.75776477454551</c:v>
                </c:pt>
                <c:pt idx="38">
                  <c:v>109.03941196124333</c:v>
                </c:pt>
                <c:pt idx="39">
                  <c:v>109.38853845198086</c:v>
                </c:pt>
                <c:pt idx="40">
                  <c:v>109.81014651157858</c:v>
                </c:pt>
                <c:pt idx="41">
                  <c:v>110.29528437319208</c:v>
                </c:pt>
                <c:pt idx="42">
                  <c:v>110.94819818374425</c:v>
                </c:pt>
                <c:pt idx="43">
                  <c:v>111.83640148411845</c:v>
                </c:pt>
                <c:pt idx="44">
                  <c:v>112.66450077158082</c:v>
                </c:pt>
                <c:pt idx="45">
                  <c:v>113.28597555686319</c:v>
                </c:pt>
                <c:pt idx="46">
                  <c:v>113.90518462726786</c:v>
                </c:pt>
                <c:pt idx="47">
                  <c:v>114.52619930228649</c:v>
                </c:pt>
                <c:pt idx="48">
                  <c:v>115.15755637196672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327768"/>
        <c:axId val="312597392"/>
      </c:lineChart>
      <c:catAx>
        <c:axId val="3113277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312597392"/>
        <c:crosses val="autoZero"/>
        <c:auto val="1"/>
        <c:lblAlgn val="ctr"/>
        <c:lblOffset val="100"/>
        <c:noMultiLvlLbl val="0"/>
      </c:catAx>
      <c:valAx>
        <c:axId val="312597392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3113277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zaJul2016!$A$2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zaJul2016!$B$1:$N$1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zaJul2016!$B$2:$N$2</c:f>
              <c:numCache>
                <c:formatCode>General</c:formatCode>
                <c:ptCount val="13"/>
                <c:pt idx="0">
                  <c:v>441833</c:v>
                </c:pt>
                <c:pt idx="1">
                  <c:v>336388</c:v>
                </c:pt>
                <c:pt idx="2">
                  <c:v>390273</c:v>
                </c:pt>
                <c:pt idx="3">
                  <c:v>396961</c:v>
                </c:pt>
                <c:pt idx="4">
                  <c:v>363606</c:v>
                </c:pt>
                <c:pt idx="5">
                  <c:v>346357</c:v>
                </c:pt>
                <c:pt idx="6">
                  <c:v>227697</c:v>
                </c:pt>
                <c:pt idx="7">
                  <c:v>330765</c:v>
                </c:pt>
                <c:pt idx="8">
                  <c:v>354491</c:v>
                </c:pt>
                <c:pt idx="9">
                  <c:v>421781</c:v>
                </c:pt>
                <c:pt idx="10">
                  <c:v>315411</c:v>
                </c:pt>
                <c:pt idx="11">
                  <c:v>418421</c:v>
                </c:pt>
                <c:pt idx="12">
                  <c:v>384376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zaJul2016!$B$1:$N$1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zaJul2016!$B$3:$N$3</c:f>
              <c:numCache>
                <c:formatCode>0</c:formatCode>
                <c:ptCount val="13"/>
                <c:pt idx="0">
                  <c:v>242225</c:v>
                </c:pt>
                <c:pt idx="1">
                  <c:v>201367</c:v>
                </c:pt>
                <c:pt idx="2">
                  <c:v>237597</c:v>
                </c:pt>
                <c:pt idx="3">
                  <c:v>240258</c:v>
                </c:pt>
                <c:pt idx="4">
                  <c:v>228539</c:v>
                </c:pt>
                <c:pt idx="5">
                  <c:v>226207</c:v>
                </c:pt>
                <c:pt idx="6">
                  <c:v>183779</c:v>
                </c:pt>
                <c:pt idx="7">
                  <c:v>211524</c:v>
                </c:pt>
                <c:pt idx="8">
                  <c:v>239782</c:v>
                </c:pt>
                <c:pt idx="9">
                  <c:v>228100</c:v>
                </c:pt>
                <c:pt idx="10">
                  <c:v>234236</c:v>
                </c:pt>
                <c:pt idx="11">
                  <c:v>248109</c:v>
                </c:pt>
                <c:pt idx="12">
                  <c:v>245480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2598176"/>
        <c:axId val="312598568"/>
      </c:lineChart>
      <c:catAx>
        <c:axId val="3125981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312598568"/>
        <c:crosses val="autoZero"/>
        <c:auto val="1"/>
        <c:lblAlgn val="ctr"/>
        <c:lblOffset val="100"/>
        <c:noMultiLvlLbl val="0"/>
      </c:catAx>
      <c:valAx>
        <c:axId val="3125985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31259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8CFF-4F85-4DE4-BC37-29CA21E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3703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9317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593</cp:revision>
  <cp:lastPrinted>2015-12-17T11:01:00Z</cp:lastPrinted>
  <dcterms:created xsi:type="dcterms:W3CDTF">2014-03-14T12:01:00Z</dcterms:created>
  <dcterms:modified xsi:type="dcterms:W3CDTF">2016-08-22T11:57:00Z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