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900786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90078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90078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900786">
              <w:rPr>
                <w:rFonts w:ascii="Tahoma" w:hAnsi="Tahoma" w:cs="Tahoma"/>
              </w:rPr>
              <w:br w:type="column"/>
            </w:r>
            <w:r w:rsidRPr="00900786">
              <w:rPr>
                <w:rFonts w:ascii="Tahoma" w:hAnsi="Tahoma" w:cs="Tahoma"/>
              </w:rPr>
              <w:br w:type="column"/>
            </w:r>
            <w:r w:rsidRPr="00900786">
              <w:rPr>
                <w:rFonts w:ascii="Tahoma" w:hAnsi="Tahoma" w:cs="Tahoma"/>
              </w:rPr>
              <w:br w:type="page"/>
            </w:r>
            <w:r w:rsidRPr="00900786">
              <w:rPr>
                <w:rFonts w:ascii="Tahoma" w:hAnsi="Tahoma" w:cs="Tahoma"/>
              </w:rPr>
              <w:br w:type="page"/>
            </w:r>
            <w:r w:rsidR="008B47D1" w:rsidRPr="0090078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90078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90078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90078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90078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90078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900786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900786" w:rsidRDefault="004551B9" w:rsidP="005C075C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</w:rPr>
            </w:pPr>
            <w:r w:rsidRPr="00900786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="009062FA" w:rsidRPr="00900786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900786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900786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="00900786">
              <w:rPr>
                <w:rFonts w:ascii="Arial Narrow" w:hAnsi="Arial Narrow" w:cs="Tahoma"/>
                <w:color w:val="1F497D" w:themeColor="text2"/>
                <w:sz w:val="16"/>
              </w:rPr>
              <w:t>22</w:t>
            </w:r>
            <w:r w:rsidR="00900786" w:rsidRPr="00900786">
              <w:rPr>
                <w:rFonts w:ascii="Arial Narrow" w:hAnsi="Arial Narrow" w:cs="Tahoma"/>
                <w:color w:val="1F497D" w:themeColor="text2"/>
                <w:sz w:val="16"/>
                <w:vertAlign w:val="superscript"/>
              </w:rPr>
              <w:t>nd</w:t>
            </w:r>
            <w:r w:rsidR="00900786">
              <w:rPr>
                <w:rFonts w:ascii="Arial Narrow" w:hAnsi="Arial Narrow" w:cs="Tahoma"/>
                <w:color w:val="1F497D" w:themeColor="text2"/>
                <w:sz w:val="16"/>
              </w:rPr>
              <w:t xml:space="preserve"> March </w:t>
            </w:r>
            <w:r w:rsidR="00431915" w:rsidRPr="00900786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2016</w:t>
            </w:r>
            <w:r w:rsidR="00900786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, </w:t>
            </w:r>
            <w:r w:rsidR="00431915" w:rsidRPr="00900786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No. </w:t>
            </w:r>
            <w:r w:rsidR="005C075C" w:rsidRPr="00900786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57</w:t>
            </w:r>
            <w:r w:rsidR="00431915" w:rsidRPr="00900786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/16</w:t>
            </w:r>
            <w:r w:rsidR="00F6075A" w:rsidRPr="00900786">
              <w:rPr>
                <w:rFonts w:ascii="Tahoma" w:hAnsi="Tahoma" w:cs="Tahoma"/>
                <w:color w:val="1F497D" w:themeColor="text2"/>
                <w:sz w:val="18"/>
              </w:rPr>
              <w:t xml:space="preserve"> </w:t>
            </w:r>
          </w:p>
        </w:tc>
      </w:tr>
      <w:tr w:rsidR="004C20B5" w:rsidRPr="00900786" w:rsidTr="005074F6">
        <w:trPr>
          <w:cantSplit/>
        </w:trPr>
        <w:tc>
          <w:tcPr>
            <w:tcW w:w="5251" w:type="dxa"/>
            <w:vAlign w:val="center"/>
          </w:tcPr>
          <w:p w:rsidR="005D5311" w:rsidRPr="0090078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90078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900786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90078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900786" w:rsidRDefault="00900786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 w:rsidRPr="00900786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900786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90078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900786" w:rsidRDefault="00900786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 w:rsidRPr="00900786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March</w:t>
            </w:r>
            <w:r w:rsidR="00353834" w:rsidRPr="00900786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2016</w:t>
            </w:r>
          </w:p>
        </w:tc>
      </w:tr>
    </w:tbl>
    <w:p w:rsidR="000F689B" w:rsidRPr="00900786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</w:rPr>
      </w:pPr>
    </w:p>
    <w:p w:rsidR="00E33D13" w:rsidRPr="00900786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</w:rPr>
      </w:pPr>
      <w:r w:rsidRPr="00900786">
        <w:rPr>
          <w:rFonts w:ascii="Arial Narrow" w:hAnsi="Arial Narrow" w:cs="Tahoma"/>
          <w:b/>
          <w:color w:val="FF0000"/>
          <w:sz w:val="30"/>
          <w:szCs w:val="30"/>
        </w:rPr>
        <w:t xml:space="preserve">  </w:t>
      </w:r>
      <w:r w:rsidR="00E7577D">
        <w:rPr>
          <w:rFonts w:ascii="Arial Narrow" w:hAnsi="Arial Narrow" w:cs="Tahoma"/>
          <w:b/>
          <w:sz w:val="30"/>
          <w:szCs w:val="30"/>
        </w:rPr>
        <w:t>Average net wage in February</w:t>
      </w:r>
      <w:r w:rsidR="00E33D13" w:rsidRPr="00900786">
        <w:rPr>
          <w:rFonts w:ascii="Arial Narrow" w:hAnsi="Arial Narrow" w:cs="Tahoma"/>
          <w:b/>
          <w:sz w:val="30"/>
          <w:szCs w:val="30"/>
        </w:rPr>
        <w:t xml:space="preserve"> 8</w:t>
      </w:r>
      <w:r w:rsidR="009D0778" w:rsidRPr="00900786">
        <w:rPr>
          <w:rFonts w:ascii="Arial Narrow" w:hAnsi="Arial Narrow" w:cs="Tahoma"/>
          <w:b/>
          <w:sz w:val="30"/>
          <w:szCs w:val="30"/>
        </w:rPr>
        <w:t>38</w:t>
      </w:r>
      <w:r w:rsidR="00E33D13" w:rsidRPr="00900786">
        <w:rPr>
          <w:rFonts w:ascii="Arial Narrow" w:hAnsi="Arial Narrow" w:cs="Tahoma"/>
          <w:b/>
          <w:sz w:val="30"/>
          <w:szCs w:val="30"/>
        </w:rPr>
        <w:t xml:space="preserve"> КМ</w:t>
      </w:r>
    </w:p>
    <w:p w:rsidR="00E33D13" w:rsidRPr="00900786" w:rsidRDefault="00E7577D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E7577D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E7577D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E7577D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</w:rPr>
        <w:t>1,</w:t>
      </w:r>
      <w:r w:rsidR="00E33D13" w:rsidRPr="00900786">
        <w:rPr>
          <w:rFonts w:ascii="Arial Narrow" w:hAnsi="Arial Narrow" w:cs="Tahoma"/>
          <w:b/>
          <w:sz w:val="28"/>
          <w:szCs w:val="28"/>
        </w:rPr>
        <w:t>2</w:t>
      </w:r>
      <w:r w:rsidR="009D0778" w:rsidRPr="00900786">
        <w:rPr>
          <w:rFonts w:ascii="Arial Narrow" w:hAnsi="Arial Narrow" w:cs="Tahoma"/>
          <w:b/>
          <w:sz w:val="28"/>
          <w:szCs w:val="28"/>
        </w:rPr>
        <w:t>60</w:t>
      </w:r>
      <w:r w:rsidR="00E33D13" w:rsidRPr="00900786">
        <w:rPr>
          <w:rFonts w:ascii="Arial Narrow" w:hAnsi="Arial Narrow" w:cs="Tahoma"/>
          <w:b/>
          <w:sz w:val="28"/>
          <w:szCs w:val="28"/>
        </w:rPr>
        <w:t xml:space="preserve"> КМ, </w:t>
      </w:r>
      <w:r w:rsidRPr="00E7577D">
        <w:rPr>
          <w:rFonts w:ascii="Arial Narrow" w:hAnsi="Arial Narrow" w:cs="Tahoma"/>
          <w:b/>
          <w:sz w:val="28"/>
          <w:szCs w:val="28"/>
        </w:rPr>
        <w:t>while the lowest one was that in the section</w:t>
      </w:r>
      <w:r w:rsidRPr="00E7577D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E7577D">
        <w:rPr>
          <w:rFonts w:ascii="Arial Narrow" w:hAnsi="Arial Narrow" w:cs="Tahoma"/>
          <w:b/>
          <w:i/>
          <w:sz w:val="28"/>
          <w:szCs w:val="28"/>
        </w:rPr>
        <w:t>Administrative and support service activities</w:t>
      </w:r>
      <w:r w:rsidRPr="00E7577D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="00E33D13" w:rsidRPr="00900786">
        <w:rPr>
          <w:rFonts w:ascii="Arial Narrow" w:hAnsi="Arial Narrow" w:cs="Tahoma"/>
          <w:b/>
          <w:sz w:val="28"/>
          <w:szCs w:val="28"/>
        </w:rPr>
        <w:t>5</w:t>
      </w:r>
      <w:r w:rsidR="009D0778" w:rsidRPr="00900786">
        <w:rPr>
          <w:rFonts w:ascii="Arial Narrow" w:hAnsi="Arial Narrow" w:cs="Tahoma"/>
          <w:b/>
          <w:sz w:val="28"/>
          <w:szCs w:val="28"/>
        </w:rPr>
        <w:t>13</w:t>
      </w:r>
      <w:r w:rsidR="00E33D13" w:rsidRPr="00900786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900786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900786">
        <w:rPr>
          <w:rFonts w:ascii="Tahoma" w:hAnsi="Tahoma" w:cs="Tahoma"/>
          <w:b/>
        </w:rPr>
        <w:tab/>
      </w:r>
      <w:r w:rsidRPr="00900786">
        <w:rPr>
          <w:rFonts w:ascii="Tahoma" w:hAnsi="Tahoma" w:cs="Tahoma"/>
          <w:b/>
        </w:rPr>
        <w:tab/>
      </w:r>
    </w:p>
    <w:p w:rsidR="003554A2" w:rsidRDefault="003554A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3554A2">
        <w:rPr>
          <w:rFonts w:ascii="Arial Narrow" w:hAnsi="Arial Narrow" w:cs="Tahoma"/>
          <w:sz w:val="22"/>
        </w:rPr>
        <w:t xml:space="preserve">Average monthly net wage of employed persons in </w:t>
      </w:r>
      <w:proofErr w:type="spellStart"/>
      <w:r w:rsidRPr="003554A2">
        <w:rPr>
          <w:rFonts w:ascii="Arial Narrow" w:hAnsi="Arial Narrow" w:cs="Tahoma"/>
          <w:sz w:val="22"/>
        </w:rPr>
        <w:t>Republika</w:t>
      </w:r>
      <w:proofErr w:type="spellEnd"/>
      <w:r w:rsidRPr="003554A2">
        <w:rPr>
          <w:rFonts w:ascii="Arial Narrow" w:hAnsi="Arial Narrow" w:cs="Tahoma"/>
          <w:sz w:val="22"/>
        </w:rPr>
        <w:t xml:space="preserve"> </w:t>
      </w:r>
      <w:proofErr w:type="spellStart"/>
      <w:r w:rsidRPr="003554A2">
        <w:rPr>
          <w:rFonts w:ascii="Arial Narrow" w:hAnsi="Arial Narrow" w:cs="Tahoma"/>
          <w:sz w:val="22"/>
        </w:rPr>
        <w:t>Srpska</w:t>
      </w:r>
      <w:proofErr w:type="spellEnd"/>
      <w:r w:rsidRPr="003554A2">
        <w:rPr>
          <w:rFonts w:ascii="Arial Narrow" w:hAnsi="Arial Narrow" w:cs="Tahoma"/>
          <w:b/>
          <w:sz w:val="22"/>
          <w:lang w:val="ru-RU"/>
        </w:rPr>
        <w:t xml:space="preserve"> </w:t>
      </w:r>
      <w:r w:rsidRPr="003554A2">
        <w:rPr>
          <w:rFonts w:ascii="Arial Narrow" w:hAnsi="Arial Narrow" w:cs="Tahoma"/>
          <w:sz w:val="22"/>
        </w:rPr>
        <w:t xml:space="preserve">paid in </w:t>
      </w:r>
      <w:r>
        <w:rPr>
          <w:rFonts w:ascii="Arial Narrow" w:hAnsi="Arial Narrow" w:cs="Tahoma"/>
          <w:sz w:val="22"/>
        </w:rPr>
        <w:t>February</w:t>
      </w:r>
      <w:r w:rsidRPr="003554A2">
        <w:rPr>
          <w:rFonts w:ascii="Arial Narrow" w:hAnsi="Arial Narrow" w:cs="Tahoma"/>
          <w:sz w:val="22"/>
        </w:rPr>
        <w:t xml:space="preserve"> 201</w:t>
      </w:r>
      <w:r>
        <w:rPr>
          <w:rFonts w:ascii="Arial Narrow" w:hAnsi="Arial Narrow" w:cs="Tahoma"/>
          <w:sz w:val="22"/>
        </w:rPr>
        <w:t>6</w:t>
      </w:r>
      <w:r w:rsidRPr="003554A2">
        <w:rPr>
          <w:rFonts w:ascii="Arial Narrow" w:hAnsi="Arial Narrow" w:cs="Tahoma"/>
          <w:sz w:val="22"/>
        </w:rPr>
        <w:t xml:space="preserve"> was</w:t>
      </w:r>
      <w:r w:rsidRPr="003554A2">
        <w:rPr>
          <w:rFonts w:ascii="Arial Narrow" w:hAnsi="Arial Narrow" w:cs="Tahoma"/>
          <w:b/>
          <w:sz w:val="22"/>
        </w:rPr>
        <w:t xml:space="preserve"> </w:t>
      </w:r>
      <w:r w:rsidRPr="003554A2">
        <w:rPr>
          <w:rFonts w:ascii="Arial Narrow" w:hAnsi="Arial Narrow" w:cs="Tahoma"/>
          <w:sz w:val="22"/>
        </w:rPr>
        <w:t>83</w:t>
      </w:r>
      <w:r>
        <w:rPr>
          <w:rFonts w:ascii="Arial Narrow" w:hAnsi="Arial Narrow" w:cs="Tahoma"/>
          <w:sz w:val="22"/>
        </w:rPr>
        <w:t>8</w:t>
      </w:r>
      <w:r w:rsidRPr="003554A2">
        <w:rPr>
          <w:rFonts w:ascii="Arial Narrow" w:hAnsi="Arial Narrow" w:cs="Tahoma"/>
          <w:sz w:val="22"/>
        </w:rPr>
        <w:t xml:space="preserve"> КМ, while average monthly gross wage was 1,3</w:t>
      </w:r>
      <w:r>
        <w:rPr>
          <w:rFonts w:ascii="Arial Narrow" w:hAnsi="Arial Narrow" w:cs="Tahoma"/>
          <w:sz w:val="22"/>
        </w:rPr>
        <w:t>49</w:t>
      </w:r>
      <w:r w:rsidRPr="003554A2">
        <w:rPr>
          <w:rFonts w:ascii="Arial Narrow" w:hAnsi="Arial Narrow" w:cs="Tahoma"/>
          <w:sz w:val="22"/>
        </w:rPr>
        <w:t xml:space="preserve"> КМ.</w:t>
      </w:r>
    </w:p>
    <w:p w:rsidR="00B82005" w:rsidRPr="00900786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</w:rPr>
      </w:pPr>
    </w:p>
    <w:p w:rsidR="00FC1675" w:rsidRDefault="00FC167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Compared to February 2015, average net wage paid in February 2016 was really 1.8% higher, while compared to January 2016 it was really 2.9% higher. </w:t>
      </w:r>
    </w:p>
    <w:p w:rsidR="00B747A8" w:rsidRPr="00900786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225A10" w:rsidRDefault="00225A10" w:rsidP="00501D76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increase in the average net wage in February 2016, compared to January 2016, occurred mainly due to a large number of entities which had no payments in January, while there were payments in February, in addition to the fact that these entities have high average wages and employ a significant number of persons. </w:t>
      </w:r>
    </w:p>
    <w:p w:rsidR="00F9163B" w:rsidRDefault="00F9163B" w:rsidP="00501D76">
      <w:pPr>
        <w:jc w:val="both"/>
        <w:rPr>
          <w:rFonts w:ascii="Arial Narrow" w:hAnsi="Arial Narrow" w:cs="Tahoma"/>
          <w:sz w:val="22"/>
          <w:szCs w:val="22"/>
        </w:rPr>
      </w:pPr>
    </w:p>
    <w:p w:rsidR="00F9163B" w:rsidRDefault="00F9163B" w:rsidP="00501D76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February 2016, the highest average net wage, by section of activities, was paid in the </w:t>
      </w:r>
      <w:r w:rsidRPr="00F9163B">
        <w:rPr>
          <w:rFonts w:ascii="Arial Narrow" w:hAnsi="Arial Narrow" w:cs="Tahoma"/>
          <w:sz w:val="22"/>
          <w:szCs w:val="22"/>
        </w:rPr>
        <w:t xml:space="preserve">section </w:t>
      </w:r>
      <w:r w:rsidRPr="00F9163B">
        <w:rPr>
          <w:rFonts w:ascii="Arial Narrow" w:hAnsi="Arial Narrow" w:cs="Tahoma"/>
          <w:i/>
          <w:sz w:val="22"/>
          <w:szCs w:val="22"/>
        </w:rPr>
        <w:t>Financial and insurance activities</w:t>
      </w:r>
      <w:r w:rsidRPr="00F9163B">
        <w:rPr>
          <w:rFonts w:ascii="Arial Narrow" w:hAnsi="Arial Narrow" w:cs="Tahoma"/>
          <w:sz w:val="22"/>
          <w:szCs w:val="22"/>
        </w:rPr>
        <w:t xml:space="preserve"> and it amounted to</w:t>
      </w:r>
      <w:r>
        <w:rPr>
          <w:rFonts w:ascii="Arial Narrow" w:hAnsi="Arial Narrow" w:cs="Tahoma"/>
          <w:sz w:val="22"/>
          <w:szCs w:val="22"/>
        </w:rPr>
        <w:t xml:space="preserve"> 1,260 KM. On the other hand, the lowest average net wage in February 2016 was the </w:t>
      </w:r>
      <w:proofErr w:type="spellStart"/>
      <w:r w:rsidRPr="00F9163B">
        <w:rPr>
          <w:rFonts w:ascii="Arial Narrow" w:hAnsi="Arial Narrow" w:cs="Tahoma"/>
          <w:sz w:val="22"/>
          <w:szCs w:val="22"/>
        </w:rPr>
        <w:t>the</w:t>
      </w:r>
      <w:proofErr w:type="spellEnd"/>
      <w:r w:rsidRPr="00F9163B">
        <w:rPr>
          <w:rFonts w:ascii="Arial Narrow" w:hAnsi="Arial Narrow" w:cs="Tahoma"/>
          <w:sz w:val="22"/>
          <w:szCs w:val="22"/>
        </w:rPr>
        <w:t xml:space="preserve"> one paid in the section </w:t>
      </w:r>
      <w:r w:rsidRPr="00F9163B">
        <w:rPr>
          <w:rFonts w:ascii="Arial Narrow" w:hAnsi="Arial Narrow" w:cs="Tahoma"/>
          <w:i/>
          <w:sz w:val="22"/>
          <w:szCs w:val="22"/>
        </w:rPr>
        <w:t xml:space="preserve">Administrative and support service activities </w:t>
      </w:r>
      <w:r>
        <w:rPr>
          <w:rFonts w:ascii="Arial Narrow" w:hAnsi="Arial Narrow" w:cs="Tahoma"/>
          <w:sz w:val="22"/>
          <w:szCs w:val="22"/>
        </w:rPr>
        <w:t>513</w:t>
      </w:r>
      <w:r w:rsidRPr="00F9163B">
        <w:rPr>
          <w:rFonts w:ascii="Arial Narrow" w:hAnsi="Arial Narrow" w:cs="Tahoma"/>
          <w:sz w:val="22"/>
          <w:szCs w:val="22"/>
        </w:rPr>
        <w:t xml:space="preserve"> KM</w:t>
      </w:r>
      <w:r>
        <w:rPr>
          <w:rFonts w:ascii="Arial Narrow" w:hAnsi="Arial Narrow" w:cs="Tahoma"/>
          <w:sz w:val="22"/>
          <w:szCs w:val="22"/>
        </w:rPr>
        <w:t>.</w:t>
      </w:r>
    </w:p>
    <w:p w:rsidR="00F9163B" w:rsidRDefault="00F9163B" w:rsidP="00501D76">
      <w:pPr>
        <w:jc w:val="both"/>
        <w:rPr>
          <w:rFonts w:ascii="Arial Narrow" w:hAnsi="Arial Narrow" w:cs="Tahoma"/>
          <w:sz w:val="22"/>
          <w:szCs w:val="22"/>
        </w:rPr>
      </w:pPr>
    </w:p>
    <w:p w:rsidR="00F9163B" w:rsidRPr="00F9163B" w:rsidRDefault="00F9163B" w:rsidP="00501D76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February 2016, compared to January 2016, a nominal increase in net wages was recorded in the sections </w:t>
      </w:r>
      <w:r w:rsidRPr="00F9163B">
        <w:rPr>
          <w:rFonts w:ascii="Arial Narrow" w:hAnsi="Arial Narrow" w:cs="Tahoma"/>
          <w:i/>
          <w:sz w:val="22"/>
          <w:szCs w:val="22"/>
        </w:rPr>
        <w:t>Information and communication</w:t>
      </w:r>
      <w:r>
        <w:rPr>
          <w:rFonts w:ascii="Arial Narrow" w:hAnsi="Arial Narrow" w:cs="Tahoma"/>
          <w:i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45.5%, </w:t>
      </w:r>
      <w:r w:rsidRPr="00F9163B">
        <w:rPr>
          <w:rFonts w:ascii="Arial Narrow" w:hAnsi="Arial Narrow" w:cs="Tahoma"/>
          <w:i/>
          <w:sz w:val="22"/>
          <w:szCs w:val="22"/>
        </w:rPr>
        <w:t>Professional, scientific and technical activities</w:t>
      </w:r>
      <w:r>
        <w:rPr>
          <w:rFonts w:ascii="Arial Narrow" w:hAnsi="Arial Narrow" w:cs="Tahoma"/>
          <w:sz w:val="22"/>
          <w:szCs w:val="22"/>
        </w:rPr>
        <w:t xml:space="preserve"> 7.0% and </w:t>
      </w:r>
      <w:r w:rsidRPr="00F9163B">
        <w:rPr>
          <w:rFonts w:ascii="Arial Narrow" w:hAnsi="Arial Narrow" w:cs="Tahoma"/>
          <w:i/>
          <w:sz w:val="22"/>
          <w:szCs w:val="22"/>
        </w:rPr>
        <w:t>Electricity, gas, steam and air-conditioning supply</w:t>
      </w:r>
      <w:r>
        <w:rPr>
          <w:rFonts w:ascii="Arial Narrow" w:hAnsi="Arial Narrow" w:cs="Tahoma"/>
          <w:sz w:val="22"/>
          <w:szCs w:val="22"/>
        </w:rPr>
        <w:t xml:space="preserve"> 5.3%. </w:t>
      </w:r>
    </w:p>
    <w:p w:rsidR="00E33D13" w:rsidRPr="00900786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FF3EA0" w:rsidRPr="00900786" w:rsidRDefault="00F9163B" w:rsidP="00E33D1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  <w:szCs w:val="22"/>
        </w:rPr>
        <w:t xml:space="preserve">A decrease in nominal wages was recorded in the sections </w:t>
      </w:r>
      <w:r w:rsidRPr="00F9163B">
        <w:rPr>
          <w:rFonts w:ascii="Arial Narrow" w:hAnsi="Arial Narrow" w:cs="Tahoma"/>
          <w:i/>
          <w:sz w:val="22"/>
          <w:szCs w:val="22"/>
        </w:rPr>
        <w:t>Accommodation and food service activities</w:t>
      </w:r>
      <w:r>
        <w:rPr>
          <w:rFonts w:ascii="Arial Narrow" w:hAnsi="Arial Narrow" w:cs="Tahoma"/>
          <w:sz w:val="22"/>
          <w:szCs w:val="22"/>
        </w:rPr>
        <w:t xml:space="preserve"> 10.5%, </w:t>
      </w:r>
      <w:proofErr w:type="gramStart"/>
      <w:r w:rsidRPr="00F9163B">
        <w:rPr>
          <w:rFonts w:ascii="Arial Narrow" w:hAnsi="Arial Narrow" w:cs="Tahoma"/>
          <w:i/>
          <w:sz w:val="22"/>
          <w:szCs w:val="22"/>
        </w:rPr>
        <w:t>Other</w:t>
      </w:r>
      <w:proofErr w:type="gramEnd"/>
      <w:r w:rsidRPr="00F9163B">
        <w:rPr>
          <w:rFonts w:ascii="Arial Narrow" w:hAnsi="Arial Narrow" w:cs="Tahoma"/>
          <w:i/>
          <w:sz w:val="22"/>
          <w:szCs w:val="22"/>
        </w:rPr>
        <w:t xml:space="preserve"> service activities</w:t>
      </w:r>
      <w:r>
        <w:rPr>
          <w:rFonts w:ascii="Arial Narrow" w:hAnsi="Arial Narrow" w:cs="Tahoma"/>
          <w:sz w:val="22"/>
          <w:szCs w:val="22"/>
        </w:rPr>
        <w:t xml:space="preserve"> 3.3% and </w:t>
      </w:r>
      <w:r w:rsidRPr="00F9163B">
        <w:rPr>
          <w:rFonts w:ascii="Arial Narrow" w:hAnsi="Arial Narrow" w:cs="Tahoma"/>
          <w:i/>
          <w:sz w:val="22"/>
          <w:szCs w:val="22"/>
        </w:rPr>
        <w:t>Financial and insurance activities</w:t>
      </w:r>
      <w:r>
        <w:rPr>
          <w:rFonts w:ascii="Arial Narrow" w:hAnsi="Arial Narrow" w:cs="Tahoma"/>
          <w:sz w:val="22"/>
          <w:szCs w:val="22"/>
        </w:rPr>
        <w:t xml:space="preserve"> 2.7%. </w:t>
      </w:r>
    </w:p>
    <w:p w:rsidR="00E33D13" w:rsidRPr="00900786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</w:p>
    <w:p w:rsidR="00396802" w:rsidRPr="00900786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900786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900786">
        <w:rPr>
          <w:rFonts w:ascii="Tahoma" w:hAnsi="Tahoma" w:cs="Tahoma"/>
          <w:i/>
          <w:sz w:val="14"/>
        </w:rPr>
        <w:t xml:space="preserve"> </w:t>
      </w:r>
      <w:r w:rsidRPr="00900786">
        <w:rPr>
          <w:rFonts w:ascii="Tahoma" w:hAnsi="Tahoma" w:cs="Tahoma"/>
          <w:sz w:val="14"/>
        </w:rPr>
        <w:t xml:space="preserve">   </w:t>
      </w:r>
      <w:r w:rsidRPr="00900786">
        <w:rPr>
          <w:rFonts w:ascii="Tahoma" w:hAnsi="Tahoma" w:cs="Tahoma"/>
          <w:sz w:val="14"/>
        </w:rPr>
        <w:tab/>
      </w:r>
      <w:r w:rsidRPr="00900786">
        <w:rPr>
          <w:rFonts w:ascii="Tahoma" w:hAnsi="Tahoma" w:cs="Tahoma"/>
          <w:sz w:val="14"/>
        </w:rPr>
        <w:tab/>
        <w:t xml:space="preserve">            </w:t>
      </w:r>
      <w:r w:rsidR="00F85AAC" w:rsidRPr="00900786">
        <w:rPr>
          <w:rFonts w:ascii="Tahoma" w:hAnsi="Tahoma" w:cs="Tahoma"/>
          <w:sz w:val="14"/>
        </w:rPr>
        <w:t xml:space="preserve">   </w:t>
      </w:r>
      <w:proofErr w:type="spellStart"/>
      <w:proofErr w:type="gramStart"/>
      <w:r w:rsidRPr="00900786">
        <w:rPr>
          <w:rFonts w:ascii="Arial Narrow" w:hAnsi="Arial Narrow" w:cs="Tahoma"/>
          <w:sz w:val="22"/>
          <w:szCs w:val="22"/>
        </w:rPr>
        <w:t>км</w:t>
      </w:r>
      <w:proofErr w:type="spellEnd"/>
      <w:proofErr w:type="gramEnd"/>
    </w:p>
    <w:p w:rsidR="00E33D13" w:rsidRPr="00900786" w:rsidRDefault="00AD485B" w:rsidP="00E33D13">
      <w:pPr>
        <w:jc w:val="center"/>
        <w:rPr>
          <w:rFonts w:ascii="Tahoma" w:hAnsi="Tahoma" w:cs="Tahoma"/>
        </w:rPr>
      </w:pPr>
      <w:r w:rsidRPr="00900786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2063750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900786">
        <w:rPr>
          <w:rFonts w:ascii="Tahoma" w:hAnsi="Tahoma" w:cs="Tahoma"/>
          <w:szCs w:val="18"/>
        </w:rPr>
        <w:t xml:space="preserve">   </w:t>
      </w:r>
      <w:r w:rsidR="00501D76" w:rsidRPr="00900786">
        <w:rPr>
          <w:noProof/>
        </w:rPr>
        <w:drawing>
          <wp:inline distT="0" distB="0" distL="0" distR="0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900786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900786" w:rsidRDefault="008237AD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E33D13" w:rsidRPr="00900786">
        <w:rPr>
          <w:rFonts w:ascii="Arial Narrow" w:hAnsi="Arial Narrow" w:cs="Tahoma"/>
          <w:sz w:val="16"/>
          <w:szCs w:val="22"/>
        </w:rPr>
        <w:t xml:space="preserve"> </w:t>
      </w:r>
      <w:r w:rsidR="0066022A" w:rsidRPr="00900786">
        <w:rPr>
          <w:rFonts w:ascii="Arial Narrow" w:hAnsi="Arial Narrow" w:cs="Tahoma"/>
          <w:sz w:val="16"/>
          <w:szCs w:val="22"/>
        </w:rPr>
        <w:t>1</w:t>
      </w:r>
      <w:r w:rsidR="00E33D13" w:rsidRPr="00900786">
        <w:rPr>
          <w:rFonts w:ascii="Arial Narrow" w:hAnsi="Arial Narrow" w:cs="Tahoma"/>
          <w:sz w:val="16"/>
          <w:szCs w:val="22"/>
        </w:rPr>
        <w:t xml:space="preserve">.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E051D" w:rsidRPr="00900786" w:rsidRDefault="00BE051D">
      <w:pPr>
        <w:rPr>
          <w:rFonts w:ascii="Arial Narrow" w:hAnsi="Arial Narrow" w:cs="Tahoma"/>
          <w:sz w:val="22"/>
        </w:rPr>
      </w:pPr>
    </w:p>
    <w:p w:rsidR="00EB2F3C" w:rsidRPr="00900786" w:rsidRDefault="00EB2F3C">
      <w:pPr>
        <w:rPr>
          <w:rFonts w:ascii="Arial Narrow" w:hAnsi="Arial Narrow" w:cs="Tahoma"/>
          <w:sz w:val="22"/>
        </w:rPr>
      </w:pPr>
    </w:p>
    <w:p w:rsidR="00F6529E" w:rsidRPr="00900786" w:rsidRDefault="00824225" w:rsidP="00F6529E">
      <w:pPr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t>Monthly inflation -0.</w:t>
      </w:r>
      <w:r w:rsidR="00F6529E" w:rsidRPr="00900786">
        <w:rPr>
          <w:rFonts w:ascii="Arial Narrow" w:hAnsi="Arial Narrow" w:cs="Tahoma"/>
          <w:b/>
          <w:sz w:val="30"/>
          <w:szCs w:val="30"/>
        </w:rPr>
        <w:t>2%</w:t>
      </w:r>
      <w:r>
        <w:rPr>
          <w:rFonts w:ascii="Arial Narrow" w:hAnsi="Arial Narrow" w:cs="Tahoma"/>
          <w:b/>
          <w:sz w:val="30"/>
          <w:szCs w:val="30"/>
        </w:rPr>
        <w:t xml:space="preserve"> in February 2016</w:t>
      </w:r>
    </w:p>
    <w:p w:rsidR="00F6529E" w:rsidRPr="00900786" w:rsidRDefault="00824225" w:rsidP="00F6529E">
      <w:pPr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F6529E" w:rsidRPr="00900786">
        <w:rPr>
          <w:rFonts w:ascii="Arial Narrow" w:hAnsi="Arial Narrow" w:cs="Tahoma"/>
          <w:b/>
          <w:sz w:val="30"/>
          <w:szCs w:val="30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February</w:t>
      </w:r>
      <w:r w:rsidR="00235A25" w:rsidRPr="00900786">
        <w:rPr>
          <w:rFonts w:ascii="Arial Narrow" w:hAnsi="Arial Narrow" w:cs="Tahoma"/>
          <w:b/>
          <w:sz w:val="28"/>
          <w:szCs w:val="28"/>
        </w:rPr>
        <w:t xml:space="preserve"> </w:t>
      </w:r>
      <w:r w:rsidR="00F6529E" w:rsidRPr="00900786">
        <w:rPr>
          <w:rFonts w:ascii="Arial Narrow" w:hAnsi="Arial Narrow" w:cs="Tahoma"/>
          <w:b/>
          <w:sz w:val="30"/>
          <w:szCs w:val="30"/>
        </w:rPr>
        <w:t>2016/</w:t>
      </w:r>
      <w:r>
        <w:rPr>
          <w:rFonts w:ascii="Arial Narrow" w:hAnsi="Arial Narrow" w:cs="Tahoma"/>
          <w:b/>
          <w:sz w:val="30"/>
          <w:szCs w:val="30"/>
        </w:rPr>
        <w:t>February</w:t>
      </w:r>
      <w:r w:rsidR="00235A25" w:rsidRPr="00900786">
        <w:rPr>
          <w:rFonts w:ascii="Arial Narrow" w:hAnsi="Arial Narrow" w:cs="Tahoma"/>
          <w:b/>
          <w:sz w:val="30"/>
          <w:szCs w:val="30"/>
        </w:rPr>
        <w:t xml:space="preserve"> </w:t>
      </w:r>
      <w:r>
        <w:rPr>
          <w:rFonts w:ascii="Arial Narrow" w:hAnsi="Arial Narrow" w:cs="Tahoma"/>
          <w:b/>
          <w:sz w:val="30"/>
          <w:szCs w:val="30"/>
        </w:rPr>
        <w:t>2015) -1.</w:t>
      </w:r>
      <w:r w:rsidR="00F6529E" w:rsidRPr="00900786">
        <w:rPr>
          <w:rFonts w:ascii="Arial Narrow" w:hAnsi="Arial Narrow" w:cs="Tahoma"/>
          <w:b/>
          <w:sz w:val="30"/>
          <w:szCs w:val="30"/>
        </w:rPr>
        <w:t>3%</w:t>
      </w:r>
    </w:p>
    <w:p w:rsidR="00F6529E" w:rsidRPr="00900786" w:rsidRDefault="00F6529E" w:rsidP="00F6529E">
      <w:pPr>
        <w:spacing w:after="120"/>
        <w:jc w:val="both"/>
        <w:rPr>
          <w:rFonts w:ascii="Tahoma" w:hAnsi="Tahoma" w:cs="Tahoma"/>
        </w:rPr>
      </w:pPr>
    </w:p>
    <w:p w:rsidR="00AE04A7" w:rsidRDefault="00AE04A7" w:rsidP="00F6529E">
      <w:pPr>
        <w:spacing w:after="120"/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Prices of products and services for personal consumption in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, measured with the consumer price index, in February 2016, compared to the previous month, were on the average 0.2% lower, while they were 1.3% lower at the annual level. </w:t>
      </w:r>
    </w:p>
    <w:p w:rsidR="00AE04A7" w:rsidRDefault="00AE04A7" w:rsidP="00F6529E">
      <w:pPr>
        <w:spacing w:after="120"/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Of the 12 main divisions of products and services, an increase in prices was recorded in three divisions, a decrease was recorded in five divisions, while prices in four divisions remained on the average at the same level. </w:t>
      </w:r>
    </w:p>
    <w:p w:rsidR="00AE04A7" w:rsidRDefault="00AE04A7" w:rsidP="00F6529E">
      <w:pPr>
        <w:spacing w:after="120"/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>The highest increase in prices in February was recorded in</w:t>
      </w:r>
      <w:r w:rsidR="00283C03">
        <w:rPr>
          <w:rFonts w:ascii="Arial Narrow" w:hAnsi="Arial Narrow" w:cs="Tahoma"/>
          <w:sz w:val="22"/>
        </w:rPr>
        <w:t xml:space="preserve"> the division</w:t>
      </w:r>
      <w:r>
        <w:rPr>
          <w:rFonts w:ascii="Arial Narrow" w:hAnsi="Arial Narrow" w:cs="Tahoma"/>
          <w:sz w:val="22"/>
        </w:rPr>
        <w:t xml:space="preserve"> </w:t>
      </w:r>
      <w:r w:rsidRPr="00EC4C30">
        <w:rPr>
          <w:rFonts w:ascii="Arial Narrow" w:hAnsi="Arial Narrow" w:cs="Tahoma"/>
          <w:i/>
          <w:sz w:val="22"/>
        </w:rPr>
        <w:t>Food and non-alcoholic beverages</w:t>
      </w:r>
      <w:r>
        <w:rPr>
          <w:rFonts w:ascii="Arial Narrow" w:hAnsi="Arial Narrow" w:cs="Tahoma"/>
          <w:sz w:val="22"/>
        </w:rPr>
        <w:t xml:space="preserve"> (0.8</w:t>
      </w:r>
      <w:r>
        <w:rPr>
          <w:rFonts w:ascii="Arial Narrow" w:hAnsi="Arial Narrow" w:cs="Tahoma"/>
          <w:sz w:val="22"/>
        </w:rPr>
        <w:t>%), namely in</w:t>
      </w:r>
      <w:r>
        <w:rPr>
          <w:rFonts w:ascii="Arial Narrow" w:hAnsi="Arial Narrow" w:cs="Tahoma"/>
          <w:sz w:val="22"/>
        </w:rPr>
        <w:t xml:space="preserve"> the groups vegetables (5.0%) and fruit (4.6%), due to seasonal effects and new purchase prices commonly recorded in February. An increase was also recorded in the group oils and fats (1.0%), due to new purchase prices of oil and margarine, as well as in the group sugar, honey and related products (0.8%), due to a new purchase price of sugar (3.9%). Higher prices were also recorded in the division </w:t>
      </w:r>
      <w:r w:rsidRPr="00AE04A7">
        <w:rPr>
          <w:rFonts w:ascii="Arial Narrow" w:hAnsi="Arial Narrow" w:cs="Tahoma"/>
          <w:i/>
          <w:sz w:val="22"/>
        </w:rPr>
        <w:t>Health care</w:t>
      </w:r>
      <w:r>
        <w:rPr>
          <w:rFonts w:ascii="Arial Narrow" w:hAnsi="Arial Narrow" w:cs="Tahoma"/>
          <w:sz w:val="22"/>
        </w:rPr>
        <w:t xml:space="preserve"> (0.3%), in the group pharmaceutical and other medical products (0.4%), due to higher purchase prices of certain medicaments, and in the division </w:t>
      </w:r>
      <w:r w:rsidRPr="00AE04A7">
        <w:rPr>
          <w:rFonts w:ascii="Arial Narrow" w:hAnsi="Arial Narrow" w:cs="Tahoma"/>
          <w:i/>
          <w:sz w:val="22"/>
        </w:rPr>
        <w:t>Alcoholic beverages and tobacco</w:t>
      </w:r>
      <w:r>
        <w:rPr>
          <w:rFonts w:ascii="Arial Narrow" w:hAnsi="Arial Narrow" w:cs="Tahoma"/>
          <w:sz w:val="22"/>
        </w:rPr>
        <w:t xml:space="preserve">, in which the highest increase (0.8%) was recorded in the </w:t>
      </w:r>
      <w:proofErr w:type="gramStart"/>
      <w:r>
        <w:rPr>
          <w:rFonts w:ascii="Arial Narrow" w:hAnsi="Arial Narrow" w:cs="Tahoma"/>
          <w:sz w:val="22"/>
        </w:rPr>
        <w:t>groups</w:t>
      </w:r>
      <w:proofErr w:type="gramEnd"/>
      <w:r>
        <w:rPr>
          <w:rFonts w:ascii="Arial Narrow" w:hAnsi="Arial Narrow" w:cs="Tahoma"/>
          <w:sz w:val="22"/>
        </w:rPr>
        <w:t xml:space="preserve"> spirits and beer, also due to new purchase prices. </w:t>
      </w:r>
    </w:p>
    <w:p w:rsidR="00F6529E" w:rsidRPr="00900786" w:rsidRDefault="00283C03" w:rsidP="00F6529E">
      <w:pPr>
        <w:spacing w:after="120"/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>In the divisions</w:t>
      </w:r>
      <w:r w:rsidR="00F6529E" w:rsidRPr="00900786"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i/>
          <w:sz w:val="22"/>
        </w:rPr>
        <w:t>Housing</w:t>
      </w:r>
      <w:r w:rsidR="00F6529E" w:rsidRPr="00900786">
        <w:rPr>
          <w:rFonts w:ascii="Arial Narrow" w:hAnsi="Arial Narrow" w:cs="Tahoma"/>
          <w:i/>
          <w:sz w:val="22"/>
        </w:rPr>
        <w:t xml:space="preserve">, </w:t>
      </w:r>
      <w:r>
        <w:rPr>
          <w:rFonts w:ascii="Arial Narrow" w:hAnsi="Arial Narrow" w:cs="Tahoma"/>
          <w:i/>
          <w:sz w:val="22"/>
        </w:rPr>
        <w:t>Communication</w:t>
      </w:r>
      <w:r w:rsidR="00F6529E" w:rsidRPr="00900786">
        <w:rPr>
          <w:rFonts w:ascii="Arial Narrow" w:hAnsi="Arial Narrow" w:cs="Tahoma"/>
          <w:i/>
          <w:sz w:val="22"/>
        </w:rPr>
        <w:t xml:space="preserve">, </w:t>
      </w:r>
      <w:r>
        <w:rPr>
          <w:rFonts w:ascii="Arial Narrow" w:hAnsi="Arial Narrow" w:cs="Tahoma"/>
          <w:i/>
          <w:sz w:val="22"/>
        </w:rPr>
        <w:t>Education,</w:t>
      </w:r>
      <w:r w:rsidR="00F6529E" w:rsidRPr="00900786"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>and</w:t>
      </w:r>
      <w:r w:rsidR="00F6529E" w:rsidRPr="00900786"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i/>
          <w:sz w:val="22"/>
        </w:rPr>
        <w:t>Restaurants and hotels</w:t>
      </w:r>
      <w:r w:rsidR="00F6529E" w:rsidRPr="00900786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prices remained on the average at the same level</w:t>
      </w:r>
      <w:r w:rsidR="00F6529E" w:rsidRPr="00900786">
        <w:rPr>
          <w:rFonts w:ascii="Arial Narrow" w:hAnsi="Arial Narrow" w:cs="Tahoma"/>
          <w:sz w:val="22"/>
        </w:rPr>
        <w:t>.</w:t>
      </w:r>
    </w:p>
    <w:p w:rsidR="002C53B7" w:rsidRDefault="002C53B7" w:rsidP="00F6529E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The highest decrease in prices in February was recorded in the division </w:t>
      </w:r>
      <w:r w:rsidRPr="002C53B7">
        <w:rPr>
          <w:rFonts w:ascii="Arial Narrow" w:hAnsi="Arial Narrow" w:cs="Tahoma"/>
          <w:i/>
          <w:sz w:val="22"/>
        </w:rPr>
        <w:t>Transport</w:t>
      </w:r>
      <w:r>
        <w:rPr>
          <w:rFonts w:ascii="Arial Narrow" w:hAnsi="Arial Narrow" w:cs="Tahoma"/>
          <w:sz w:val="22"/>
        </w:rPr>
        <w:t xml:space="preserve"> (2.6%), due to lower purchase prices of fuels (5.8%) and as a result of reduced prices of local transport tickets in the City of Banja Luka (0.9%).  A decrease in prices was also recorded in the division </w:t>
      </w:r>
      <w:proofErr w:type="gramStart"/>
      <w:r w:rsidRPr="002C53B7">
        <w:rPr>
          <w:rFonts w:ascii="Arial Narrow" w:hAnsi="Arial Narrow" w:cs="Tahoma"/>
          <w:i/>
          <w:sz w:val="22"/>
        </w:rPr>
        <w:t>Other</w:t>
      </w:r>
      <w:proofErr w:type="gramEnd"/>
      <w:r w:rsidRPr="002C53B7">
        <w:rPr>
          <w:rFonts w:ascii="Arial Narrow" w:hAnsi="Arial Narrow" w:cs="Tahoma"/>
          <w:i/>
          <w:sz w:val="22"/>
        </w:rPr>
        <w:t xml:space="preserve"> goods and services</w:t>
      </w:r>
      <w:r>
        <w:rPr>
          <w:rFonts w:ascii="Arial Narrow" w:hAnsi="Arial Narrow" w:cs="Tahoma"/>
          <w:sz w:val="22"/>
        </w:rPr>
        <w:t xml:space="preserve"> (1.2%), due to numerous discounts on personal care products. A slight decrease in prices was also recorded in the division Clothing and footwear (0.6%) and in the division Furnishing and other equipment (0.3%), due to discounts and permanently reduced prices in the group </w:t>
      </w:r>
      <w:r>
        <w:rPr>
          <w:rFonts w:ascii="Arial Narrow" w:hAnsi="Arial Narrow" w:cs="Tahoma"/>
          <w:sz w:val="22"/>
        </w:rPr>
        <w:t>household cleaning and maintenance products</w:t>
      </w:r>
      <w:r>
        <w:rPr>
          <w:rFonts w:ascii="Arial Narrow" w:hAnsi="Arial Narrow" w:cs="Tahoma"/>
          <w:sz w:val="22"/>
        </w:rPr>
        <w:t>.</w:t>
      </w:r>
    </w:p>
    <w:p w:rsidR="00CA3895" w:rsidRPr="00900786" w:rsidRDefault="00CA3895" w:rsidP="00CA3895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28"/>
        </w:rPr>
      </w:pPr>
    </w:p>
    <w:p w:rsidR="00A905EA" w:rsidRPr="00900786" w:rsidRDefault="002C53B7" w:rsidP="00A905EA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>
        <w:rPr>
          <w:rFonts w:ascii="Arial Narrow" w:hAnsi="Arial Narrow" w:cs="Tahoma"/>
          <w:b/>
          <w:bCs/>
          <w:sz w:val="30"/>
          <w:szCs w:val="30"/>
        </w:rPr>
        <w:t>Seasonally adjusted industrial production</w:t>
      </w:r>
      <w:r w:rsidR="00166F34" w:rsidRPr="00900786">
        <w:rPr>
          <w:rFonts w:ascii="Arial Narrow" w:hAnsi="Arial Narrow" w:cs="Tahoma"/>
          <w:b/>
          <w:sz w:val="30"/>
          <w:szCs w:val="30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February</w:t>
      </w:r>
      <w:r w:rsidR="00166F34" w:rsidRPr="00900786">
        <w:rPr>
          <w:rFonts w:ascii="Arial Narrow" w:hAnsi="Arial Narrow" w:cs="Tahoma"/>
          <w:b/>
          <w:sz w:val="30"/>
          <w:szCs w:val="30"/>
        </w:rPr>
        <w:t xml:space="preserve"> 201</w:t>
      </w:r>
      <w:r w:rsidR="00A905EA" w:rsidRPr="00900786">
        <w:rPr>
          <w:rFonts w:ascii="Arial Narrow" w:hAnsi="Arial Narrow" w:cs="Tahoma"/>
          <w:b/>
          <w:sz w:val="30"/>
          <w:szCs w:val="30"/>
        </w:rPr>
        <w:t>6</w:t>
      </w:r>
      <w:r>
        <w:rPr>
          <w:rFonts w:ascii="Arial Narrow" w:hAnsi="Arial Narrow" w:cs="Tahoma"/>
          <w:b/>
          <w:sz w:val="30"/>
          <w:szCs w:val="30"/>
        </w:rPr>
        <w:t>/January</w:t>
      </w:r>
      <w:r w:rsidR="00166F34" w:rsidRPr="00900786">
        <w:rPr>
          <w:rFonts w:ascii="Arial Narrow" w:hAnsi="Arial Narrow" w:cs="Tahoma"/>
          <w:b/>
          <w:bCs/>
          <w:sz w:val="30"/>
          <w:szCs w:val="30"/>
        </w:rPr>
        <w:t xml:space="preserve"> 201</w:t>
      </w:r>
      <w:r w:rsidR="00A905EA" w:rsidRPr="00900786">
        <w:rPr>
          <w:rFonts w:ascii="Arial Narrow" w:hAnsi="Arial Narrow" w:cs="Tahoma"/>
          <w:b/>
          <w:bCs/>
          <w:sz w:val="30"/>
          <w:szCs w:val="30"/>
        </w:rPr>
        <w:t>6</w:t>
      </w:r>
      <w:r w:rsidR="00166F34" w:rsidRPr="00900786">
        <w:rPr>
          <w:rFonts w:ascii="Arial Narrow" w:hAnsi="Arial Narrow" w:cs="Tahoma"/>
          <w:b/>
          <w:bCs/>
          <w:sz w:val="30"/>
          <w:szCs w:val="30"/>
        </w:rPr>
        <w:t xml:space="preserve">)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166F34" w:rsidRPr="00900786">
        <w:rPr>
          <w:rFonts w:ascii="Arial Narrow" w:hAnsi="Arial Narrow" w:cs="Tahoma"/>
          <w:b/>
          <w:bCs/>
          <w:sz w:val="30"/>
          <w:szCs w:val="30"/>
        </w:rPr>
        <w:t xml:space="preserve"> </w:t>
      </w:r>
      <w:r w:rsidR="00A905EA" w:rsidRPr="00900786">
        <w:rPr>
          <w:rFonts w:ascii="Arial Narrow" w:hAnsi="Arial Narrow" w:cs="Tahoma"/>
          <w:b/>
          <w:bCs/>
          <w:sz w:val="30"/>
          <w:szCs w:val="30"/>
        </w:rPr>
        <w:t>9</w:t>
      </w:r>
      <w:r>
        <w:rPr>
          <w:rFonts w:ascii="Arial Narrow" w:hAnsi="Arial Narrow" w:cs="Tahoma"/>
          <w:b/>
          <w:bCs/>
          <w:sz w:val="30"/>
          <w:szCs w:val="30"/>
        </w:rPr>
        <w:t>.</w:t>
      </w:r>
      <w:r w:rsidR="00A905EA" w:rsidRPr="00900786">
        <w:rPr>
          <w:rFonts w:ascii="Arial Narrow" w:hAnsi="Arial Narrow" w:cs="Tahoma"/>
          <w:b/>
          <w:bCs/>
          <w:sz w:val="30"/>
          <w:szCs w:val="30"/>
        </w:rPr>
        <w:t>0</w:t>
      </w:r>
      <w:r w:rsidR="00166F34" w:rsidRPr="00900786">
        <w:rPr>
          <w:rFonts w:ascii="Arial Narrow" w:hAnsi="Arial Narrow" w:cs="Tahoma"/>
          <w:b/>
          <w:bCs/>
          <w:sz w:val="30"/>
          <w:szCs w:val="30"/>
        </w:rPr>
        <w:t>%</w:t>
      </w:r>
      <w:r w:rsidR="00A905EA" w:rsidRPr="00900786">
        <w:rPr>
          <w:rFonts w:ascii="Arial Narrow" w:hAnsi="Arial Narrow" w:cs="Tahoma"/>
          <w:b/>
          <w:bCs/>
          <w:sz w:val="30"/>
          <w:szCs w:val="30"/>
        </w:rPr>
        <w:t xml:space="preserve"> </w:t>
      </w:r>
    </w:p>
    <w:p w:rsidR="00166F34" w:rsidRPr="00900786" w:rsidRDefault="002C53B7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28"/>
        </w:rPr>
      </w:pPr>
      <w:r>
        <w:rPr>
          <w:rFonts w:ascii="Arial Narrow" w:hAnsi="Arial Narrow" w:cs="Tahoma"/>
          <w:b/>
          <w:bCs/>
          <w:sz w:val="28"/>
          <w:szCs w:val="28"/>
        </w:rPr>
        <w:t>Working-day adjusted industrial production</w:t>
      </w:r>
      <w:r w:rsidR="00A905EA" w:rsidRPr="00900786">
        <w:rPr>
          <w:rFonts w:ascii="Arial Narrow" w:hAnsi="Arial Narrow" w:cs="Tahoma"/>
          <w:b/>
          <w:sz w:val="28"/>
          <w:szCs w:val="28"/>
        </w:rPr>
        <w:t xml:space="preserve"> (</w:t>
      </w:r>
      <w:r>
        <w:rPr>
          <w:rFonts w:ascii="Arial Narrow" w:hAnsi="Arial Narrow" w:cs="Tahoma"/>
          <w:b/>
          <w:sz w:val="28"/>
          <w:szCs w:val="28"/>
        </w:rPr>
        <w:t xml:space="preserve">February </w:t>
      </w:r>
      <w:r w:rsidR="00A905EA" w:rsidRPr="00900786">
        <w:rPr>
          <w:rFonts w:ascii="Arial Narrow" w:hAnsi="Arial Narrow" w:cs="Tahoma"/>
          <w:b/>
          <w:sz w:val="28"/>
          <w:szCs w:val="28"/>
        </w:rPr>
        <w:t>2016</w:t>
      </w:r>
      <w:r>
        <w:rPr>
          <w:rFonts w:ascii="Arial Narrow" w:hAnsi="Arial Narrow" w:cs="Tahoma"/>
          <w:b/>
          <w:sz w:val="28"/>
          <w:szCs w:val="28"/>
        </w:rPr>
        <w:t>/February</w:t>
      </w:r>
      <w:r w:rsidR="00A905EA" w:rsidRPr="00900786">
        <w:rPr>
          <w:rFonts w:ascii="Arial Narrow" w:hAnsi="Arial Narrow" w:cs="Tahoma"/>
          <w:b/>
          <w:bCs/>
          <w:sz w:val="28"/>
          <w:szCs w:val="28"/>
        </w:rPr>
        <w:t xml:space="preserve"> 201</w:t>
      </w:r>
      <w:r>
        <w:rPr>
          <w:rFonts w:ascii="Arial Narrow" w:hAnsi="Arial Narrow" w:cs="Tahoma"/>
          <w:b/>
          <w:bCs/>
          <w:sz w:val="28"/>
          <w:szCs w:val="28"/>
        </w:rPr>
        <w:t>5</w:t>
      </w:r>
      <w:r w:rsidR="00A905EA" w:rsidRPr="00900786">
        <w:rPr>
          <w:rFonts w:ascii="Arial Narrow" w:hAnsi="Arial Narrow" w:cs="Tahoma"/>
          <w:b/>
          <w:bCs/>
          <w:sz w:val="28"/>
          <w:szCs w:val="28"/>
        </w:rPr>
        <w:t xml:space="preserve">) </w:t>
      </w:r>
      <w:r>
        <w:rPr>
          <w:rFonts w:ascii="Arial Narrow" w:hAnsi="Arial Narrow" w:cs="Tahoma"/>
          <w:b/>
          <w:bCs/>
          <w:sz w:val="28"/>
          <w:szCs w:val="28"/>
        </w:rPr>
        <w:t>increased by</w:t>
      </w:r>
      <w:r w:rsidR="00A905EA" w:rsidRPr="00900786">
        <w:rPr>
          <w:rFonts w:ascii="Arial Narrow" w:hAnsi="Arial Narrow" w:cs="Tahoma"/>
          <w:b/>
          <w:bCs/>
          <w:sz w:val="28"/>
          <w:szCs w:val="28"/>
        </w:rPr>
        <w:t xml:space="preserve"> 3</w:t>
      </w:r>
      <w:r>
        <w:rPr>
          <w:rFonts w:ascii="Arial Narrow" w:hAnsi="Arial Narrow" w:cs="Tahoma"/>
          <w:b/>
          <w:bCs/>
          <w:sz w:val="28"/>
          <w:szCs w:val="28"/>
        </w:rPr>
        <w:t>.</w:t>
      </w:r>
      <w:r w:rsidR="00A905EA" w:rsidRPr="00900786">
        <w:rPr>
          <w:rFonts w:ascii="Arial Narrow" w:hAnsi="Arial Narrow" w:cs="Tahoma"/>
          <w:b/>
          <w:bCs/>
          <w:sz w:val="28"/>
          <w:szCs w:val="28"/>
        </w:rPr>
        <w:t>1%</w:t>
      </w:r>
    </w:p>
    <w:p w:rsidR="00166F34" w:rsidRPr="00900786" w:rsidRDefault="002C53B7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 w:rsidR="00166F34" w:rsidRPr="00900786">
        <w:rPr>
          <w:rFonts w:ascii="Arial Narrow" w:hAnsi="Arial Narrow" w:cs="Tahoma"/>
          <w:b/>
          <w:sz w:val="28"/>
        </w:rPr>
        <w:t xml:space="preserve"> (</w:t>
      </w:r>
      <w:r>
        <w:rPr>
          <w:rFonts w:ascii="Arial Narrow" w:hAnsi="Arial Narrow" w:cs="Tahoma"/>
          <w:b/>
          <w:sz w:val="28"/>
        </w:rPr>
        <w:t>February</w:t>
      </w:r>
      <w:r w:rsidR="00166F34" w:rsidRPr="00900786">
        <w:rPr>
          <w:rFonts w:ascii="Arial Narrow" w:hAnsi="Arial Narrow" w:cs="Tahoma"/>
          <w:b/>
          <w:sz w:val="28"/>
        </w:rPr>
        <w:t xml:space="preserve"> 201</w:t>
      </w:r>
      <w:r w:rsidR="00A905EA" w:rsidRPr="00900786">
        <w:rPr>
          <w:rFonts w:ascii="Arial Narrow" w:hAnsi="Arial Narrow" w:cs="Tahoma"/>
          <w:b/>
          <w:sz w:val="28"/>
        </w:rPr>
        <w:t>6</w:t>
      </w:r>
      <w:r w:rsidR="00166F34" w:rsidRPr="00900786">
        <w:rPr>
          <w:rFonts w:ascii="Arial Narrow" w:hAnsi="Arial Narrow" w:cs="Tahoma"/>
          <w:b/>
          <w:sz w:val="28"/>
        </w:rPr>
        <w:t>/</w:t>
      </w:r>
      <w:r>
        <w:rPr>
          <w:rFonts w:ascii="Arial Narrow" w:hAnsi="Arial Narrow" w:cs="Tahoma"/>
          <w:b/>
          <w:sz w:val="28"/>
        </w:rPr>
        <w:t>February</w:t>
      </w:r>
      <w:r w:rsidR="00166F34" w:rsidRPr="00900786">
        <w:rPr>
          <w:rFonts w:ascii="Arial Narrow" w:hAnsi="Arial Narrow" w:cs="Tahoma"/>
          <w:b/>
          <w:sz w:val="28"/>
        </w:rPr>
        <w:t xml:space="preserve"> 201</w:t>
      </w:r>
      <w:r w:rsidR="00A905EA" w:rsidRPr="00900786">
        <w:rPr>
          <w:rFonts w:ascii="Arial Narrow" w:hAnsi="Arial Narrow" w:cs="Tahoma"/>
          <w:b/>
          <w:sz w:val="28"/>
        </w:rPr>
        <w:t>5</w:t>
      </w:r>
      <w:r w:rsidR="00166F34" w:rsidRPr="00900786">
        <w:rPr>
          <w:rFonts w:ascii="Arial Narrow" w:hAnsi="Arial Narrow" w:cs="Tahoma"/>
          <w:b/>
          <w:sz w:val="28"/>
        </w:rPr>
        <w:t xml:space="preserve">) </w:t>
      </w:r>
      <w:r>
        <w:rPr>
          <w:rFonts w:ascii="Arial Narrow" w:hAnsi="Arial Narrow" w:cs="Tahoma"/>
          <w:b/>
          <w:sz w:val="28"/>
        </w:rPr>
        <w:t>increased by</w:t>
      </w:r>
      <w:r w:rsidR="00166F34" w:rsidRPr="00900786">
        <w:rPr>
          <w:rFonts w:ascii="Arial Narrow" w:hAnsi="Arial Narrow" w:cs="Tahoma"/>
          <w:b/>
          <w:sz w:val="28"/>
        </w:rPr>
        <w:t xml:space="preserve"> </w:t>
      </w:r>
      <w:r w:rsidR="00A905EA" w:rsidRPr="00900786">
        <w:rPr>
          <w:rFonts w:ascii="Arial Narrow" w:hAnsi="Arial Narrow" w:cs="Tahoma"/>
          <w:b/>
          <w:sz w:val="28"/>
        </w:rPr>
        <w:t>1</w:t>
      </w:r>
      <w:r>
        <w:rPr>
          <w:rFonts w:ascii="Arial Narrow" w:hAnsi="Arial Narrow" w:cs="Tahoma"/>
          <w:b/>
          <w:sz w:val="28"/>
        </w:rPr>
        <w:t>.</w:t>
      </w:r>
      <w:r w:rsidR="00A905EA" w:rsidRPr="00900786">
        <w:rPr>
          <w:rFonts w:ascii="Arial Narrow" w:hAnsi="Arial Narrow" w:cs="Tahoma"/>
          <w:b/>
          <w:sz w:val="28"/>
        </w:rPr>
        <w:t>5</w:t>
      </w:r>
      <w:r w:rsidR="00166F34" w:rsidRPr="00900786">
        <w:rPr>
          <w:rFonts w:ascii="Arial Narrow" w:hAnsi="Arial Narrow" w:cs="Tahoma"/>
          <w:b/>
          <w:sz w:val="28"/>
        </w:rPr>
        <w:t>%</w:t>
      </w:r>
    </w:p>
    <w:p w:rsidR="00166F34" w:rsidRPr="00900786" w:rsidRDefault="00166F34" w:rsidP="00166F34">
      <w:pPr>
        <w:jc w:val="both"/>
        <w:rPr>
          <w:rFonts w:ascii="Arial Narrow" w:hAnsi="Arial Narrow" w:cs="Tahoma"/>
          <w:sz w:val="22"/>
        </w:rPr>
      </w:pPr>
    </w:p>
    <w:p w:rsidR="005F2B0C" w:rsidRDefault="005F2B0C" w:rsidP="00166F34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/>
          <w:sz w:val="22"/>
        </w:rPr>
        <w:t xml:space="preserve">Seasonally adjusted industrial production </w:t>
      </w:r>
      <w:r>
        <w:rPr>
          <w:rFonts w:ascii="Arial Narrow" w:hAnsi="Arial Narrow" w:cs="Tahoma"/>
          <w:sz w:val="22"/>
        </w:rPr>
        <w:t xml:space="preserve">in February 2016, compared to January 2016, increased by 9.0%. In the section </w:t>
      </w:r>
      <w:r w:rsidRPr="00200154">
        <w:rPr>
          <w:rFonts w:ascii="Arial Narrow" w:hAnsi="Arial Narrow" w:cs="Tahoma"/>
          <w:i/>
          <w:sz w:val="22"/>
          <w:szCs w:val="22"/>
        </w:rPr>
        <w:t>Electricity, gas, steam and air-conditioning</w:t>
      </w:r>
      <w:r>
        <w:rPr>
          <w:rFonts w:ascii="Arial Narrow" w:hAnsi="Arial Narrow" w:cs="Tahoma"/>
          <w:i/>
          <w:sz w:val="22"/>
          <w:szCs w:val="22"/>
        </w:rPr>
        <w:t xml:space="preserve"> supply</w:t>
      </w:r>
      <w:r>
        <w:rPr>
          <w:rFonts w:ascii="Arial Narrow" w:hAnsi="Arial Narrow" w:cs="Tahoma"/>
          <w:sz w:val="22"/>
          <w:szCs w:val="22"/>
        </w:rPr>
        <w:t xml:space="preserve"> a</w:t>
      </w:r>
      <w:r>
        <w:rPr>
          <w:rFonts w:ascii="Arial Narrow" w:hAnsi="Arial Narrow" w:cs="Tahoma"/>
          <w:sz w:val="22"/>
          <w:szCs w:val="22"/>
        </w:rPr>
        <w:t>n</w:t>
      </w:r>
      <w:r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increase by 12.0% was recorded, in the section </w:t>
      </w:r>
      <w:r w:rsidRPr="00CF6C46">
        <w:rPr>
          <w:rFonts w:ascii="Arial Narrow" w:hAnsi="Arial Narrow" w:cs="Tahoma"/>
          <w:i/>
          <w:sz w:val="22"/>
          <w:szCs w:val="22"/>
        </w:rPr>
        <w:t>Mining and quarrying</w:t>
      </w:r>
      <w:r>
        <w:rPr>
          <w:rFonts w:ascii="Arial Narrow" w:hAnsi="Arial Narrow" w:cs="Tahoma"/>
          <w:sz w:val="22"/>
          <w:szCs w:val="22"/>
        </w:rPr>
        <w:t xml:space="preserve"> an increase by</w:t>
      </w:r>
      <w:r>
        <w:rPr>
          <w:rFonts w:ascii="Arial Narrow" w:hAnsi="Arial Narrow" w:cs="Tahoma"/>
          <w:sz w:val="22"/>
          <w:szCs w:val="22"/>
        </w:rPr>
        <w:t xml:space="preserve"> 11.7%, and in the section </w:t>
      </w:r>
      <w:r w:rsidRPr="005F2B0C">
        <w:rPr>
          <w:rFonts w:ascii="Arial Narrow" w:hAnsi="Arial Narrow" w:cs="Tahoma"/>
          <w:i/>
          <w:sz w:val="22"/>
          <w:szCs w:val="22"/>
        </w:rPr>
        <w:t>Manufacturing</w:t>
      </w:r>
      <w:r>
        <w:rPr>
          <w:rFonts w:ascii="Arial Narrow" w:hAnsi="Arial Narrow" w:cs="Tahoma"/>
          <w:sz w:val="22"/>
          <w:szCs w:val="22"/>
        </w:rPr>
        <w:t xml:space="preserve"> an increase by 11.4%. </w:t>
      </w:r>
      <w:r>
        <w:rPr>
          <w:rFonts w:ascii="Arial Narrow" w:hAnsi="Arial Narrow" w:cs="Tahoma"/>
          <w:sz w:val="22"/>
          <w:szCs w:val="22"/>
        </w:rPr>
        <w:t>By main industrial group, based on economic purpose of products</w:t>
      </w:r>
      <w:r>
        <w:rPr>
          <w:rFonts w:ascii="Arial Narrow" w:hAnsi="Arial Narrow" w:cs="Tahoma"/>
          <w:sz w:val="22"/>
          <w:szCs w:val="22"/>
        </w:rPr>
        <w:t>, seasonally adjusted production of energy in February 2016, compared to January 2016, was 14.2%</w:t>
      </w:r>
      <w:r w:rsidR="00CA450C">
        <w:rPr>
          <w:rFonts w:ascii="Arial Narrow" w:hAnsi="Arial Narrow" w:cs="Tahoma"/>
          <w:sz w:val="22"/>
          <w:szCs w:val="22"/>
        </w:rPr>
        <w:t xml:space="preserve">, production of intermediate products and production of consumer non-durables were 13.3% higher and </w:t>
      </w:r>
      <w:proofErr w:type="spellStart"/>
      <w:r w:rsidR="00CA450C">
        <w:rPr>
          <w:rFonts w:ascii="Arial Narrow" w:hAnsi="Arial Narrow" w:cs="Tahoma"/>
          <w:sz w:val="22"/>
          <w:szCs w:val="22"/>
        </w:rPr>
        <w:t>producton</w:t>
      </w:r>
      <w:proofErr w:type="spellEnd"/>
      <w:r w:rsidR="00CA450C">
        <w:rPr>
          <w:rFonts w:ascii="Arial Narrow" w:hAnsi="Arial Narrow" w:cs="Tahoma"/>
          <w:sz w:val="22"/>
          <w:szCs w:val="22"/>
        </w:rPr>
        <w:t xml:space="preserve"> of consumer durables was 12.2% higher, while production of capital goods was 15.0% lower.  </w:t>
      </w:r>
    </w:p>
    <w:p w:rsidR="00CA450C" w:rsidRDefault="00CA450C" w:rsidP="00166F34">
      <w:pPr>
        <w:jc w:val="both"/>
        <w:rPr>
          <w:rFonts w:ascii="Arial Narrow" w:hAnsi="Arial Narrow" w:cs="Tahoma"/>
          <w:sz w:val="22"/>
          <w:szCs w:val="22"/>
        </w:rPr>
      </w:pPr>
    </w:p>
    <w:p w:rsidR="00CA450C" w:rsidRDefault="00CA450C" w:rsidP="00CA450C">
      <w:pPr>
        <w:jc w:val="both"/>
        <w:rPr>
          <w:rFonts w:ascii="Arial Narrow" w:hAnsi="Arial Narrow" w:cs="Tahoma"/>
          <w:sz w:val="22"/>
          <w:szCs w:val="22"/>
        </w:rPr>
      </w:pPr>
      <w:r w:rsidRPr="007E517E">
        <w:rPr>
          <w:rFonts w:ascii="Arial Narrow" w:hAnsi="Arial Narrow" w:cs="Tahoma"/>
          <w:b/>
          <w:sz w:val="22"/>
        </w:rPr>
        <w:t>Working-day adjusted industrial production</w:t>
      </w:r>
      <w:r w:rsidRPr="007E517E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in </w:t>
      </w:r>
      <w:r>
        <w:rPr>
          <w:rFonts w:ascii="Arial Narrow" w:hAnsi="Arial Narrow" w:cs="Tahoma"/>
          <w:sz w:val="22"/>
          <w:szCs w:val="22"/>
        </w:rPr>
        <w:t>February</w:t>
      </w:r>
      <w:r w:rsidRPr="004C7183">
        <w:rPr>
          <w:rFonts w:ascii="Arial Narrow" w:hAnsi="Arial Narrow" w:cs="Tahoma"/>
          <w:spacing w:val="-2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2016</w:t>
      </w:r>
      <w:r>
        <w:rPr>
          <w:rFonts w:ascii="Arial Narrow" w:hAnsi="Arial Narrow" w:cs="Tahoma"/>
          <w:sz w:val="22"/>
          <w:szCs w:val="22"/>
        </w:rPr>
        <w:t xml:space="preserve">, compared to </w:t>
      </w:r>
      <w:r>
        <w:rPr>
          <w:rFonts w:ascii="Arial Narrow" w:hAnsi="Arial Narrow" w:cs="Tahoma"/>
          <w:sz w:val="22"/>
          <w:szCs w:val="22"/>
        </w:rPr>
        <w:t>February 2015</w:t>
      </w:r>
      <w:r w:rsidR="003511BC">
        <w:rPr>
          <w:rFonts w:ascii="Arial Narrow" w:hAnsi="Arial Narrow" w:cs="Tahoma"/>
          <w:sz w:val="22"/>
          <w:szCs w:val="22"/>
        </w:rPr>
        <w:t>, increased by 3.1</w:t>
      </w:r>
      <w:r>
        <w:rPr>
          <w:rFonts w:ascii="Arial Narrow" w:hAnsi="Arial Narrow" w:cs="Tahoma"/>
          <w:sz w:val="22"/>
          <w:szCs w:val="22"/>
        </w:rPr>
        <w:t xml:space="preserve">%. In the section </w:t>
      </w:r>
      <w:r w:rsidR="003511BC" w:rsidRPr="00200154">
        <w:rPr>
          <w:rFonts w:ascii="Arial Narrow" w:hAnsi="Arial Narrow" w:cs="Tahoma"/>
          <w:i/>
          <w:sz w:val="22"/>
          <w:szCs w:val="22"/>
        </w:rPr>
        <w:t>Electricity, gas, steam and air-conditioning</w:t>
      </w:r>
      <w:r w:rsidR="003511BC">
        <w:rPr>
          <w:rFonts w:ascii="Arial Narrow" w:hAnsi="Arial Narrow" w:cs="Tahoma"/>
          <w:i/>
          <w:sz w:val="22"/>
          <w:szCs w:val="22"/>
        </w:rPr>
        <w:t xml:space="preserve"> supply</w:t>
      </w:r>
      <w:r w:rsidR="003511BC">
        <w:rPr>
          <w:rFonts w:ascii="Arial Narrow" w:hAnsi="Arial Narrow" w:cs="Tahoma"/>
          <w:sz w:val="22"/>
          <w:szCs w:val="22"/>
        </w:rPr>
        <w:t xml:space="preserve"> </w:t>
      </w:r>
      <w:r w:rsidR="003511BC">
        <w:rPr>
          <w:rFonts w:ascii="Arial Narrow" w:hAnsi="Arial Narrow" w:cs="Tahoma"/>
          <w:sz w:val="22"/>
          <w:szCs w:val="22"/>
        </w:rPr>
        <w:t xml:space="preserve">an increase by 5.5% was recorded, </w:t>
      </w:r>
      <w:r>
        <w:rPr>
          <w:rFonts w:ascii="Arial Narrow" w:hAnsi="Arial Narrow" w:cs="Tahoma"/>
          <w:sz w:val="22"/>
          <w:szCs w:val="22"/>
        </w:rPr>
        <w:t xml:space="preserve">in the section </w:t>
      </w:r>
      <w:r w:rsidR="003511BC">
        <w:rPr>
          <w:rFonts w:ascii="Arial Narrow" w:hAnsi="Arial Narrow" w:cs="Tahoma"/>
          <w:sz w:val="22"/>
          <w:szCs w:val="22"/>
        </w:rPr>
        <w:t xml:space="preserve">Mining and quarrying </w:t>
      </w:r>
      <w:r>
        <w:rPr>
          <w:rFonts w:ascii="Arial Narrow" w:hAnsi="Arial Narrow" w:cs="Tahoma"/>
          <w:sz w:val="22"/>
          <w:szCs w:val="22"/>
        </w:rPr>
        <w:t xml:space="preserve">an increase by </w:t>
      </w:r>
      <w:r w:rsidR="003511BC">
        <w:rPr>
          <w:rFonts w:ascii="Arial Narrow" w:hAnsi="Arial Narrow" w:cs="Tahoma"/>
          <w:sz w:val="22"/>
          <w:szCs w:val="22"/>
        </w:rPr>
        <w:t>5.1</w:t>
      </w:r>
      <w:r>
        <w:rPr>
          <w:rFonts w:ascii="Arial Narrow" w:hAnsi="Arial Narrow" w:cs="Tahoma"/>
          <w:sz w:val="22"/>
          <w:szCs w:val="22"/>
        </w:rPr>
        <w:t>%</w:t>
      </w:r>
      <w:r w:rsidR="003511BC">
        <w:rPr>
          <w:rFonts w:ascii="Arial Narrow" w:hAnsi="Arial Narrow" w:cs="Tahoma"/>
          <w:sz w:val="22"/>
          <w:szCs w:val="22"/>
        </w:rPr>
        <w:t xml:space="preserve"> and in the section </w:t>
      </w:r>
      <w:r w:rsidR="003511BC">
        <w:rPr>
          <w:rFonts w:ascii="Arial Narrow" w:hAnsi="Arial Narrow" w:cs="Tahoma"/>
          <w:i/>
          <w:sz w:val="22"/>
          <w:szCs w:val="22"/>
        </w:rPr>
        <w:t>Manufacturing</w:t>
      </w:r>
      <w:r w:rsidR="003511BC">
        <w:rPr>
          <w:rFonts w:ascii="Arial Narrow" w:hAnsi="Arial Narrow" w:cs="Tahoma"/>
          <w:sz w:val="22"/>
          <w:szCs w:val="22"/>
        </w:rPr>
        <w:t xml:space="preserve"> an increase by 3.5%. </w:t>
      </w:r>
      <w:r>
        <w:rPr>
          <w:rFonts w:ascii="Arial Narrow" w:hAnsi="Arial Narrow" w:cs="Tahoma"/>
          <w:sz w:val="22"/>
          <w:szCs w:val="22"/>
        </w:rPr>
        <w:t xml:space="preserve">By main industrial group, based on economic purpose of products, working-day adjusted production of </w:t>
      </w:r>
      <w:r w:rsidR="003511BC">
        <w:rPr>
          <w:rFonts w:ascii="Arial Narrow" w:hAnsi="Arial Narrow" w:cs="Tahoma"/>
          <w:sz w:val="22"/>
          <w:szCs w:val="22"/>
        </w:rPr>
        <w:t>intermediate goods</w:t>
      </w:r>
      <w:r>
        <w:rPr>
          <w:rFonts w:ascii="Arial Narrow" w:hAnsi="Arial Narrow" w:cs="Tahoma"/>
          <w:sz w:val="22"/>
          <w:szCs w:val="22"/>
        </w:rPr>
        <w:t xml:space="preserve"> in </w:t>
      </w:r>
      <w:r w:rsidR="003511BC">
        <w:rPr>
          <w:rFonts w:ascii="Arial Narrow" w:hAnsi="Arial Narrow" w:cs="Tahoma"/>
          <w:sz w:val="22"/>
          <w:szCs w:val="22"/>
        </w:rPr>
        <w:t>February 2016</w:t>
      </w:r>
      <w:r>
        <w:rPr>
          <w:rFonts w:ascii="Arial Narrow" w:hAnsi="Arial Narrow" w:cs="Tahoma"/>
          <w:sz w:val="22"/>
          <w:szCs w:val="22"/>
        </w:rPr>
        <w:t xml:space="preserve">, compared to </w:t>
      </w:r>
      <w:r w:rsidR="003511BC">
        <w:rPr>
          <w:rFonts w:ascii="Arial Narrow" w:hAnsi="Arial Narrow" w:cs="Tahoma"/>
          <w:sz w:val="22"/>
          <w:szCs w:val="22"/>
        </w:rPr>
        <w:t>February 2015</w:t>
      </w:r>
      <w:r>
        <w:rPr>
          <w:rFonts w:ascii="Arial Narrow" w:hAnsi="Arial Narrow" w:cs="Tahoma"/>
          <w:sz w:val="22"/>
          <w:szCs w:val="22"/>
        </w:rPr>
        <w:t xml:space="preserve">, was </w:t>
      </w:r>
      <w:r w:rsidR="003511BC">
        <w:rPr>
          <w:rFonts w:ascii="Arial Narrow" w:hAnsi="Arial Narrow" w:cs="Tahoma"/>
          <w:sz w:val="22"/>
          <w:szCs w:val="22"/>
        </w:rPr>
        <w:t>17.5</w:t>
      </w:r>
      <w:r>
        <w:rPr>
          <w:rFonts w:ascii="Arial Narrow" w:hAnsi="Arial Narrow" w:cs="Tahoma"/>
          <w:sz w:val="22"/>
          <w:szCs w:val="22"/>
        </w:rPr>
        <w:t xml:space="preserve">% higher, production of </w:t>
      </w:r>
      <w:r w:rsidR="003511BC">
        <w:rPr>
          <w:rFonts w:ascii="Arial Narrow" w:hAnsi="Arial Narrow" w:cs="Tahoma"/>
          <w:sz w:val="22"/>
          <w:szCs w:val="22"/>
        </w:rPr>
        <w:t xml:space="preserve">consumer non-durables was 11.7% higher and production of consumer durables was 6.1% higher, while production of energy was 3.4% lower and production of capital goods was 15.7% lower. </w:t>
      </w:r>
    </w:p>
    <w:p w:rsidR="003511BC" w:rsidRDefault="003511BC" w:rsidP="00CA450C">
      <w:pPr>
        <w:jc w:val="both"/>
        <w:rPr>
          <w:rFonts w:ascii="Arial Narrow" w:hAnsi="Arial Narrow" w:cs="Tahoma"/>
          <w:sz w:val="22"/>
          <w:szCs w:val="22"/>
        </w:rPr>
      </w:pPr>
    </w:p>
    <w:p w:rsidR="003511BC" w:rsidRDefault="003511BC" w:rsidP="00CA450C">
      <w:pPr>
        <w:jc w:val="both"/>
        <w:rPr>
          <w:rFonts w:ascii="Arial Narrow" w:hAnsi="Arial Narrow" w:cs="Tahoma"/>
          <w:sz w:val="22"/>
          <w:szCs w:val="22"/>
        </w:rPr>
      </w:pPr>
      <w:r w:rsidRPr="003511BC">
        <w:rPr>
          <w:rFonts w:ascii="Arial Narrow" w:hAnsi="Arial Narrow" w:cs="Tahoma"/>
          <w:b/>
          <w:sz w:val="22"/>
          <w:szCs w:val="22"/>
        </w:rPr>
        <w:t>Number of employees in industry</w:t>
      </w:r>
      <w:r>
        <w:rPr>
          <w:rFonts w:ascii="Arial Narrow" w:hAnsi="Arial Narrow" w:cs="Tahoma"/>
          <w:sz w:val="22"/>
          <w:szCs w:val="22"/>
        </w:rPr>
        <w:t xml:space="preserve"> in February 2016, compared to the same month of the previous year, was 1.5% higher. Compared to January 2016 it was 0.6% higher, while compared to the average monthly number of employed persons in 2015 it was 0.3% lower. </w:t>
      </w:r>
      <w:r>
        <w:rPr>
          <w:rFonts w:ascii="Arial Narrow" w:hAnsi="Arial Narrow" w:cs="Tahoma"/>
          <w:sz w:val="22"/>
          <w:szCs w:val="22"/>
        </w:rPr>
        <w:t>Number of employees in industry in the period January-</w:t>
      </w:r>
      <w:r>
        <w:rPr>
          <w:rFonts w:ascii="Arial Narrow" w:hAnsi="Arial Narrow" w:cs="Tahoma"/>
          <w:sz w:val="22"/>
          <w:szCs w:val="22"/>
        </w:rPr>
        <w:t>February 2016</w:t>
      </w:r>
      <w:r>
        <w:rPr>
          <w:rFonts w:ascii="Arial Narrow" w:hAnsi="Arial Narrow" w:cs="Tahoma"/>
          <w:sz w:val="22"/>
          <w:szCs w:val="22"/>
        </w:rPr>
        <w:t>, compared to the same peri</w:t>
      </w:r>
      <w:r>
        <w:rPr>
          <w:rFonts w:ascii="Arial Narrow" w:hAnsi="Arial Narrow" w:cs="Tahoma"/>
          <w:sz w:val="22"/>
          <w:szCs w:val="22"/>
        </w:rPr>
        <w:t>od of the previous year, was 1.2</w:t>
      </w:r>
      <w:r>
        <w:rPr>
          <w:rFonts w:ascii="Arial Narrow" w:hAnsi="Arial Narrow" w:cs="Tahoma"/>
          <w:sz w:val="22"/>
          <w:szCs w:val="22"/>
        </w:rPr>
        <w:t xml:space="preserve">% higher. During the same </w:t>
      </w:r>
      <w:proofErr w:type="spellStart"/>
      <w:r>
        <w:rPr>
          <w:rFonts w:ascii="Arial Narrow" w:hAnsi="Arial Narrow" w:cs="Tahoma"/>
          <w:sz w:val="22"/>
          <w:szCs w:val="22"/>
        </w:rPr>
        <w:t>peiod</w:t>
      </w:r>
      <w:proofErr w:type="spellEnd"/>
      <w:r>
        <w:rPr>
          <w:rFonts w:ascii="Arial Narrow" w:hAnsi="Arial Narrow" w:cs="Tahoma"/>
          <w:sz w:val="22"/>
          <w:szCs w:val="22"/>
        </w:rPr>
        <w:t xml:space="preserve">, in the section </w:t>
      </w:r>
      <w:r w:rsidRPr="003511BC">
        <w:rPr>
          <w:rFonts w:ascii="Arial Narrow" w:hAnsi="Arial Narrow" w:cs="Tahoma"/>
          <w:i/>
          <w:sz w:val="22"/>
          <w:szCs w:val="22"/>
        </w:rPr>
        <w:t>Manufacturing</w:t>
      </w:r>
      <w:r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pacing w:val="-2"/>
          <w:sz w:val="22"/>
        </w:rPr>
        <w:t>an increase by 1.5% was recorded and</w:t>
      </w:r>
      <w:r>
        <w:rPr>
          <w:rFonts w:ascii="Arial Narrow" w:hAnsi="Arial Narrow" w:cs="Tahoma"/>
          <w:spacing w:val="-2"/>
          <w:sz w:val="22"/>
        </w:rPr>
        <w:t xml:space="preserve"> in the section </w:t>
      </w:r>
      <w:r w:rsidRPr="007E517E">
        <w:rPr>
          <w:rFonts w:ascii="Arial Narrow" w:hAnsi="Arial Narrow" w:cs="Tahoma"/>
          <w:i/>
          <w:spacing w:val="-2"/>
          <w:sz w:val="22"/>
        </w:rPr>
        <w:t xml:space="preserve">Mining and quarrying </w:t>
      </w:r>
      <w:r w:rsidRPr="007E517E">
        <w:rPr>
          <w:rFonts w:ascii="Arial Narrow" w:hAnsi="Arial Narrow" w:cs="Tahoma"/>
          <w:spacing w:val="-2"/>
          <w:sz w:val="22"/>
        </w:rPr>
        <w:t xml:space="preserve">an </w:t>
      </w:r>
      <w:r>
        <w:rPr>
          <w:rFonts w:ascii="Arial Narrow" w:hAnsi="Arial Narrow" w:cs="Tahoma"/>
          <w:spacing w:val="-2"/>
          <w:sz w:val="22"/>
        </w:rPr>
        <w:t xml:space="preserve">increase by 1.3%, while </w:t>
      </w:r>
      <w:r>
        <w:rPr>
          <w:rFonts w:ascii="Arial Narrow" w:hAnsi="Arial Narrow" w:cs="Tahoma"/>
          <w:spacing w:val="-2"/>
          <w:sz w:val="22"/>
        </w:rPr>
        <w:t xml:space="preserve">in the section </w:t>
      </w:r>
      <w:r w:rsidRPr="00200154">
        <w:rPr>
          <w:rFonts w:ascii="Arial Narrow" w:hAnsi="Arial Narrow" w:cs="Tahoma"/>
          <w:i/>
          <w:sz w:val="22"/>
          <w:szCs w:val="22"/>
        </w:rPr>
        <w:t>Electricity, gas, steam and air-conditioning</w:t>
      </w:r>
      <w:r>
        <w:rPr>
          <w:rFonts w:ascii="Arial Narrow" w:hAnsi="Arial Narrow" w:cs="Tahoma"/>
          <w:i/>
          <w:sz w:val="22"/>
          <w:szCs w:val="22"/>
        </w:rPr>
        <w:t xml:space="preserve"> supply</w:t>
      </w:r>
      <w:r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pacing w:val="-2"/>
          <w:sz w:val="22"/>
        </w:rPr>
        <w:t>a decrease by 1.2</w:t>
      </w:r>
      <w:r>
        <w:rPr>
          <w:rFonts w:ascii="Arial Narrow" w:hAnsi="Arial Narrow" w:cs="Tahoma"/>
          <w:spacing w:val="-2"/>
          <w:sz w:val="22"/>
        </w:rPr>
        <w:t>% was recorded.</w:t>
      </w:r>
    </w:p>
    <w:p w:rsidR="00166F34" w:rsidRPr="00900786" w:rsidRDefault="00166F34" w:rsidP="00166F34">
      <w:pPr>
        <w:jc w:val="both"/>
        <w:rPr>
          <w:rFonts w:ascii="Arial Narrow" w:hAnsi="Arial Narrow" w:cs="Tahoma"/>
          <w:sz w:val="22"/>
        </w:rPr>
      </w:pPr>
    </w:p>
    <w:p w:rsidR="00166F34" w:rsidRPr="00900786" w:rsidRDefault="00166F34" w:rsidP="00166F34">
      <w:pPr>
        <w:jc w:val="both"/>
        <w:rPr>
          <w:rFonts w:ascii="Arial Narrow" w:hAnsi="Arial Narrow" w:cs="Tahoma"/>
          <w:sz w:val="22"/>
        </w:rPr>
      </w:pPr>
      <w:bookmarkStart w:id="0" w:name="_GoBack"/>
      <w:bookmarkEnd w:id="0"/>
    </w:p>
    <w:p w:rsidR="000213F8" w:rsidRPr="00900786" w:rsidRDefault="00BE098B" w:rsidP="00DC2009">
      <w:pPr>
        <w:jc w:val="center"/>
        <w:rPr>
          <w:rFonts w:ascii="Arial Narrow" w:hAnsi="Arial Narrow" w:cs="Tahoma"/>
          <w:sz w:val="22"/>
          <w:szCs w:val="22"/>
        </w:rPr>
      </w:pPr>
      <w:r w:rsidRPr="00900786">
        <w:rPr>
          <w:rFonts w:ascii="Arial Narrow" w:hAnsi="Arial Narrow" w:cs="Tahoma"/>
          <w:noProof/>
          <w:sz w:val="22"/>
          <w:szCs w:val="22"/>
        </w:rPr>
        <w:lastRenderedPageBreak/>
        <w:drawing>
          <wp:inline distT="0" distB="0" distL="0" distR="0">
            <wp:extent cx="6480810" cy="3053118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5D9D" w:rsidRPr="00900786" w:rsidRDefault="00532372" w:rsidP="00B85D9D">
      <w:pPr>
        <w:jc w:val="center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>Graph</w:t>
      </w:r>
      <w:r w:rsidRPr="004C7183">
        <w:rPr>
          <w:rFonts w:ascii="Arial Narrow" w:hAnsi="Arial Narrow" w:cs="Tahoma"/>
          <w:sz w:val="16"/>
          <w:szCs w:val="16"/>
        </w:rPr>
        <w:t xml:space="preserve"> 2. </w:t>
      </w:r>
      <w:r>
        <w:rPr>
          <w:rFonts w:ascii="Arial Narrow" w:hAnsi="Arial Narrow" w:cs="Tahoma"/>
          <w:sz w:val="16"/>
          <w:szCs w:val="16"/>
        </w:rPr>
        <w:t>Indices of industrial production</w:t>
      </w:r>
      <w:r w:rsidR="00B85D9D" w:rsidRPr="00900786">
        <w:rPr>
          <w:rFonts w:ascii="Arial Narrow" w:hAnsi="Arial Narrow" w:cs="Tahoma"/>
          <w:sz w:val="16"/>
          <w:szCs w:val="16"/>
        </w:rPr>
        <w:t xml:space="preserve">, </w:t>
      </w:r>
      <w:r>
        <w:rPr>
          <w:rFonts w:ascii="Arial Narrow" w:hAnsi="Arial Narrow" w:cs="Tahoma"/>
          <w:sz w:val="16"/>
          <w:szCs w:val="16"/>
        </w:rPr>
        <w:t>February</w:t>
      </w:r>
      <w:r w:rsidR="00B85D9D" w:rsidRPr="00900786">
        <w:rPr>
          <w:rFonts w:ascii="Arial Narrow" w:hAnsi="Arial Narrow" w:cs="Tahoma"/>
          <w:sz w:val="16"/>
          <w:szCs w:val="16"/>
        </w:rPr>
        <w:t xml:space="preserve"> 201</w:t>
      </w:r>
      <w:r w:rsidR="00BE098B" w:rsidRPr="00900786">
        <w:rPr>
          <w:rFonts w:ascii="Arial Narrow" w:hAnsi="Arial Narrow" w:cs="Tahoma"/>
          <w:sz w:val="16"/>
          <w:szCs w:val="16"/>
        </w:rPr>
        <w:t>2</w:t>
      </w:r>
      <w:r w:rsidR="00B85D9D" w:rsidRPr="00900786">
        <w:rPr>
          <w:rFonts w:ascii="Arial Narrow" w:hAnsi="Arial Narrow" w:cs="Tahoma"/>
          <w:sz w:val="16"/>
          <w:szCs w:val="16"/>
        </w:rPr>
        <w:t xml:space="preserve"> – </w:t>
      </w:r>
      <w:r>
        <w:rPr>
          <w:rFonts w:ascii="Arial Narrow" w:hAnsi="Arial Narrow" w:cs="Tahoma"/>
          <w:sz w:val="16"/>
          <w:szCs w:val="16"/>
        </w:rPr>
        <w:t>February</w:t>
      </w:r>
      <w:r w:rsidR="00B85D9D" w:rsidRPr="00900786">
        <w:rPr>
          <w:rFonts w:ascii="Arial Narrow" w:hAnsi="Arial Narrow" w:cs="Tahoma"/>
          <w:sz w:val="16"/>
          <w:szCs w:val="16"/>
        </w:rPr>
        <w:t xml:space="preserve"> 201</w:t>
      </w:r>
      <w:r w:rsidR="00BE098B" w:rsidRPr="00900786">
        <w:rPr>
          <w:rFonts w:ascii="Arial Narrow" w:hAnsi="Arial Narrow" w:cs="Tahoma"/>
          <w:sz w:val="16"/>
          <w:szCs w:val="16"/>
        </w:rPr>
        <w:t>6</w:t>
      </w:r>
      <w:r w:rsidR="00B85D9D" w:rsidRPr="00900786">
        <w:rPr>
          <w:rFonts w:ascii="Arial Narrow" w:hAnsi="Arial Narrow" w:cs="Tahoma"/>
          <w:sz w:val="16"/>
          <w:szCs w:val="16"/>
        </w:rPr>
        <w:t xml:space="preserve"> (</w:t>
      </w:r>
      <w:r w:rsidR="00B85D9D" w:rsidRPr="00900786">
        <w:rPr>
          <w:rFonts w:ascii="Arial Narrow" w:hAnsi="Arial Narrow" w:cs="Tahoma"/>
          <w:sz w:val="16"/>
          <w:szCs w:val="16"/>
        </w:rPr>
        <w:sym w:font="Symbol" w:char="F0C6"/>
      </w:r>
      <w:r w:rsidR="00B85D9D" w:rsidRPr="00900786">
        <w:rPr>
          <w:rFonts w:ascii="Arial Narrow" w:hAnsi="Arial Narrow" w:cs="Tahoma"/>
          <w:sz w:val="16"/>
          <w:szCs w:val="16"/>
        </w:rPr>
        <w:t>2010=100)</w:t>
      </w:r>
    </w:p>
    <w:p w:rsidR="000213F8" w:rsidRPr="00900786" w:rsidRDefault="000213F8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763D11" w:rsidRPr="00900786" w:rsidRDefault="00763D11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6E4C93" w:rsidRPr="00900786" w:rsidRDefault="006E4C93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F442FA" w:rsidRPr="00900786" w:rsidRDefault="00237148" w:rsidP="00F442FA">
      <w:pPr>
        <w:rPr>
          <w:rFonts w:ascii="Arial Narrow" w:hAnsi="Arial Narrow" w:cs="Tahoma"/>
          <w:b/>
          <w:sz w:val="30"/>
          <w:szCs w:val="30"/>
        </w:rPr>
      </w:pPr>
      <w:r w:rsidRPr="00237148">
        <w:rPr>
          <w:rFonts w:ascii="Arial Narrow" w:hAnsi="Arial Narrow" w:cs="Tahoma"/>
          <w:b/>
          <w:sz w:val="30"/>
          <w:szCs w:val="30"/>
        </w:rPr>
        <w:t xml:space="preserve">Coverage of import with export </w:t>
      </w:r>
      <w:r w:rsidR="00384927" w:rsidRPr="00900786">
        <w:rPr>
          <w:rFonts w:ascii="Arial Narrow" w:hAnsi="Arial Narrow" w:cs="Tahoma"/>
          <w:b/>
          <w:sz w:val="30"/>
          <w:szCs w:val="30"/>
        </w:rPr>
        <w:t>(</w:t>
      </w:r>
      <w:r>
        <w:rPr>
          <w:rFonts w:ascii="Arial Narrow" w:hAnsi="Arial Narrow" w:cs="Tahoma"/>
          <w:b/>
          <w:sz w:val="30"/>
          <w:szCs w:val="30"/>
        </w:rPr>
        <w:t>in the period</w:t>
      </w:r>
      <w:r w:rsidR="003A0849" w:rsidRPr="00900786">
        <w:rPr>
          <w:rFonts w:ascii="Arial Narrow" w:hAnsi="Arial Narrow" w:cs="Tahoma"/>
          <w:b/>
          <w:sz w:val="30"/>
          <w:szCs w:val="30"/>
        </w:rPr>
        <w:t xml:space="preserve"> </w:t>
      </w:r>
      <w:r>
        <w:rPr>
          <w:rFonts w:ascii="Arial Narrow" w:hAnsi="Arial Narrow" w:cs="Tahoma"/>
          <w:b/>
          <w:sz w:val="30"/>
          <w:szCs w:val="30"/>
        </w:rPr>
        <w:t>January-February</w:t>
      </w:r>
      <w:r w:rsidR="00F442FA" w:rsidRPr="00900786">
        <w:rPr>
          <w:rFonts w:ascii="Arial Narrow" w:hAnsi="Arial Narrow" w:cs="Tahoma"/>
          <w:b/>
          <w:sz w:val="30"/>
          <w:szCs w:val="30"/>
        </w:rPr>
        <w:t xml:space="preserve"> 201</w:t>
      </w:r>
      <w:r w:rsidR="00384927" w:rsidRPr="00900786">
        <w:rPr>
          <w:rFonts w:ascii="Arial Narrow" w:hAnsi="Arial Narrow" w:cs="Tahoma"/>
          <w:b/>
          <w:sz w:val="30"/>
          <w:szCs w:val="30"/>
        </w:rPr>
        <w:t>6</w:t>
      </w:r>
      <w:r w:rsidR="00F442FA" w:rsidRPr="00900786">
        <w:rPr>
          <w:rFonts w:ascii="Arial Narrow" w:hAnsi="Arial Narrow" w:cs="Tahoma"/>
          <w:b/>
          <w:sz w:val="30"/>
          <w:szCs w:val="30"/>
        </w:rPr>
        <w:t xml:space="preserve">) </w:t>
      </w:r>
      <w:r w:rsidR="003A0849" w:rsidRPr="00900786">
        <w:rPr>
          <w:rFonts w:ascii="Arial Narrow" w:hAnsi="Arial Narrow" w:cs="Tahoma"/>
          <w:b/>
          <w:sz w:val="30"/>
          <w:szCs w:val="30"/>
        </w:rPr>
        <w:t>72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3A0849" w:rsidRPr="00900786">
        <w:rPr>
          <w:rFonts w:ascii="Arial Narrow" w:hAnsi="Arial Narrow" w:cs="Tahoma"/>
          <w:b/>
          <w:sz w:val="30"/>
          <w:szCs w:val="30"/>
        </w:rPr>
        <w:t>5</w:t>
      </w:r>
      <w:r w:rsidR="00F442FA" w:rsidRPr="00900786">
        <w:rPr>
          <w:rFonts w:ascii="Arial Narrow" w:hAnsi="Arial Narrow" w:cs="Tahoma"/>
          <w:b/>
          <w:sz w:val="30"/>
          <w:szCs w:val="30"/>
        </w:rPr>
        <w:t xml:space="preserve">% </w:t>
      </w:r>
    </w:p>
    <w:p w:rsidR="00F442FA" w:rsidRPr="00900786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37148" w:rsidRDefault="00237148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February 2016, the value of export was 211 million KM and the value of import was 323 million KM. </w:t>
      </w:r>
    </w:p>
    <w:p w:rsidR="00237148" w:rsidRDefault="00237148" w:rsidP="00F442FA">
      <w:pPr>
        <w:jc w:val="both"/>
        <w:rPr>
          <w:rFonts w:ascii="Arial Narrow" w:hAnsi="Arial Narrow" w:cs="Tahoma"/>
          <w:sz w:val="22"/>
        </w:rPr>
      </w:pPr>
    </w:p>
    <w:p w:rsidR="00237148" w:rsidRDefault="00237148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total external trade of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 in </w:t>
      </w:r>
      <w:r>
        <w:rPr>
          <w:rFonts w:ascii="Arial Narrow" w:hAnsi="Arial Narrow" w:cs="Tahoma"/>
          <w:sz w:val="22"/>
        </w:rPr>
        <w:t>February</w:t>
      </w:r>
      <w:r>
        <w:rPr>
          <w:rFonts w:ascii="Arial Narrow" w:hAnsi="Arial Narrow" w:cs="Tahoma"/>
          <w:sz w:val="22"/>
        </w:rPr>
        <w:t xml:space="preserve"> of the current year, the percentage of cover</w:t>
      </w:r>
      <w:r>
        <w:rPr>
          <w:rFonts w:ascii="Arial Narrow" w:hAnsi="Arial Narrow" w:cs="Tahoma"/>
          <w:sz w:val="22"/>
        </w:rPr>
        <w:t>age of import with export was 65.4</w:t>
      </w:r>
      <w:r>
        <w:rPr>
          <w:rFonts w:ascii="Arial Narrow" w:hAnsi="Arial Narrow" w:cs="Tahoma"/>
          <w:sz w:val="22"/>
        </w:rPr>
        <w:t xml:space="preserve">%. The percentage of coverage of import with export in the period January – </w:t>
      </w:r>
      <w:r>
        <w:rPr>
          <w:rFonts w:ascii="Arial Narrow" w:hAnsi="Arial Narrow" w:cs="Tahoma"/>
          <w:sz w:val="22"/>
        </w:rPr>
        <w:t>February 2016 was 72</w:t>
      </w:r>
      <w:r>
        <w:rPr>
          <w:rFonts w:ascii="Arial Narrow" w:hAnsi="Arial Narrow" w:cs="Tahoma"/>
          <w:sz w:val="22"/>
        </w:rPr>
        <w:t>.5%</w:t>
      </w:r>
    </w:p>
    <w:p w:rsidR="003A0849" w:rsidRPr="00900786" w:rsidRDefault="003A0849" w:rsidP="00F442FA">
      <w:pPr>
        <w:jc w:val="both"/>
        <w:rPr>
          <w:rFonts w:ascii="Arial Narrow" w:hAnsi="Arial Narrow" w:cs="Tahoma"/>
          <w:sz w:val="22"/>
        </w:rPr>
      </w:pPr>
    </w:p>
    <w:p w:rsidR="00384927" w:rsidRDefault="00237148" w:rsidP="00F442FA">
      <w:pPr>
        <w:jc w:val="both"/>
        <w:rPr>
          <w:rFonts w:ascii="Arial Narrow" w:hAnsi="Arial Narrow" w:cs="Tahoma"/>
          <w:sz w:val="22"/>
        </w:rPr>
      </w:pPr>
      <w:r w:rsidRPr="00237148">
        <w:rPr>
          <w:rFonts w:ascii="Arial Narrow" w:hAnsi="Arial Narrow" w:cs="Tahoma"/>
          <w:sz w:val="22"/>
        </w:rPr>
        <w:t xml:space="preserve">In the period January – </w:t>
      </w:r>
      <w:r>
        <w:rPr>
          <w:rFonts w:ascii="Arial Narrow" w:hAnsi="Arial Narrow" w:cs="Tahoma"/>
          <w:sz w:val="22"/>
        </w:rPr>
        <w:t>February 2016</w:t>
      </w:r>
      <w:r w:rsidRPr="00237148">
        <w:rPr>
          <w:rFonts w:ascii="Arial Narrow" w:hAnsi="Arial Narrow" w:cs="Tahoma"/>
          <w:sz w:val="22"/>
        </w:rPr>
        <w:t xml:space="preserve">, the value of export was </w:t>
      </w:r>
      <w:r>
        <w:rPr>
          <w:rFonts w:ascii="Arial Narrow" w:hAnsi="Arial Narrow" w:cs="Tahoma"/>
          <w:sz w:val="22"/>
        </w:rPr>
        <w:t>394</w:t>
      </w:r>
      <w:r w:rsidRPr="00237148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million KM, which represented an increase by 6.2</w:t>
      </w:r>
      <w:r w:rsidRPr="00237148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</w:t>
      </w:r>
      <w:r>
        <w:rPr>
          <w:rFonts w:ascii="Arial Narrow" w:hAnsi="Arial Narrow" w:cs="Tahoma"/>
          <w:sz w:val="22"/>
        </w:rPr>
        <w:t>544</w:t>
      </w:r>
      <w:r w:rsidRPr="00237148">
        <w:rPr>
          <w:rFonts w:ascii="Arial Narrow" w:hAnsi="Arial Narrow" w:cs="Tahoma"/>
          <w:sz w:val="22"/>
        </w:rPr>
        <w:t xml:space="preserve"> million KM, wh</w:t>
      </w:r>
      <w:r>
        <w:rPr>
          <w:rFonts w:ascii="Arial Narrow" w:hAnsi="Arial Narrow" w:cs="Tahoma"/>
          <w:sz w:val="22"/>
        </w:rPr>
        <w:t>ich represented a decrease by 4.7</w:t>
      </w:r>
      <w:r w:rsidRPr="00237148">
        <w:rPr>
          <w:rFonts w:ascii="Arial Narrow" w:hAnsi="Arial Narrow" w:cs="Tahoma"/>
          <w:sz w:val="22"/>
        </w:rPr>
        <w:t>% compared to the same period of the previous year</w:t>
      </w:r>
      <w:r>
        <w:rPr>
          <w:rFonts w:ascii="Arial Narrow" w:hAnsi="Arial Narrow" w:cs="Tahoma"/>
          <w:sz w:val="22"/>
        </w:rPr>
        <w:t>.</w:t>
      </w:r>
    </w:p>
    <w:p w:rsidR="00237148" w:rsidRPr="00900786" w:rsidRDefault="00237148" w:rsidP="00F442FA">
      <w:pPr>
        <w:jc w:val="both"/>
        <w:rPr>
          <w:rFonts w:ascii="Arial Narrow" w:hAnsi="Arial Narrow" w:cs="Tahoma"/>
          <w:sz w:val="22"/>
        </w:rPr>
      </w:pPr>
    </w:p>
    <w:p w:rsidR="00F442FA" w:rsidRDefault="00237148" w:rsidP="00F442FA">
      <w:pPr>
        <w:jc w:val="both"/>
        <w:rPr>
          <w:rFonts w:ascii="Arial Narrow" w:hAnsi="Arial Narrow" w:cs="Tahoma"/>
          <w:sz w:val="22"/>
        </w:rPr>
      </w:pPr>
      <w:r w:rsidRPr="00237148"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 w:rsidRPr="00237148">
        <w:rPr>
          <w:rFonts w:ascii="Arial Narrow" w:hAnsi="Arial Narrow" w:cs="Tahoma"/>
          <w:sz w:val="22"/>
        </w:rPr>
        <w:t>Republika</w:t>
      </w:r>
      <w:proofErr w:type="spellEnd"/>
      <w:r w:rsidRPr="00237148">
        <w:rPr>
          <w:rFonts w:ascii="Arial Narrow" w:hAnsi="Arial Narrow" w:cs="Tahoma"/>
          <w:sz w:val="22"/>
        </w:rPr>
        <w:t xml:space="preserve"> </w:t>
      </w:r>
      <w:proofErr w:type="spellStart"/>
      <w:r w:rsidRPr="00237148">
        <w:rPr>
          <w:rFonts w:ascii="Arial Narrow" w:hAnsi="Arial Narrow" w:cs="Tahoma"/>
          <w:sz w:val="22"/>
        </w:rPr>
        <w:t>Srpska</w:t>
      </w:r>
      <w:proofErr w:type="spellEnd"/>
      <w:r w:rsidRPr="00237148">
        <w:rPr>
          <w:rFonts w:ascii="Arial Narrow" w:hAnsi="Arial Narrow" w:cs="Tahoma"/>
          <w:sz w:val="22"/>
        </w:rPr>
        <w:t xml:space="preserve">, in the period January – </w:t>
      </w:r>
      <w:r>
        <w:rPr>
          <w:rFonts w:ascii="Arial Narrow" w:hAnsi="Arial Narrow" w:cs="Tahoma"/>
          <w:sz w:val="22"/>
        </w:rPr>
        <w:t>February 2016</w:t>
      </w:r>
      <w:r w:rsidRPr="00237148">
        <w:rPr>
          <w:rFonts w:ascii="Arial Narrow" w:hAnsi="Arial Narrow" w:cs="Tahoma"/>
          <w:sz w:val="22"/>
        </w:rPr>
        <w:t xml:space="preserve">, the highest value of export was that of export to Italy, with </w:t>
      </w:r>
      <w:r>
        <w:rPr>
          <w:rFonts w:ascii="Arial Narrow" w:hAnsi="Arial Narrow" w:cs="Tahoma"/>
          <w:sz w:val="22"/>
        </w:rPr>
        <w:t>77 million KM or 19.6</w:t>
      </w:r>
      <w:r w:rsidRPr="00237148">
        <w:rPr>
          <w:rFonts w:ascii="Arial Narrow" w:hAnsi="Arial Narrow" w:cs="Tahoma"/>
          <w:sz w:val="22"/>
        </w:rPr>
        <w:t xml:space="preserve">%, followed by </w:t>
      </w:r>
      <w:r>
        <w:rPr>
          <w:rFonts w:ascii="Arial Narrow" w:hAnsi="Arial Narrow" w:cs="Tahoma"/>
          <w:sz w:val="22"/>
        </w:rPr>
        <w:t>Germany</w:t>
      </w:r>
      <w:r w:rsidRPr="00237148">
        <w:rPr>
          <w:rFonts w:ascii="Arial Narrow" w:hAnsi="Arial Narrow" w:cs="Tahoma"/>
          <w:sz w:val="22"/>
        </w:rPr>
        <w:t xml:space="preserve">, with </w:t>
      </w:r>
      <w:r>
        <w:rPr>
          <w:rFonts w:ascii="Arial Narrow" w:hAnsi="Arial Narrow" w:cs="Tahoma"/>
          <w:sz w:val="22"/>
        </w:rPr>
        <w:t>53</w:t>
      </w:r>
      <w:r w:rsidRPr="00237148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million KM or 13.4</w:t>
      </w:r>
      <w:r w:rsidRPr="00237148">
        <w:rPr>
          <w:rFonts w:ascii="Arial Narrow" w:hAnsi="Arial Narrow" w:cs="Tahoma"/>
          <w:sz w:val="22"/>
        </w:rPr>
        <w:t xml:space="preserve">% of the total </w:t>
      </w:r>
      <w:proofErr w:type="spellStart"/>
      <w:r w:rsidRPr="00237148">
        <w:rPr>
          <w:rFonts w:ascii="Arial Narrow" w:hAnsi="Arial Narrow" w:cs="Tahoma"/>
          <w:sz w:val="22"/>
        </w:rPr>
        <w:t>realised</w:t>
      </w:r>
      <w:proofErr w:type="spellEnd"/>
      <w:r w:rsidRPr="00237148">
        <w:rPr>
          <w:rFonts w:ascii="Arial Narrow" w:hAnsi="Arial Narrow" w:cs="Tahoma"/>
          <w:sz w:val="22"/>
        </w:rPr>
        <w:t xml:space="preserve"> export. During the same period, the highest value of import was that of import from Serbia, with </w:t>
      </w:r>
      <w:r>
        <w:rPr>
          <w:rFonts w:ascii="Arial Narrow" w:hAnsi="Arial Narrow" w:cs="Tahoma"/>
          <w:sz w:val="22"/>
        </w:rPr>
        <w:t>100</w:t>
      </w:r>
      <w:r w:rsidRPr="00237148">
        <w:rPr>
          <w:rFonts w:ascii="Arial Narrow" w:hAnsi="Arial Narrow" w:cs="Tahoma"/>
          <w:sz w:val="22"/>
        </w:rPr>
        <w:t xml:space="preserve"> million KM or </w:t>
      </w:r>
      <w:r>
        <w:rPr>
          <w:rFonts w:ascii="Arial Narrow" w:hAnsi="Arial Narrow" w:cs="Tahoma"/>
          <w:sz w:val="22"/>
        </w:rPr>
        <w:t>18.4</w:t>
      </w:r>
      <w:r w:rsidRPr="00237148">
        <w:rPr>
          <w:rFonts w:ascii="Arial Narrow" w:hAnsi="Arial Narrow" w:cs="Tahoma"/>
          <w:sz w:val="22"/>
        </w:rPr>
        <w:t xml:space="preserve">%, followed by </w:t>
      </w:r>
      <w:r>
        <w:rPr>
          <w:rFonts w:ascii="Arial Narrow" w:hAnsi="Arial Narrow" w:cs="Tahoma"/>
          <w:sz w:val="22"/>
        </w:rPr>
        <w:t>Italy</w:t>
      </w:r>
      <w:r w:rsidRPr="00237148">
        <w:rPr>
          <w:rFonts w:ascii="Arial Narrow" w:hAnsi="Arial Narrow" w:cs="Tahoma"/>
          <w:sz w:val="22"/>
        </w:rPr>
        <w:t xml:space="preserve">, with </w:t>
      </w:r>
      <w:r>
        <w:rPr>
          <w:rFonts w:ascii="Arial Narrow" w:hAnsi="Arial Narrow" w:cs="Tahoma"/>
          <w:sz w:val="22"/>
        </w:rPr>
        <w:t>72</w:t>
      </w:r>
      <w:r w:rsidRPr="00237148">
        <w:rPr>
          <w:rFonts w:ascii="Arial Narrow" w:hAnsi="Arial Narrow" w:cs="Tahoma"/>
          <w:sz w:val="22"/>
        </w:rPr>
        <w:t xml:space="preserve"> million </w:t>
      </w:r>
      <w:r>
        <w:rPr>
          <w:rFonts w:ascii="Arial Narrow" w:hAnsi="Arial Narrow" w:cs="Tahoma"/>
          <w:sz w:val="22"/>
        </w:rPr>
        <w:t>KM or 13.2</w:t>
      </w:r>
      <w:r w:rsidRPr="00237148">
        <w:rPr>
          <w:rFonts w:ascii="Arial Narrow" w:hAnsi="Arial Narrow" w:cs="Tahoma"/>
          <w:sz w:val="22"/>
        </w:rPr>
        <w:t xml:space="preserve">% of the total </w:t>
      </w:r>
      <w:proofErr w:type="spellStart"/>
      <w:r w:rsidRPr="00237148">
        <w:rPr>
          <w:rFonts w:ascii="Arial Narrow" w:hAnsi="Arial Narrow" w:cs="Tahoma"/>
          <w:sz w:val="22"/>
        </w:rPr>
        <w:t>realised</w:t>
      </w:r>
      <w:proofErr w:type="spellEnd"/>
      <w:r w:rsidRPr="00237148">
        <w:rPr>
          <w:rFonts w:ascii="Arial Narrow" w:hAnsi="Arial Narrow" w:cs="Tahoma"/>
          <w:sz w:val="22"/>
        </w:rPr>
        <w:t xml:space="preserve"> import</w:t>
      </w:r>
      <w:r>
        <w:rPr>
          <w:rFonts w:ascii="Arial Narrow" w:hAnsi="Arial Narrow" w:cs="Tahoma"/>
          <w:sz w:val="22"/>
        </w:rPr>
        <w:t>.</w:t>
      </w:r>
    </w:p>
    <w:p w:rsidR="00237148" w:rsidRDefault="00237148" w:rsidP="00F442FA">
      <w:pPr>
        <w:jc w:val="both"/>
        <w:rPr>
          <w:rFonts w:ascii="Arial Narrow" w:hAnsi="Arial Narrow" w:cs="Tahoma"/>
          <w:sz w:val="22"/>
        </w:rPr>
      </w:pPr>
    </w:p>
    <w:p w:rsidR="00237148" w:rsidRDefault="00237148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By group of products, in the period January – February 2016, the </w:t>
      </w:r>
      <w:r>
        <w:rPr>
          <w:rFonts w:ascii="Arial Narrow" w:hAnsi="Arial Narrow" w:cs="Tahoma"/>
          <w:sz w:val="22"/>
        </w:rPr>
        <w:t>highest share in export was that of</w:t>
      </w:r>
      <w:r>
        <w:rPr>
          <w:rFonts w:ascii="Arial Narrow" w:hAnsi="Arial Narrow" w:cs="Tahoma"/>
          <w:sz w:val="22"/>
        </w:rPr>
        <w:t xml:space="preserve"> parts of footwear, with the total value of 23 million KM, which was 5.9% of the total export, while the highest share in import was that of petroleum and oils obtained from </w:t>
      </w:r>
      <w:r w:rsidRPr="007E517E">
        <w:rPr>
          <w:rFonts w:ascii="Arial Narrow" w:hAnsi="Arial Narrow" w:cs="Tahoma"/>
          <w:sz w:val="22"/>
        </w:rPr>
        <w:t>bituminous minerals (crude), with the total value of</w:t>
      </w:r>
      <w:r>
        <w:rPr>
          <w:rFonts w:ascii="Arial Narrow" w:hAnsi="Arial Narrow" w:cs="Tahoma"/>
          <w:sz w:val="22"/>
        </w:rPr>
        <w:t xml:space="preserve"> 33 million KM, which was 6.2% of the total import. </w:t>
      </w:r>
    </w:p>
    <w:p w:rsidR="00237148" w:rsidRPr="00900786" w:rsidRDefault="00237148" w:rsidP="00F442FA">
      <w:pPr>
        <w:jc w:val="both"/>
        <w:rPr>
          <w:rFonts w:ascii="Arial Narrow" w:hAnsi="Arial Narrow" w:cs="Tahoma"/>
          <w:sz w:val="22"/>
        </w:rPr>
      </w:pPr>
    </w:p>
    <w:p w:rsidR="00115CDB" w:rsidRPr="00900786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252DE1" w:rsidRPr="00900786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206D9" w:rsidRPr="00900786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206D9" w:rsidRPr="00900786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252DE1" w:rsidRPr="00900786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252DE1" w:rsidRPr="00900786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900786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84927" w:rsidRPr="00900786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84927" w:rsidRPr="00900786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84927" w:rsidRPr="00900786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900786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900786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900786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900786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900786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900786" w:rsidRDefault="003511B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900786">
        <w:rPr>
          <w:rFonts w:ascii="Tahoma" w:hAnsi="Tahoma" w:cs="Tahoma"/>
          <w:noProof/>
          <w:sz w:val="18"/>
          <w:szCs w:val="18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5.05pt;margin-top:7.35pt;width:64.2pt;height:19.75pt;z-index:251664384;mso-width-relative:margin;mso-height-relative:margin" stroked="f">
            <v:textbox style="mso-next-textbox:#_x0000_s1068">
              <w:txbxContent>
                <w:p w:rsidR="00A905EA" w:rsidRPr="000A1309" w:rsidRDefault="00D6085E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proofErr w:type="spellStart"/>
                  <w:proofErr w:type="gramStart"/>
                  <w:r>
                    <w:rPr>
                      <w:rFonts w:ascii="Arial Narrow" w:hAnsi="Arial Narrow" w:cs="Tahoma"/>
                      <w:sz w:val="16"/>
                      <w:szCs w:val="16"/>
                    </w:rPr>
                    <w:t>thous</w:t>
                  </w:r>
                  <w:proofErr w:type="spellEnd"/>
                  <w:proofErr w:type="gramEnd"/>
                  <w:r w:rsidR="00A905EA"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353834" w:rsidRPr="00900786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BA70D8" w:rsidRPr="00900786" w:rsidRDefault="00D6085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Cs/>
          <w:noProof/>
          <w:sz w:val="18"/>
          <w:szCs w:val="18"/>
        </w:rPr>
        <w:pict>
          <v:shape id="_x0000_s1074" type="#_x0000_t202" style="position:absolute;left:0;text-align:left;margin-left:382.65pt;margin-top:90.5pt;width:49.65pt;height:21.25pt;z-index:25166950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" fillcolor="window" stroked="f">
            <v:textbox>
              <w:txbxContent>
                <w:p w:rsidR="00D6085E" w:rsidRDefault="00D6085E" w:rsidP="00D6085E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Arial Narrow" w:hAnsi="Arial Narrow" w:cstheme="minorBidi"/>
                      <w:sz w:val="16"/>
                      <w:szCs w:val="16"/>
                    </w:rPr>
                    <w:t>export</w:t>
                  </w:r>
                  <w:proofErr w:type="gramEnd"/>
                </w:p>
              </w:txbxContent>
            </v:textbox>
          </v:shape>
        </w:pict>
      </w:r>
      <w:r>
        <w:rPr>
          <w:rFonts w:ascii="Tahoma" w:hAnsi="Tahoma" w:cs="Tahoma"/>
          <w:iCs/>
          <w:noProof/>
          <w:sz w:val="18"/>
          <w:szCs w:val="18"/>
        </w:rPr>
        <w:pict>
          <v:shape id="TextBox 1" o:spid="_x0000_s1073" type="#_x0000_t202" style="position:absolute;left:0;text-align:left;margin-left:382.65pt;margin-top:71.8pt;width:42.05pt;height:17.3pt;z-index:25166848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" fillcolor="window" stroked="f">
            <v:path arrowok="t"/>
            <v:textbox style="mso-next-textbox:#TextBox 1">
              <w:txbxContent>
                <w:p w:rsidR="00D6085E" w:rsidRDefault="00D6085E" w:rsidP="00D6085E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Arial Narrow" w:hAnsi="Arial Narrow" w:cstheme="minorBidi"/>
                      <w:sz w:val="16"/>
                      <w:szCs w:val="16"/>
                    </w:rPr>
                    <w:t>import</w:t>
                  </w:r>
                  <w:proofErr w:type="gramEnd"/>
                </w:p>
              </w:txbxContent>
            </v:textbox>
          </v:shape>
        </w:pict>
      </w:r>
      <w:r w:rsidR="003511BC" w:rsidRPr="00900786">
        <w:rPr>
          <w:rFonts w:ascii="Tahoma" w:hAnsi="Tahoma" w:cs="Tahoma"/>
          <w:b/>
          <w:noProof/>
          <w:sz w:val="16"/>
          <w:szCs w:val="16"/>
          <w:lang w:eastAsia="bs-Latn-BA"/>
        </w:rPr>
        <w:pict>
          <v:shape id="_x0000_s1067" type="#_x0000_t202" style="position:absolute;left:0;text-align:left;margin-left:323.3pt;margin-top:201.7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A905EA" w:rsidRPr="000A1309" w:rsidRDefault="00A905EA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  <w:r w:rsidR="003511BC" w:rsidRPr="00900786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85.6pt;margin-top:202.8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A905EA" w:rsidRPr="000A1309" w:rsidRDefault="00A905EA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  <w:r w:rsidR="003A0849" w:rsidRPr="00900786">
        <w:rPr>
          <w:noProof/>
        </w:rPr>
        <w:drawing>
          <wp:inline distT="0" distB="0" distL="0" distR="0">
            <wp:extent cx="4143375" cy="2590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6814" w:rsidRPr="00900786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900786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900786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2E1D1D" w:rsidRPr="00900786" w:rsidRDefault="00D6085E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777348" w:rsidRPr="00900786">
        <w:rPr>
          <w:rFonts w:ascii="Arial Narrow" w:hAnsi="Arial Narrow" w:cs="Tahoma"/>
          <w:sz w:val="16"/>
          <w:szCs w:val="22"/>
        </w:rPr>
        <w:t xml:space="preserve"> </w:t>
      </w:r>
      <w:r w:rsidR="0066022A" w:rsidRPr="00900786">
        <w:rPr>
          <w:rFonts w:ascii="Arial Narrow" w:hAnsi="Arial Narrow" w:cs="Tahoma"/>
          <w:sz w:val="16"/>
          <w:szCs w:val="22"/>
        </w:rPr>
        <w:t>3</w:t>
      </w:r>
      <w:r w:rsidR="00777348" w:rsidRPr="00900786">
        <w:rPr>
          <w:rFonts w:ascii="Arial Narrow" w:hAnsi="Arial Narrow" w:cs="Tahoma"/>
          <w:sz w:val="16"/>
          <w:szCs w:val="22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115CDB" w:rsidRPr="00900786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900786" w:rsidRDefault="00D6085E" w:rsidP="00D6085E">
      <w:pPr>
        <w:tabs>
          <w:tab w:val="left" w:pos="2535"/>
          <w:tab w:val="left" w:pos="7710"/>
        </w:tabs>
        <w:rPr>
          <w:rFonts w:ascii="Tahoma" w:hAnsi="Tahoma" w:cs="Tahoma"/>
          <w:iCs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ab/>
      </w:r>
      <w:r>
        <w:rPr>
          <w:rFonts w:ascii="Tahoma" w:hAnsi="Tahoma" w:cs="Tahoma"/>
          <w:iCs/>
          <w:sz w:val="18"/>
          <w:szCs w:val="18"/>
        </w:rPr>
        <w:tab/>
      </w: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85F5B" w:rsidRPr="009007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115CDB" w:rsidRPr="00900786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612FE" w:rsidRPr="00900786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612FE" w:rsidRPr="00900786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900786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0786" w:rsidRDefault="00E7577D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900786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9E2A9A" w:rsidRPr="00900786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900786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900786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900786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900786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66022A" w:rsidRPr="00900786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7577D" w:rsidRPr="00B84D4D" w:rsidRDefault="00E7577D" w:rsidP="00E7577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B84D4D">
              <w:rPr>
                <w:rFonts w:ascii="Arial Narrow" w:hAnsi="Arial Narrow" w:cs="Tahoma"/>
                <w:b/>
                <w:sz w:val="18"/>
                <w:szCs w:val="18"/>
              </w:rPr>
              <w:t>Labour</w:t>
            </w:r>
            <w:proofErr w:type="spellEnd"/>
            <w:r w:rsidRPr="00B84D4D"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E7577D" w:rsidRPr="00B84D4D" w:rsidRDefault="00E7577D" w:rsidP="00E7577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B84D4D">
              <w:rPr>
                <w:rFonts w:ascii="Arial Narrow" w:hAnsi="Arial Narrow" w:cs="Tahoma"/>
                <w:sz w:val="18"/>
                <w:szCs w:val="18"/>
              </w:rPr>
              <w:t>Biljana</w:t>
            </w:r>
            <w:proofErr w:type="spellEnd"/>
            <w:r w:rsidRPr="00B84D4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B84D4D">
              <w:rPr>
                <w:rFonts w:ascii="Arial Narrow" w:hAnsi="Arial Narrow" w:cs="Tahoma"/>
                <w:sz w:val="18"/>
                <w:szCs w:val="18"/>
              </w:rPr>
              <w:t>Glušac</w:t>
            </w:r>
            <w:proofErr w:type="spellEnd"/>
            <w:r w:rsidRPr="00B84D4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  <w:p w:rsidR="0066022A" w:rsidRPr="00900786" w:rsidRDefault="003511BC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23714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3</w:t>
              </w:r>
            </w:hyperlink>
            <w:r w:rsidR="0066022A" w:rsidRPr="00900786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900786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6022A" w:rsidRPr="00900786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7577D" w:rsidRPr="00B84D4D" w:rsidRDefault="00E7577D" w:rsidP="00E7577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84D4D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E7577D" w:rsidRPr="00B84D4D" w:rsidRDefault="00E7577D" w:rsidP="00E7577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B84D4D">
              <w:rPr>
                <w:rFonts w:ascii="Arial Narrow" w:hAnsi="Arial Narrow" w:cs="Tahoma"/>
                <w:sz w:val="18"/>
                <w:szCs w:val="18"/>
              </w:rPr>
              <w:t>Biljana</w:t>
            </w:r>
            <w:proofErr w:type="spellEnd"/>
            <w:r w:rsidRPr="00B84D4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B84D4D">
              <w:rPr>
                <w:rFonts w:ascii="Arial Narrow" w:hAnsi="Arial Narrow" w:cs="Tahoma"/>
                <w:sz w:val="18"/>
                <w:szCs w:val="18"/>
              </w:rPr>
              <w:t>Tešić</w:t>
            </w:r>
            <w:proofErr w:type="spellEnd"/>
            <w:r w:rsidRPr="00B84D4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  <w:p w:rsidR="0066022A" w:rsidRPr="00900786" w:rsidRDefault="003511BC" w:rsidP="00252DE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66022A" w:rsidRPr="0090078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Biljana.tesic@rzs.rs.ba</w:t>
              </w:r>
            </w:hyperlink>
          </w:p>
        </w:tc>
      </w:tr>
      <w:tr w:rsidR="0066022A" w:rsidRPr="00900786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7577D" w:rsidRPr="007E517E" w:rsidRDefault="00E7577D" w:rsidP="00E7577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E7577D" w:rsidRPr="004C7183" w:rsidRDefault="00E7577D" w:rsidP="00E7577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Mirjana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Bandur</w:t>
            </w:r>
            <w:proofErr w:type="spellEnd"/>
          </w:p>
          <w:p w:rsidR="0066022A" w:rsidRPr="00900786" w:rsidRDefault="003511BC" w:rsidP="00A91B02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66022A" w:rsidRPr="0090078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mirjana.bandur@rzs.rs.ba</w:t>
              </w:r>
            </w:hyperlink>
          </w:p>
        </w:tc>
      </w:tr>
      <w:tr w:rsidR="0066022A" w:rsidRPr="00900786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7577D" w:rsidRPr="00700714" w:rsidRDefault="00E7577D" w:rsidP="00E7577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E7577D" w:rsidRPr="00F04972" w:rsidRDefault="00E7577D" w:rsidP="00E7577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Sanja Stojčević Uvalić, MSc</w:t>
            </w:r>
          </w:p>
          <w:p w:rsidR="0066022A" w:rsidRPr="00900786" w:rsidRDefault="003511BC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hyperlink r:id="rId16" w:history="1">
              <w:r w:rsidR="0066022A" w:rsidRPr="0090078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900786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900786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900786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900786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900786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900786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0786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F61BAF" w:rsidRPr="00900786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900786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900786" w:rsidRDefault="00E7577D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900786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0786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900786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900786">
              <w:rPr>
                <w:rFonts w:ascii="Arial Narrow" w:hAnsi="Arial Narrow" w:cs="Tahoma"/>
                <w:b/>
                <w:bCs/>
                <w:sz w:val="32"/>
                <w:szCs w:val="28"/>
              </w:rPr>
              <w:t xml:space="preserve"> </w:t>
            </w:r>
            <w:r w:rsidRPr="00900786">
              <w:rPr>
                <w:rFonts w:ascii="Arial Narrow" w:hAnsi="Arial Narrow" w:cs="Tahoma"/>
                <w:bCs/>
                <w:sz w:val="18"/>
                <w:szCs w:val="16"/>
              </w:rPr>
              <w:t xml:space="preserve">- </w:t>
            </w:r>
            <w:r w:rsidR="00E7577D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900786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900786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¹ - </w:t>
            </w:r>
            <w:r w:rsidR="00E7577D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90078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90078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90078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90078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90078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90078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900786" w:rsidRDefault="009E2A9A" w:rsidP="009E2A9A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0078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900786" w:rsidRDefault="003511B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900786"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900786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900786" w:rsidRDefault="009E2A9A" w:rsidP="009E2A9A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4C20B5" w:rsidRPr="00900786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900786" w:rsidRDefault="00E7577D" w:rsidP="009E2A9A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8"/>
              </w:rPr>
              <w:t>Th</w:t>
            </w:r>
            <w:r w:rsidRPr="007E517E">
              <w:rPr>
                <w:rFonts w:ascii="Arial Narrow" w:hAnsi="Arial Narrow" w:cs="Tahoma"/>
                <w:sz w:val="18"/>
              </w:rPr>
              <w:t>e Release prepared by the Publications Division</w:t>
            </w:r>
          </w:p>
        </w:tc>
      </w:tr>
      <w:tr w:rsidR="004C20B5" w:rsidRPr="00900786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E7577D" w:rsidRPr="00E7577D" w:rsidRDefault="00E7577D" w:rsidP="00E757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E7577D">
              <w:rPr>
                <w:rFonts w:ascii="Arial Narrow" w:hAnsi="Arial Narrow" w:cs="Tahoma"/>
                <w:sz w:val="18"/>
                <w:szCs w:val="18"/>
              </w:rPr>
              <w:t>Vladan</w:t>
            </w:r>
            <w:proofErr w:type="spellEnd"/>
            <w:r w:rsidRPr="00E7577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E7577D">
              <w:rPr>
                <w:rFonts w:ascii="Arial Narrow" w:hAnsi="Arial Narrow" w:cs="Tahoma"/>
                <w:sz w:val="18"/>
                <w:szCs w:val="18"/>
              </w:rPr>
              <w:t>Sibinović</w:t>
            </w:r>
            <w:proofErr w:type="spellEnd"/>
            <w:r w:rsidRPr="00E7577D">
              <w:rPr>
                <w:rFonts w:ascii="Arial Narrow" w:hAnsi="Arial Narrow" w:cs="Tahoma"/>
                <w:sz w:val="18"/>
                <w:szCs w:val="18"/>
              </w:rPr>
              <w:t>, Head of the Division</w:t>
            </w:r>
          </w:p>
          <w:p w:rsidR="00E7577D" w:rsidRPr="00E7577D" w:rsidRDefault="00E7577D" w:rsidP="00E757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7577D">
              <w:rPr>
                <w:rFonts w:ascii="Arial Narrow" w:hAnsi="Arial Narrow" w:cs="Tahoma"/>
                <w:sz w:val="18"/>
                <w:szCs w:val="18"/>
              </w:rPr>
              <w:t xml:space="preserve">Published by the </w:t>
            </w:r>
            <w:proofErr w:type="spellStart"/>
            <w:r w:rsidRPr="00E7577D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E7577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E7577D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E7577D">
              <w:rPr>
                <w:rFonts w:ascii="Arial Narrow" w:hAnsi="Arial Narrow" w:cs="Tahoma"/>
                <w:sz w:val="18"/>
                <w:szCs w:val="18"/>
              </w:rPr>
              <w:t xml:space="preserve"> Institute of Statistics,</w:t>
            </w:r>
          </w:p>
          <w:p w:rsidR="00E7577D" w:rsidRPr="00E7577D" w:rsidRDefault="00E7577D" w:rsidP="00E757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E7577D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E7577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E7577D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E7577D">
              <w:rPr>
                <w:rFonts w:ascii="Arial Narrow" w:hAnsi="Arial Narrow" w:cs="Tahoma"/>
                <w:sz w:val="18"/>
                <w:szCs w:val="18"/>
              </w:rPr>
              <w:t xml:space="preserve">, Banja Luka, </w:t>
            </w:r>
            <w:proofErr w:type="spellStart"/>
            <w:r w:rsidRPr="00E7577D">
              <w:rPr>
                <w:rFonts w:ascii="Arial Narrow" w:hAnsi="Arial Narrow" w:cs="Tahoma"/>
                <w:sz w:val="18"/>
                <w:szCs w:val="18"/>
              </w:rPr>
              <w:t>Veljka</w:t>
            </w:r>
            <w:proofErr w:type="spellEnd"/>
            <w:r w:rsidRPr="00E7577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E7577D">
              <w:rPr>
                <w:rFonts w:ascii="Arial Narrow" w:hAnsi="Arial Narrow" w:cs="Tahoma"/>
                <w:sz w:val="18"/>
                <w:szCs w:val="18"/>
              </w:rPr>
              <w:t>Mlađenovića</w:t>
            </w:r>
            <w:proofErr w:type="spellEnd"/>
            <w:r w:rsidRPr="00E7577D">
              <w:rPr>
                <w:rFonts w:ascii="Arial Narrow" w:hAnsi="Arial Narrow" w:cs="Tahoma"/>
                <w:sz w:val="18"/>
                <w:szCs w:val="18"/>
              </w:rPr>
              <w:t xml:space="preserve"> 12d</w:t>
            </w:r>
          </w:p>
          <w:p w:rsidR="00E7577D" w:rsidRPr="00E7577D" w:rsidRDefault="00E7577D" w:rsidP="00E757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E7577D">
              <w:rPr>
                <w:rFonts w:ascii="Arial Narrow" w:hAnsi="Arial Narrow" w:cs="Tahoma"/>
                <w:sz w:val="18"/>
                <w:szCs w:val="18"/>
              </w:rPr>
              <w:t>Radmila</w:t>
            </w:r>
            <w:proofErr w:type="spellEnd"/>
            <w:r w:rsidRPr="00E7577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E7577D">
              <w:rPr>
                <w:rFonts w:ascii="Arial Narrow" w:hAnsi="Arial Narrow" w:cs="Tahoma"/>
                <w:sz w:val="18"/>
                <w:szCs w:val="18"/>
              </w:rPr>
              <w:t>Čičković</w:t>
            </w:r>
            <w:proofErr w:type="spellEnd"/>
            <w:r w:rsidRPr="00E7577D">
              <w:rPr>
                <w:rFonts w:ascii="Arial Narrow" w:hAnsi="Arial Narrow" w:cs="Tahoma"/>
                <w:sz w:val="18"/>
                <w:szCs w:val="18"/>
              </w:rPr>
              <w:t>, PhD, Director General of the Institute</w:t>
            </w:r>
          </w:p>
          <w:p w:rsidR="00E7577D" w:rsidRPr="00E7577D" w:rsidRDefault="00E7577D" w:rsidP="00E757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7577D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9E2A9A" w:rsidRPr="00900786" w:rsidRDefault="00E7577D" w:rsidP="00E757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7577D">
              <w:rPr>
                <w:rFonts w:ascii="Arial Narrow" w:hAnsi="Arial Narrow" w:cs="Tahoma"/>
                <w:sz w:val="18"/>
                <w:szCs w:val="18"/>
              </w:rPr>
              <w:t>telephone +387 51 332 700; e-mail: stat@rzs.rs.ba</w:t>
            </w:r>
          </w:p>
          <w:p w:rsidR="009E2A9A" w:rsidRPr="00900786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9E2A9A" w:rsidRPr="00900786" w:rsidRDefault="00E7577D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E7577D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900786" w:rsidRDefault="003511BC" w:rsidP="009E2A9A">
      <w:pPr>
        <w:rPr>
          <w:rFonts w:ascii="Tahoma" w:hAnsi="Tahoma" w:cs="Tahoma"/>
        </w:rPr>
      </w:pPr>
      <w:r w:rsidRPr="00900786">
        <w:rPr>
          <w:rFonts w:ascii="Tahoma" w:hAnsi="Tahoma" w:cs="Tahoma"/>
          <w:noProof/>
          <w:lang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900786" w:rsidSect="0076768F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5EA" w:rsidRDefault="00A905EA">
      <w:r>
        <w:separator/>
      </w:r>
    </w:p>
  </w:endnote>
  <w:endnote w:type="continuationSeparator" w:id="0">
    <w:p w:rsidR="00A905EA" w:rsidRDefault="00A9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EA" w:rsidRDefault="003511BC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A905EA" w:rsidRPr="00175687" w:rsidRDefault="00AA38D3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A905EA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3511BC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EA" w:rsidRDefault="003511BC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A905EA" w:rsidRPr="00175687" w:rsidRDefault="00AA38D3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A905EA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3511BC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5EA" w:rsidRDefault="00A905EA">
      <w:r>
        <w:separator/>
      </w:r>
    </w:p>
  </w:footnote>
  <w:footnote w:type="continuationSeparator" w:id="0">
    <w:p w:rsidR="00A905EA" w:rsidRDefault="00A9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A905EA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A905EA" w:rsidRPr="00E7577D" w:rsidRDefault="00E7577D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A905EA" w:rsidRPr="00E7577D" w:rsidRDefault="00E7577D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A905EA" w:rsidRPr="005D5311" w:rsidRDefault="00A905EA" w:rsidP="00E7577D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22</w:t>
          </w:r>
          <w:r w:rsidR="00E7577D" w:rsidRPr="00E7577D">
            <w:rPr>
              <w:rFonts w:ascii="Arial Narrow" w:hAnsi="Arial Narrow" w:cs="Tahoma"/>
              <w:color w:val="1F497D" w:themeColor="text2"/>
              <w:sz w:val="16"/>
              <w:szCs w:val="16"/>
              <w:vertAlign w:val="superscript"/>
              <w:lang w:val="sr-Cyrl-BA"/>
            </w:rPr>
            <w:t>nd</w:t>
          </w:r>
          <w:r w:rsidR="00E7577D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March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="00E7577D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 xml:space="preserve">, 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No. 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CS"/>
            </w:rPr>
            <w:t>57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A905EA" w:rsidRDefault="003511BC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A10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14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3C03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3B7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BC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3834"/>
    <w:rsid w:val="00354418"/>
    <w:rsid w:val="00354D74"/>
    <w:rsid w:val="00354E11"/>
    <w:rsid w:val="003551AF"/>
    <w:rsid w:val="003554A2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1CF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372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2B0C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5D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7AD"/>
    <w:rsid w:val="00823A6A"/>
    <w:rsid w:val="00824225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0786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4A7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75B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513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50C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085E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D7988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77D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1EC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BAF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63B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675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2BE6BD7-BFE8-4C5E-B048-C68B5DDD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  <w:style w:type="paragraph" w:styleId="NormalWeb">
    <w:name w:val="Normal (Web)"/>
    <w:basedOn w:val="Normal"/>
    <w:uiPriority w:val="99"/>
    <w:semiHidden/>
    <w:unhideWhenUsed/>
    <w:rsid w:val="00D6085E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834</c:v>
                </c:pt>
                <c:pt idx="1">
                  <c:v>831</c:v>
                </c:pt>
                <c:pt idx="2">
                  <c:v>835</c:v>
                </c:pt>
                <c:pt idx="3">
                  <c:v>832</c:v>
                </c:pt>
                <c:pt idx="4">
                  <c:v>843</c:v>
                </c:pt>
                <c:pt idx="5">
                  <c:v>834</c:v>
                </c:pt>
                <c:pt idx="6">
                  <c:v>834</c:v>
                </c:pt>
                <c:pt idx="7">
                  <c:v>834</c:v>
                </c:pt>
                <c:pt idx="8">
                  <c:v>824</c:v>
                </c:pt>
                <c:pt idx="9">
                  <c:v>824</c:v>
                </c:pt>
                <c:pt idx="10">
                  <c:v>834</c:v>
                </c:pt>
                <c:pt idx="11">
                  <c:v>816</c:v>
                </c:pt>
                <c:pt idx="12">
                  <c:v>838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0252488"/>
        <c:axId val="220252880"/>
      </c:lineChart>
      <c:catAx>
        <c:axId val="22025248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20252880"/>
        <c:crosses val="autoZero"/>
        <c:auto val="1"/>
        <c:lblAlgn val="ctr"/>
        <c:lblOffset val="100"/>
        <c:noMultiLvlLbl val="0"/>
      </c:catAx>
      <c:valAx>
        <c:axId val="220252880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22025248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2012</c:v>
                  </c:pt>
                  <c:pt idx="11">
                    <c:v>2013</c:v>
                  </c:pt>
                  <c:pt idx="23">
                    <c:v>2014</c:v>
                  </c:pt>
                  <c:pt idx="35">
                    <c:v>2015</c:v>
                  </c:pt>
                  <c:pt idx="47">
                    <c:v>2016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95.427848568255669</c:v>
                </c:pt>
                <c:pt idx="1">
                  <c:v>101.17016245387096</c:v>
                </c:pt>
                <c:pt idx="2">
                  <c:v>101.50698514308949</c:v>
                </c:pt>
                <c:pt idx="3">
                  <c:v>99.410099475659123</c:v>
                </c:pt>
                <c:pt idx="4">
                  <c:v>99.686722373615666</c:v>
                </c:pt>
                <c:pt idx="5">
                  <c:v>93.475209949510543</c:v>
                </c:pt>
                <c:pt idx="6">
                  <c:v>99.733075709757543</c:v>
                </c:pt>
                <c:pt idx="7">
                  <c:v>106.0109633616818</c:v>
                </c:pt>
                <c:pt idx="8">
                  <c:v>100.6018382273045</c:v>
                </c:pt>
                <c:pt idx="9">
                  <c:v>99.206033969218907</c:v>
                </c:pt>
                <c:pt idx="10">
                  <c:v>102.24755250345682</c:v>
                </c:pt>
                <c:pt idx="11">
                  <c:v>102.04840154141242</c:v>
                </c:pt>
                <c:pt idx="12">
                  <c:v>100.6922840021105</c:v>
                </c:pt>
                <c:pt idx="13">
                  <c:v>100.37003418955661</c:v>
                </c:pt>
                <c:pt idx="14">
                  <c:v>109.33957265964581</c:v>
                </c:pt>
                <c:pt idx="15">
                  <c:v>102.96519759680841</c:v>
                </c:pt>
                <c:pt idx="16">
                  <c:v>104.88221273154926</c:v>
                </c:pt>
                <c:pt idx="17">
                  <c:v>110.39065518493214</c:v>
                </c:pt>
                <c:pt idx="18">
                  <c:v>106.73267973286467</c:v>
                </c:pt>
                <c:pt idx="19">
                  <c:v>100.80279630689907</c:v>
                </c:pt>
                <c:pt idx="20">
                  <c:v>101.79327421841286</c:v>
                </c:pt>
                <c:pt idx="21">
                  <c:v>104.9773314722669</c:v>
                </c:pt>
                <c:pt idx="22">
                  <c:v>106.25134635107757</c:v>
                </c:pt>
                <c:pt idx="23">
                  <c:v>106.8479201809492</c:v>
                </c:pt>
                <c:pt idx="24">
                  <c:v>104.96272320523926</c:v>
                </c:pt>
                <c:pt idx="25">
                  <c:v>102.47475927089175</c:v>
                </c:pt>
                <c:pt idx="26">
                  <c:v>103.33160308241692</c:v>
                </c:pt>
                <c:pt idx="27">
                  <c:v>102.74118131348725</c:v>
                </c:pt>
                <c:pt idx="28">
                  <c:v>104.14618765064158</c:v>
                </c:pt>
                <c:pt idx="29">
                  <c:v>105.94983090580462</c:v>
                </c:pt>
                <c:pt idx="30">
                  <c:v>99.665096948350111</c:v>
                </c:pt>
                <c:pt idx="31">
                  <c:v>109.67409868437569</c:v>
                </c:pt>
                <c:pt idx="32">
                  <c:v>107.73517542923376</c:v>
                </c:pt>
                <c:pt idx="33">
                  <c:v>107.27306219298301</c:v>
                </c:pt>
                <c:pt idx="34">
                  <c:v>105.93051700328905</c:v>
                </c:pt>
                <c:pt idx="35">
                  <c:v>108.97844626811907</c:v>
                </c:pt>
                <c:pt idx="36">
                  <c:v>109.9808834310184</c:v>
                </c:pt>
                <c:pt idx="37">
                  <c:v>105.91759295670276</c:v>
                </c:pt>
                <c:pt idx="38">
                  <c:v>106.04490087379367</c:v>
                </c:pt>
                <c:pt idx="39">
                  <c:v>110.16169620262541</c:v>
                </c:pt>
                <c:pt idx="40">
                  <c:v>108.86263200487105</c:v>
                </c:pt>
                <c:pt idx="41">
                  <c:v>107.4187026812626</c:v>
                </c:pt>
                <c:pt idx="42">
                  <c:v>110.23653572729312</c:v>
                </c:pt>
                <c:pt idx="43">
                  <c:v>105.99455525713097</c:v>
                </c:pt>
                <c:pt idx="44">
                  <c:v>108.18687044699166</c:v>
                </c:pt>
                <c:pt idx="45">
                  <c:v>107.28151316081181</c:v>
                </c:pt>
                <c:pt idx="46">
                  <c:v>106.46618650829819</c:v>
                </c:pt>
                <c:pt idx="47">
                  <c:v>102.96852524259383</c:v>
                </c:pt>
                <c:pt idx="48">
                  <c:v>112.21961320384823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2012</c:v>
                  </c:pt>
                  <c:pt idx="11">
                    <c:v>2013</c:v>
                  </c:pt>
                  <c:pt idx="23">
                    <c:v>2014</c:v>
                  </c:pt>
                  <c:pt idx="35">
                    <c:v>2015</c:v>
                  </c:pt>
                  <c:pt idx="47">
                    <c:v>2016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101.24297375384052</c:v>
                </c:pt>
                <c:pt idx="1">
                  <c:v>101.09887578668837</c:v>
                </c:pt>
                <c:pt idx="2">
                  <c:v>100.99652394844294</c:v>
                </c:pt>
                <c:pt idx="3">
                  <c:v>100.87830890441973</c:v>
                </c:pt>
                <c:pt idx="4">
                  <c:v>100.79611014130563</c:v>
                </c:pt>
                <c:pt idx="5">
                  <c:v>100.80354852139799</c:v>
                </c:pt>
                <c:pt idx="6">
                  <c:v>101.04080300869349</c:v>
                </c:pt>
                <c:pt idx="7">
                  <c:v>101.33914141830111</c:v>
                </c:pt>
                <c:pt idx="8">
                  <c:v>101.50978962531192</c:v>
                </c:pt>
                <c:pt idx="9">
                  <c:v>101.69967211261162</c:v>
                </c:pt>
                <c:pt idx="10">
                  <c:v>101.97524492020126</c:v>
                </c:pt>
                <c:pt idx="11">
                  <c:v>102.26182899344958</c:v>
                </c:pt>
                <c:pt idx="12">
                  <c:v>102.54985560680119</c:v>
                </c:pt>
                <c:pt idx="13">
                  <c:v>102.93282746719662</c:v>
                </c:pt>
                <c:pt idx="14">
                  <c:v>103.35464669731336</c:v>
                </c:pt>
                <c:pt idx="15">
                  <c:v>103.64633176077314</c:v>
                </c:pt>
                <c:pt idx="16">
                  <c:v>103.91514275193995</c:v>
                </c:pt>
                <c:pt idx="17">
                  <c:v>104.15248122499401</c:v>
                </c:pt>
                <c:pt idx="18">
                  <c:v>104.1908008273179</c:v>
                </c:pt>
                <c:pt idx="19">
                  <c:v>104.14564568458007</c:v>
                </c:pt>
                <c:pt idx="20">
                  <c:v>104.20643853754714</c:v>
                </c:pt>
                <c:pt idx="21">
                  <c:v>104.35843212859548</c:v>
                </c:pt>
                <c:pt idx="22">
                  <c:v>104.49734508034869</c:v>
                </c:pt>
                <c:pt idx="23">
                  <c:v>104.57349198324421</c:v>
                </c:pt>
                <c:pt idx="24">
                  <c:v>104.57678337213559</c:v>
                </c:pt>
                <c:pt idx="25">
                  <c:v>104.57457839101878</c:v>
                </c:pt>
                <c:pt idx="26">
                  <c:v>104.64080396284406</c:v>
                </c:pt>
                <c:pt idx="27">
                  <c:v>104.76907405914747</c:v>
                </c:pt>
                <c:pt idx="28">
                  <c:v>104.97760363966778</c:v>
                </c:pt>
                <c:pt idx="29">
                  <c:v>105.19894797360783</c:v>
                </c:pt>
                <c:pt idx="30">
                  <c:v>105.46278489974806</c:v>
                </c:pt>
                <c:pt idx="31">
                  <c:v>105.85596603797126</c:v>
                </c:pt>
                <c:pt idx="32">
                  <c:v>106.19885459552701</c:v>
                </c:pt>
                <c:pt idx="33">
                  <c:v>106.45039148344398</c:v>
                </c:pt>
                <c:pt idx="34">
                  <c:v>106.70301814960681</c:v>
                </c:pt>
                <c:pt idx="35">
                  <c:v>106.9657625126228</c:v>
                </c:pt>
                <c:pt idx="36">
                  <c:v>107.17010286008754</c:v>
                </c:pt>
                <c:pt idx="37">
                  <c:v>107.2929634491349</c:v>
                </c:pt>
                <c:pt idx="38">
                  <c:v>107.46051542167658</c:v>
                </c:pt>
                <c:pt idx="39">
                  <c:v>107.67414408371604</c:v>
                </c:pt>
                <c:pt idx="40">
                  <c:v>107.82164030887793</c:v>
                </c:pt>
                <c:pt idx="41">
                  <c:v>107.94284937342672</c:v>
                </c:pt>
                <c:pt idx="42">
                  <c:v>108.06200092017103</c:v>
                </c:pt>
                <c:pt idx="43">
                  <c:v>108.15536274863187</c:v>
                </c:pt>
                <c:pt idx="44">
                  <c:v>108.29213357743738</c:v>
                </c:pt>
                <c:pt idx="45">
                  <c:v>108.47593577327781</c:v>
                </c:pt>
                <c:pt idx="46">
                  <c:v>108.68672529609815</c:v>
                </c:pt>
                <c:pt idx="47">
                  <c:v>109.03146414327728</c:v>
                </c:pt>
                <c:pt idx="48">
                  <c:v>109.54721678923168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0253664"/>
        <c:axId val="215978368"/>
      </c:lineChart>
      <c:catAx>
        <c:axId val="22025366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15978368"/>
        <c:crosses val="autoZero"/>
        <c:auto val="1"/>
        <c:lblAlgn val="ctr"/>
        <c:lblOffset val="100"/>
        <c:noMultiLvlLbl val="0"/>
      </c:catAx>
      <c:valAx>
        <c:axId val="215978368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2025366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985792982773705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zaFeb2016!$A$2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zaFeb2016!$B$1:$N$1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zaFeb2016!$B$2:$N$2</c:f>
              <c:numCache>
                <c:formatCode>General</c:formatCode>
                <c:ptCount val="13"/>
                <c:pt idx="0">
                  <c:v>345525</c:v>
                </c:pt>
                <c:pt idx="1">
                  <c:v>403648</c:v>
                </c:pt>
                <c:pt idx="2">
                  <c:v>355008</c:v>
                </c:pt>
                <c:pt idx="3">
                  <c:v>393112</c:v>
                </c:pt>
                <c:pt idx="4">
                  <c:v>372846</c:v>
                </c:pt>
                <c:pt idx="5">
                  <c:v>442035</c:v>
                </c:pt>
                <c:pt idx="6">
                  <c:v>336534</c:v>
                </c:pt>
                <c:pt idx="7">
                  <c:v>390519</c:v>
                </c:pt>
                <c:pt idx="8">
                  <c:v>397166</c:v>
                </c:pt>
                <c:pt idx="9">
                  <c:v>346318</c:v>
                </c:pt>
                <c:pt idx="10">
                  <c:v>288270</c:v>
                </c:pt>
                <c:pt idx="11">
                  <c:v>221073</c:v>
                </c:pt>
                <c:pt idx="12">
                  <c:v>322525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zaFeb2016!$A$3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zaFeb2016!$B$1:$N$1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zaFeb2016!$B$3:$N$3</c:f>
              <c:numCache>
                <c:formatCode>0</c:formatCode>
                <c:ptCount val="13"/>
                <c:pt idx="0">
                  <c:v>201174</c:v>
                </c:pt>
                <c:pt idx="1">
                  <c:v>214811</c:v>
                </c:pt>
                <c:pt idx="2">
                  <c:v>209561</c:v>
                </c:pt>
                <c:pt idx="3">
                  <c:v>207541</c:v>
                </c:pt>
                <c:pt idx="4">
                  <c:v>238678</c:v>
                </c:pt>
                <c:pt idx="5">
                  <c:v>243048</c:v>
                </c:pt>
                <c:pt idx="6">
                  <c:v>201596</c:v>
                </c:pt>
                <c:pt idx="7">
                  <c:v>237628</c:v>
                </c:pt>
                <c:pt idx="8">
                  <c:v>240795</c:v>
                </c:pt>
                <c:pt idx="9">
                  <c:v>202399</c:v>
                </c:pt>
                <c:pt idx="10">
                  <c:v>146158</c:v>
                </c:pt>
                <c:pt idx="11">
                  <c:v>183238</c:v>
                </c:pt>
                <c:pt idx="12">
                  <c:v>210821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5979152"/>
        <c:axId val="215979544"/>
      </c:lineChart>
      <c:catAx>
        <c:axId val="21597915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15979544"/>
        <c:crosses val="autoZero"/>
        <c:auto val="1"/>
        <c:lblAlgn val="ctr"/>
        <c:lblOffset val="100"/>
        <c:noMultiLvlLbl val="0"/>
      </c:catAx>
      <c:valAx>
        <c:axId val="21597954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215979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53102844903003"/>
          <c:y val="0.34220861281228737"/>
          <c:w val="0.16889009563459739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4CCC-92DE-43C0-8033-8A0374C4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9405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Jelena Kadnic</cp:lastModifiedBy>
  <cp:revision>545</cp:revision>
  <cp:lastPrinted>2015-12-17T11:01:00Z</cp:lastPrinted>
  <dcterms:created xsi:type="dcterms:W3CDTF">2014-03-14T12:01:00Z</dcterms:created>
  <dcterms:modified xsi:type="dcterms:W3CDTF">2016-03-21T14:03:00Z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