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3595C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224614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72615B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9912BC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June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9912BC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,</w:t>
            </w:r>
            <w:r w:rsidR="009912BC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No.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9F4D54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1</w:t>
            </w:r>
            <w:r w:rsidR="00224614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60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9912BC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9912BC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June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</w:p>
        </w:tc>
      </w:tr>
    </w:tbl>
    <w:p w:rsidR="000F689B" w:rsidRPr="00D266AF" w:rsidRDefault="000F689B" w:rsidP="00B13D2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B13D2B" w:rsidRDefault="00B13D2B" w:rsidP="00B13D2B">
      <w:pPr>
        <w:jc w:val="both"/>
        <w:rPr>
          <w:rFonts w:ascii="Arial Narrow" w:hAnsi="Arial Narrow" w:cs="Tahoma"/>
          <w:b/>
          <w:sz w:val="30"/>
          <w:szCs w:val="30"/>
        </w:rPr>
      </w:pPr>
    </w:p>
    <w:p w:rsidR="00E33D13" w:rsidRPr="00B13D2B" w:rsidRDefault="008A1C10" w:rsidP="00B13D2B">
      <w:pPr>
        <w:spacing w:after="120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Average net wage in May</w:t>
      </w:r>
      <w:r w:rsidR="00E33D13" w:rsidRPr="00B13D2B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B13D2B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652176" w:rsidRPr="00B13D2B">
        <w:rPr>
          <w:rFonts w:ascii="Arial Narrow" w:hAnsi="Arial Narrow" w:cs="Tahoma"/>
          <w:b/>
          <w:sz w:val="30"/>
          <w:szCs w:val="30"/>
          <w:lang w:val="sr-Cyrl-CS"/>
        </w:rPr>
        <w:t>41</w:t>
      </w:r>
      <w:r w:rsidR="00E33D13" w:rsidRPr="00B13D2B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B13D2B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B13D2B" w:rsidRDefault="008A1C10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8A1C10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8A1C10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8A1C10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E33D13" w:rsidRPr="00B13D2B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652176" w:rsidRPr="00B13D2B">
        <w:rPr>
          <w:rFonts w:ascii="Arial Narrow" w:hAnsi="Arial Narrow" w:cs="Tahoma"/>
          <w:b/>
          <w:sz w:val="28"/>
          <w:szCs w:val="28"/>
          <w:lang w:val="ru-RU"/>
        </w:rPr>
        <w:t>41</w:t>
      </w:r>
      <w:r w:rsidR="00E33D13" w:rsidRPr="00B13D2B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B13D2B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="00E33D13" w:rsidRPr="00B13D2B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i/>
          <w:sz w:val="28"/>
          <w:szCs w:val="28"/>
        </w:rPr>
        <w:t>Administrative and support service activities</w:t>
      </w:r>
      <w:r w:rsidR="00652176" w:rsidRPr="00B13D2B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E33D13" w:rsidRPr="00B13D2B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652176" w:rsidRPr="00B13D2B">
        <w:rPr>
          <w:rFonts w:ascii="Arial Narrow" w:hAnsi="Arial Narrow" w:cs="Tahoma"/>
          <w:b/>
          <w:sz w:val="28"/>
          <w:szCs w:val="28"/>
          <w:lang w:val="sr-Cyrl-BA"/>
        </w:rPr>
        <w:t>21</w:t>
      </w:r>
      <w:r w:rsidR="00E33D13" w:rsidRPr="00B13D2B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B13D2B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B13D2B">
        <w:rPr>
          <w:rFonts w:ascii="Tahoma" w:hAnsi="Tahoma" w:cs="Tahoma"/>
          <w:b/>
          <w:lang w:val="sr-Cyrl-CS"/>
        </w:rPr>
        <w:tab/>
      </w:r>
      <w:r w:rsidRPr="00B13D2B">
        <w:rPr>
          <w:rFonts w:ascii="Tahoma" w:hAnsi="Tahoma" w:cs="Tahoma"/>
          <w:b/>
          <w:lang w:val="sr-Cyrl-CS"/>
        </w:rPr>
        <w:tab/>
      </w:r>
    </w:p>
    <w:p w:rsidR="00B82005" w:rsidRPr="00B13D2B" w:rsidRDefault="00355776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355776">
        <w:rPr>
          <w:rFonts w:ascii="Arial Narrow" w:hAnsi="Arial Narrow" w:cs="Tahoma"/>
          <w:sz w:val="22"/>
          <w:lang w:val="sr-Cyrl-BA"/>
        </w:rPr>
        <w:t xml:space="preserve">Average monthly net wage of employed persons in Republika Srpska paid in </w:t>
      </w:r>
      <w:r>
        <w:rPr>
          <w:rFonts w:ascii="Arial Narrow" w:hAnsi="Arial Narrow" w:cs="Tahoma"/>
          <w:sz w:val="22"/>
        </w:rPr>
        <w:t xml:space="preserve">May </w:t>
      </w:r>
      <w:r w:rsidR="00E33D13" w:rsidRPr="00B13D2B">
        <w:rPr>
          <w:rFonts w:ascii="Arial Narrow" w:hAnsi="Arial Narrow" w:cs="Tahoma"/>
          <w:sz w:val="22"/>
          <w:lang w:val="sr-Cyrl-CS"/>
        </w:rPr>
        <w:t>201</w:t>
      </w:r>
      <w:r w:rsidR="00E97195" w:rsidRPr="00B13D2B">
        <w:rPr>
          <w:rFonts w:ascii="Arial Narrow" w:hAnsi="Arial Narrow" w:cs="Tahoma"/>
          <w:sz w:val="22"/>
          <w:lang w:val="sr-Cyrl-CS"/>
        </w:rPr>
        <w:t>6</w:t>
      </w:r>
      <w:r w:rsidR="00E33D13" w:rsidRPr="00B13D2B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was</w:t>
      </w:r>
      <w:r w:rsidR="00E33D13" w:rsidRPr="00B13D2B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33D13" w:rsidRPr="00B13D2B">
        <w:rPr>
          <w:rFonts w:ascii="Arial Narrow" w:hAnsi="Arial Narrow" w:cs="Tahoma"/>
          <w:sz w:val="22"/>
          <w:lang w:val="sr-Cyrl-CS"/>
        </w:rPr>
        <w:t>8</w:t>
      </w:r>
      <w:r w:rsidR="00652176" w:rsidRPr="00B13D2B">
        <w:rPr>
          <w:rFonts w:ascii="Arial Narrow" w:hAnsi="Arial Narrow" w:cs="Tahoma"/>
          <w:sz w:val="22"/>
          <w:lang w:val="sr-Cyrl-CS"/>
        </w:rPr>
        <w:t>41</w:t>
      </w:r>
      <w:r w:rsidR="00E33D13" w:rsidRPr="00B13D2B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B13D2B">
        <w:rPr>
          <w:rFonts w:ascii="Arial Narrow" w:hAnsi="Arial Narrow" w:cs="Tahoma"/>
          <w:sz w:val="22"/>
          <w:lang w:val="hr-HR"/>
        </w:rPr>
        <w:t>,</w:t>
      </w:r>
      <w:r w:rsidR="00E33D13" w:rsidRPr="00B13D2B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while average monthly gross wage was</w:t>
      </w:r>
      <w:r w:rsidR="00E33D13" w:rsidRPr="00B13D2B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1,</w:t>
      </w:r>
      <w:r w:rsidR="00E33D13" w:rsidRPr="00B13D2B">
        <w:rPr>
          <w:rFonts w:ascii="Arial Narrow" w:hAnsi="Arial Narrow" w:cs="Tahoma"/>
          <w:sz w:val="22"/>
          <w:lang w:val="sr-Cyrl-CS"/>
        </w:rPr>
        <w:t>3</w:t>
      </w:r>
      <w:r w:rsidR="00652176" w:rsidRPr="00B13D2B">
        <w:rPr>
          <w:rFonts w:ascii="Arial Narrow" w:hAnsi="Arial Narrow" w:cs="Tahoma"/>
          <w:sz w:val="22"/>
          <w:lang w:val="sr-Cyrl-CS"/>
        </w:rPr>
        <w:t>51</w:t>
      </w:r>
      <w:r w:rsidR="00F0781C" w:rsidRPr="00B13D2B">
        <w:rPr>
          <w:rFonts w:ascii="Arial Narrow" w:hAnsi="Arial Narrow" w:cs="Tahoma"/>
          <w:sz w:val="22"/>
          <w:lang w:val="sr-Cyrl-CS"/>
        </w:rPr>
        <w:t xml:space="preserve"> </w:t>
      </w:r>
      <w:r w:rsidR="00E33D13" w:rsidRPr="00B13D2B">
        <w:rPr>
          <w:rFonts w:ascii="Arial Narrow" w:hAnsi="Arial Narrow" w:cs="Tahoma"/>
          <w:sz w:val="22"/>
          <w:lang w:val="sr-Cyrl-CS"/>
        </w:rPr>
        <w:t>КМ.</w:t>
      </w:r>
      <w:r w:rsidR="00B82005" w:rsidRPr="00B13D2B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B13D2B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B13D2B" w:rsidRDefault="00D02CC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>
        <w:rPr>
          <w:rFonts w:ascii="Arial Narrow" w:hAnsi="Arial Narrow" w:cs="Tahoma"/>
          <w:sz w:val="22"/>
          <w:lang w:val="sr-Latn-CS"/>
        </w:rPr>
        <w:t>Compared to May 2015</w:t>
      </w:r>
      <w:r w:rsidR="00A80BB3" w:rsidRPr="00B13D2B">
        <w:rPr>
          <w:rFonts w:ascii="Arial Narrow" w:hAnsi="Arial Narrow" w:cs="Tahoma"/>
          <w:sz w:val="22"/>
          <w:lang w:val="sr-Latn-BA"/>
        </w:rPr>
        <w:t>,</w:t>
      </w:r>
      <w:r w:rsidR="00A80BB3" w:rsidRPr="00B13D2B">
        <w:rPr>
          <w:rFonts w:ascii="Arial Narrow" w:hAnsi="Arial Narrow" w:cs="Tahoma"/>
          <w:sz w:val="22"/>
          <w:lang w:val="sr-Cyrl-BA"/>
        </w:rPr>
        <w:t xml:space="preserve"> </w:t>
      </w:r>
      <w:r>
        <w:rPr>
          <w:rFonts w:ascii="Arial Narrow" w:hAnsi="Arial Narrow" w:cs="Tahoma"/>
          <w:sz w:val="22"/>
        </w:rPr>
        <w:t>average net wage paid in May</w:t>
      </w:r>
      <w:r w:rsidR="00A80BB3" w:rsidRPr="00B13D2B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B13D2B">
        <w:rPr>
          <w:rFonts w:ascii="Arial Narrow" w:hAnsi="Arial Narrow" w:cs="Tahoma"/>
          <w:sz w:val="22"/>
          <w:lang w:val="sr-Cyrl-CS"/>
        </w:rPr>
        <w:t>6</w:t>
      </w:r>
      <w:r>
        <w:rPr>
          <w:rFonts w:ascii="Arial Narrow" w:hAnsi="Arial Narrow" w:cs="Tahoma"/>
          <w:sz w:val="22"/>
        </w:rPr>
        <w:t xml:space="preserve"> was really</w:t>
      </w:r>
      <w:r w:rsidR="00A80BB3" w:rsidRPr="00B13D2B">
        <w:rPr>
          <w:rFonts w:ascii="Arial Narrow" w:hAnsi="Arial Narrow" w:cs="Tahoma"/>
          <w:sz w:val="22"/>
          <w:lang w:val="sr-Cyrl-CS"/>
        </w:rPr>
        <w:t xml:space="preserve"> </w:t>
      </w:r>
      <w:r w:rsidR="00652176" w:rsidRPr="00B13D2B">
        <w:rPr>
          <w:rFonts w:ascii="Arial Narrow" w:hAnsi="Arial Narrow" w:cs="Tahoma"/>
          <w:sz w:val="22"/>
          <w:lang w:val="sr-Cyrl-CS"/>
        </w:rPr>
        <w:t>2</w:t>
      </w:r>
      <w:r>
        <w:rPr>
          <w:rFonts w:ascii="Arial Narrow" w:hAnsi="Arial Narrow" w:cs="Tahoma"/>
          <w:sz w:val="22"/>
          <w:lang w:val="sr-Cyrl-CS"/>
        </w:rPr>
        <w:t>.</w:t>
      </w:r>
      <w:r w:rsidR="00652176" w:rsidRPr="00B13D2B">
        <w:rPr>
          <w:rFonts w:ascii="Arial Narrow" w:hAnsi="Arial Narrow" w:cs="Tahoma"/>
          <w:sz w:val="22"/>
          <w:lang w:val="sr-Cyrl-CS"/>
        </w:rPr>
        <w:t>7</w:t>
      </w:r>
      <w:r w:rsidR="00A80BB3" w:rsidRPr="00B13D2B">
        <w:rPr>
          <w:rFonts w:ascii="Arial Narrow" w:hAnsi="Arial Narrow" w:cs="Tahoma"/>
          <w:sz w:val="22"/>
          <w:lang w:val="sr-Cyrl-CS"/>
        </w:rPr>
        <w:t>%</w:t>
      </w:r>
      <w:r>
        <w:rPr>
          <w:rFonts w:ascii="Arial Narrow" w:hAnsi="Arial Narrow" w:cs="Tahoma"/>
          <w:sz w:val="22"/>
        </w:rPr>
        <w:t xml:space="preserve"> higher</w:t>
      </w:r>
      <w:r>
        <w:rPr>
          <w:rFonts w:ascii="Arial Narrow" w:hAnsi="Arial Narrow" w:cs="Tahoma"/>
          <w:sz w:val="22"/>
          <w:lang w:val="sr-Cyrl-CS"/>
        </w:rPr>
        <w:t xml:space="preserve"> and </w:t>
      </w:r>
      <w:r>
        <w:rPr>
          <w:rFonts w:ascii="Arial Narrow" w:hAnsi="Arial Narrow" w:cs="Tahoma"/>
          <w:sz w:val="22"/>
        </w:rPr>
        <w:t>compared to April</w:t>
      </w:r>
      <w:r w:rsidR="00A80BB3" w:rsidRPr="00B13D2B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B13D2B">
        <w:rPr>
          <w:rFonts w:ascii="Arial Narrow" w:hAnsi="Arial Narrow" w:cs="Tahoma"/>
          <w:sz w:val="22"/>
          <w:lang w:val="sr-Cyrl-CS"/>
        </w:rPr>
        <w:t>6</w:t>
      </w:r>
      <w:r w:rsidR="00A80BB3" w:rsidRPr="00B13D2B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>it was really</w:t>
      </w:r>
      <w:r w:rsidR="00675807" w:rsidRPr="00B13D2B">
        <w:rPr>
          <w:rFonts w:ascii="Arial Narrow" w:hAnsi="Arial Narrow" w:cs="Tahoma"/>
          <w:sz w:val="22"/>
          <w:lang w:val="sr-Cyrl-CS"/>
        </w:rPr>
        <w:t xml:space="preserve"> </w:t>
      </w:r>
      <w:r w:rsidR="00652176" w:rsidRPr="00B13D2B">
        <w:rPr>
          <w:rFonts w:ascii="Arial Narrow" w:hAnsi="Arial Narrow" w:cs="Tahoma"/>
          <w:sz w:val="22"/>
          <w:lang w:val="sr-Cyrl-CS"/>
        </w:rPr>
        <w:t>1</w:t>
      </w:r>
      <w:r>
        <w:rPr>
          <w:rFonts w:ascii="Arial Narrow" w:hAnsi="Arial Narrow" w:cs="Tahoma"/>
          <w:sz w:val="22"/>
          <w:lang w:val="sr-Cyrl-CS"/>
        </w:rPr>
        <w:t>.</w:t>
      </w:r>
      <w:r w:rsidR="00652176" w:rsidRPr="00B13D2B">
        <w:rPr>
          <w:rFonts w:ascii="Arial Narrow" w:hAnsi="Arial Narrow" w:cs="Tahoma"/>
          <w:sz w:val="22"/>
          <w:lang w:val="sr-Cyrl-CS"/>
        </w:rPr>
        <w:t>0</w:t>
      </w:r>
      <w:r w:rsidR="00675807" w:rsidRPr="00B13D2B">
        <w:rPr>
          <w:rFonts w:ascii="Arial Narrow" w:hAnsi="Arial Narrow" w:cs="Tahoma"/>
          <w:sz w:val="22"/>
          <w:lang w:val="sr-Cyrl-CS"/>
        </w:rPr>
        <w:t>%</w:t>
      </w:r>
      <w:r>
        <w:rPr>
          <w:rFonts w:ascii="Arial Narrow" w:hAnsi="Arial Narrow" w:cs="Tahoma"/>
          <w:sz w:val="22"/>
        </w:rPr>
        <w:t xml:space="preserve"> higher</w:t>
      </w:r>
      <w:r w:rsidR="00A80BB3" w:rsidRPr="00B13D2B">
        <w:rPr>
          <w:rFonts w:ascii="Arial Narrow" w:hAnsi="Arial Narrow" w:cs="Tahoma"/>
          <w:sz w:val="22"/>
          <w:lang w:val="sr-Cyrl-CS"/>
        </w:rPr>
        <w:t>.</w:t>
      </w:r>
    </w:p>
    <w:p w:rsidR="00B747A8" w:rsidRPr="00B13D2B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174410" w:rsidRPr="00174410" w:rsidRDefault="00174410" w:rsidP="0053092F">
      <w:pPr>
        <w:tabs>
          <w:tab w:val="left" w:pos="1134"/>
        </w:tabs>
        <w:jc w:val="both"/>
        <w:rPr>
          <w:rFonts w:ascii="Arial Narrow" w:hAnsi="Arial Narrow" w:cs="Tahoma"/>
          <w:sz w:val="22"/>
          <w:szCs w:val="22"/>
        </w:rPr>
      </w:pPr>
      <w:r w:rsidRPr="00174410">
        <w:rPr>
          <w:rFonts w:ascii="Arial Narrow" w:hAnsi="Arial Narrow" w:cs="Tahoma"/>
          <w:sz w:val="22"/>
          <w:szCs w:val="22"/>
          <w:lang w:val="sr-Cyrl-CS"/>
        </w:rPr>
        <w:t xml:space="preserve">The </w:t>
      </w:r>
      <w:r>
        <w:rPr>
          <w:rFonts w:ascii="Arial Narrow" w:hAnsi="Arial Narrow" w:cs="Tahoma"/>
          <w:sz w:val="22"/>
          <w:szCs w:val="22"/>
        </w:rPr>
        <w:t>increase</w:t>
      </w:r>
      <w:r w:rsidRPr="00174410">
        <w:rPr>
          <w:rFonts w:ascii="Arial Narrow" w:hAnsi="Arial Narrow" w:cs="Tahoma"/>
          <w:sz w:val="22"/>
          <w:szCs w:val="22"/>
          <w:lang w:val="sr-Cyrl-CS"/>
        </w:rPr>
        <w:t xml:space="preserve"> in the average net wage in </w:t>
      </w:r>
      <w:r>
        <w:rPr>
          <w:rFonts w:ascii="Arial Narrow" w:hAnsi="Arial Narrow" w:cs="Tahoma"/>
          <w:sz w:val="22"/>
          <w:szCs w:val="22"/>
        </w:rPr>
        <w:t>May</w:t>
      </w:r>
      <w:r w:rsidRPr="00174410">
        <w:rPr>
          <w:rFonts w:ascii="Arial Narrow" w:hAnsi="Arial Narrow" w:cs="Tahoma"/>
          <w:sz w:val="22"/>
          <w:szCs w:val="22"/>
          <w:lang w:val="sr-Cyrl-CS"/>
        </w:rPr>
        <w:t xml:space="preserve"> 2016, compared to </w:t>
      </w:r>
      <w:r>
        <w:rPr>
          <w:rFonts w:ascii="Arial Narrow" w:hAnsi="Arial Narrow" w:cs="Tahoma"/>
          <w:sz w:val="22"/>
          <w:szCs w:val="22"/>
        </w:rPr>
        <w:t>April</w:t>
      </w:r>
      <w:r w:rsidRPr="00174410">
        <w:rPr>
          <w:rFonts w:ascii="Arial Narrow" w:hAnsi="Arial Narrow" w:cs="Tahoma"/>
          <w:sz w:val="22"/>
          <w:szCs w:val="22"/>
          <w:lang w:val="sr-Cyrl-CS"/>
        </w:rPr>
        <w:t xml:space="preserve"> 2016, occurred mainly due to a </w:t>
      </w:r>
      <w:r>
        <w:rPr>
          <w:rFonts w:ascii="Arial Narrow" w:hAnsi="Arial Narrow" w:cs="Tahoma"/>
          <w:sz w:val="22"/>
          <w:szCs w:val="22"/>
        </w:rPr>
        <w:t>higher</w:t>
      </w:r>
      <w:r w:rsidRPr="00174410">
        <w:rPr>
          <w:rFonts w:ascii="Arial Narrow" w:hAnsi="Arial Narrow" w:cs="Tahoma"/>
          <w:sz w:val="22"/>
          <w:szCs w:val="22"/>
          <w:lang w:val="sr-Cyrl-CS"/>
        </w:rPr>
        <w:t xml:space="preserve"> number of paid </w:t>
      </w:r>
      <w:r>
        <w:rPr>
          <w:rFonts w:ascii="Arial Narrow" w:hAnsi="Arial Narrow" w:cs="Tahoma"/>
          <w:sz w:val="22"/>
          <w:szCs w:val="22"/>
        </w:rPr>
        <w:t xml:space="preserve">overtime </w:t>
      </w:r>
      <w:r w:rsidRPr="00174410">
        <w:rPr>
          <w:rFonts w:ascii="Arial Narrow" w:hAnsi="Arial Narrow" w:cs="Tahoma"/>
          <w:sz w:val="22"/>
          <w:szCs w:val="22"/>
          <w:lang w:val="sr-Cyrl-CS"/>
        </w:rPr>
        <w:t>hours of work realised in the sections Mining and quarrying and Electricity, gas, steam and air-conditioning supply, which employ a significant number of persons</w:t>
      </w:r>
      <w:r>
        <w:rPr>
          <w:rFonts w:ascii="Arial Narrow" w:hAnsi="Arial Narrow" w:cs="Tahoma"/>
          <w:sz w:val="22"/>
          <w:szCs w:val="22"/>
        </w:rPr>
        <w:t>.</w:t>
      </w:r>
    </w:p>
    <w:p w:rsidR="00B82005" w:rsidRPr="00B13D2B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B13D2B" w:rsidRDefault="00241D9E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>
        <w:rPr>
          <w:rFonts w:ascii="Arial Narrow" w:hAnsi="Arial Narrow" w:cs="Tahoma"/>
          <w:sz w:val="22"/>
          <w:lang w:val="sr-Latn-CS"/>
        </w:rPr>
        <w:t xml:space="preserve">In May 2016, the highest average wage, by section of activities, was paid in the section </w:t>
      </w:r>
      <w:r w:rsidRPr="009B5A57">
        <w:rPr>
          <w:rFonts w:ascii="Arial Narrow" w:hAnsi="Arial Narrow" w:cs="Tahoma"/>
          <w:i/>
          <w:sz w:val="22"/>
        </w:rPr>
        <w:t>Financial and insurance activities</w:t>
      </w:r>
      <w:r w:rsidRPr="009B5A57">
        <w:rPr>
          <w:rFonts w:ascii="Arial Narrow" w:hAnsi="Arial Narrow" w:cs="Tahoma"/>
          <w:sz w:val="22"/>
        </w:rPr>
        <w:t xml:space="preserve"> and it amounted to</w:t>
      </w:r>
      <w:r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1,</w:t>
      </w:r>
      <w:r w:rsidR="00675807" w:rsidRPr="00B13D2B">
        <w:rPr>
          <w:rFonts w:ascii="Arial Narrow" w:hAnsi="Arial Narrow" w:cs="Tahoma"/>
          <w:sz w:val="22"/>
          <w:lang w:val="sr-Cyrl-CS"/>
        </w:rPr>
        <w:t>2</w:t>
      </w:r>
      <w:r w:rsidR="00652176" w:rsidRPr="00B13D2B">
        <w:rPr>
          <w:rFonts w:ascii="Arial Narrow" w:hAnsi="Arial Narrow" w:cs="Tahoma"/>
          <w:sz w:val="22"/>
          <w:lang w:val="sr-Cyrl-CS"/>
        </w:rPr>
        <w:t>41</w:t>
      </w:r>
      <w:r w:rsidR="00E33D13" w:rsidRPr="00B13D2B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B13D2B">
        <w:rPr>
          <w:rFonts w:ascii="Arial Narrow" w:hAnsi="Arial Narrow" w:cs="Tahoma"/>
          <w:sz w:val="22"/>
          <w:lang w:val="sr-Latn-CS"/>
        </w:rPr>
        <w:t xml:space="preserve">. </w:t>
      </w:r>
      <w:r>
        <w:rPr>
          <w:rFonts w:ascii="Arial Narrow" w:hAnsi="Arial Narrow" w:cs="Tahoma"/>
          <w:sz w:val="22"/>
          <w:lang w:val="sr-Latn-CS"/>
        </w:rPr>
        <w:t>On the other hand</w:t>
      </w:r>
      <w:r w:rsidR="00E33D13" w:rsidRPr="00B13D2B">
        <w:rPr>
          <w:rFonts w:ascii="Arial Narrow" w:hAnsi="Arial Narrow" w:cs="Tahoma"/>
          <w:sz w:val="22"/>
          <w:lang w:val="sr-Latn-CS"/>
        </w:rPr>
        <w:t>,</w:t>
      </w:r>
      <w:r w:rsidR="00E33D13" w:rsidRPr="00B13D2B">
        <w:rPr>
          <w:rFonts w:ascii="Arial Narrow" w:hAnsi="Arial Narrow" w:cs="Tahoma"/>
          <w:sz w:val="22"/>
          <w:lang w:val="sr-Cyrl-CS"/>
        </w:rPr>
        <w:t xml:space="preserve"> </w:t>
      </w:r>
      <w:r w:rsidRPr="00241D9E">
        <w:rPr>
          <w:rFonts w:ascii="Arial Narrow" w:hAnsi="Arial Narrow" w:cs="Tahoma"/>
          <w:sz w:val="22"/>
        </w:rPr>
        <w:t xml:space="preserve">the lowest average net wage in </w:t>
      </w:r>
      <w:r>
        <w:rPr>
          <w:rFonts w:ascii="Arial Narrow" w:hAnsi="Arial Narrow" w:cs="Tahoma"/>
          <w:sz w:val="22"/>
        </w:rPr>
        <w:t xml:space="preserve">May </w:t>
      </w:r>
      <w:r w:rsidR="00E33D13" w:rsidRPr="00B13D2B">
        <w:rPr>
          <w:rFonts w:ascii="Arial Narrow" w:hAnsi="Arial Narrow" w:cs="Tahoma"/>
          <w:sz w:val="22"/>
          <w:lang w:val="sr-Cyrl-CS"/>
        </w:rPr>
        <w:t>201</w:t>
      </w:r>
      <w:r w:rsidR="00E97195" w:rsidRPr="00B13D2B">
        <w:rPr>
          <w:rFonts w:ascii="Arial Narrow" w:hAnsi="Arial Narrow" w:cs="Tahoma"/>
          <w:sz w:val="22"/>
          <w:lang w:val="sr-Cyrl-CS"/>
        </w:rPr>
        <w:t>6</w:t>
      </w:r>
      <w:r w:rsidR="00E33D13" w:rsidRPr="00B13D2B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>was the one paid in the section</w:t>
      </w:r>
      <w:r w:rsidR="00E33D13" w:rsidRPr="00B13D2B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Administrative and support service activities</w:t>
      </w:r>
      <w:r w:rsidR="00652176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E33D13" w:rsidRPr="00B13D2B">
        <w:rPr>
          <w:rFonts w:ascii="Arial Narrow" w:hAnsi="Arial Narrow" w:cs="Tahoma"/>
          <w:sz w:val="22"/>
          <w:lang w:val="sr-Cyrl-BA"/>
        </w:rPr>
        <w:t>5</w:t>
      </w:r>
      <w:r w:rsidR="00652176" w:rsidRPr="00B13D2B">
        <w:rPr>
          <w:rFonts w:ascii="Arial Narrow" w:hAnsi="Arial Narrow" w:cs="Tahoma"/>
          <w:sz w:val="22"/>
          <w:lang w:val="sr-Cyrl-BA"/>
        </w:rPr>
        <w:t>21</w:t>
      </w:r>
      <w:r w:rsidR="00E33D13" w:rsidRPr="00B13D2B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B13D2B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B13D2B" w:rsidRDefault="00105FD5" w:rsidP="00E33D13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rFonts w:ascii="Arial Narrow" w:hAnsi="Arial Narrow" w:cs="Tahoma"/>
          <w:sz w:val="22"/>
          <w:szCs w:val="22"/>
        </w:rPr>
        <w:t>In May</w:t>
      </w:r>
      <w:r w:rsidR="000F053E" w:rsidRPr="00B13D2B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E33D13" w:rsidRPr="00B13D2B">
        <w:rPr>
          <w:rFonts w:ascii="Arial Narrow" w:hAnsi="Arial Narrow" w:cs="Tahoma"/>
          <w:sz w:val="22"/>
          <w:szCs w:val="22"/>
          <w:lang w:val="ru-RU"/>
        </w:rPr>
        <w:t>201</w:t>
      </w:r>
      <w:r w:rsidR="00E97195" w:rsidRPr="00B13D2B">
        <w:rPr>
          <w:rFonts w:ascii="Arial Narrow" w:hAnsi="Arial Narrow" w:cs="Tahoma"/>
          <w:sz w:val="22"/>
          <w:szCs w:val="22"/>
          <w:lang w:val="ru-RU"/>
        </w:rPr>
        <w:t>6</w:t>
      </w:r>
      <w:r w:rsidR="00E33D13" w:rsidRPr="00B13D2B">
        <w:rPr>
          <w:rFonts w:ascii="Arial Narrow" w:hAnsi="Arial Narrow" w:cs="Tahoma"/>
          <w:sz w:val="22"/>
          <w:szCs w:val="22"/>
          <w:lang w:val="ru-RU"/>
        </w:rPr>
        <w:t xml:space="preserve">, </w:t>
      </w:r>
      <w:r>
        <w:rPr>
          <w:rFonts w:ascii="Arial Narrow" w:hAnsi="Arial Narrow" w:cs="Tahoma"/>
          <w:sz w:val="22"/>
          <w:szCs w:val="22"/>
        </w:rPr>
        <w:t>compared to April</w:t>
      </w:r>
      <w:r w:rsidR="000F053E" w:rsidRPr="00B13D2B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E33D13" w:rsidRPr="00B13D2B">
        <w:rPr>
          <w:rFonts w:ascii="Arial Narrow" w:hAnsi="Arial Narrow" w:cs="Tahoma"/>
          <w:sz w:val="22"/>
          <w:szCs w:val="22"/>
          <w:lang w:val="ru-RU"/>
        </w:rPr>
        <w:t>201</w:t>
      </w:r>
      <w:r w:rsidR="009D0778" w:rsidRPr="00B13D2B">
        <w:rPr>
          <w:rFonts w:ascii="Arial Narrow" w:hAnsi="Arial Narrow" w:cs="Tahoma"/>
          <w:sz w:val="22"/>
          <w:szCs w:val="22"/>
          <w:lang w:val="ru-RU"/>
        </w:rPr>
        <w:t>6</w:t>
      </w:r>
      <w:r w:rsidR="00E33D13" w:rsidRPr="00B13D2B">
        <w:rPr>
          <w:rFonts w:ascii="Arial Narrow" w:hAnsi="Arial Narrow" w:cs="Tahoma"/>
          <w:sz w:val="22"/>
          <w:szCs w:val="22"/>
          <w:lang w:val="ru-RU"/>
        </w:rPr>
        <w:t xml:space="preserve">, </w:t>
      </w:r>
      <w:r>
        <w:rPr>
          <w:rFonts w:ascii="Arial Narrow" w:hAnsi="Arial Narrow" w:cs="Tahoma"/>
          <w:sz w:val="22"/>
          <w:szCs w:val="22"/>
        </w:rPr>
        <w:t>a nominal increase in net wages was recorded in the sections</w:t>
      </w:r>
      <w:r w:rsidR="00AF6800" w:rsidRPr="00B13D2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Arts</w:t>
      </w:r>
      <w:r w:rsidR="00652176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, </w:t>
      </w:r>
      <w:r>
        <w:rPr>
          <w:rFonts w:ascii="Arial Narrow" w:hAnsi="Arial Narrow" w:cs="Tahoma"/>
          <w:i/>
          <w:sz w:val="22"/>
          <w:szCs w:val="22"/>
        </w:rPr>
        <w:t>entertainment and recreation</w:t>
      </w:r>
      <w:r w:rsidR="00652176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  <w:lang w:val="sr-Cyrl-BA"/>
        </w:rPr>
        <w:t>5.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7%,</w:t>
      </w:r>
      <w:r w:rsidR="00652176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Mining and quarrying</w:t>
      </w:r>
      <w:r w:rsidR="00652176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  <w:lang w:val="sr-Cyrl-BA"/>
        </w:rPr>
        <w:t>4.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 xml:space="preserve">2% </w:t>
      </w:r>
      <w:r>
        <w:rPr>
          <w:rFonts w:ascii="Arial Narrow" w:hAnsi="Arial Narrow" w:cs="Tahoma"/>
          <w:sz w:val="22"/>
          <w:szCs w:val="22"/>
        </w:rPr>
        <w:t>and</w:t>
      </w:r>
      <w:r w:rsidR="00652176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Accommodation</w:t>
      </w:r>
      <w:r>
        <w:rPr>
          <w:rFonts w:ascii="Arial Narrow" w:hAnsi="Arial Narrow" w:cs="Tahoma"/>
          <w:i/>
          <w:sz w:val="22"/>
          <w:szCs w:val="22"/>
          <w:lang w:val="sr-Cyrl-BA"/>
        </w:rPr>
        <w:t xml:space="preserve"> and food </w:t>
      </w:r>
      <w:r>
        <w:rPr>
          <w:rFonts w:ascii="Arial Narrow" w:hAnsi="Arial Narrow" w:cs="Tahoma"/>
          <w:i/>
          <w:sz w:val="22"/>
          <w:szCs w:val="22"/>
        </w:rPr>
        <w:t xml:space="preserve">service activities 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2</w:t>
      </w:r>
      <w:r>
        <w:rPr>
          <w:rFonts w:ascii="Arial Narrow" w:hAnsi="Arial Narrow" w:cs="Tahoma"/>
          <w:sz w:val="22"/>
          <w:szCs w:val="22"/>
          <w:lang w:val="sr-Cyrl-BA"/>
        </w:rPr>
        <w:t>.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7</w:t>
      </w:r>
      <w:r w:rsidR="0053092F" w:rsidRPr="00B13D2B">
        <w:rPr>
          <w:rFonts w:ascii="Arial Narrow" w:hAnsi="Arial Narrow" w:cs="Tahoma"/>
          <w:sz w:val="22"/>
          <w:szCs w:val="22"/>
          <w:lang w:val="sr-Cyrl-BA"/>
        </w:rPr>
        <w:t>%</w:t>
      </w:r>
      <w:r w:rsidR="0053092F" w:rsidRPr="00B13D2B">
        <w:rPr>
          <w:rFonts w:ascii="Arial Narrow" w:hAnsi="Arial Narrow" w:cs="Tahoma"/>
          <w:sz w:val="22"/>
          <w:lang w:val="sr-Cyrl-BA"/>
        </w:rPr>
        <w:t>.</w:t>
      </w:r>
    </w:p>
    <w:p w:rsidR="00FF3EA0" w:rsidRPr="00B13D2B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B13D2B" w:rsidRDefault="00105FD5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05FD5">
        <w:rPr>
          <w:rFonts w:ascii="Arial Narrow" w:hAnsi="Arial Narrow" w:cs="Tahoma"/>
          <w:sz w:val="22"/>
          <w:szCs w:val="22"/>
        </w:rPr>
        <w:t>A</w:t>
      </w:r>
      <w:r w:rsidR="00D928E0" w:rsidRPr="00105FD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105FD5">
        <w:rPr>
          <w:rFonts w:ascii="Arial Narrow" w:hAnsi="Arial Narrow" w:cs="Tahoma"/>
          <w:sz w:val="22"/>
          <w:szCs w:val="22"/>
          <w:lang w:val="sr-Cyrl-BA"/>
        </w:rPr>
        <w:t>decrease in nominal wages was recorded in the sections</w:t>
      </w:r>
      <w:r w:rsidRPr="00105FD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proofErr w:type="gramStart"/>
      <w:r>
        <w:rPr>
          <w:rFonts w:ascii="Arial Narrow" w:hAnsi="Arial Narrow" w:cs="Tahoma"/>
          <w:i/>
          <w:sz w:val="22"/>
          <w:szCs w:val="22"/>
        </w:rPr>
        <w:t>Other</w:t>
      </w:r>
      <w:proofErr w:type="gramEnd"/>
      <w:r>
        <w:rPr>
          <w:rFonts w:ascii="Arial Narrow" w:hAnsi="Arial Narrow" w:cs="Tahoma"/>
          <w:i/>
          <w:sz w:val="22"/>
          <w:szCs w:val="22"/>
        </w:rPr>
        <w:t xml:space="preserve"> service activities</w:t>
      </w:r>
      <w:r w:rsidR="00652176" w:rsidRPr="00B13D2B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>
        <w:rPr>
          <w:rFonts w:ascii="Arial Narrow" w:hAnsi="Arial Narrow" w:cs="Tahoma"/>
          <w:sz w:val="22"/>
          <w:szCs w:val="22"/>
          <w:lang w:val="sr-Cyrl-BA"/>
        </w:rPr>
        <w:t>4.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 xml:space="preserve">7%, </w:t>
      </w:r>
      <w:r>
        <w:rPr>
          <w:rFonts w:ascii="Arial Narrow" w:hAnsi="Arial Narrow" w:cs="Tahoma"/>
          <w:i/>
          <w:sz w:val="22"/>
          <w:szCs w:val="22"/>
        </w:rPr>
        <w:t>Real estate activities</w:t>
      </w:r>
      <w:r w:rsidR="00D928E0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4</w:t>
      </w:r>
      <w:r>
        <w:rPr>
          <w:rFonts w:ascii="Arial Narrow" w:hAnsi="Arial Narrow" w:cs="Tahoma"/>
          <w:sz w:val="22"/>
          <w:szCs w:val="22"/>
          <w:lang w:val="sr-Cyrl-BA"/>
        </w:rPr>
        <w:t>.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3</w:t>
      </w:r>
      <w:r w:rsidR="00D928E0" w:rsidRPr="00B13D2B">
        <w:rPr>
          <w:rFonts w:ascii="Arial Narrow" w:hAnsi="Arial Narrow" w:cs="Tahoma"/>
          <w:sz w:val="22"/>
          <w:szCs w:val="22"/>
          <w:lang w:val="sr-Cyrl-BA"/>
        </w:rPr>
        <w:t>%</w:t>
      </w:r>
      <w:r w:rsidR="007073F3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</w:rPr>
        <w:t>and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Financial and insurance activities</w:t>
      </w:r>
      <w:r w:rsidR="00652176" w:rsidRPr="00B13D2B">
        <w:rPr>
          <w:rFonts w:ascii="Arial Narrow" w:hAnsi="Arial Narrow" w:cs="Tahoma"/>
          <w:i/>
          <w:sz w:val="22"/>
          <w:szCs w:val="22"/>
          <w:lang w:val="sr-Cyrl-CS"/>
        </w:rPr>
        <w:t xml:space="preserve"> </w:t>
      </w:r>
      <w:r w:rsidR="00652176" w:rsidRPr="00B13D2B">
        <w:rPr>
          <w:rFonts w:ascii="Arial Narrow" w:hAnsi="Arial Narrow" w:cs="Tahoma"/>
          <w:sz w:val="22"/>
          <w:szCs w:val="22"/>
          <w:lang w:val="sr-Cyrl-CS"/>
        </w:rPr>
        <w:t>1</w:t>
      </w:r>
      <w:r>
        <w:rPr>
          <w:rFonts w:ascii="Arial Narrow" w:hAnsi="Arial Narrow" w:cs="Tahoma"/>
          <w:sz w:val="22"/>
          <w:szCs w:val="22"/>
          <w:lang w:val="sr-Cyrl-BA"/>
        </w:rPr>
        <w:t>.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9</w:t>
      </w:r>
      <w:r w:rsidR="0053092F" w:rsidRPr="00B13D2B">
        <w:rPr>
          <w:rFonts w:ascii="Arial Narrow" w:hAnsi="Arial Narrow" w:cs="Tahoma"/>
          <w:sz w:val="22"/>
          <w:szCs w:val="22"/>
          <w:lang w:val="sr-Cyrl-BA"/>
        </w:rPr>
        <w:t>%.</w:t>
      </w:r>
      <w:r w:rsidR="009D0778" w:rsidRPr="00B13D2B">
        <w:rPr>
          <w:rFonts w:ascii="Arial Narrow" w:hAnsi="Arial Narrow" w:cs="Tahoma"/>
          <w:sz w:val="22"/>
          <w:lang w:val="sr-Cyrl-BA"/>
        </w:rPr>
        <w:t xml:space="preserve"> </w:t>
      </w:r>
    </w:p>
    <w:p w:rsidR="00396802" w:rsidRPr="00652176" w:rsidRDefault="00396802" w:rsidP="00E33D13">
      <w:pPr>
        <w:jc w:val="both"/>
        <w:rPr>
          <w:rFonts w:ascii="Tahoma" w:hAnsi="Tahoma" w:cs="Tahoma"/>
          <w:i/>
          <w:color w:val="FF0000"/>
          <w:sz w:val="14"/>
          <w:lang w:val="sr-Cyrl-CS"/>
        </w:rPr>
      </w:pPr>
    </w:p>
    <w:p w:rsidR="00E33D13" w:rsidRPr="00B13D2B" w:rsidRDefault="00C32A14" w:rsidP="00E33D13">
      <w:pPr>
        <w:jc w:val="both"/>
        <w:rPr>
          <w:rFonts w:ascii="Arial Narrow" w:hAnsi="Arial Narrow" w:cs="Tahoma"/>
          <w:color w:val="FF0000"/>
          <w:sz w:val="22"/>
          <w:szCs w:val="22"/>
        </w:rPr>
      </w:pPr>
      <w:r>
        <w:rPr>
          <w:rFonts w:ascii="Arial Narrow" w:hAnsi="Arial Narrow" w:cs="Tahoma"/>
          <w:i/>
          <w:noProof/>
          <w:color w:val="FF0000"/>
          <w:sz w:val="22"/>
          <w:szCs w:val="22"/>
          <w:lang w:val="sr-Cyrl-B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101.7pt;margin-top:7.65pt;width:26pt;height:19.8pt;z-index:251669504;mso-height-percent:200;mso-height-percent:200;mso-width-relative:margin;mso-height-relative:margin" filled="f" stroked="f">
            <v:textbox style="mso-next-textbox:#_x0000_s1073;mso-fit-shape-to-text:t">
              <w:txbxContent>
                <w:p w:rsidR="00A90BF7" w:rsidRPr="00B13D2B" w:rsidRDefault="00A90BF7">
                  <w:r w:rsidRPr="00B13D2B">
                    <w:rPr>
                      <w:rFonts w:ascii="Arial Narrow" w:hAnsi="Arial Narrow" w:cs="Tahoma"/>
                      <w:sz w:val="22"/>
                      <w:szCs w:val="22"/>
                      <w:lang w:val="sr-Cyrl-CS"/>
                    </w:rPr>
                    <w:t>км</w:t>
                  </w:r>
                </w:p>
              </w:txbxContent>
            </v:textbox>
          </v:shape>
        </w:pict>
      </w:r>
      <w:r w:rsidR="00E33D13" w:rsidRPr="00652176">
        <w:rPr>
          <w:rFonts w:ascii="Tahoma" w:hAnsi="Tahoma" w:cs="Tahoma"/>
          <w:i/>
          <w:color w:val="FF0000"/>
          <w:sz w:val="14"/>
          <w:lang w:val="sr-Cyrl-CS"/>
        </w:rPr>
        <w:t xml:space="preserve"> </w:t>
      </w:r>
      <w:r w:rsidR="00E33D13" w:rsidRPr="00652176">
        <w:rPr>
          <w:rFonts w:ascii="Tahoma" w:hAnsi="Tahoma" w:cs="Tahoma"/>
          <w:color w:val="FF0000"/>
          <w:sz w:val="14"/>
          <w:lang w:val="sr-Cyrl-CS"/>
        </w:rPr>
        <w:t xml:space="preserve">   </w:t>
      </w:r>
      <w:r w:rsidR="00E33D13" w:rsidRPr="00652176">
        <w:rPr>
          <w:rFonts w:ascii="Tahoma" w:hAnsi="Tahoma" w:cs="Tahoma"/>
          <w:color w:val="FF0000"/>
          <w:sz w:val="14"/>
          <w:lang w:val="sr-Latn-CS"/>
        </w:rPr>
        <w:tab/>
      </w:r>
      <w:r w:rsidR="00E33D13" w:rsidRPr="00652176">
        <w:rPr>
          <w:rFonts w:ascii="Tahoma" w:hAnsi="Tahoma" w:cs="Tahoma"/>
          <w:color w:val="FF0000"/>
          <w:sz w:val="14"/>
          <w:lang w:val="sr-Latn-CS"/>
        </w:rPr>
        <w:tab/>
      </w:r>
      <w:r w:rsidR="00E33D13" w:rsidRPr="00652176">
        <w:rPr>
          <w:rFonts w:ascii="Tahoma" w:hAnsi="Tahoma" w:cs="Tahoma"/>
          <w:color w:val="FF0000"/>
          <w:sz w:val="14"/>
          <w:lang w:val="sr-Cyrl-BA"/>
        </w:rPr>
        <w:t xml:space="preserve">            </w:t>
      </w:r>
      <w:r w:rsidR="00F85AAC" w:rsidRPr="00652176">
        <w:rPr>
          <w:rFonts w:ascii="Tahoma" w:hAnsi="Tahoma" w:cs="Tahoma"/>
          <w:color w:val="FF0000"/>
          <w:sz w:val="14"/>
          <w:lang w:val="sr-Cyrl-BA"/>
        </w:rPr>
        <w:t xml:space="preserve">   </w:t>
      </w:r>
    </w:p>
    <w:p w:rsidR="00E33D13" w:rsidRPr="00652176" w:rsidRDefault="00AD485B" w:rsidP="00E33D13">
      <w:pPr>
        <w:jc w:val="center"/>
        <w:rPr>
          <w:rFonts w:ascii="Tahoma" w:hAnsi="Tahoma" w:cs="Tahoma"/>
          <w:color w:val="FF0000"/>
          <w:lang w:val="sr-Cyrl-BA"/>
        </w:rPr>
      </w:pPr>
      <w:r w:rsidRPr="00652176">
        <w:rPr>
          <w:rFonts w:ascii="Tahoma" w:hAnsi="Tahoma" w:cs="Tahoma"/>
          <w:noProof/>
          <w:color w:val="FF000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1064021</wp:posOffset>
            </wp:positionH>
            <wp:positionV relativeFrom="paragraph">
              <wp:posOffset>1969663</wp:posOffset>
            </wp:positionV>
            <wp:extent cx="4552950" cy="463137"/>
            <wp:effectExtent l="1905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6313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D13" w:rsidRPr="00652176">
        <w:rPr>
          <w:rFonts w:ascii="Tahoma" w:hAnsi="Tahoma" w:cs="Tahoma"/>
          <w:color w:val="FF0000"/>
          <w:szCs w:val="18"/>
          <w:lang w:val="sr-Cyrl-BA"/>
        </w:rPr>
        <w:t xml:space="preserve">  </w:t>
      </w:r>
      <w:r w:rsidR="00652176" w:rsidRPr="00652176">
        <w:rPr>
          <w:noProof/>
          <w:color w:val="FF0000"/>
        </w:rPr>
        <w:drawing>
          <wp:inline distT="0" distB="0" distL="0" distR="0">
            <wp:extent cx="4572000" cy="2743200"/>
            <wp:effectExtent l="1905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652176">
        <w:rPr>
          <w:rFonts w:ascii="Tahoma" w:hAnsi="Tahoma" w:cs="Tahoma"/>
          <w:color w:val="FF0000"/>
          <w:szCs w:val="18"/>
          <w:lang w:val="sr-Cyrl-BA"/>
        </w:rPr>
        <w:t xml:space="preserve"> </w:t>
      </w:r>
    </w:p>
    <w:p w:rsidR="00E33D13" w:rsidRPr="00652176" w:rsidRDefault="00E33D13" w:rsidP="00E33D13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E33D13" w:rsidRPr="00EA39A0" w:rsidRDefault="00EA39A0" w:rsidP="00E33D13">
      <w:pPr>
        <w:jc w:val="center"/>
        <w:outlineLvl w:val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Graph</w:t>
      </w:r>
      <w:r w:rsidR="00E33D13" w:rsidRPr="00A90BF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66022A" w:rsidRPr="00A90BF7">
        <w:rPr>
          <w:rFonts w:ascii="Arial Narrow" w:hAnsi="Arial Narrow" w:cs="Tahoma"/>
          <w:sz w:val="22"/>
          <w:szCs w:val="22"/>
          <w:lang w:val="sr-Latn-BA"/>
        </w:rPr>
        <w:t>1</w:t>
      </w:r>
      <w:r w:rsidR="00E33D13" w:rsidRPr="00A90BF7">
        <w:rPr>
          <w:rFonts w:ascii="Arial Narrow" w:hAnsi="Arial Narrow" w:cs="Tahoma"/>
          <w:sz w:val="22"/>
          <w:szCs w:val="22"/>
          <w:lang w:val="sr-Cyrl-CS"/>
        </w:rPr>
        <w:t>.</w:t>
      </w:r>
      <w:r w:rsidR="00E33D13" w:rsidRPr="00A90BF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</w:rPr>
        <w:t>Average net wages of employed persons by month</w:t>
      </w:r>
    </w:p>
    <w:p w:rsidR="00BE051D" w:rsidRPr="00652176" w:rsidRDefault="00BE051D">
      <w:pPr>
        <w:rPr>
          <w:rFonts w:ascii="Arial Narrow" w:hAnsi="Arial Narrow" w:cs="Tahoma"/>
          <w:color w:val="FF0000"/>
          <w:sz w:val="22"/>
          <w:lang w:val="sr-Latn-BA"/>
        </w:rPr>
      </w:pPr>
    </w:p>
    <w:p w:rsidR="00EB2F3C" w:rsidRPr="0072615B" w:rsidRDefault="00EB2F3C">
      <w:pPr>
        <w:rPr>
          <w:rFonts w:ascii="Arial Narrow" w:hAnsi="Arial Narrow" w:cs="Tahoma"/>
          <w:sz w:val="22"/>
          <w:lang w:val="sr-Latn-BA"/>
        </w:rPr>
      </w:pPr>
    </w:p>
    <w:p w:rsidR="00570DB5" w:rsidRPr="00D5133E" w:rsidRDefault="00D5133E" w:rsidP="00570DB5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  <w:sz w:val="30"/>
          <w:szCs w:val="30"/>
        </w:rPr>
        <w:t>Monthly inflation</w:t>
      </w:r>
      <w:r w:rsidR="00570DB5" w:rsidRPr="00570DB5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Cyrl-BA"/>
        </w:rPr>
        <w:t>0.</w:t>
      </w:r>
      <w:r w:rsidR="00570DB5" w:rsidRPr="00570DB5">
        <w:rPr>
          <w:rFonts w:ascii="Arial Narrow" w:hAnsi="Arial Narrow" w:cs="Tahoma"/>
          <w:b/>
          <w:sz w:val="30"/>
          <w:szCs w:val="30"/>
          <w:lang w:val="sr-Cyrl-BA"/>
        </w:rPr>
        <w:t>1%</w:t>
      </w:r>
      <w:r>
        <w:rPr>
          <w:rFonts w:ascii="Arial Narrow" w:hAnsi="Arial Narrow" w:cs="Tahoma"/>
          <w:b/>
          <w:sz w:val="30"/>
          <w:szCs w:val="30"/>
        </w:rPr>
        <w:t xml:space="preserve"> in May 2016</w:t>
      </w:r>
    </w:p>
    <w:p w:rsidR="00570DB5" w:rsidRPr="00570DB5" w:rsidRDefault="00D5133E" w:rsidP="00570DB5">
      <w:pPr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570DB5" w:rsidRPr="00570DB5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  <w:lang w:val="sr-Cyrl-CS"/>
        </w:rPr>
        <w:t>May</w:t>
      </w:r>
      <w:r w:rsidR="00570DB5" w:rsidRPr="00570DB5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>
        <w:rPr>
          <w:rFonts w:ascii="Arial Narrow" w:hAnsi="Arial Narrow" w:cs="Tahoma"/>
          <w:b/>
          <w:sz w:val="30"/>
          <w:szCs w:val="30"/>
          <w:lang w:val="sr-Cyrl-CS"/>
        </w:rPr>
        <w:t>May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2015) -1.</w:t>
      </w:r>
      <w:r w:rsidR="00570DB5" w:rsidRPr="00570DB5">
        <w:rPr>
          <w:rFonts w:ascii="Arial Narrow" w:hAnsi="Arial Narrow" w:cs="Tahoma"/>
          <w:b/>
          <w:sz w:val="30"/>
          <w:szCs w:val="30"/>
          <w:lang w:val="sr-Cyrl-BA"/>
        </w:rPr>
        <w:t>6%</w:t>
      </w:r>
    </w:p>
    <w:p w:rsidR="00570DB5" w:rsidRPr="00570DB5" w:rsidRDefault="00570DB5" w:rsidP="00D9777D">
      <w:pPr>
        <w:jc w:val="both"/>
        <w:rPr>
          <w:rFonts w:ascii="Arial Narrow" w:hAnsi="Arial Narrow" w:cs="Tahoma"/>
          <w:lang w:val="sr-Cyrl-BA"/>
        </w:rPr>
      </w:pPr>
    </w:p>
    <w:p w:rsidR="00D5133E" w:rsidRDefault="00D5133E" w:rsidP="00570DB5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Prices of products and services for personal consumption in </w:t>
      </w:r>
      <w:proofErr w:type="spellStart"/>
      <w:r>
        <w:rPr>
          <w:rFonts w:ascii="Arial Narrow" w:hAnsi="Arial Narrow" w:cs="Tahoma"/>
          <w:sz w:val="22"/>
          <w:szCs w:val="22"/>
        </w:rPr>
        <w:t>Republika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</w:rPr>
        <w:t>Srpska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, measured with the consumer price index, in May 2016, compared with the </w:t>
      </w:r>
      <w:proofErr w:type="spellStart"/>
      <w:r>
        <w:rPr>
          <w:rFonts w:ascii="Arial Narrow" w:hAnsi="Arial Narrow" w:cs="Tahoma"/>
          <w:sz w:val="22"/>
          <w:szCs w:val="22"/>
        </w:rPr>
        <w:t>previou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month, were on the average 0.1% higher, while they were 1.6% lower at the annual level. </w:t>
      </w:r>
    </w:p>
    <w:p w:rsidR="00D5133E" w:rsidRDefault="00D5133E" w:rsidP="00570DB5">
      <w:pPr>
        <w:jc w:val="both"/>
        <w:rPr>
          <w:rFonts w:ascii="Arial Narrow" w:hAnsi="Arial Narrow" w:cs="Tahoma"/>
          <w:sz w:val="22"/>
          <w:szCs w:val="22"/>
        </w:rPr>
      </w:pPr>
    </w:p>
    <w:p w:rsidR="00D5133E" w:rsidRDefault="00D5133E" w:rsidP="00570DB5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 the 12 main divisions of products and services, an </w:t>
      </w:r>
      <w:r w:rsidRPr="00D5133E">
        <w:rPr>
          <w:rFonts w:ascii="Arial Narrow" w:hAnsi="Arial Narrow" w:cs="Tahoma"/>
          <w:sz w:val="22"/>
          <w:szCs w:val="22"/>
        </w:rPr>
        <w:t xml:space="preserve">increase in prices was recorded in </w:t>
      </w:r>
      <w:r>
        <w:rPr>
          <w:rFonts w:ascii="Arial Narrow" w:hAnsi="Arial Narrow" w:cs="Tahoma"/>
          <w:sz w:val="22"/>
          <w:szCs w:val="22"/>
        </w:rPr>
        <w:t>three</w:t>
      </w:r>
      <w:r w:rsidRPr="00D5133E">
        <w:rPr>
          <w:rFonts w:ascii="Arial Narrow" w:hAnsi="Arial Narrow" w:cs="Tahoma"/>
          <w:sz w:val="22"/>
          <w:szCs w:val="22"/>
        </w:rPr>
        <w:t xml:space="preserve"> divisions, a decrease was recorded in </w:t>
      </w:r>
      <w:r>
        <w:rPr>
          <w:rFonts w:ascii="Arial Narrow" w:hAnsi="Arial Narrow" w:cs="Tahoma"/>
          <w:sz w:val="22"/>
          <w:szCs w:val="22"/>
        </w:rPr>
        <w:t>six</w:t>
      </w:r>
      <w:r w:rsidRPr="00D5133E">
        <w:rPr>
          <w:rFonts w:ascii="Arial Narrow" w:hAnsi="Arial Narrow" w:cs="Tahoma"/>
          <w:sz w:val="22"/>
          <w:szCs w:val="22"/>
        </w:rPr>
        <w:t xml:space="preserve"> divisions, while prices in </w:t>
      </w:r>
      <w:r>
        <w:rPr>
          <w:rFonts w:ascii="Arial Narrow" w:hAnsi="Arial Narrow" w:cs="Tahoma"/>
          <w:sz w:val="22"/>
          <w:szCs w:val="22"/>
        </w:rPr>
        <w:t>three</w:t>
      </w:r>
      <w:r w:rsidRPr="00D5133E">
        <w:rPr>
          <w:rFonts w:ascii="Arial Narrow" w:hAnsi="Arial Narrow" w:cs="Tahoma"/>
          <w:sz w:val="22"/>
          <w:szCs w:val="22"/>
        </w:rPr>
        <w:t xml:space="preserve"> divisions remained on the average at the same level</w:t>
      </w:r>
      <w:r w:rsidR="00E64126">
        <w:rPr>
          <w:rFonts w:ascii="Arial Narrow" w:hAnsi="Arial Narrow" w:cs="Tahoma"/>
          <w:sz w:val="22"/>
          <w:szCs w:val="22"/>
        </w:rPr>
        <w:t>.</w:t>
      </w:r>
    </w:p>
    <w:p w:rsidR="00E64126" w:rsidRDefault="00E64126" w:rsidP="00570DB5">
      <w:pPr>
        <w:jc w:val="both"/>
        <w:rPr>
          <w:rFonts w:ascii="Arial Narrow" w:hAnsi="Arial Narrow" w:cs="Tahoma"/>
          <w:sz w:val="22"/>
          <w:szCs w:val="22"/>
        </w:rPr>
      </w:pPr>
    </w:p>
    <w:p w:rsidR="00E64126" w:rsidRDefault="00E64126" w:rsidP="00570DB5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in May was recorded in the division </w:t>
      </w:r>
      <w:r w:rsidRPr="003C7112">
        <w:rPr>
          <w:rFonts w:ascii="Arial Narrow" w:hAnsi="Arial Narrow" w:cs="Tahoma"/>
          <w:i/>
          <w:sz w:val="22"/>
          <w:szCs w:val="22"/>
        </w:rPr>
        <w:t>Housing</w:t>
      </w:r>
      <w:r>
        <w:rPr>
          <w:rFonts w:ascii="Arial Narrow" w:hAnsi="Arial Narrow" w:cs="Tahoma"/>
          <w:sz w:val="22"/>
          <w:szCs w:val="22"/>
        </w:rPr>
        <w:t xml:space="preserve"> (1.6%), due to higher prices in the group electricity and other energy commodities (2.3%). On 1 May 2016, </w:t>
      </w:r>
      <w:r w:rsidR="003C7112">
        <w:rPr>
          <w:rFonts w:ascii="Arial Narrow" w:hAnsi="Arial Narrow" w:cs="Tahoma"/>
          <w:sz w:val="22"/>
          <w:szCs w:val="22"/>
        </w:rPr>
        <w:t xml:space="preserve">new tariffs for household electricity consumption were introduced. In addition to the division </w:t>
      </w:r>
      <w:r w:rsidR="003C7112" w:rsidRPr="003C7112">
        <w:rPr>
          <w:rFonts w:ascii="Arial Narrow" w:hAnsi="Arial Narrow" w:cs="Tahoma"/>
          <w:i/>
          <w:sz w:val="22"/>
          <w:szCs w:val="22"/>
        </w:rPr>
        <w:t>Housing</w:t>
      </w:r>
      <w:r w:rsidR="003C7112">
        <w:rPr>
          <w:rFonts w:ascii="Arial Narrow" w:hAnsi="Arial Narrow" w:cs="Tahoma"/>
          <w:sz w:val="22"/>
          <w:szCs w:val="22"/>
        </w:rPr>
        <w:t xml:space="preserve">, </w:t>
      </w:r>
      <w:r w:rsidR="00F1558C">
        <w:rPr>
          <w:rFonts w:ascii="Arial Narrow" w:hAnsi="Arial Narrow" w:cs="Tahoma"/>
          <w:sz w:val="22"/>
          <w:szCs w:val="22"/>
        </w:rPr>
        <w:t xml:space="preserve">higher prices were also recorded in the division </w:t>
      </w:r>
      <w:r w:rsidR="00F1558C" w:rsidRPr="00F1558C">
        <w:rPr>
          <w:rFonts w:ascii="Arial Narrow" w:hAnsi="Arial Narrow" w:cs="Tahoma"/>
          <w:i/>
          <w:sz w:val="22"/>
          <w:szCs w:val="22"/>
        </w:rPr>
        <w:t>Transport</w:t>
      </w:r>
      <w:r w:rsidR="00F1558C">
        <w:rPr>
          <w:rFonts w:ascii="Arial Narrow" w:hAnsi="Arial Narrow" w:cs="Tahoma"/>
          <w:sz w:val="22"/>
          <w:szCs w:val="22"/>
        </w:rPr>
        <w:t xml:space="preserve"> (0.5%), due to higher purchase prices of fuels, while a slight increase in prices was also recorded in the division </w:t>
      </w:r>
      <w:r w:rsidR="00F1558C" w:rsidRPr="00F1558C">
        <w:rPr>
          <w:rFonts w:ascii="Arial Narrow" w:hAnsi="Arial Narrow" w:cs="Tahoma"/>
          <w:i/>
          <w:sz w:val="22"/>
          <w:szCs w:val="22"/>
        </w:rPr>
        <w:t>Health care</w:t>
      </w:r>
      <w:r w:rsidR="00F1558C">
        <w:rPr>
          <w:rFonts w:ascii="Arial Narrow" w:hAnsi="Arial Narrow" w:cs="Tahoma"/>
          <w:sz w:val="22"/>
          <w:szCs w:val="22"/>
        </w:rPr>
        <w:t xml:space="preserve"> (0.2%), due to new supply prices of medicaments. </w:t>
      </w:r>
    </w:p>
    <w:p w:rsidR="00F1558C" w:rsidRDefault="00F1558C" w:rsidP="00570DB5">
      <w:pPr>
        <w:jc w:val="both"/>
        <w:rPr>
          <w:rFonts w:ascii="Arial Narrow" w:hAnsi="Arial Narrow" w:cs="Tahoma"/>
          <w:sz w:val="22"/>
          <w:szCs w:val="22"/>
        </w:rPr>
      </w:pPr>
    </w:p>
    <w:p w:rsidR="00F1558C" w:rsidRDefault="00F1558C" w:rsidP="00570DB5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divisions </w:t>
      </w:r>
      <w:r w:rsidRPr="00F1558C">
        <w:rPr>
          <w:rFonts w:ascii="Arial Narrow" w:hAnsi="Arial Narrow" w:cs="Tahoma"/>
          <w:i/>
          <w:sz w:val="22"/>
          <w:szCs w:val="22"/>
        </w:rPr>
        <w:t>Communication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F1558C">
        <w:rPr>
          <w:rFonts w:ascii="Arial Narrow" w:hAnsi="Arial Narrow" w:cs="Tahoma"/>
          <w:i/>
          <w:sz w:val="22"/>
          <w:szCs w:val="22"/>
        </w:rPr>
        <w:t>Education</w:t>
      </w:r>
      <w:r>
        <w:rPr>
          <w:rFonts w:ascii="Arial Narrow" w:hAnsi="Arial Narrow" w:cs="Tahoma"/>
          <w:sz w:val="22"/>
          <w:szCs w:val="22"/>
        </w:rPr>
        <w:t xml:space="preserve">, and </w:t>
      </w:r>
      <w:r w:rsidRPr="00F1558C">
        <w:rPr>
          <w:rFonts w:ascii="Arial Narrow" w:hAnsi="Arial Narrow" w:cs="Tahoma"/>
          <w:i/>
          <w:sz w:val="22"/>
          <w:szCs w:val="22"/>
        </w:rPr>
        <w:t>Restaurants and hotels</w:t>
      </w:r>
      <w:r>
        <w:rPr>
          <w:rFonts w:ascii="Arial Narrow" w:hAnsi="Arial Narrow" w:cs="Tahoma"/>
          <w:sz w:val="22"/>
          <w:szCs w:val="22"/>
        </w:rPr>
        <w:t xml:space="preserve"> prices remained on the average at the same level. </w:t>
      </w:r>
    </w:p>
    <w:p w:rsidR="004C6FC8" w:rsidRDefault="004C6FC8" w:rsidP="00570DB5">
      <w:pPr>
        <w:jc w:val="both"/>
        <w:rPr>
          <w:rFonts w:ascii="Arial Narrow" w:hAnsi="Arial Narrow" w:cs="Tahoma"/>
          <w:sz w:val="22"/>
          <w:szCs w:val="22"/>
        </w:rPr>
      </w:pPr>
    </w:p>
    <w:p w:rsidR="004C6FC8" w:rsidRPr="004C6FC8" w:rsidRDefault="004C6FC8" w:rsidP="00570DB5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decrease in prices in May was recorded in the division </w:t>
      </w:r>
      <w:r w:rsidRPr="004C6FC8">
        <w:rPr>
          <w:rFonts w:ascii="Arial Narrow" w:hAnsi="Arial Narrow" w:cs="Tahoma"/>
          <w:i/>
          <w:sz w:val="22"/>
          <w:szCs w:val="22"/>
        </w:rPr>
        <w:t>Clothing and footwear</w:t>
      </w:r>
      <w:r>
        <w:rPr>
          <w:rFonts w:ascii="Arial Narrow" w:hAnsi="Arial Narrow" w:cs="Tahoma"/>
          <w:sz w:val="22"/>
          <w:szCs w:val="22"/>
        </w:rPr>
        <w:t xml:space="preserve"> (0.7%), due to a number of discounts. A decrease in prices was also recorded in the </w:t>
      </w:r>
      <w:proofErr w:type="spellStart"/>
      <w:r>
        <w:rPr>
          <w:rFonts w:ascii="Arial Narrow" w:hAnsi="Arial Narrow" w:cs="Tahoma"/>
          <w:sz w:val="22"/>
          <w:szCs w:val="22"/>
        </w:rPr>
        <w:t>dfivision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</w:t>
      </w:r>
      <w:r w:rsidRPr="004C6FC8">
        <w:rPr>
          <w:rFonts w:ascii="Arial Narrow" w:hAnsi="Arial Narrow" w:cs="Tahoma"/>
          <w:i/>
          <w:sz w:val="22"/>
          <w:szCs w:val="22"/>
        </w:rPr>
        <w:t>Food and non-alcoholic beverages</w:t>
      </w:r>
      <w:r>
        <w:rPr>
          <w:rFonts w:ascii="Arial Narrow" w:hAnsi="Arial Narrow" w:cs="Tahoma"/>
          <w:sz w:val="22"/>
          <w:szCs w:val="22"/>
        </w:rPr>
        <w:t xml:space="preserve"> (0.4%), due to lower seasonal prices of vegetables in this period (6.4%) and as a result of permanent discounts in the </w:t>
      </w:r>
      <w:proofErr w:type="gramStart"/>
      <w:r>
        <w:rPr>
          <w:rFonts w:ascii="Arial Narrow" w:hAnsi="Arial Narrow" w:cs="Tahoma"/>
          <w:sz w:val="22"/>
          <w:szCs w:val="22"/>
        </w:rPr>
        <w:t>groups</w:t>
      </w:r>
      <w:proofErr w:type="gramEnd"/>
      <w:r>
        <w:rPr>
          <w:rFonts w:ascii="Arial Narrow" w:hAnsi="Arial Narrow" w:cs="Tahoma"/>
          <w:sz w:val="22"/>
          <w:szCs w:val="22"/>
        </w:rPr>
        <w:t xml:space="preserve"> milk and dairy products (1.3%) and bread and cereals (0.6%). In the division </w:t>
      </w:r>
      <w:proofErr w:type="gramStart"/>
      <w:r w:rsidRPr="004C6FC8">
        <w:rPr>
          <w:rFonts w:ascii="Arial Narrow" w:hAnsi="Arial Narrow" w:cs="Tahoma"/>
          <w:i/>
          <w:sz w:val="22"/>
          <w:szCs w:val="22"/>
        </w:rPr>
        <w:t>Other</w:t>
      </w:r>
      <w:proofErr w:type="gramEnd"/>
      <w:r w:rsidRPr="004C6FC8">
        <w:rPr>
          <w:rFonts w:ascii="Arial Narrow" w:hAnsi="Arial Narrow" w:cs="Tahoma"/>
          <w:i/>
          <w:sz w:val="22"/>
          <w:szCs w:val="22"/>
        </w:rPr>
        <w:t xml:space="preserve"> goods and services</w:t>
      </w:r>
      <w:r>
        <w:rPr>
          <w:rFonts w:ascii="Arial Narrow" w:hAnsi="Arial Narrow" w:cs="Tahoma"/>
          <w:sz w:val="22"/>
          <w:szCs w:val="22"/>
        </w:rPr>
        <w:t>, a decrease by 0.3% was recorded, due</w:t>
      </w:r>
      <w:r w:rsidR="00C24EFD">
        <w:rPr>
          <w:rFonts w:ascii="Arial Narrow" w:hAnsi="Arial Narrow" w:cs="Tahoma"/>
          <w:sz w:val="22"/>
          <w:szCs w:val="22"/>
        </w:rPr>
        <w:t xml:space="preserve"> to discounts and so-called permanently lower prices in the group personal care products (0.8%), while in the division Furnishing and other equipment a decrease was recorded in the groups household textile products (3.7%), cooking utensils and various accessories (0.6%)</w:t>
      </w:r>
      <w:r w:rsidR="001062A1">
        <w:rPr>
          <w:rFonts w:ascii="Arial Narrow" w:hAnsi="Arial Narrow" w:cs="Tahoma"/>
          <w:sz w:val="22"/>
          <w:szCs w:val="22"/>
        </w:rPr>
        <w:t xml:space="preserve"> and small household appliances (0.3%). Lower prices were also recorded in the division </w:t>
      </w:r>
      <w:r w:rsidR="001062A1" w:rsidRPr="001062A1">
        <w:rPr>
          <w:rFonts w:ascii="Arial Narrow" w:hAnsi="Arial Narrow" w:cs="Tahoma"/>
          <w:i/>
          <w:sz w:val="22"/>
          <w:szCs w:val="22"/>
        </w:rPr>
        <w:t xml:space="preserve">Alcoholic beverages and tobacco </w:t>
      </w:r>
      <w:r w:rsidR="001062A1">
        <w:rPr>
          <w:rFonts w:ascii="Arial Narrow" w:hAnsi="Arial Narrow" w:cs="Tahoma"/>
          <w:sz w:val="22"/>
          <w:szCs w:val="22"/>
        </w:rPr>
        <w:t xml:space="preserve">(0.2%), due to discounts in the </w:t>
      </w:r>
      <w:proofErr w:type="gramStart"/>
      <w:r w:rsidR="001062A1">
        <w:rPr>
          <w:rFonts w:ascii="Arial Narrow" w:hAnsi="Arial Narrow" w:cs="Tahoma"/>
          <w:sz w:val="22"/>
          <w:szCs w:val="22"/>
        </w:rPr>
        <w:t>groups</w:t>
      </w:r>
      <w:proofErr w:type="gramEnd"/>
      <w:r w:rsidR="001062A1">
        <w:rPr>
          <w:rFonts w:ascii="Arial Narrow" w:hAnsi="Arial Narrow" w:cs="Tahoma"/>
          <w:sz w:val="22"/>
          <w:szCs w:val="22"/>
        </w:rPr>
        <w:t xml:space="preserve"> beer (0.9%), alcoholic beverages (0.7%) and wine (0.4%), and in the division </w:t>
      </w:r>
      <w:r w:rsidR="001062A1" w:rsidRPr="001062A1">
        <w:rPr>
          <w:rFonts w:ascii="Arial Narrow" w:hAnsi="Arial Narrow" w:cs="Tahoma"/>
          <w:i/>
          <w:sz w:val="22"/>
          <w:szCs w:val="22"/>
        </w:rPr>
        <w:t>Recreation and culture</w:t>
      </w:r>
      <w:r w:rsidR="001062A1">
        <w:rPr>
          <w:rFonts w:ascii="Arial Narrow" w:hAnsi="Arial Narrow" w:cs="Tahoma"/>
          <w:sz w:val="22"/>
          <w:szCs w:val="22"/>
        </w:rPr>
        <w:t xml:space="preserve"> (0.1%). </w:t>
      </w:r>
    </w:p>
    <w:p w:rsidR="00570DB5" w:rsidRPr="00A90BF7" w:rsidRDefault="00570DB5" w:rsidP="00570DB5">
      <w:pPr>
        <w:jc w:val="both"/>
        <w:rPr>
          <w:rFonts w:ascii="Arial Narrow" w:hAnsi="Arial Narrow" w:cs="Tahoma"/>
          <w:sz w:val="16"/>
          <w:szCs w:val="16"/>
        </w:rPr>
      </w:pPr>
    </w:p>
    <w:p w:rsidR="00570DB5" w:rsidRPr="00A90BF7" w:rsidRDefault="00570DB5" w:rsidP="00570DB5">
      <w:pPr>
        <w:jc w:val="both"/>
        <w:rPr>
          <w:rFonts w:ascii="Arial Narrow" w:hAnsi="Arial Narrow" w:cs="Tahoma"/>
          <w:sz w:val="16"/>
          <w:szCs w:val="16"/>
          <w:lang w:val="sr-Cyrl-BA"/>
        </w:rPr>
      </w:pPr>
    </w:p>
    <w:p w:rsidR="007B3C79" w:rsidRPr="0072615B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1D1B3B" w:rsidRDefault="00650F89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650F8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Working-day adjusted industrial production </w:t>
      </w:r>
      <w:r w:rsidR="00F06D21" w:rsidRPr="001D1B3B">
        <w:rPr>
          <w:rFonts w:ascii="Arial Narrow" w:hAnsi="Arial Narrow" w:cs="Tahoma"/>
          <w:b/>
          <w:sz w:val="30"/>
          <w:szCs w:val="30"/>
          <w:lang w:val="sr-Cyrl-CS"/>
        </w:rPr>
        <w:t>(</w:t>
      </w:r>
      <w:r>
        <w:rPr>
          <w:rFonts w:ascii="Arial Narrow" w:hAnsi="Arial Narrow" w:cs="Tahoma"/>
          <w:b/>
          <w:sz w:val="30"/>
          <w:szCs w:val="30"/>
        </w:rPr>
        <w:t>May</w:t>
      </w:r>
      <w:r w:rsidR="00F06D21" w:rsidRPr="001D1B3B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F06D21" w:rsidRPr="001D1B3B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F06D21" w:rsidRPr="001D1B3B">
        <w:rPr>
          <w:rFonts w:ascii="Arial Narrow" w:hAnsi="Arial Narrow" w:cs="Tahoma"/>
          <w:b/>
          <w:sz w:val="30"/>
          <w:szCs w:val="30"/>
        </w:rPr>
        <w:t>6</w:t>
      </w:r>
      <w:r w:rsidR="009034C3" w:rsidRPr="001D1B3B">
        <w:rPr>
          <w:rFonts w:ascii="Arial Narrow" w:hAnsi="Arial Narrow" w:cs="Tahoma"/>
          <w:b/>
          <w:sz w:val="30"/>
          <w:szCs w:val="30"/>
          <w:lang w:val="sr-Latn-BA"/>
        </w:rPr>
        <w:t>/</w:t>
      </w:r>
      <w:r>
        <w:rPr>
          <w:rFonts w:ascii="Arial Narrow" w:hAnsi="Arial Narrow" w:cs="Tahoma"/>
          <w:b/>
          <w:sz w:val="30"/>
          <w:szCs w:val="30"/>
          <w:lang w:val="sr-Latn-BA"/>
        </w:rPr>
        <w:t>May</w:t>
      </w:r>
      <w:r w:rsidR="00F06D21"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F06D21" w:rsidRPr="001D1B3B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>
        <w:rPr>
          <w:rFonts w:ascii="Arial Narrow" w:hAnsi="Arial Narrow" w:cs="Tahoma"/>
          <w:b/>
          <w:bCs/>
          <w:sz w:val="30"/>
          <w:szCs w:val="30"/>
        </w:rPr>
        <w:t>5</w:t>
      </w:r>
      <w:r w:rsidR="00F06D21" w:rsidRPr="001D1B3B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F06D21"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F06D21"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9034C3"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>6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9034C3"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>7</w:t>
      </w:r>
      <w:r w:rsidR="00F06D21"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A905EA" w:rsidRPr="001D1B3B" w:rsidRDefault="00650F89" w:rsidP="00A905EA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 w:rsidRPr="00650F89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Seasonally adjusted industrial production </w:t>
      </w:r>
      <w:r w:rsidR="00166F34" w:rsidRPr="001D1B3B">
        <w:rPr>
          <w:rFonts w:ascii="Arial Narrow" w:hAnsi="Arial Narrow" w:cs="Tahoma"/>
          <w:b/>
          <w:sz w:val="28"/>
          <w:szCs w:val="28"/>
          <w:lang w:val="sr-Cyrl-CS"/>
        </w:rPr>
        <w:t>(</w:t>
      </w:r>
      <w:r>
        <w:rPr>
          <w:rFonts w:ascii="Arial Narrow" w:hAnsi="Arial Narrow" w:cs="Tahoma"/>
          <w:b/>
          <w:sz w:val="28"/>
          <w:szCs w:val="28"/>
        </w:rPr>
        <w:t>May</w:t>
      </w:r>
      <w:r w:rsidR="00166F34" w:rsidRPr="001D1B3B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="00166F34" w:rsidRPr="001D1B3B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A905EA" w:rsidRPr="001D1B3B">
        <w:rPr>
          <w:rFonts w:ascii="Arial Narrow" w:hAnsi="Arial Narrow" w:cs="Tahoma"/>
          <w:b/>
          <w:sz w:val="28"/>
          <w:szCs w:val="28"/>
        </w:rPr>
        <w:t>6</w:t>
      </w:r>
      <w:r>
        <w:rPr>
          <w:rFonts w:ascii="Arial Narrow" w:hAnsi="Arial Narrow" w:cs="Tahoma"/>
          <w:b/>
          <w:sz w:val="28"/>
          <w:szCs w:val="28"/>
          <w:lang w:val="sr-Latn-BA"/>
        </w:rPr>
        <w:t>/April</w:t>
      </w:r>
      <w:r w:rsidR="00166F34"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166F34" w:rsidRPr="001D1B3B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A905EA" w:rsidRPr="001D1B3B">
        <w:rPr>
          <w:rFonts w:ascii="Arial Narrow" w:hAnsi="Arial Narrow" w:cs="Tahoma"/>
          <w:b/>
          <w:bCs/>
          <w:sz w:val="28"/>
          <w:szCs w:val="28"/>
        </w:rPr>
        <w:t>6</w:t>
      </w:r>
      <w:r w:rsidR="00166F34" w:rsidRPr="001D1B3B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="00166F34"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28"/>
          <w:szCs w:val="28"/>
        </w:rPr>
        <w:t>increased by</w:t>
      </w:r>
      <w:r w:rsidR="00166F34"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9034C3"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>3</w:t>
      </w:r>
      <w:r>
        <w:rPr>
          <w:rFonts w:ascii="Arial Narrow" w:hAnsi="Arial Narrow" w:cs="Tahoma"/>
          <w:b/>
          <w:bCs/>
          <w:sz w:val="28"/>
          <w:szCs w:val="28"/>
          <w:lang w:val="sr-Cyrl-CS"/>
        </w:rPr>
        <w:t>.</w:t>
      </w:r>
      <w:r w:rsidR="009034C3"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>7</w:t>
      </w:r>
      <w:r w:rsidR="00166F34"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>%</w:t>
      </w:r>
      <w:r w:rsidR="00A905EA"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</w:p>
    <w:p w:rsidR="00166F34" w:rsidRPr="001D1B3B" w:rsidRDefault="00650F89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>
        <w:rPr>
          <w:rFonts w:ascii="Arial Narrow" w:hAnsi="Arial Narrow" w:cs="Tahoma"/>
          <w:b/>
          <w:sz w:val="28"/>
          <w:lang w:val="ru-RU"/>
        </w:rPr>
        <w:t xml:space="preserve"> (May</w:t>
      </w:r>
      <w:r w:rsidR="00166F34" w:rsidRPr="001D1B3B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1D1B3B">
        <w:rPr>
          <w:rFonts w:ascii="Arial Narrow" w:hAnsi="Arial Narrow" w:cs="Tahoma"/>
          <w:b/>
          <w:sz w:val="28"/>
        </w:rPr>
        <w:t>6</w:t>
      </w:r>
      <w:r w:rsidR="00166F34" w:rsidRPr="001D1B3B">
        <w:rPr>
          <w:rFonts w:ascii="Arial Narrow" w:hAnsi="Arial Narrow" w:cs="Tahoma"/>
          <w:b/>
          <w:sz w:val="28"/>
          <w:lang w:val="ru-RU"/>
        </w:rPr>
        <w:t>/</w:t>
      </w:r>
      <w:r>
        <w:rPr>
          <w:rFonts w:ascii="Arial Narrow" w:hAnsi="Arial Narrow" w:cs="Tahoma"/>
          <w:b/>
          <w:sz w:val="28"/>
        </w:rPr>
        <w:t>May</w:t>
      </w:r>
      <w:r w:rsidR="00166F34" w:rsidRPr="001D1B3B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1D1B3B">
        <w:rPr>
          <w:rFonts w:ascii="Arial Narrow" w:hAnsi="Arial Narrow" w:cs="Tahoma"/>
          <w:b/>
          <w:sz w:val="28"/>
        </w:rPr>
        <w:t>5</w:t>
      </w:r>
      <w:r w:rsidR="00166F34" w:rsidRPr="001D1B3B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decreased by</w:t>
      </w:r>
      <w:r w:rsidR="00166F34" w:rsidRPr="001D1B3B">
        <w:rPr>
          <w:rFonts w:ascii="Arial Narrow" w:hAnsi="Arial Narrow" w:cs="Tahoma"/>
          <w:b/>
          <w:sz w:val="28"/>
          <w:lang w:val="ru-RU"/>
        </w:rPr>
        <w:t xml:space="preserve"> </w:t>
      </w:r>
      <w:r w:rsidR="0033595C" w:rsidRPr="001D1B3B">
        <w:rPr>
          <w:rFonts w:ascii="Arial Narrow" w:hAnsi="Arial Narrow" w:cs="Tahoma"/>
          <w:b/>
          <w:sz w:val="28"/>
          <w:lang w:val="sr-Cyrl-CS"/>
        </w:rPr>
        <w:t>0</w:t>
      </w:r>
      <w:r>
        <w:rPr>
          <w:rFonts w:ascii="Arial Narrow" w:hAnsi="Arial Narrow" w:cs="Tahoma"/>
          <w:b/>
          <w:sz w:val="28"/>
          <w:lang w:val="ru-RU"/>
        </w:rPr>
        <w:t>.</w:t>
      </w:r>
      <w:r w:rsidR="009034C3" w:rsidRPr="001D1B3B">
        <w:rPr>
          <w:rFonts w:ascii="Arial Narrow" w:hAnsi="Arial Narrow" w:cs="Tahoma"/>
          <w:b/>
          <w:sz w:val="28"/>
          <w:lang w:val="ru-RU"/>
        </w:rPr>
        <w:t>3</w:t>
      </w:r>
      <w:r w:rsidR="00166F34" w:rsidRPr="001D1B3B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1D1B3B" w:rsidRDefault="00166F34" w:rsidP="00166F34">
      <w:pPr>
        <w:jc w:val="both"/>
        <w:rPr>
          <w:rFonts w:ascii="Arial Narrow" w:hAnsi="Arial Narrow" w:cs="Tahoma"/>
          <w:sz w:val="22"/>
        </w:rPr>
      </w:pPr>
    </w:p>
    <w:p w:rsidR="00650F89" w:rsidRDefault="00650F89" w:rsidP="00166F34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Working-day adjusted industrial production</w:t>
      </w:r>
      <w:r w:rsidR="00F06D21" w:rsidRPr="00A90BF7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in May</w:t>
      </w:r>
      <w:r w:rsidR="00F06D21" w:rsidRPr="00A90BF7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="00F06D21" w:rsidRPr="00A90BF7">
        <w:rPr>
          <w:rFonts w:ascii="Arial Narrow" w:hAnsi="Arial Narrow" w:cs="Tahoma"/>
          <w:sz w:val="22"/>
          <w:szCs w:val="22"/>
        </w:rPr>
        <w:t>201</w:t>
      </w:r>
      <w:r w:rsidR="00F06D21"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>
        <w:rPr>
          <w:rFonts w:ascii="Arial Narrow" w:hAnsi="Arial Narrow" w:cs="Tahoma"/>
          <w:sz w:val="22"/>
          <w:szCs w:val="22"/>
        </w:rPr>
        <w:t>,</w:t>
      </w:r>
      <w:r w:rsidR="00F06D21" w:rsidRPr="00A90BF7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compared to May</w:t>
      </w:r>
      <w:r w:rsidR="00F06D21" w:rsidRPr="00A90BF7">
        <w:rPr>
          <w:rFonts w:ascii="Arial Narrow" w:hAnsi="Arial Narrow" w:cs="Tahoma"/>
          <w:spacing w:val="-2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ru-RU"/>
        </w:rPr>
        <w:t>2015,</w:t>
      </w:r>
      <w:r w:rsidR="00F06D21" w:rsidRPr="00A90BF7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increased by</w:t>
      </w:r>
      <w:r w:rsidR="00F06D21"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>
        <w:rPr>
          <w:rFonts w:ascii="Arial Narrow" w:hAnsi="Arial Narrow" w:cs="Tahoma"/>
          <w:sz w:val="22"/>
          <w:szCs w:val="22"/>
          <w:lang w:val="sr-Cyrl-CS"/>
        </w:rPr>
        <w:t>.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7</w:t>
      </w:r>
      <w:r w:rsidR="00F06D21" w:rsidRPr="00A90BF7">
        <w:rPr>
          <w:rFonts w:ascii="Arial Narrow" w:hAnsi="Arial Narrow" w:cs="Tahoma"/>
          <w:sz w:val="22"/>
          <w:szCs w:val="22"/>
          <w:lang w:val="sr-Cyrl-CS"/>
        </w:rPr>
        <w:t>%.</w:t>
      </w:r>
      <w:r w:rsidR="00F06D21" w:rsidRPr="00A90BF7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In the section </w:t>
      </w:r>
      <w:r w:rsidRPr="00650F89">
        <w:rPr>
          <w:rFonts w:ascii="Arial Narrow" w:hAnsi="Arial Narrow" w:cs="Tahoma"/>
          <w:i/>
          <w:sz w:val="22"/>
          <w:szCs w:val="22"/>
        </w:rPr>
        <w:t>Electricity, gas, steam and air-conditioning supply</w:t>
      </w:r>
      <w:r w:rsidRPr="00650F89">
        <w:rPr>
          <w:rFonts w:ascii="Arial Narrow" w:hAnsi="Arial Narrow" w:cs="Tahoma"/>
          <w:sz w:val="22"/>
          <w:szCs w:val="22"/>
        </w:rPr>
        <w:t xml:space="preserve"> an increase by </w:t>
      </w:r>
      <w:r>
        <w:rPr>
          <w:rFonts w:ascii="Arial Narrow" w:hAnsi="Arial Narrow" w:cs="Tahoma"/>
          <w:sz w:val="22"/>
          <w:szCs w:val="22"/>
        </w:rPr>
        <w:t>20.5</w:t>
      </w:r>
      <w:r w:rsidRPr="00650F89">
        <w:rPr>
          <w:rFonts w:ascii="Arial Narrow" w:hAnsi="Arial Narrow" w:cs="Tahoma"/>
          <w:sz w:val="22"/>
          <w:szCs w:val="22"/>
        </w:rPr>
        <w:t>% was recorded</w:t>
      </w:r>
      <w:r>
        <w:rPr>
          <w:rFonts w:ascii="Arial Narrow" w:hAnsi="Arial Narrow" w:cs="Tahoma"/>
          <w:sz w:val="22"/>
          <w:szCs w:val="22"/>
        </w:rPr>
        <w:t xml:space="preserve"> and in the section </w:t>
      </w:r>
      <w:r w:rsidRPr="00650F89">
        <w:rPr>
          <w:rFonts w:ascii="Arial Narrow" w:hAnsi="Arial Narrow" w:cs="Tahoma"/>
          <w:i/>
          <w:sz w:val="22"/>
          <w:szCs w:val="22"/>
        </w:rPr>
        <w:t>Manufacturing</w:t>
      </w:r>
      <w:r>
        <w:rPr>
          <w:rFonts w:ascii="Arial Narrow" w:hAnsi="Arial Narrow" w:cs="Tahoma"/>
          <w:sz w:val="22"/>
          <w:szCs w:val="22"/>
        </w:rPr>
        <w:t xml:space="preserve"> an increase by 5.4%, while in the section </w:t>
      </w:r>
      <w:r w:rsidRPr="00650F89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a decrease by 10.0% was recorded. </w:t>
      </w:r>
      <w:r w:rsidRPr="00650F89">
        <w:rPr>
          <w:rFonts w:ascii="Arial Narrow" w:hAnsi="Arial Narrow" w:cs="Tahoma"/>
          <w:sz w:val="22"/>
          <w:szCs w:val="22"/>
        </w:rPr>
        <w:t>By main industrial group, based on economic purpose of products, working day-adjusted production of</w:t>
      </w:r>
      <w:r>
        <w:rPr>
          <w:rFonts w:ascii="Arial Narrow" w:hAnsi="Arial Narrow" w:cs="Tahoma"/>
          <w:sz w:val="22"/>
          <w:szCs w:val="22"/>
        </w:rPr>
        <w:t xml:space="preserve"> energy in May 2016, compared to May 2015, was 15.9% higher, production of consumer non-durables was 8.6% higher and production of intermediate goods was 0.1% higher, while production of consumer durables was 1.8% lower and production of capital goods was 11.1% lower. </w:t>
      </w:r>
    </w:p>
    <w:p w:rsidR="00650F89" w:rsidRDefault="00650F89" w:rsidP="00166F34">
      <w:pPr>
        <w:jc w:val="both"/>
        <w:rPr>
          <w:rFonts w:ascii="Arial Narrow" w:hAnsi="Arial Narrow" w:cs="Tahoma"/>
          <w:sz w:val="22"/>
          <w:szCs w:val="22"/>
        </w:rPr>
      </w:pPr>
    </w:p>
    <w:p w:rsidR="00650F89" w:rsidRDefault="00F051BF" w:rsidP="00166F34">
      <w:pPr>
        <w:jc w:val="both"/>
        <w:rPr>
          <w:rFonts w:ascii="Arial Narrow" w:hAnsi="Arial Narrow" w:cs="Tahoma"/>
          <w:sz w:val="22"/>
          <w:szCs w:val="22"/>
        </w:rPr>
      </w:pPr>
      <w:r w:rsidRPr="00F051BF">
        <w:rPr>
          <w:rFonts w:ascii="Arial Narrow" w:hAnsi="Arial Narrow" w:cs="Tahoma"/>
          <w:b/>
          <w:sz w:val="22"/>
          <w:szCs w:val="22"/>
        </w:rPr>
        <w:t xml:space="preserve">Seasonally adjusted industrial production </w:t>
      </w:r>
      <w:r w:rsidRPr="00F051BF">
        <w:rPr>
          <w:rFonts w:ascii="Arial Narrow" w:hAnsi="Arial Narrow" w:cs="Tahoma"/>
          <w:sz w:val="22"/>
          <w:szCs w:val="22"/>
        </w:rPr>
        <w:t xml:space="preserve">in </w:t>
      </w:r>
      <w:r>
        <w:rPr>
          <w:rFonts w:ascii="Arial Narrow" w:hAnsi="Arial Narrow" w:cs="Tahoma"/>
          <w:sz w:val="22"/>
          <w:szCs w:val="22"/>
        </w:rPr>
        <w:t>May</w:t>
      </w:r>
      <w:r w:rsidRPr="00F051BF">
        <w:rPr>
          <w:rFonts w:ascii="Arial Narrow" w:hAnsi="Arial Narrow" w:cs="Tahoma"/>
          <w:sz w:val="22"/>
          <w:szCs w:val="22"/>
        </w:rPr>
        <w:t xml:space="preserve"> 2016, compared to </w:t>
      </w:r>
      <w:r>
        <w:rPr>
          <w:rFonts w:ascii="Arial Narrow" w:hAnsi="Arial Narrow" w:cs="Tahoma"/>
          <w:sz w:val="22"/>
          <w:szCs w:val="22"/>
        </w:rPr>
        <w:t>April 2016, increased by 3.7</w:t>
      </w:r>
      <w:r w:rsidRPr="00F051BF">
        <w:rPr>
          <w:rFonts w:ascii="Arial Narrow" w:hAnsi="Arial Narrow" w:cs="Tahoma"/>
          <w:sz w:val="22"/>
          <w:szCs w:val="22"/>
        </w:rPr>
        <w:t>%.</w:t>
      </w:r>
      <w:r>
        <w:rPr>
          <w:rFonts w:ascii="Arial Narrow" w:hAnsi="Arial Narrow" w:cs="Tahoma"/>
          <w:sz w:val="22"/>
          <w:szCs w:val="22"/>
        </w:rPr>
        <w:t xml:space="preserve"> In the section </w:t>
      </w:r>
      <w:r w:rsidRPr="00F051BF">
        <w:rPr>
          <w:rFonts w:ascii="Arial Narrow" w:hAnsi="Arial Narrow" w:cs="Tahoma"/>
          <w:i/>
          <w:sz w:val="22"/>
          <w:szCs w:val="22"/>
        </w:rPr>
        <w:t>Electricity, gas, steam and air-conditioning supply</w:t>
      </w:r>
      <w:r w:rsidRPr="00F051BF">
        <w:rPr>
          <w:rFonts w:ascii="Arial Narrow" w:hAnsi="Arial Narrow" w:cs="Tahoma"/>
          <w:sz w:val="22"/>
          <w:szCs w:val="22"/>
        </w:rPr>
        <w:t xml:space="preserve"> an increase by</w:t>
      </w:r>
      <w:r>
        <w:rPr>
          <w:rFonts w:ascii="Arial Narrow" w:hAnsi="Arial Narrow" w:cs="Tahoma"/>
          <w:sz w:val="22"/>
          <w:szCs w:val="22"/>
        </w:rPr>
        <w:t xml:space="preserve"> 11.2% was </w:t>
      </w:r>
      <w:proofErr w:type="spellStart"/>
      <w:r>
        <w:rPr>
          <w:rFonts w:ascii="Arial Narrow" w:hAnsi="Arial Narrow" w:cs="Tahoma"/>
          <w:sz w:val="22"/>
          <w:szCs w:val="22"/>
        </w:rPr>
        <w:t>recroded</w:t>
      </w:r>
      <w:proofErr w:type="spellEnd"/>
      <w:r>
        <w:rPr>
          <w:rFonts w:ascii="Arial Narrow" w:hAnsi="Arial Narrow" w:cs="Tahoma"/>
          <w:sz w:val="22"/>
          <w:szCs w:val="22"/>
        </w:rPr>
        <w:t xml:space="preserve">, in the section </w:t>
      </w:r>
      <w:r w:rsidRPr="00F051BF">
        <w:rPr>
          <w:rFonts w:ascii="Arial Narrow" w:hAnsi="Arial Narrow" w:cs="Tahoma"/>
          <w:i/>
          <w:sz w:val="22"/>
          <w:szCs w:val="22"/>
        </w:rPr>
        <w:t>Manufacturing</w:t>
      </w:r>
      <w:r>
        <w:rPr>
          <w:rFonts w:ascii="Arial Narrow" w:hAnsi="Arial Narrow" w:cs="Tahoma"/>
          <w:sz w:val="22"/>
          <w:szCs w:val="22"/>
        </w:rPr>
        <w:t xml:space="preserve"> an increase by 4.2% and in the section </w:t>
      </w:r>
      <w:r w:rsidRPr="00F051BF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an increase by 3.4%. </w:t>
      </w:r>
      <w:r w:rsidRPr="00F051BF">
        <w:rPr>
          <w:rFonts w:ascii="Arial Narrow" w:hAnsi="Arial Narrow" w:cs="Tahoma"/>
          <w:sz w:val="22"/>
          <w:szCs w:val="22"/>
        </w:rPr>
        <w:t xml:space="preserve">By main industrial group, based on economic purpose of products, </w:t>
      </w:r>
      <w:r>
        <w:rPr>
          <w:rFonts w:ascii="Arial Narrow" w:hAnsi="Arial Narrow" w:cs="Tahoma"/>
          <w:sz w:val="22"/>
          <w:szCs w:val="22"/>
        </w:rPr>
        <w:t xml:space="preserve">seasonally adjusted </w:t>
      </w:r>
      <w:r w:rsidRPr="00F051BF">
        <w:rPr>
          <w:rFonts w:ascii="Arial Narrow" w:hAnsi="Arial Narrow" w:cs="Tahoma"/>
          <w:sz w:val="22"/>
          <w:szCs w:val="22"/>
        </w:rPr>
        <w:t xml:space="preserve">production of energy in </w:t>
      </w:r>
      <w:r>
        <w:rPr>
          <w:rFonts w:ascii="Arial Narrow" w:hAnsi="Arial Narrow" w:cs="Tahoma"/>
          <w:sz w:val="22"/>
          <w:szCs w:val="22"/>
        </w:rPr>
        <w:t>May</w:t>
      </w:r>
      <w:r w:rsidRPr="00F051BF">
        <w:rPr>
          <w:rFonts w:ascii="Arial Narrow" w:hAnsi="Arial Narrow" w:cs="Tahoma"/>
          <w:sz w:val="22"/>
          <w:szCs w:val="22"/>
        </w:rPr>
        <w:t xml:space="preserve"> 2016, compared to </w:t>
      </w:r>
      <w:r>
        <w:rPr>
          <w:rFonts w:ascii="Arial Narrow" w:hAnsi="Arial Narrow" w:cs="Tahoma"/>
          <w:sz w:val="22"/>
          <w:szCs w:val="22"/>
        </w:rPr>
        <w:t>April</w:t>
      </w:r>
      <w:r w:rsidRPr="00F051BF">
        <w:rPr>
          <w:rFonts w:ascii="Arial Narrow" w:hAnsi="Arial Narrow" w:cs="Tahoma"/>
          <w:sz w:val="22"/>
          <w:szCs w:val="22"/>
        </w:rPr>
        <w:t xml:space="preserve"> 2016, was</w:t>
      </w:r>
      <w:r>
        <w:rPr>
          <w:rFonts w:ascii="Arial Narrow" w:hAnsi="Arial Narrow" w:cs="Tahoma"/>
          <w:sz w:val="22"/>
          <w:szCs w:val="22"/>
        </w:rPr>
        <w:t xml:space="preserve"> 14.8% higher, production of intermediate goods was 2.1% higher and production of consumer non-durables was 0.8% higher, while production of consumer durables was 2.5% lower and production of capital goods was 10.5% lower. </w:t>
      </w:r>
    </w:p>
    <w:p w:rsidR="00F051BF" w:rsidRDefault="00F051BF" w:rsidP="00166F34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F051BF" w:rsidRPr="00F051BF" w:rsidRDefault="00F051BF" w:rsidP="00F051BF">
      <w:pPr>
        <w:jc w:val="both"/>
        <w:rPr>
          <w:rFonts w:ascii="Arial Narrow" w:hAnsi="Arial Narrow" w:cs="Tahoma"/>
          <w:sz w:val="22"/>
          <w:szCs w:val="22"/>
        </w:rPr>
      </w:pPr>
      <w:r w:rsidRPr="00F051BF">
        <w:rPr>
          <w:rFonts w:ascii="Arial Narrow" w:hAnsi="Arial Narrow" w:cs="Tahoma"/>
          <w:b/>
          <w:sz w:val="22"/>
          <w:szCs w:val="22"/>
        </w:rPr>
        <w:t>Number of employees in industry</w:t>
      </w:r>
      <w:r w:rsidRPr="00F051BF">
        <w:rPr>
          <w:rFonts w:ascii="Arial Narrow" w:hAnsi="Arial Narrow" w:cs="Tahoma"/>
          <w:sz w:val="22"/>
          <w:szCs w:val="22"/>
        </w:rPr>
        <w:t xml:space="preserve"> in </w:t>
      </w:r>
      <w:r>
        <w:rPr>
          <w:rFonts w:ascii="Arial Narrow" w:hAnsi="Arial Narrow" w:cs="Tahoma"/>
          <w:sz w:val="22"/>
          <w:szCs w:val="22"/>
        </w:rPr>
        <w:t>May</w:t>
      </w:r>
      <w:r w:rsidRPr="00F051BF">
        <w:rPr>
          <w:rFonts w:ascii="Arial Narrow" w:hAnsi="Arial Narrow" w:cs="Tahoma"/>
          <w:sz w:val="22"/>
          <w:szCs w:val="22"/>
        </w:rPr>
        <w:t xml:space="preserve"> 2016, compared to </w:t>
      </w:r>
      <w:r>
        <w:rPr>
          <w:rFonts w:ascii="Arial Narrow" w:hAnsi="Arial Narrow" w:cs="Tahoma"/>
          <w:sz w:val="22"/>
          <w:szCs w:val="22"/>
        </w:rPr>
        <w:t>April 2016, was 0.2</w:t>
      </w:r>
      <w:r w:rsidRPr="00F051BF">
        <w:rPr>
          <w:rFonts w:ascii="Arial Narrow" w:hAnsi="Arial Narrow" w:cs="Tahoma"/>
          <w:sz w:val="22"/>
          <w:szCs w:val="22"/>
        </w:rPr>
        <w:t xml:space="preserve">% </w:t>
      </w:r>
      <w:r>
        <w:rPr>
          <w:rFonts w:ascii="Arial Narrow" w:hAnsi="Arial Narrow" w:cs="Tahoma"/>
          <w:sz w:val="22"/>
          <w:szCs w:val="22"/>
        </w:rPr>
        <w:t>lower</w:t>
      </w:r>
      <w:r w:rsidRPr="00F051BF">
        <w:rPr>
          <w:rFonts w:ascii="Arial Narrow" w:hAnsi="Arial Narrow" w:cs="Tahoma"/>
          <w:sz w:val="22"/>
          <w:szCs w:val="22"/>
        </w:rPr>
        <w:t xml:space="preserve">. Compared to </w:t>
      </w:r>
      <w:r>
        <w:rPr>
          <w:rFonts w:ascii="Arial Narrow" w:hAnsi="Arial Narrow" w:cs="Tahoma"/>
          <w:sz w:val="22"/>
          <w:szCs w:val="22"/>
        </w:rPr>
        <w:t>the same month of the previous year it was 0.3</w:t>
      </w:r>
      <w:r w:rsidRPr="00F051BF">
        <w:rPr>
          <w:rFonts w:ascii="Arial Narrow" w:hAnsi="Arial Narrow" w:cs="Tahoma"/>
          <w:sz w:val="22"/>
          <w:szCs w:val="22"/>
        </w:rPr>
        <w:t xml:space="preserve">% </w:t>
      </w:r>
      <w:r>
        <w:rPr>
          <w:rFonts w:ascii="Arial Narrow" w:hAnsi="Arial Narrow" w:cs="Tahoma"/>
          <w:sz w:val="22"/>
          <w:szCs w:val="22"/>
        </w:rPr>
        <w:t xml:space="preserve">lower, while </w:t>
      </w:r>
      <w:r w:rsidRPr="00F051BF">
        <w:rPr>
          <w:rFonts w:ascii="Arial Narrow" w:hAnsi="Arial Narrow" w:cs="Tahoma"/>
          <w:sz w:val="22"/>
          <w:szCs w:val="22"/>
        </w:rPr>
        <w:t>compared to the average monthly number of emp</w:t>
      </w:r>
      <w:r>
        <w:rPr>
          <w:rFonts w:ascii="Arial Narrow" w:hAnsi="Arial Narrow" w:cs="Tahoma"/>
          <w:sz w:val="22"/>
          <w:szCs w:val="22"/>
        </w:rPr>
        <w:t>loyed persons in 2015 it was 0.2</w:t>
      </w:r>
      <w:r w:rsidRPr="00F051BF">
        <w:rPr>
          <w:rFonts w:ascii="Arial Narrow" w:hAnsi="Arial Narrow" w:cs="Tahoma"/>
          <w:sz w:val="22"/>
          <w:szCs w:val="22"/>
        </w:rPr>
        <w:t xml:space="preserve">% </w:t>
      </w:r>
      <w:r>
        <w:rPr>
          <w:rFonts w:ascii="Arial Narrow" w:hAnsi="Arial Narrow" w:cs="Tahoma"/>
          <w:sz w:val="22"/>
          <w:szCs w:val="22"/>
        </w:rPr>
        <w:t>higher</w:t>
      </w:r>
      <w:r w:rsidRPr="00F051BF">
        <w:rPr>
          <w:rFonts w:ascii="Arial Narrow" w:hAnsi="Arial Narrow" w:cs="Tahoma"/>
          <w:sz w:val="22"/>
          <w:szCs w:val="22"/>
        </w:rPr>
        <w:t>. Number of employees in industry in the period January-</w:t>
      </w:r>
      <w:r>
        <w:rPr>
          <w:rFonts w:ascii="Arial Narrow" w:hAnsi="Arial Narrow" w:cs="Tahoma"/>
          <w:sz w:val="22"/>
          <w:szCs w:val="22"/>
        </w:rPr>
        <w:t>May</w:t>
      </w:r>
      <w:r w:rsidRPr="00F051BF">
        <w:rPr>
          <w:rFonts w:ascii="Arial Narrow" w:hAnsi="Arial Narrow" w:cs="Tahoma"/>
          <w:sz w:val="22"/>
          <w:szCs w:val="22"/>
        </w:rPr>
        <w:t xml:space="preserve"> 2016, compared to the same peri</w:t>
      </w:r>
      <w:r>
        <w:rPr>
          <w:rFonts w:ascii="Arial Narrow" w:hAnsi="Arial Narrow" w:cs="Tahoma"/>
          <w:sz w:val="22"/>
          <w:szCs w:val="22"/>
        </w:rPr>
        <w:t>od of the previous year, was 0.8</w:t>
      </w:r>
      <w:r w:rsidRPr="00F051BF">
        <w:rPr>
          <w:rFonts w:ascii="Arial Narrow" w:hAnsi="Arial Narrow" w:cs="Tahoma"/>
          <w:sz w:val="22"/>
          <w:szCs w:val="22"/>
        </w:rPr>
        <w:t xml:space="preserve">% higher. During the same </w:t>
      </w:r>
      <w:proofErr w:type="spellStart"/>
      <w:r w:rsidRPr="00F051BF">
        <w:rPr>
          <w:rFonts w:ascii="Arial Narrow" w:hAnsi="Arial Narrow" w:cs="Tahoma"/>
          <w:sz w:val="22"/>
          <w:szCs w:val="22"/>
        </w:rPr>
        <w:t>peiod</w:t>
      </w:r>
      <w:proofErr w:type="spellEnd"/>
      <w:r w:rsidRPr="00F051BF">
        <w:rPr>
          <w:rFonts w:ascii="Arial Narrow" w:hAnsi="Arial Narrow" w:cs="Tahoma"/>
          <w:sz w:val="22"/>
          <w:szCs w:val="22"/>
        </w:rPr>
        <w:t xml:space="preserve">, in the section </w:t>
      </w:r>
      <w:r w:rsidRPr="00F051BF">
        <w:rPr>
          <w:rFonts w:ascii="Arial Narrow" w:hAnsi="Arial Narrow" w:cs="Tahoma"/>
          <w:i/>
          <w:sz w:val="22"/>
          <w:szCs w:val="22"/>
        </w:rPr>
        <w:t>Manufacturing</w:t>
      </w:r>
      <w:r w:rsidRPr="00F051BF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an increase by 1.1</w:t>
      </w:r>
      <w:r w:rsidRPr="00F051BF">
        <w:rPr>
          <w:rFonts w:ascii="Arial Narrow" w:hAnsi="Arial Narrow" w:cs="Tahoma"/>
          <w:sz w:val="22"/>
          <w:szCs w:val="22"/>
        </w:rPr>
        <w:t xml:space="preserve">% was recorded and in the section </w:t>
      </w:r>
      <w:r w:rsidRPr="00F051BF">
        <w:rPr>
          <w:rFonts w:ascii="Arial Narrow" w:hAnsi="Arial Narrow" w:cs="Tahoma"/>
          <w:i/>
          <w:sz w:val="22"/>
          <w:szCs w:val="22"/>
        </w:rPr>
        <w:t xml:space="preserve">Mining and quarrying </w:t>
      </w:r>
      <w:r w:rsidRPr="00F051BF">
        <w:rPr>
          <w:rFonts w:ascii="Arial Narrow" w:hAnsi="Arial Narrow" w:cs="Tahoma"/>
          <w:sz w:val="22"/>
          <w:szCs w:val="22"/>
        </w:rPr>
        <w:t xml:space="preserve">an </w:t>
      </w:r>
      <w:r>
        <w:rPr>
          <w:rFonts w:ascii="Arial Narrow" w:hAnsi="Arial Narrow" w:cs="Tahoma"/>
          <w:sz w:val="22"/>
          <w:szCs w:val="22"/>
        </w:rPr>
        <w:t>increase by 0.1</w:t>
      </w:r>
      <w:r w:rsidRPr="00F051BF">
        <w:rPr>
          <w:rFonts w:ascii="Arial Narrow" w:hAnsi="Arial Narrow" w:cs="Tahoma"/>
          <w:sz w:val="22"/>
          <w:szCs w:val="22"/>
        </w:rPr>
        <w:t xml:space="preserve">%, while in the section </w:t>
      </w:r>
      <w:r w:rsidRPr="00F051BF">
        <w:rPr>
          <w:rFonts w:ascii="Arial Narrow" w:hAnsi="Arial Narrow" w:cs="Tahoma"/>
          <w:i/>
          <w:sz w:val="22"/>
          <w:szCs w:val="22"/>
        </w:rPr>
        <w:t>Electricity, gas, steam and air-conditioning supply</w:t>
      </w:r>
      <w:r w:rsidRPr="00F051BF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a decrease by 0.7</w:t>
      </w:r>
      <w:r w:rsidRPr="00F051BF">
        <w:rPr>
          <w:rFonts w:ascii="Arial Narrow" w:hAnsi="Arial Narrow" w:cs="Tahoma"/>
          <w:sz w:val="22"/>
          <w:szCs w:val="22"/>
        </w:rPr>
        <w:t>% was recorded</w:t>
      </w:r>
    </w:p>
    <w:p w:rsidR="00A90BF7" w:rsidRDefault="00A90BF7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br w:type="page"/>
      </w:r>
    </w:p>
    <w:p w:rsidR="00A90BF7" w:rsidRPr="00A90BF7" w:rsidRDefault="00A90BF7" w:rsidP="00166F34">
      <w:pPr>
        <w:jc w:val="both"/>
        <w:rPr>
          <w:rFonts w:ascii="Arial Narrow" w:hAnsi="Arial Narrow" w:cs="Tahoma"/>
          <w:sz w:val="22"/>
          <w:szCs w:val="22"/>
        </w:rPr>
      </w:pPr>
    </w:p>
    <w:p w:rsidR="000213F8" w:rsidRPr="00C2075D" w:rsidRDefault="00C32A14" w:rsidP="00DC2009">
      <w:pPr>
        <w:jc w:val="center"/>
        <w:rPr>
          <w:rFonts w:ascii="Arial Narrow" w:hAnsi="Arial Narrow" w:cs="Tahoma"/>
          <w:color w:val="FF0000"/>
          <w:sz w:val="22"/>
          <w:szCs w:val="22"/>
          <w:lang w:val="sr-Latn-BA"/>
        </w:rPr>
      </w:pPr>
      <w:r>
        <w:rPr>
          <w:noProof/>
        </w:rPr>
        <w:pict>
          <v:shape id="_x0000_s1079" type="#_x0000_t202" style="position:absolute;left:0;text-align:left;margin-left:294.75pt;margin-top:218.7pt;width:66.7pt;height:23.25pt;z-index:25167564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" fillcolor="window" stroked="f">
            <v:textbox>
              <w:txbxContent>
                <w:p w:rsidR="00070E24" w:rsidRDefault="00070E24" w:rsidP="00070E2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 Narrow" w:eastAsia="+mn-ea" w:hAnsi="Arial Narrow" w:cs="+mn-cs"/>
                      <w:i/>
                      <w:iCs/>
                      <w:sz w:val="14"/>
                      <w:szCs w:val="14"/>
                    </w:rPr>
                    <w:t>Trend indices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" o:spid="_x0000_s1078" type="#_x0000_t202" style="position:absolute;left:0;text-align:left;margin-left:200.25pt;margin-top:215.35pt;width:66.7pt;height:27.95pt;z-index:2516736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" fillcolor="window" stroked="f">
            <v:textbox>
              <w:txbxContent>
                <w:p w:rsidR="00070E24" w:rsidRDefault="00070E24" w:rsidP="00070E2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 Narrow" w:eastAsia="+mn-ea" w:hAnsi="Arial Narrow" w:cs="+mn-cs"/>
                      <w:i/>
                      <w:iCs/>
                      <w:sz w:val="14"/>
                      <w:szCs w:val="14"/>
                    </w:rPr>
                    <w:t>Seasonally adjusted indices</w:t>
                  </w:r>
                </w:p>
              </w:txbxContent>
            </v:textbox>
          </v:shape>
        </w:pict>
      </w:r>
      <w:r w:rsidR="00C2075D" w:rsidRPr="00C2075D">
        <w:rPr>
          <w:rFonts w:ascii="Arial Narrow" w:hAnsi="Arial Narrow" w:cs="Tahoma"/>
          <w:noProof/>
          <w:color w:val="FF0000"/>
          <w:sz w:val="22"/>
          <w:szCs w:val="22"/>
        </w:rPr>
        <w:drawing>
          <wp:inline distT="0" distB="0" distL="0" distR="0">
            <wp:extent cx="6480810" cy="3053118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A90BF7" w:rsidRDefault="00070E24" w:rsidP="00B85D9D">
      <w:pPr>
        <w:jc w:val="center"/>
        <w:rPr>
          <w:rFonts w:ascii="Arial Narrow" w:hAnsi="Arial Narrow" w:cs="Tahoma"/>
          <w:sz w:val="22"/>
          <w:szCs w:val="22"/>
          <w:lang w:val="sr-Latn-CS"/>
        </w:rPr>
      </w:pPr>
      <w:r>
        <w:rPr>
          <w:rFonts w:ascii="Arial Narrow" w:hAnsi="Arial Narrow" w:cs="Tahoma"/>
          <w:sz w:val="22"/>
          <w:szCs w:val="22"/>
          <w:lang w:val="sr-Latn-CS"/>
        </w:rPr>
        <w:t>Graph</w:t>
      </w:r>
      <w:r w:rsidR="00B85D9D" w:rsidRPr="00A90BF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66022A" w:rsidRPr="00A90BF7">
        <w:rPr>
          <w:rFonts w:ascii="Arial Narrow" w:hAnsi="Arial Narrow" w:cs="Tahoma"/>
          <w:sz w:val="22"/>
          <w:szCs w:val="22"/>
          <w:lang w:val="sr-Latn-CS"/>
        </w:rPr>
        <w:t>2</w:t>
      </w:r>
      <w:r w:rsidR="00B85D9D" w:rsidRPr="00A90BF7">
        <w:rPr>
          <w:rFonts w:ascii="Arial Narrow" w:hAnsi="Arial Narrow" w:cs="Tahoma"/>
          <w:sz w:val="22"/>
          <w:szCs w:val="22"/>
          <w:lang w:val="sr-Latn-CS"/>
        </w:rPr>
        <w:t xml:space="preserve">. </w:t>
      </w:r>
      <w:r>
        <w:rPr>
          <w:rFonts w:ascii="Arial Narrow" w:hAnsi="Arial Narrow" w:cs="Tahoma"/>
          <w:sz w:val="22"/>
          <w:szCs w:val="22"/>
          <w:lang w:val="sr-Latn-CS"/>
        </w:rPr>
        <w:t>Indices of industrial production</w:t>
      </w:r>
      <w:r w:rsidR="00B85D9D" w:rsidRPr="00A90BF7"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r>
        <w:rPr>
          <w:rFonts w:ascii="Arial Narrow" w:hAnsi="Arial Narrow" w:cs="Tahoma"/>
          <w:sz w:val="22"/>
          <w:szCs w:val="22"/>
        </w:rPr>
        <w:t>May</w:t>
      </w:r>
      <w:r w:rsidR="00F06D21" w:rsidRPr="00A90BF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B85D9D" w:rsidRPr="00A90BF7">
        <w:rPr>
          <w:rFonts w:ascii="Arial Narrow" w:hAnsi="Arial Narrow" w:cs="Tahoma"/>
          <w:sz w:val="22"/>
          <w:szCs w:val="22"/>
          <w:lang w:val="sr-Latn-CS"/>
        </w:rPr>
        <w:t>20</w:t>
      </w:r>
      <w:r w:rsidR="00B85D9D" w:rsidRPr="00A90BF7">
        <w:rPr>
          <w:rFonts w:ascii="Arial Narrow" w:hAnsi="Arial Narrow" w:cs="Tahoma"/>
          <w:sz w:val="22"/>
          <w:szCs w:val="22"/>
          <w:lang w:val="sr-Latn-BA"/>
        </w:rPr>
        <w:t>1</w:t>
      </w:r>
      <w:r w:rsidR="00BE098B" w:rsidRPr="00A90BF7">
        <w:rPr>
          <w:rFonts w:ascii="Arial Narrow" w:hAnsi="Arial Narrow" w:cs="Tahoma"/>
          <w:sz w:val="22"/>
          <w:szCs w:val="22"/>
          <w:lang w:val="sr-Cyrl-CS"/>
        </w:rPr>
        <w:t>2</w:t>
      </w:r>
      <w:r w:rsidR="00B85D9D" w:rsidRPr="00A90BF7">
        <w:rPr>
          <w:rFonts w:ascii="Arial Narrow" w:hAnsi="Arial Narrow" w:cs="Tahoma"/>
          <w:sz w:val="22"/>
          <w:szCs w:val="22"/>
          <w:lang w:val="sr-Latn-CS"/>
        </w:rPr>
        <w:t xml:space="preserve"> – </w:t>
      </w:r>
      <w:r>
        <w:rPr>
          <w:rFonts w:ascii="Arial Narrow" w:hAnsi="Arial Narrow" w:cs="Tahoma"/>
          <w:sz w:val="22"/>
          <w:szCs w:val="22"/>
          <w:lang w:val="sr-Cyrl-CS"/>
        </w:rPr>
        <w:t>May</w:t>
      </w:r>
      <w:r w:rsidR="00B85D9D" w:rsidRPr="00A90BF7">
        <w:rPr>
          <w:rFonts w:ascii="Arial Narrow" w:hAnsi="Arial Narrow" w:cs="Tahoma"/>
          <w:sz w:val="22"/>
          <w:szCs w:val="22"/>
          <w:lang w:val="sr-Latn-CS"/>
        </w:rPr>
        <w:t xml:space="preserve"> 201</w:t>
      </w:r>
      <w:r w:rsidR="00BE098B"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 w:rsidR="00B85D9D" w:rsidRPr="00A90BF7">
        <w:rPr>
          <w:rFonts w:ascii="Arial Narrow" w:hAnsi="Arial Narrow" w:cs="Tahoma"/>
          <w:sz w:val="22"/>
          <w:szCs w:val="22"/>
          <w:lang w:val="sr-Latn-CS"/>
        </w:rPr>
        <w:t xml:space="preserve"> (</w:t>
      </w:r>
      <w:r w:rsidR="00B85D9D" w:rsidRPr="00A90BF7">
        <w:rPr>
          <w:rFonts w:ascii="Arial Narrow" w:hAnsi="Arial Narrow" w:cs="Tahoma"/>
          <w:sz w:val="22"/>
          <w:szCs w:val="22"/>
          <w:lang w:val="sr-Latn-CS"/>
        </w:rPr>
        <w:sym w:font="Symbol" w:char="F0C6"/>
      </w:r>
      <w:r w:rsidR="00B85D9D" w:rsidRPr="00A90BF7">
        <w:rPr>
          <w:rFonts w:ascii="Arial Narrow" w:hAnsi="Arial Narrow" w:cs="Tahoma"/>
          <w:sz w:val="22"/>
          <w:szCs w:val="22"/>
          <w:lang w:val="sr-Latn-CS"/>
        </w:rPr>
        <w:t>2010=100)</w:t>
      </w:r>
    </w:p>
    <w:p w:rsidR="000213F8" w:rsidRPr="00C2075D" w:rsidRDefault="000213F8" w:rsidP="009A0B74">
      <w:pPr>
        <w:jc w:val="both"/>
        <w:rPr>
          <w:rFonts w:ascii="Arial Narrow" w:hAnsi="Arial Narrow" w:cs="Tahoma"/>
          <w:color w:val="FF0000"/>
          <w:sz w:val="22"/>
          <w:szCs w:val="22"/>
          <w:lang w:val="sr-Latn-BA"/>
        </w:rPr>
      </w:pPr>
    </w:p>
    <w:p w:rsidR="00763D11" w:rsidRPr="00C2075D" w:rsidRDefault="00763D11" w:rsidP="009A0B74">
      <w:pPr>
        <w:jc w:val="both"/>
        <w:rPr>
          <w:rFonts w:ascii="Arial Narrow" w:hAnsi="Arial Narrow" w:cs="Tahoma"/>
          <w:color w:val="FF0000"/>
          <w:sz w:val="22"/>
          <w:szCs w:val="22"/>
          <w:lang w:val="sr-Latn-BA"/>
        </w:rPr>
      </w:pPr>
    </w:p>
    <w:p w:rsidR="006E4C93" w:rsidRPr="0072615B" w:rsidRDefault="006E4C93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A90BF7" w:rsidRDefault="00C07698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C07698">
        <w:rPr>
          <w:rFonts w:ascii="Arial Narrow" w:hAnsi="Arial Narrow" w:cs="Tahoma"/>
          <w:b/>
          <w:sz w:val="30"/>
          <w:szCs w:val="30"/>
        </w:rPr>
        <w:t>Coverage of import with export (in the period January-</w:t>
      </w:r>
      <w:r>
        <w:rPr>
          <w:rFonts w:ascii="Arial Narrow" w:hAnsi="Arial Narrow" w:cs="Tahoma"/>
          <w:b/>
          <w:sz w:val="30"/>
          <w:szCs w:val="30"/>
        </w:rPr>
        <w:t>May</w:t>
      </w:r>
      <w:r w:rsidRPr="00C07698">
        <w:rPr>
          <w:rFonts w:ascii="Arial Narrow" w:hAnsi="Arial Narrow" w:cs="Tahoma"/>
          <w:b/>
          <w:sz w:val="30"/>
          <w:szCs w:val="30"/>
          <w:lang w:val="ru-RU"/>
        </w:rPr>
        <w:t xml:space="preserve"> </w:t>
      </w:r>
      <w:r w:rsidR="00F442FA" w:rsidRPr="00A90BF7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A90BF7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F442FA" w:rsidRPr="00A90BF7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A90BF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A90BF7">
        <w:rPr>
          <w:rFonts w:ascii="Arial Narrow" w:hAnsi="Arial Narrow" w:cs="Tahoma"/>
          <w:b/>
          <w:sz w:val="30"/>
          <w:szCs w:val="30"/>
        </w:rPr>
        <w:t>6</w:t>
      </w:r>
      <w:r w:rsidR="0031402B" w:rsidRPr="00A90BF7">
        <w:rPr>
          <w:rFonts w:ascii="Arial Narrow" w:hAnsi="Arial Narrow" w:cs="Tahoma"/>
          <w:b/>
          <w:sz w:val="30"/>
          <w:szCs w:val="30"/>
        </w:rPr>
        <w:t>7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31402B" w:rsidRPr="00A90BF7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="00F442FA" w:rsidRPr="00A90BF7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A90BF7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C07698" w:rsidRDefault="00C07698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May 2016, the value of export was 234 million KM and the value of import was 313 million KM. </w:t>
      </w:r>
    </w:p>
    <w:p w:rsidR="00C07698" w:rsidRDefault="00C07698" w:rsidP="00F442FA">
      <w:pPr>
        <w:jc w:val="both"/>
        <w:rPr>
          <w:rFonts w:ascii="Arial Narrow" w:hAnsi="Arial Narrow" w:cs="Tahoma"/>
          <w:sz w:val="22"/>
        </w:rPr>
      </w:pPr>
    </w:p>
    <w:p w:rsidR="00C07698" w:rsidRPr="00C07698" w:rsidRDefault="00C07698" w:rsidP="00F442FA">
      <w:pPr>
        <w:jc w:val="both"/>
        <w:rPr>
          <w:rFonts w:ascii="Arial Narrow" w:hAnsi="Arial Narrow" w:cs="Tahoma"/>
          <w:sz w:val="22"/>
        </w:rPr>
      </w:pPr>
      <w:r w:rsidRPr="00C07698"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 w:rsidRPr="00C07698">
        <w:rPr>
          <w:rFonts w:ascii="Arial Narrow" w:hAnsi="Arial Narrow" w:cs="Tahoma"/>
          <w:sz w:val="22"/>
        </w:rPr>
        <w:t>Republika</w:t>
      </w:r>
      <w:proofErr w:type="spellEnd"/>
      <w:r w:rsidRPr="00C07698">
        <w:rPr>
          <w:rFonts w:ascii="Arial Narrow" w:hAnsi="Arial Narrow" w:cs="Tahoma"/>
          <w:sz w:val="22"/>
        </w:rPr>
        <w:t xml:space="preserve"> </w:t>
      </w:r>
      <w:proofErr w:type="spellStart"/>
      <w:r w:rsidRPr="00C07698">
        <w:rPr>
          <w:rFonts w:ascii="Arial Narrow" w:hAnsi="Arial Narrow" w:cs="Tahoma"/>
          <w:sz w:val="22"/>
        </w:rPr>
        <w:t>Srpska</w:t>
      </w:r>
      <w:proofErr w:type="spellEnd"/>
      <w:r w:rsidRPr="00C07698">
        <w:rPr>
          <w:rFonts w:ascii="Arial Narrow" w:hAnsi="Arial Narrow" w:cs="Tahoma"/>
          <w:sz w:val="22"/>
        </w:rPr>
        <w:t xml:space="preserve"> in </w:t>
      </w:r>
      <w:r>
        <w:rPr>
          <w:rFonts w:ascii="Arial Narrow" w:hAnsi="Arial Narrow" w:cs="Tahoma"/>
          <w:sz w:val="22"/>
        </w:rPr>
        <w:t>May</w:t>
      </w:r>
      <w:r w:rsidRPr="00C07698">
        <w:rPr>
          <w:rFonts w:ascii="Arial Narrow" w:hAnsi="Arial Narrow" w:cs="Tahoma"/>
          <w:sz w:val="22"/>
        </w:rPr>
        <w:t xml:space="preserve"> of the current year, the percentage of cover</w:t>
      </w:r>
      <w:r>
        <w:rPr>
          <w:rFonts w:ascii="Arial Narrow" w:hAnsi="Arial Narrow" w:cs="Tahoma"/>
          <w:sz w:val="22"/>
        </w:rPr>
        <w:t>age of import with export was 74.7</w:t>
      </w:r>
      <w:r w:rsidRPr="00C07698">
        <w:rPr>
          <w:rFonts w:ascii="Arial Narrow" w:hAnsi="Arial Narrow" w:cs="Tahoma"/>
          <w:sz w:val="22"/>
        </w:rPr>
        <w:t xml:space="preserve">%. The percentage of coverage of import with export in the first </w:t>
      </w:r>
      <w:r>
        <w:rPr>
          <w:rFonts w:ascii="Arial Narrow" w:hAnsi="Arial Narrow" w:cs="Tahoma"/>
          <w:sz w:val="22"/>
        </w:rPr>
        <w:t>five</w:t>
      </w:r>
      <w:r w:rsidRPr="00C07698">
        <w:rPr>
          <w:rFonts w:ascii="Arial Narrow" w:hAnsi="Arial Narrow" w:cs="Tahoma"/>
          <w:sz w:val="22"/>
        </w:rPr>
        <w:t xml:space="preserve"> m</w:t>
      </w:r>
      <w:r>
        <w:rPr>
          <w:rFonts w:ascii="Arial Narrow" w:hAnsi="Arial Narrow" w:cs="Tahoma"/>
          <w:sz w:val="22"/>
        </w:rPr>
        <w:t>onths of the current year was 67.5</w:t>
      </w:r>
      <w:r w:rsidRPr="00C07698">
        <w:rPr>
          <w:rFonts w:ascii="Arial Narrow" w:hAnsi="Arial Narrow" w:cs="Tahoma"/>
          <w:sz w:val="22"/>
        </w:rPr>
        <w:t>%</w:t>
      </w:r>
    </w:p>
    <w:p w:rsidR="003A0849" w:rsidRPr="00A90BF7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4D40C2" w:rsidRPr="004D40C2" w:rsidRDefault="004D40C2" w:rsidP="004D40C2">
      <w:pPr>
        <w:jc w:val="both"/>
        <w:rPr>
          <w:rFonts w:ascii="Arial Narrow" w:hAnsi="Arial Narrow" w:cs="Tahoma"/>
          <w:sz w:val="22"/>
        </w:rPr>
      </w:pPr>
      <w:r w:rsidRPr="004D40C2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May</w:t>
      </w:r>
      <w:r w:rsidRPr="004D40C2">
        <w:rPr>
          <w:rFonts w:ascii="Arial Narrow" w:hAnsi="Arial Narrow" w:cs="Tahoma"/>
          <w:sz w:val="22"/>
        </w:rPr>
        <w:t xml:space="preserve"> 2016, the value of export was </w:t>
      </w:r>
      <w:r>
        <w:rPr>
          <w:rFonts w:ascii="Arial Narrow" w:hAnsi="Arial Narrow" w:cs="Tahoma"/>
          <w:sz w:val="22"/>
        </w:rPr>
        <w:t>1 billion and 97</w:t>
      </w:r>
      <w:r w:rsidRPr="004D40C2">
        <w:rPr>
          <w:rFonts w:ascii="Arial Narrow" w:hAnsi="Arial Narrow" w:cs="Tahoma"/>
          <w:sz w:val="22"/>
        </w:rPr>
        <w:t xml:space="preserve"> million KM, wh</w:t>
      </w:r>
      <w:r>
        <w:rPr>
          <w:rFonts w:ascii="Arial Narrow" w:hAnsi="Arial Narrow" w:cs="Tahoma"/>
          <w:sz w:val="22"/>
        </w:rPr>
        <w:t>ich represented an increase by 9.4</w:t>
      </w:r>
      <w:r w:rsidRPr="004D40C2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</w:t>
      </w:r>
      <w:r>
        <w:rPr>
          <w:rFonts w:ascii="Arial Narrow" w:hAnsi="Arial Narrow" w:cs="Tahoma"/>
          <w:sz w:val="22"/>
        </w:rPr>
        <w:t>1 billion and 626</w:t>
      </w:r>
      <w:r w:rsidRPr="004D40C2">
        <w:rPr>
          <w:rFonts w:ascii="Arial Narrow" w:hAnsi="Arial Narrow" w:cs="Tahoma"/>
          <w:sz w:val="22"/>
        </w:rPr>
        <w:t xml:space="preserve"> million KM, wh</w:t>
      </w:r>
      <w:r>
        <w:rPr>
          <w:rFonts w:ascii="Arial Narrow" w:hAnsi="Arial Narrow" w:cs="Tahoma"/>
          <w:sz w:val="22"/>
        </w:rPr>
        <w:t>ich represented a decrease by 5.6</w:t>
      </w:r>
      <w:r w:rsidRPr="004D40C2">
        <w:rPr>
          <w:rFonts w:ascii="Arial Narrow" w:hAnsi="Arial Narrow" w:cs="Tahoma"/>
          <w:sz w:val="22"/>
        </w:rPr>
        <w:t>% compared to the same period of the previous year.</w:t>
      </w:r>
    </w:p>
    <w:p w:rsidR="00384927" w:rsidRPr="00A90BF7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4D40C2" w:rsidRPr="004D40C2" w:rsidRDefault="004D40C2" w:rsidP="004D40C2">
      <w:pPr>
        <w:jc w:val="both"/>
        <w:rPr>
          <w:rFonts w:ascii="Arial Narrow" w:hAnsi="Arial Narrow" w:cs="Tahoma"/>
          <w:sz w:val="22"/>
        </w:rPr>
      </w:pPr>
      <w:r w:rsidRPr="004D40C2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4D40C2">
        <w:rPr>
          <w:rFonts w:ascii="Arial Narrow" w:hAnsi="Arial Narrow" w:cs="Tahoma"/>
          <w:sz w:val="22"/>
        </w:rPr>
        <w:t>Republika</w:t>
      </w:r>
      <w:proofErr w:type="spellEnd"/>
      <w:r w:rsidRPr="004D40C2">
        <w:rPr>
          <w:rFonts w:ascii="Arial Narrow" w:hAnsi="Arial Narrow" w:cs="Tahoma"/>
          <w:sz w:val="22"/>
        </w:rPr>
        <w:t xml:space="preserve"> </w:t>
      </w:r>
      <w:proofErr w:type="spellStart"/>
      <w:r w:rsidRPr="004D40C2">
        <w:rPr>
          <w:rFonts w:ascii="Arial Narrow" w:hAnsi="Arial Narrow" w:cs="Tahoma"/>
          <w:sz w:val="22"/>
        </w:rPr>
        <w:t>Srpska</w:t>
      </w:r>
      <w:proofErr w:type="spellEnd"/>
      <w:r w:rsidRPr="004D40C2">
        <w:rPr>
          <w:rFonts w:ascii="Arial Narrow" w:hAnsi="Arial Narrow" w:cs="Tahoma"/>
          <w:sz w:val="22"/>
        </w:rPr>
        <w:t xml:space="preserve">, in the period January – March 2016, the highest value of export was that of export to Italy, with 125 million KM or 19.7%, followed by Germany, with 80 million KM or 12.7% of the total </w:t>
      </w:r>
      <w:proofErr w:type="spellStart"/>
      <w:r w:rsidRPr="004D40C2">
        <w:rPr>
          <w:rFonts w:ascii="Arial Narrow" w:hAnsi="Arial Narrow" w:cs="Tahoma"/>
          <w:sz w:val="22"/>
        </w:rPr>
        <w:t>realised</w:t>
      </w:r>
      <w:proofErr w:type="spellEnd"/>
      <w:r w:rsidRPr="004D40C2">
        <w:rPr>
          <w:rFonts w:ascii="Arial Narrow" w:hAnsi="Arial Narrow" w:cs="Tahoma"/>
          <w:sz w:val="22"/>
        </w:rPr>
        <w:t xml:space="preserve"> export. During the same period, the highest value of import was that of import from Serbia, with 172 million KM or 19.0%, followed by Italy, with 119 million KM or 13.2% of the total </w:t>
      </w:r>
      <w:proofErr w:type="spellStart"/>
      <w:r w:rsidRPr="004D40C2">
        <w:rPr>
          <w:rFonts w:ascii="Arial Narrow" w:hAnsi="Arial Narrow" w:cs="Tahoma"/>
          <w:sz w:val="22"/>
        </w:rPr>
        <w:t>realised</w:t>
      </w:r>
      <w:proofErr w:type="spellEnd"/>
      <w:r w:rsidRPr="004D40C2">
        <w:rPr>
          <w:rFonts w:ascii="Arial Narrow" w:hAnsi="Arial Narrow" w:cs="Tahoma"/>
          <w:sz w:val="22"/>
        </w:rPr>
        <w:t xml:space="preserve"> import.</w:t>
      </w:r>
    </w:p>
    <w:p w:rsidR="004D40C2" w:rsidRPr="004D40C2" w:rsidRDefault="004D40C2" w:rsidP="004D40C2">
      <w:pPr>
        <w:jc w:val="both"/>
        <w:rPr>
          <w:rFonts w:ascii="Arial Narrow" w:hAnsi="Arial Narrow" w:cs="Tahoma"/>
          <w:sz w:val="22"/>
        </w:rPr>
      </w:pPr>
    </w:p>
    <w:p w:rsidR="004D40C2" w:rsidRPr="004D40C2" w:rsidRDefault="004D40C2" w:rsidP="004D40C2">
      <w:pPr>
        <w:jc w:val="both"/>
        <w:rPr>
          <w:rFonts w:ascii="Arial Narrow" w:hAnsi="Arial Narrow" w:cs="Tahoma"/>
          <w:sz w:val="22"/>
        </w:rPr>
      </w:pPr>
      <w:r w:rsidRPr="004D40C2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4D40C2">
        <w:rPr>
          <w:rFonts w:ascii="Arial Narrow" w:hAnsi="Arial Narrow" w:cs="Tahoma"/>
          <w:sz w:val="22"/>
        </w:rPr>
        <w:t>Republika</w:t>
      </w:r>
      <w:proofErr w:type="spellEnd"/>
      <w:r w:rsidRPr="004D40C2">
        <w:rPr>
          <w:rFonts w:ascii="Arial Narrow" w:hAnsi="Arial Narrow" w:cs="Tahoma"/>
          <w:sz w:val="22"/>
        </w:rPr>
        <w:t xml:space="preserve"> </w:t>
      </w:r>
      <w:proofErr w:type="spellStart"/>
      <w:r w:rsidRPr="004D40C2">
        <w:rPr>
          <w:rFonts w:ascii="Arial Narrow" w:hAnsi="Arial Narrow" w:cs="Tahoma"/>
          <w:sz w:val="22"/>
        </w:rPr>
        <w:t>Srpska</w:t>
      </w:r>
      <w:proofErr w:type="spellEnd"/>
      <w:r w:rsidRPr="004D40C2">
        <w:rPr>
          <w:rFonts w:ascii="Arial Narrow" w:hAnsi="Arial Narrow" w:cs="Tahoma"/>
          <w:sz w:val="22"/>
        </w:rPr>
        <w:t xml:space="preserve">, in the period January – </w:t>
      </w:r>
      <w:r>
        <w:rPr>
          <w:rFonts w:ascii="Arial Narrow" w:hAnsi="Arial Narrow" w:cs="Tahoma"/>
          <w:sz w:val="22"/>
        </w:rPr>
        <w:t>May</w:t>
      </w:r>
      <w:r w:rsidRPr="004D40C2">
        <w:rPr>
          <w:rFonts w:ascii="Arial Narrow" w:hAnsi="Arial Narrow" w:cs="Tahoma"/>
          <w:sz w:val="22"/>
        </w:rPr>
        <w:t xml:space="preserve"> 2016, the highest value of export was that of export to Italy, with </w:t>
      </w:r>
      <w:r>
        <w:rPr>
          <w:rFonts w:ascii="Arial Narrow" w:hAnsi="Arial Narrow" w:cs="Tahoma"/>
          <w:sz w:val="22"/>
        </w:rPr>
        <w:t>210 million KM or 19.1</w:t>
      </w:r>
      <w:r w:rsidRPr="004D40C2">
        <w:rPr>
          <w:rFonts w:ascii="Arial Narrow" w:hAnsi="Arial Narrow" w:cs="Tahoma"/>
          <w:sz w:val="22"/>
        </w:rPr>
        <w:t xml:space="preserve">%, followed by Germany, with </w:t>
      </w:r>
      <w:r>
        <w:rPr>
          <w:rFonts w:ascii="Arial Narrow" w:hAnsi="Arial Narrow" w:cs="Tahoma"/>
          <w:sz w:val="22"/>
        </w:rPr>
        <w:t>136</w:t>
      </w:r>
      <w:r w:rsidRPr="004D40C2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million KM or 12.4</w:t>
      </w:r>
      <w:r w:rsidRPr="004D40C2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4D40C2">
        <w:rPr>
          <w:rFonts w:ascii="Arial Narrow" w:hAnsi="Arial Narrow" w:cs="Tahoma"/>
          <w:sz w:val="22"/>
        </w:rPr>
        <w:t>realised</w:t>
      </w:r>
      <w:proofErr w:type="spellEnd"/>
      <w:r w:rsidRPr="004D40C2">
        <w:rPr>
          <w:rFonts w:ascii="Arial Narrow" w:hAnsi="Arial Narrow" w:cs="Tahoma"/>
          <w:sz w:val="22"/>
        </w:rPr>
        <w:t xml:space="preserve"> export. During the same period, the highest value of import was that of import from Serbia, with </w:t>
      </w:r>
      <w:r>
        <w:rPr>
          <w:rFonts w:ascii="Arial Narrow" w:hAnsi="Arial Narrow" w:cs="Tahoma"/>
          <w:sz w:val="22"/>
        </w:rPr>
        <w:t>303</w:t>
      </w:r>
      <w:r w:rsidRPr="004D40C2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18.7</w:t>
      </w:r>
      <w:r w:rsidRPr="004D40C2">
        <w:rPr>
          <w:rFonts w:ascii="Arial Narrow" w:hAnsi="Arial Narrow" w:cs="Tahoma"/>
          <w:sz w:val="22"/>
        </w:rPr>
        <w:t xml:space="preserve">%, followed by Italy, with </w:t>
      </w:r>
      <w:r>
        <w:rPr>
          <w:rFonts w:ascii="Arial Narrow" w:hAnsi="Arial Narrow" w:cs="Tahoma"/>
          <w:sz w:val="22"/>
        </w:rPr>
        <w:t>219</w:t>
      </w:r>
      <w:r w:rsidRPr="004D40C2">
        <w:rPr>
          <w:rFonts w:ascii="Arial Narrow" w:hAnsi="Arial Narrow" w:cs="Tahoma"/>
          <w:sz w:val="22"/>
        </w:rPr>
        <w:t xml:space="preserve"> million </w:t>
      </w:r>
      <w:r>
        <w:rPr>
          <w:rFonts w:ascii="Arial Narrow" w:hAnsi="Arial Narrow" w:cs="Tahoma"/>
          <w:sz w:val="22"/>
        </w:rPr>
        <w:t>KM or 13.5</w:t>
      </w:r>
      <w:r w:rsidRPr="004D40C2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4D40C2">
        <w:rPr>
          <w:rFonts w:ascii="Arial Narrow" w:hAnsi="Arial Narrow" w:cs="Tahoma"/>
          <w:sz w:val="22"/>
        </w:rPr>
        <w:t>realised</w:t>
      </w:r>
      <w:proofErr w:type="spellEnd"/>
      <w:r w:rsidRPr="004D40C2">
        <w:rPr>
          <w:rFonts w:ascii="Arial Narrow" w:hAnsi="Arial Narrow" w:cs="Tahoma"/>
          <w:sz w:val="22"/>
        </w:rPr>
        <w:t xml:space="preserve"> import.</w:t>
      </w:r>
    </w:p>
    <w:p w:rsidR="004D40C2" w:rsidRPr="004D40C2" w:rsidRDefault="004D40C2" w:rsidP="004D40C2">
      <w:pPr>
        <w:jc w:val="both"/>
        <w:rPr>
          <w:rFonts w:ascii="Arial Narrow" w:hAnsi="Arial Narrow" w:cs="Tahoma"/>
          <w:sz w:val="22"/>
        </w:rPr>
      </w:pPr>
    </w:p>
    <w:p w:rsidR="004D40C2" w:rsidRPr="004D40C2" w:rsidRDefault="004D40C2" w:rsidP="004D40C2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4D40C2">
        <w:rPr>
          <w:rFonts w:ascii="Arial Narrow" w:hAnsi="Arial Narrow" w:cs="Tahoma"/>
          <w:sz w:val="22"/>
        </w:rPr>
        <w:t xml:space="preserve">By group of products, in the period January – </w:t>
      </w:r>
      <w:r>
        <w:rPr>
          <w:rFonts w:ascii="Arial Narrow" w:hAnsi="Arial Narrow" w:cs="Tahoma"/>
          <w:sz w:val="22"/>
        </w:rPr>
        <w:t>May</w:t>
      </w:r>
      <w:r w:rsidRPr="004D40C2">
        <w:rPr>
          <w:rFonts w:ascii="Arial Narrow" w:hAnsi="Arial Narrow" w:cs="Tahoma"/>
          <w:sz w:val="22"/>
        </w:rPr>
        <w:t xml:space="preserve"> 2016, the highest share in export was that of </w:t>
      </w:r>
      <w:r>
        <w:rPr>
          <w:rFonts w:ascii="Arial Narrow" w:hAnsi="Arial Narrow" w:cs="Tahoma"/>
          <w:sz w:val="22"/>
        </w:rPr>
        <w:t>processed wood, with the total value of 67 million KM, which was 6.1</w:t>
      </w:r>
      <w:r w:rsidRPr="004D40C2">
        <w:rPr>
          <w:rFonts w:ascii="Arial Narrow" w:hAnsi="Arial Narrow" w:cs="Tahoma"/>
          <w:sz w:val="22"/>
        </w:rPr>
        <w:t xml:space="preserve">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sz w:val="22"/>
        </w:rPr>
        <w:t>137 million KM, which was 8.4</w:t>
      </w:r>
      <w:r w:rsidRPr="004D40C2">
        <w:rPr>
          <w:rFonts w:ascii="Arial Narrow" w:hAnsi="Arial Narrow" w:cs="Tahoma"/>
          <w:sz w:val="22"/>
        </w:rPr>
        <w:t>% of the total import.</w:t>
      </w:r>
    </w:p>
    <w:p w:rsidR="00F442FA" w:rsidRPr="00A90BF7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115CDB" w:rsidRPr="0072615B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72615B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72615B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72615B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72615B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72615B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72615B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72615B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72615B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C32A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8" type="#_x0000_t202" style="position:absolute;left:0;text-align:left;margin-left:89.5pt;margin-top:5.55pt;width:64.2pt;height:19.75pt;z-index:251664384;mso-width-relative:margin;mso-height-relative:margin" filled="f" stroked="f">
            <v:textbox style="mso-next-textbox:#_x0000_s1068">
              <w:txbxContent>
                <w:p w:rsidR="00A90BF7" w:rsidRPr="000A1309" w:rsidRDefault="00AB65A6" w:rsidP="00750905">
                  <w:pPr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proofErr w:type="spellEnd"/>
                  <w:proofErr w:type="gramEnd"/>
                  <w:r w:rsidR="00A90BF7"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BA70D8" w:rsidRPr="0072615B" w:rsidRDefault="00C32A14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iCs/>
          <w:noProof/>
          <w:sz w:val="18"/>
          <w:szCs w:val="18"/>
        </w:rPr>
        <w:pict>
          <v:shape id="_x0000_s1076" type="#_x0000_t202" style="position:absolute;left:0;text-align:left;margin-left:414.55pt;margin-top:32.15pt;width:48pt;height:21.25pt;z-index:25167155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" fillcolor="window" stroked="f">
            <v:textbox>
              <w:txbxContent>
                <w:p w:rsidR="007E5F41" w:rsidRDefault="007E5F41" w:rsidP="007E5F41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export</w:t>
                  </w:r>
                  <w:proofErr w:type="gramEnd"/>
                </w:p>
              </w:txbxContent>
            </v:textbox>
          </v:shape>
        </w:pict>
      </w:r>
      <w:r>
        <w:rPr>
          <w:rFonts w:ascii="Tahoma" w:hAnsi="Tahoma" w:cs="Tahoma"/>
          <w:iCs/>
          <w:noProof/>
          <w:sz w:val="18"/>
          <w:szCs w:val="18"/>
        </w:rPr>
        <w:pict>
          <v:shape id="TextBox 1" o:spid="_x0000_s1075" type="#_x0000_t202" style="position:absolute;left:0;text-align:left;margin-left:415.65pt;margin-top:13.35pt;width:42.05pt;height:19.55pt;z-index:25167052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" fillcolor="window" stroked="f">
            <v:path arrowok="t"/>
            <v:textbox style="mso-next-textbox:#TextBox 1">
              <w:txbxContent>
                <w:p w:rsidR="00AB65A6" w:rsidRDefault="00AB65A6" w:rsidP="00AB65A6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import</w:t>
                  </w:r>
                  <w:proofErr w:type="gramEnd"/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5.35pt;margin-top:212.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A90BF7" w:rsidRPr="000A1309" w:rsidRDefault="00A90BF7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59.7pt;margin-top:212.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A90BF7" w:rsidRPr="000A1309" w:rsidRDefault="00A90BF7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31402B">
        <w:rPr>
          <w:noProof/>
        </w:rPr>
        <w:drawing>
          <wp:inline distT="0" distB="0" distL="0" distR="0">
            <wp:extent cx="5278582" cy="2820389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0849" w:rsidRPr="0072615B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101E3A" w:rsidRPr="0072615B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72615B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AB65A6" w:rsidRDefault="00AB65A6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Graph</w:t>
      </w:r>
      <w:r w:rsidR="00777348" w:rsidRPr="0045291E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66022A" w:rsidRPr="0045291E">
        <w:rPr>
          <w:rFonts w:ascii="Arial Narrow" w:hAnsi="Arial Narrow" w:cs="Tahoma"/>
          <w:sz w:val="22"/>
          <w:szCs w:val="22"/>
          <w:lang w:val="sr-Latn-BA"/>
        </w:rPr>
        <w:t>3</w:t>
      </w:r>
      <w:r w:rsidR="00777348" w:rsidRPr="0045291E">
        <w:rPr>
          <w:rFonts w:ascii="Arial Narrow" w:hAnsi="Arial Narrow" w:cs="Tahoma"/>
          <w:sz w:val="22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22"/>
          <w:szCs w:val="22"/>
        </w:rPr>
        <w:t>Export and import by month</w:t>
      </w:r>
    </w:p>
    <w:p w:rsidR="002E1D1D" w:rsidRPr="0072615B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72615B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261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C32A14">
      <w:pPr>
        <w:tabs>
          <w:tab w:val="left" w:pos="2535"/>
        </w:tabs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612FE" w:rsidRPr="004C3AAF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252DE1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52DE1" w:rsidRDefault="0072048D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252DE1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6022A" w:rsidRPr="00252DE1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2048D" w:rsidRPr="00CD455D" w:rsidRDefault="0072048D" w:rsidP="0072048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72048D" w:rsidRPr="00CD455D" w:rsidRDefault="0072048D" w:rsidP="0072048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CD455D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CD455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CD455D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  <w:r w:rsidRPr="00CD455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252DE1" w:rsidRDefault="00C32A14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52DE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252DE1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66022A" w:rsidRPr="00252DE1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2048D" w:rsidRPr="00B84D4D" w:rsidRDefault="0072048D" w:rsidP="0072048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84D4D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72048D" w:rsidRDefault="0072048D" w:rsidP="0072048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B84D4D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B84D4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B84D4D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  <w:r w:rsidRPr="00B84D4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252DE1" w:rsidRDefault="00C32A14" w:rsidP="0072048D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72048D" w:rsidRPr="00A719B6">
                <w:rPr>
                  <w:rStyle w:val="Hyperlink"/>
                  <w:rFonts w:ascii="Arial Narrow" w:hAnsi="Arial Narrow" w:cs="Tahoma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9504BB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2048D" w:rsidRPr="007E517E" w:rsidRDefault="0072048D" w:rsidP="0072048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72048D" w:rsidRDefault="0072048D" w:rsidP="0072048D">
            <w:pPr>
              <w:jc w:val="both"/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Mirjana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Bandur</w:t>
            </w:r>
            <w:proofErr w:type="spellEnd"/>
            <w:r>
              <w:t xml:space="preserve"> </w:t>
            </w:r>
          </w:p>
          <w:p w:rsidR="0066022A" w:rsidRPr="00252DE1" w:rsidRDefault="00C32A14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252DE1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2048D" w:rsidRPr="00700714" w:rsidRDefault="0072048D" w:rsidP="0072048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72048D" w:rsidRPr="00252DE1" w:rsidRDefault="0072048D" w:rsidP="0072048D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66022A" w:rsidRPr="00252DE1" w:rsidRDefault="00C32A14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CA19B5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72048D" w:rsidRDefault="0072048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CA19B5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72048D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72048D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C32A1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72048D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72048D">
              <w:rPr>
                <w:rFonts w:ascii="Arial Narrow" w:hAnsi="Arial Narrow" w:cs="Tahoma"/>
                <w:sz w:val="18"/>
                <w:lang w:val="sr-Cyrl-CS"/>
              </w:rPr>
              <w:t>The Release prepared by the Publications Division</w:t>
            </w:r>
          </w:p>
        </w:tc>
      </w:tr>
      <w:tr w:rsidR="004C20B5" w:rsidRPr="009504BB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72048D" w:rsidRPr="0072048D" w:rsidRDefault="0072048D" w:rsidP="007204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72048D">
              <w:rPr>
                <w:rFonts w:ascii="Arial Narrow" w:hAnsi="Arial Narrow" w:cs="Tahoma"/>
                <w:sz w:val="18"/>
                <w:szCs w:val="18"/>
                <w:lang w:val="ru-RU"/>
              </w:rPr>
              <w:t>Vladan Sibinović, Head of the Division</w:t>
            </w:r>
          </w:p>
          <w:p w:rsidR="0072048D" w:rsidRPr="0072048D" w:rsidRDefault="0072048D" w:rsidP="007204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72048D">
              <w:rPr>
                <w:rFonts w:ascii="Arial Narrow" w:hAnsi="Arial Narrow" w:cs="Tahoma"/>
                <w:sz w:val="18"/>
                <w:szCs w:val="18"/>
                <w:lang w:val="ru-RU"/>
              </w:rPr>
              <w:t>Published by the Republika Srpska Institute of Statistics,</w:t>
            </w:r>
          </w:p>
          <w:p w:rsidR="0072048D" w:rsidRPr="0072048D" w:rsidRDefault="0072048D" w:rsidP="007204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72048D">
              <w:rPr>
                <w:rFonts w:ascii="Arial Narrow" w:hAnsi="Arial Narrow" w:cs="Tahoma"/>
                <w:sz w:val="18"/>
                <w:szCs w:val="18"/>
                <w:lang w:val="ru-RU"/>
              </w:rPr>
              <w:t>Republika Srpska, Banja Luka, Veljka Mlađenovića 12d</w:t>
            </w:r>
          </w:p>
          <w:p w:rsidR="0072048D" w:rsidRPr="0072048D" w:rsidRDefault="0072048D" w:rsidP="007204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72048D">
              <w:rPr>
                <w:rFonts w:ascii="Arial Narrow" w:hAnsi="Arial Narrow" w:cs="Tahoma"/>
                <w:sz w:val="18"/>
                <w:szCs w:val="18"/>
                <w:lang w:val="ru-RU"/>
              </w:rPr>
              <w:t>Radmila Čičković, PhD, Director General of the Institute</w:t>
            </w:r>
          </w:p>
          <w:p w:rsidR="0072048D" w:rsidRPr="0072048D" w:rsidRDefault="0072048D" w:rsidP="007204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72048D">
              <w:rPr>
                <w:rFonts w:ascii="Arial Narrow" w:hAnsi="Arial Narrow" w:cs="Tahoma"/>
                <w:sz w:val="18"/>
                <w:szCs w:val="18"/>
                <w:lang w:val="ru-RU"/>
              </w:rPr>
              <w:t>The Release is published online at: www.rzs.rs.ba</w:t>
            </w:r>
          </w:p>
          <w:p w:rsidR="009E2A9A" w:rsidRPr="00CA19B5" w:rsidRDefault="0072048D" w:rsidP="007204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72048D">
              <w:rPr>
                <w:rFonts w:ascii="Arial Narrow" w:hAnsi="Arial Narrow" w:cs="Tahoma"/>
                <w:sz w:val="18"/>
                <w:szCs w:val="18"/>
                <w:lang w:val="ru-RU"/>
              </w:rPr>
              <w:t>telephone +387 51 332 700; e-mail: stat@rzs.rs.ba</w:t>
            </w:r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72048D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72048D">
              <w:rPr>
                <w:rFonts w:ascii="Arial Narrow" w:hAnsi="Arial Narrow" w:cs="Tahoma"/>
                <w:b/>
                <w:bCs/>
                <w:sz w:val="18"/>
                <w:lang w:val="ru-RU"/>
              </w:rPr>
              <w:t>Data may be used provided the source is acknowledged</w:t>
            </w:r>
          </w:p>
        </w:tc>
      </w:tr>
    </w:tbl>
    <w:p w:rsidR="009E2A9A" w:rsidRPr="00CA19B5" w:rsidRDefault="00C32A14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F7" w:rsidRDefault="00A90BF7">
      <w:r>
        <w:separator/>
      </w:r>
    </w:p>
  </w:endnote>
  <w:endnote w:type="continuationSeparator" w:id="0">
    <w:p w:rsidR="00A90BF7" w:rsidRDefault="00A9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F7" w:rsidRDefault="00C32A14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A90BF7" w:rsidRPr="00175687" w:rsidRDefault="00A90BF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32A14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F7" w:rsidRDefault="00C32A14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A90BF7" w:rsidRPr="00175687" w:rsidRDefault="00A90BF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32A14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F7" w:rsidRDefault="00A90BF7">
      <w:r>
        <w:separator/>
      </w:r>
    </w:p>
  </w:footnote>
  <w:footnote w:type="continuationSeparator" w:id="0">
    <w:p w:rsidR="00A90BF7" w:rsidRDefault="00A9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A90BF7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A90BF7" w:rsidRPr="009912BC" w:rsidRDefault="009912BC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A90BF7" w:rsidRPr="009912BC" w:rsidRDefault="009912BC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A90BF7" w:rsidRPr="005D5311" w:rsidRDefault="00A90BF7" w:rsidP="0022461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2</w:t>
          </w:r>
          <w:r w:rsidR="009912BC"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 xml:space="preserve"> </w:t>
          </w:r>
          <w:r w:rsidR="009912BC"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June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="009912BC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, No.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60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A90BF7" w:rsidRDefault="00C32A14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C8F"/>
    <w:rsid w:val="00070140"/>
    <w:rsid w:val="00070149"/>
    <w:rsid w:val="00070E24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5FD5"/>
    <w:rsid w:val="0010606C"/>
    <w:rsid w:val="001062A1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10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3B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AC9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614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1D9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776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112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91E"/>
    <w:rsid w:val="00453016"/>
    <w:rsid w:val="004532C0"/>
    <w:rsid w:val="0045350E"/>
    <w:rsid w:val="00453C0D"/>
    <w:rsid w:val="00454068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6FC8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0C2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0DB5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0F89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48D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905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F41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C10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2BC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5EA"/>
    <w:rsid w:val="00A90A0C"/>
    <w:rsid w:val="00A90BF7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65A6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D2B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698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EFD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A14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2CC0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33E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77D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18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126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9A0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1BF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58C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BAF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271AFEA4-894F-4CB8-9956-D41FFF22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AB65A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832</c:v>
                </c:pt>
                <c:pt idx="1">
                  <c:v>843</c:v>
                </c:pt>
                <c:pt idx="2">
                  <c:v>834</c:v>
                </c:pt>
                <c:pt idx="3">
                  <c:v>834</c:v>
                </c:pt>
                <c:pt idx="4">
                  <c:v>834</c:v>
                </c:pt>
                <c:pt idx="5">
                  <c:v>824</c:v>
                </c:pt>
                <c:pt idx="6">
                  <c:v>824</c:v>
                </c:pt>
                <c:pt idx="7">
                  <c:v>834</c:v>
                </c:pt>
                <c:pt idx="8">
                  <c:v>816</c:v>
                </c:pt>
                <c:pt idx="9">
                  <c:v>838</c:v>
                </c:pt>
                <c:pt idx="10">
                  <c:v>837</c:v>
                </c:pt>
                <c:pt idx="11">
                  <c:v>832</c:v>
                </c:pt>
                <c:pt idx="12">
                  <c:v>841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786976"/>
        <c:axId val="139787360"/>
      </c:lineChart>
      <c:catAx>
        <c:axId val="139786976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139787360"/>
        <c:crosses val="autoZero"/>
        <c:auto val="1"/>
        <c:lblAlgn val="ctr"/>
        <c:lblOffset val="100"/>
        <c:noMultiLvlLbl val="0"/>
      </c:catAx>
      <c:valAx>
        <c:axId val="139787360"/>
        <c:scaling>
          <c:orientation val="minMax"/>
          <c:max val="900"/>
          <c:min val="60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139786976"/>
        <c:crosses val="autoZero"/>
        <c:crossBetween val="between"/>
      </c:valAx>
      <c:spPr>
        <a:ln w="6350"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[1]Sheet1!$C$1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[1]Sheet1!$A$2:$B$50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2012</c:v>
                  </c:pt>
                  <c:pt idx="8">
                    <c:v>2013</c:v>
                  </c:pt>
                  <c:pt idx="20">
                    <c:v>2014</c:v>
                  </c:pt>
                  <c:pt idx="32">
                    <c:v>2015</c:v>
                  </c:pt>
                  <c:pt idx="44">
                    <c:v>2016</c:v>
                  </c:pt>
                </c:lvl>
              </c:multiLvlStrCache>
            </c:multiLvlStrRef>
          </c:cat>
          <c:val>
            <c:numRef>
              <c:f>[1]Sheet1!$C$2:$C$50</c:f>
              <c:numCache>
                <c:formatCode>General</c:formatCode>
                <c:ptCount val="49"/>
                <c:pt idx="0">
                  <c:v>99.293935009529719</c:v>
                </c:pt>
                <c:pt idx="1">
                  <c:v>99.622721799441237</c:v>
                </c:pt>
                <c:pt idx="2">
                  <c:v>93.542477078722698</c:v>
                </c:pt>
                <c:pt idx="3">
                  <c:v>99.66274594877703</c:v>
                </c:pt>
                <c:pt idx="4">
                  <c:v>106.27038820845478</c:v>
                </c:pt>
                <c:pt idx="5">
                  <c:v>100.5751082313857</c:v>
                </c:pt>
                <c:pt idx="6">
                  <c:v>99.246464121544747</c:v>
                </c:pt>
                <c:pt idx="7">
                  <c:v>102.49817944787767</c:v>
                </c:pt>
                <c:pt idx="8">
                  <c:v>102.09490433709286</c:v>
                </c:pt>
                <c:pt idx="9">
                  <c:v>100.3262725829278</c:v>
                </c:pt>
                <c:pt idx="10">
                  <c:v>99.810613122487979</c:v>
                </c:pt>
                <c:pt idx="11">
                  <c:v>109.50059150570431</c:v>
                </c:pt>
                <c:pt idx="12">
                  <c:v>102.70242407422546</c:v>
                </c:pt>
                <c:pt idx="13">
                  <c:v>105.0009516987005</c:v>
                </c:pt>
                <c:pt idx="14">
                  <c:v>110.36483231510879</c:v>
                </c:pt>
                <c:pt idx="15">
                  <c:v>106.79869562686426</c:v>
                </c:pt>
                <c:pt idx="16">
                  <c:v>100.95451607500227</c:v>
                </c:pt>
                <c:pt idx="17">
                  <c:v>101.85974460507677</c:v>
                </c:pt>
                <c:pt idx="18">
                  <c:v>105.20350952710444</c:v>
                </c:pt>
                <c:pt idx="19">
                  <c:v>106.49294538322719</c:v>
                </c:pt>
                <c:pt idx="20">
                  <c:v>107.11502591150465</c:v>
                </c:pt>
                <c:pt idx="21">
                  <c:v>104.92037483922128</c:v>
                </c:pt>
                <c:pt idx="22">
                  <c:v>101.25277107242422</c:v>
                </c:pt>
                <c:pt idx="23">
                  <c:v>103.57350949380954</c:v>
                </c:pt>
                <c:pt idx="24">
                  <c:v>102.55331638152748</c:v>
                </c:pt>
                <c:pt idx="25">
                  <c:v>103.85068126147981</c:v>
                </c:pt>
                <c:pt idx="26">
                  <c:v>106.00427086843203</c:v>
                </c:pt>
                <c:pt idx="27">
                  <c:v>99.887411424572434</c:v>
                </c:pt>
                <c:pt idx="28">
                  <c:v>109.82649579026253</c:v>
                </c:pt>
                <c:pt idx="29">
                  <c:v>107.94417901243736</c:v>
                </c:pt>
                <c:pt idx="30">
                  <c:v>107.80964367877642</c:v>
                </c:pt>
                <c:pt idx="31">
                  <c:v>106.27126495802722</c:v>
                </c:pt>
                <c:pt idx="32">
                  <c:v>109.61300412340645</c:v>
                </c:pt>
                <c:pt idx="33">
                  <c:v>109.94209741059075</c:v>
                </c:pt>
                <c:pt idx="34">
                  <c:v>103.2510839093728</c:v>
                </c:pt>
                <c:pt idx="35">
                  <c:v>106.86228647852172</c:v>
                </c:pt>
                <c:pt idx="36">
                  <c:v>109.43034343598927</c:v>
                </c:pt>
                <c:pt idx="37">
                  <c:v>108.18090894343537</c:v>
                </c:pt>
                <c:pt idx="38">
                  <c:v>107.59431434893305</c:v>
                </c:pt>
                <c:pt idx="39">
                  <c:v>110.62737930493847</c:v>
                </c:pt>
                <c:pt idx="40">
                  <c:v>106.38897735425122</c:v>
                </c:pt>
                <c:pt idx="41">
                  <c:v>108.84053743547908</c:v>
                </c:pt>
                <c:pt idx="42">
                  <c:v>107.90644624818839</c:v>
                </c:pt>
                <c:pt idx="43">
                  <c:v>107.26389965025805</c:v>
                </c:pt>
                <c:pt idx="44">
                  <c:v>103.98297508754455</c:v>
                </c:pt>
                <c:pt idx="45">
                  <c:v>114.39133761468362</c:v>
                </c:pt>
                <c:pt idx="46">
                  <c:v>121.08310521964739</c:v>
                </c:pt>
                <c:pt idx="47">
                  <c:v>111.91656099020334</c:v>
                </c:pt>
                <c:pt idx="48">
                  <c:v>116.10975335081285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[1]Sheet1!$D$1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[1]Sheet1!$A$2:$B$50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2012</c:v>
                  </c:pt>
                  <c:pt idx="8">
                    <c:v>2013</c:v>
                  </c:pt>
                  <c:pt idx="20">
                    <c:v>2014</c:v>
                  </c:pt>
                  <c:pt idx="32">
                    <c:v>2015</c:v>
                  </c:pt>
                  <c:pt idx="44">
                    <c:v>2016</c:v>
                  </c:pt>
                </c:lvl>
              </c:multiLvlStrCache>
            </c:multiLvlStrRef>
          </c:cat>
          <c:val>
            <c:numRef>
              <c:f>[1]Sheet1!$D$2:$D$50</c:f>
              <c:numCache>
                <c:formatCode>General</c:formatCode>
                <c:ptCount val="49"/>
                <c:pt idx="0">
                  <c:v>100.91605915481769</c:v>
                </c:pt>
                <c:pt idx="1">
                  <c:v>100.82008238979211</c:v>
                </c:pt>
                <c:pt idx="2">
                  <c:v>100.81926145980613</c:v>
                </c:pt>
                <c:pt idx="3">
                  <c:v>101.0485150309221</c:v>
                </c:pt>
                <c:pt idx="4">
                  <c:v>101.33994788276834</c:v>
                </c:pt>
                <c:pt idx="5">
                  <c:v>101.4991398659168</c:v>
                </c:pt>
                <c:pt idx="6">
                  <c:v>101.67734156907157</c:v>
                </c:pt>
                <c:pt idx="7">
                  <c:v>101.9401272210718</c:v>
                </c:pt>
                <c:pt idx="8">
                  <c:v>102.20619867235445</c:v>
                </c:pt>
                <c:pt idx="9">
                  <c:v>102.47106118866864</c:v>
                </c:pt>
                <c:pt idx="10">
                  <c:v>102.84474574081572</c:v>
                </c:pt>
                <c:pt idx="11">
                  <c:v>103.27132736273308</c:v>
                </c:pt>
                <c:pt idx="12">
                  <c:v>103.56852569523315</c:v>
                </c:pt>
                <c:pt idx="13">
                  <c:v>103.84550444059963</c:v>
                </c:pt>
                <c:pt idx="14">
                  <c:v>104.09085995951014</c:v>
                </c:pt>
                <c:pt idx="15">
                  <c:v>104.13577270902999</c:v>
                </c:pt>
                <c:pt idx="16">
                  <c:v>104.09584785915652</c:v>
                </c:pt>
                <c:pt idx="17">
                  <c:v>104.15734718533011</c:v>
                </c:pt>
                <c:pt idx="18">
                  <c:v>104.30721666352532</c:v>
                </c:pt>
                <c:pt idx="19">
                  <c:v>104.43718097776242</c:v>
                </c:pt>
                <c:pt idx="20">
                  <c:v>104.49701108036547</c:v>
                </c:pt>
                <c:pt idx="21">
                  <c:v>104.47246923683795</c:v>
                </c:pt>
                <c:pt idx="22">
                  <c:v>104.45183402262754</c:v>
                </c:pt>
                <c:pt idx="23">
                  <c:v>104.52987865593298</c:v>
                </c:pt>
                <c:pt idx="24">
                  <c:v>104.67282899906456</c:v>
                </c:pt>
                <c:pt idx="25">
                  <c:v>104.89783546822424</c:v>
                </c:pt>
                <c:pt idx="26">
                  <c:v>105.14848516600344</c:v>
                </c:pt>
                <c:pt idx="27">
                  <c:v>105.44194870965826</c:v>
                </c:pt>
                <c:pt idx="28">
                  <c:v>105.86068066105376</c:v>
                </c:pt>
                <c:pt idx="29">
                  <c:v>106.2283580679474</c:v>
                </c:pt>
                <c:pt idx="30">
                  <c:v>106.50167937983052</c:v>
                </c:pt>
                <c:pt idx="31">
                  <c:v>106.76553318945714</c:v>
                </c:pt>
                <c:pt idx="32">
                  <c:v>107.03397582164878</c:v>
                </c:pt>
                <c:pt idx="33">
                  <c:v>107.2250714940965</c:v>
                </c:pt>
                <c:pt idx="34">
                  <c:v>107.36294033713386</c:v>
                </c:pt>
                <c:pt idx="35">
                  <c:v>107.6196199015484</c:v>
                </c:pt>
                <c:pt idx="36">
                  <c:v>107.93653464737771</c:v>
                </c:pt>
                <c:pt idx="37">
                  <c:v>108.21286251072011</c:v>
                </c:pt>
                <c:pt idx="38">
                  <c:v>108.51266950583542</c:v>
                </c:pt>
                <c:pt idx="39">
                  <c:v>108.83180404427839</c:v>
                </c:pt>
                <c:pt idx="40">
                  <c:v>109.1468925911753</c:v>
                </c:pt>
                <c:pt idx="41">
                  <c:v>109.53317225806398</c:v>
                </c:pt>
                <c:pt idx="42">
                  <c:v>109.99611981212846</c:v>
                </c:pt>
                <c:pt idx="43">
                  <c:v>110.52802305866381</c:v>
                </c:pt>
                <c:pt idx="44">
                  <c:v>111.23463744839859</c:v>
                </c:pt>
                <c:pt idx="45">
                  <c:v>112.18357666085315</c:v>
                </c:pt>
                <c:pt idx="46">
                  <c:v>113.08264106856095</c:v>
                </c:pt>
                <c:pt idx="47">
                  <c:v>113.78126080342388</c:v>
                </c:pt>
                <c:pt idx="48">
                  <c:v>114.49526756391192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861664"/>
        <c:axId val="139874336"/>
      </c:lineChart>
      <c:catAx>
        <c:axId val="1398616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39874336"/>
        <c:crosses val="autoZero"/>
        <c:auto val="1"/>
        <c:lblAlgn val="ctr"/>
        <c:lblOffset val="100"/>
        <c:noMultiLvlLbl val="0"/>
      </c:catAx>
      <c:valAx>
        <c:axId val="139874336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398616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974636370146376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zaMaj2016!$A$2</c:f>
              <c:strCache>
                <c:ptCount val="1"/>
                <c:pt idx="0">
                  <c:v>Увоз           </c:v>
                </c:pt>
              </c:strCache>
            </c:strRef>
          </c:tx>
          <c:marker>
            <c:symbol val="none"/>
          </c:marker>
          <c:cat>
            <c:strRef>
              <c:f>zaMaj2016!$B$1:$N$1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zaMaj2016!$B$2:$N$2</c:f>
              <c:numCache>
                <c:formatCode>General</c:formatCode>
                <c:ptCount val="13"/>
                <c:pt idx="0">
                  <c:v>393112</c:v>
                </c:pt>
                <c:pt idx="1">
                  <c:v>372846</c:v>
                </c:pt>
                <c:pt idx="2">
                  <c:v>442035</c:v>
                </c:pt>
                <c:pt idx="3">
                  <c:v>336534</c:v>
                </c:pt>
                <c:pt idx="4">
                  <c:v>390519</c:v>
                </c:pt>
                <c:pt idx="5">
                  <c:v>397166</c:v>
                </c:pt>
                <c:pt idx="6">
                  <c:v>346318</c:v>
                </c:pt>
                <c:pt idx="7">
                  <c:v>288270</c:v>
                </c:pt>
                <c:pt idx="8">
                  <c:v>227697</c:v>
                </c:pt>
                <c:pt idx="9">
                  <c:v>326706</c:v>
                </c:pt>
                <c:pt idx="10">
                  <c:v>352510</c:v>
                </c:pt>
                <c:pt idx="11">
                  <c:v>406283</c:v>
                </c:pt>
                <c:pt idx="12">
                  <c:v>312920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zaMaj2016!$A$3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zaMaj2016!$B$1:$N$1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zaMaj2016!$B$3:$N$3</c:f>
              <c:numCache>
                <c:formatCode>0</c:formatCode>
                <c:ptCount val="13"/>
                <c:pt idx="0">
                  <c:v>207541</c:v>
                </c:pt>
                <c:pt idx="1">
                  <c:v>238678</c:v>
                </c:pt>
                <c:pt idx="2">
                  <c:v>243048</c:v>
                </c:pt>
                <c:pt idx="3">
                  <c:v>201596</c:v>
                </c:pt>
                <c:pt idx="4">
                  <c:v>237628</c:v>
                </c:pt>
                <c:pt idx="5">
                  <c:v>240795</c:v>
                </c:pt>
                <c:pt idx="6">
                  <c:v>202399</c:v>
                </c:pt>
                <c:pt idx="7">
                  <c:v>146158</c:v>
                </c:pt>
                <c:pt idx="8">
                  <c:v>183779</c:v>
                </c:pt>
                <c:pt idx="9">
                  <c:v>211524</c:v>
                </c:pt>
                <c:pt idx="10">
                  <c:v>239782</c:v>
                </c:pt>
                <c:pt idx="11">
                  <c:v>228100</c:v>
                </c:pt>
                <c:pt idx="12">
                  <c:v>233872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4126712"/>
        <c:axId val="139004880"/>
      </c:lineChart>
      <c:catAx>
        <c:axId val="11412671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139004880"/>
        <c:crosses val="autoZero"/>
        <c:auto val="1"/>
        <c:lblAlgn val="ctr"/>
        <c:lblOffset val="100"/>
        <c:noMultiLvlLbl val="0"/>
      </c:catAx>
      <c:valAx>
        <c:axId val="13900488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114126712"/>
        <c:crosses val="autoZero"/>
        <c:crossBetween val="between"/>
      </c:valAx>
      <c:spPr>
        <a:ln w="6350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1866422135154182"/>
          <c:y val="4.9517825133376006E-2"/>
          <c:w val="0.1759745951567375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AD97-6DAA-4E42-943C-146668A8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9760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Jelena Kadnic</cp:lastModifiedBy>
  <cp:revision>589</cp:revision>
  <cp:lastPrinted>2015-12-17T11:01:00Z</cp:lastPrinted>
  <dcterms:created xsi:type="dcterms:W3CDTF">2014-03-14T12:01:00Z</dcterms:created>
  <dcterms:modified xsi:type="dcterms:W3CDTF">2016-06-22T06:36:00Z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