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3595C" w:rsidRDefault="00744FD7" w:rsidP="00744FD7">
      <w:pPr>
        <w:jc w:val="right"/>
        <w:rPr>
          <w:lang w:val="sr-Cyrl-CS"/>
        </w:rPr>
      </w:pPr>
      <w:r w:rsidRPr="006B51AC">
        <w:rPr>
          <w:rFonts w:ascii="Arial Narrow" w:hAnsi="Arial Narrow"/>
          <w:sz w:val="16"/>
          <w:szCs w:val="16"/>
        </w:rPr>
        <w:t>ISSN 2490-2950</w:t>
      </w: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4F6605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F660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July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F660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,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</w:t>
            </w:r>
            <w:r w:rsidR="004F660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No.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9F4D54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1</w:t>
            </w:r>
            <w:r w:rsidR="00DC2DCC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84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4F6605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4F6605" w:rsidRDefault="004F6605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July 2016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6806FE" w:rsidRPr="00920768" w:rsidRDefault="00A84615" w:rsidP="002B516D">
      <w:pPr>
        <w:jc w:val="both"/>
        <w:rPr>
          <w:rFonts w:ascii="Arial Narrow" w:hAnsi="Arial Narrow" w:cs="Tahoma"/>
          <w:b/>
          <w:sz w:val="30"/>
          <w:szCs w:val="30"/>
          <w:lang w:val="sr-Cyrl-CS" w:eastAsia="sr-Latn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Real growth of quarterly Gross domestic product (January 2016/January</w:t>
      </w:r>
      <w:r w:rsidR="000E323A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2015)</w:t>
      </w:r>
      <w:r w:rsidR="006806FE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  <w:lang w:eastAsia="sr-Latn-BA"/>
        </w:rPr>
        <w:t>2.</w:t>
      </w:r>
      <w:r w:rsidR="006806FE" w:rsidRPr="00920768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="006806FE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% </w:t>
      </w:r>
    </w:p>
    <w:p w:rsidR="006806FE" w:rsidRPr="00920768" w:rsidRDefault="006806FE" w:rsidP="006806FE">
      <w:pPr>
        <w:jc w:val="both"/>
        <w:rPr>
          <w:rFonts w:ascii="Arial Narrow" w:hAnsi="Arial Narrow" w:cs="Tahoma"/>
          <w:sz w:val="16"/>
          <w:szCs w:val="16"/>
        </w:rPr>
      </w:pPr>
    </w:p>
    <w:p w:rsidR="00A84615" w:rsidRDefault="00A84615" w:rsidP="006806F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Latn-BA" w:eastAsia="sr-Latn-BA"/>
        </w:rPr>
      </w:pPr>
      <w:r>
        <w:rPr>
          <w:rFonts w:ascii="Arial Narrow" w:hAnsi="Arial Narrow" w:cs="Tahoma"/>
          <w:sz w:val="22"/>
          <w:szCs w:val="24"/>
          <w:lang w:val="sr-Latn-BA" w:eastAsia="sr-Latn-BA"/>
        </w:rPr>
        <w:t>An increase in real terms by 2.2% was recorded in the quarterly Gross domestic product in the first quarter of 2016, when compared to the first quarter of 2015.</w:t>
      </w:r>
    </w:p>
    <w:p w:rsidR="006806FE" w:rsidRDefault="006806FE" w:rsidP="006806F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Cyrl-CS" w:eastAsia="sr-Latn-BA"/>
        </w:rPr>
      </w:pPr>
    </w:p>
    <w:p w:rsidR="00A84615" w:rsidRPr="00A84615" w:rsidRDefault="00A84615" w:rsidP="006806F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Cyrl-CS" w:eastAsia="sr-Latn-BA"/>
        </w:rPr>
      </w:pPr>
      <w:r w:rsidRPr="00A84615">
        <w:rPr>
          <w:rFonts w:ascii="Arial Narrow" w:hAnsi="Arial Narrow" w:cs="Tahoma"/>
          <w:sz w:val="22"/>
          <w:szCs w:val="24"/>
          <w:lang w:eastAsia="sr-Latn-BA"/>
        </w:rPr>
        <w:t>By section of the Classification of Economic Activities aggregated at the level A10, in the first quarter of 201</w:t>
      </w:r>
      <w:r w:rsidRPr="00A84615">
        <w:rPr>
          <w:rFonts w:ascii="Arial Narrow" w:hAnsi="Arial Narrow" w:cs="Tahoma"/>
          <w:sz w:val="22"/>
          <w:szCs w:val="24"/>
          <w:lang w:val="sr-Cyrl-BA" w:eastAsia="sr-Latn-BA"/>
        </w:rPr>
        <w:t>6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>, Gross value added in</w:t>
      </w:r>
      <w:r w:rsidRPr="00A84615">
        <w:rPr>
          <w:rFonts w:ascii="Arial Narrow" w:hAnsi="Arial Narrow" w:cs="Tahoma"/>
          <w:sz w:val="22"/>
          <w:szCs w:val="24"/>
          <w:lang w:val="sr-Cyrl-CS" w:eastAsia="sr-Latn-BA"/>
        </w:rPr>
        <w:t>creased in real terms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 xml:space="preserve"> in</w:t>
      </w:r>
      <w:r w:rsidRPr="00A84615">
        <w:rPr>
          <w:rFonts w:ascii="Arial Narrow" w:hAnsi="Arial Narrow" w:cs="Tahoma"/>
          <w:sz w:val="22"/>
          <w:szCs w:val="24"/>
          <w:lang w:val="sr-Cyrl-CS" w:eastAsia="sr-Latn-BA"/>
        </w:rPr>
        <w:t xml:space="preserve"> 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>the following sections</w:t>
      </w:r>
      <w:r w:rsidRPr="00A84615">
        <w:rPr>
          <w:rFonts w:ascii="Arial Narrow" w:hAnsi="Arial Narrow" w:cs="Tahoma"/>
          <w:sz w:val="22"/>
          <w:szCs w:val="24"/>
          <w:lang w:val="sr-Cyrl-CS" w:eastAsia="sr-Latn-BA"/>
        </w:rPr>
        <w:t>: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 xml:space="preserve"> </w:t>
      </w:r>
      <w:r w:rsidRPr="00A84615">
        <w:rPr>
          <w:rFonts w:ascii="Arial Narrow" w:hAnsi="Arial Narrow" w:cs="Tahoma"/>
          <w:i/>
          <w:iCs/>
          <w:sz w:val="22"/>
          <w:szCs w:val="24"/>
          <w:lang w:val="bs-Latn-BA" w:eastAsia="sr-Latn-BA"/>
        </w:rPr>
        <w:t xml:space="preserve">Mining and quarrying; Manufacturing; Electricity, gas, steam and air-conditioning production and supply; Water supply, sewerage, waste management and remediation activities </w:t>
      </w:r>
      <w:r w:rsidRPr="00A84615">
        <w:rPr>
          <w:rFonts w:ascii="Arial Narrow" w:hAnsi="Arial Narrow" w:cs="Tahoma"/>
          <w:i/>
          <w:sz w:val="22"/>
          <w:szCs w:val="24"/>
          <w:lang w:val="sr-Cyrl-BA" w:eastAsia="sr-Latn-BA"/>
        </w:rPr>
        <w:t>(</w:t>
      </w:r>
      <w:r w:rsidRPr="00A84615">
        <w:rPr>
          <w:rFonts w:ascii="Arial Narrow" w:hAnsi="Arial Narrow" w:cs="Tahoma"/>
          <w:i/>
          <w:sz w:val="22"/>
          <w:szCs w:val="24"/>
          <w:lang w:eastAsia="sr-Latn-BA"/>
        </w:rPr>
        <w:t>B,C,D,E)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 xml:space="preserve"> by </w:t>
      </w:r>
      <w:r w:rsidRPr="00A84615">
        <w:rPr>
          <w:rFonts w:ascii="Arial Narrow" w:hAnsi="Arial Narrow" w:cs="Tahoma"/>
          <w:sz w:val="22"/>
          <w:szCs w:val="24"/>
          <w:lang w:val="sr-Cyrl-BA" w:eastAsia="sr-Latn-BA"/>
        </w:rPr>
        <w:t>6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>.</w:t>
      </w:r>
      <w:r w:rsidRPr="00A84615">
        <w:rPr>
          <w:rFonts w:ascii="Arial Narrow" w:hAnsi="Arial Narrow" w:cs="Tahoma"/>
          <w:sz w:val="22"/>
          <w:szCs w:val="24"/>
          <w:lang w:val="sr-Cyrl-BA" w:eastAsia="sr-Latn-BA"/>
        </w:rPr>
        <w:t>6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>%,</w:t>
      </w:r>
      <w:r w:rsidRPr="00A84615">
        <w:rPr>
          <w:rFonts w:ascii="Arial Narrow" w:hAnsi="Arial Narrow" w:cs="Tahoma"/>
          <w:sz w:val="22"/>
          <w:szCs w:val="24"/>
          <w:lang w:val="sr-Cyrl-BA" w:eastAsia="sr-Latn-BA"/>
        </w:rPr>
        <w:t xml:space="preserve"> </w:t>
      </w:r>
      <w:r w:rsidRPr="00A84615">
        <w:rPr>
          <w:rFonts w:ascii="Arial Narrow" w:hAnsi="Arial Narrow" w:cs="Tahoma"/>
          <w:i/>
          <w:sz w:val="22"/>
          <w:szCs w:val="24"/>
          <w:lang w:eastAsia="sr-Latn-BA"/>
        </w:rPr>
        <w:t xml:space="preserve">Agriculture, forestry and fishing (A) 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 xml:space="preserve">by </w:t>
      </w:r>
      <w:r w:rsidRPr="00A84615">
        <w:rPr>
          <w:rFonts w:ascii="Arial Narrow" w:hAnsi="Arial Narrow" w:cs="Tahoma"/>
          <w:sz w:val="22"/>
          <w:szCs w:val="24"/>
          <w:lang w:val="sr-Cyrl-BA" w:eastAsia="sr-Latn-BA"/>
        </w:rPr>
        <w:t>4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>.</w:t>
      </w:r>
      <w:r w:rsidRPr="00A84615">
        <w:rPr>
          <w:rFonts w:ascii="Arial Narrow" w:hAnsi="Arial Narrow" w:cs="Tahoma"/>
          <w:sz w:val="22"/>
          <w:szCs w:val="24"/>
          <w:lang w:val="sr-Cyrl-BA" w:eastAsia="sr-Latn-BA"/>
        </w:rPr>
        <w:t>2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>%,</w:t>
      </w:r>
      <w:r w:rsidRPr="00A84615">
        <w:rPr>
          <w:rFonts w:ascii="Arial Narrow" w:hAnsi="Arial Narrow" w:cs="Tahoma"/>
          <w:sz w:val="22"/>
          <w:szCs w:val="24"/>
          <w:lang w:val="sr-Cyrl-BA" w:eastAsia="sr-Latn-BA"/>
        </w:rPr>
        <w:t xml:space="preserve"> </w:t>
      </w:r>
      <w:r w:rsidRPr="00A84615">
        <w:rPr>
          <w:rFonts w:ascii="Arial Narrow" w:hAnsi="Arial Narrow" w:cs="Tahoma"/>
          <w:i/>
          <w:sz w:val="22"/>
          <w:szCs w:val="24"/>
          <w:lang w:eastAsia="sr-Latn-BA"/>
        </w:rPr>
        <w:t>Financial and insurance activities (K)</w:t>
      </w:r>
      <w:r w:rsidRPr="00A84615">
        <w:rPr>
          <w:rFonts w:ascii="Arial Narrow" w:hAnsi="Arial Narrow" w:cs="Tahoma"/>
          <w:sz w:val="22"/>
          <w:szCs w:val="24"/>
          <w:lang w:eastAsia="sr-Latn-BA"/>
        </w:rPr>
        <w:t xml:space="preserve"> by 2.5%, while a decrease in real terms was recorded in the sections Construction (F) by 3.4% and Information and communication (J) by 1.9%.</w:t>
      </w:r>
    </w:p>
    <w:p w:rsidR="006806FE" w:rsidRPr="00920768" w:rsidRDefault="006806FE" w:rsidP="006806F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  <w:lang w:val="sr-Cyrl-CS" w:eastAsia="sr-Latn-BA"/>
        </w:rPr>
      </w:pPr>
    </w:p>
    <w:p w:rsidR="00E33D13" w:rsidRPr="00920768" w:rsidRDefault="00A702EC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Average net wage in June</w:t>
      </w:r>
      <w:r w:rsidR="00E33D13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652176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4</w:t>
      </w:r>
      <w:r w:rsidR="00026EAC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5</w:t>
      </w:r>
      <w:r w:rsidR="00E33D13" w:rsidRPr="00920768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920768" w:rsidRDefault="00A702EC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A702EC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Information and communication</w:t>
      </w:r>
      <w:r>
        <w:rPr>
          <w:rFonts w:ascii="Arial Narrow" w:hAnsi="Arial Narrow" w:cs="Tahoma"/>
          <w:b/>
          <w:sz w:val="28"/>
          <w:szCs w:val="28"/>
          <w:lang w:val="ru-RU"/>
        </w:rPr>
        <w:t xml:space="preserve"> 1,</w:t>
      </w:r>
      <w:r w:rsidR="00E33D13" w:rsidRPr="00920768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026EAC" w:rsidRPr="00920768">
        <w:rPr>
          <w:rFonts w:ascii="Arial Narrow" w:hAnsi="Arial Narrow" w:cs="Tahoma"/>
          <w:b/>
          <w:sz w:val="28"/>
          <w:szCs w:val="28"/>
          <w:lang w:val="ru-RU"/>
        </w:rPr>
        <w:t>80</w:t>
      </w:r>
      <w:r w:rsidR="00E33D13" w:rsidRPr="0092076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92076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9B5A57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>
        <w:rPr>
          <w:rFonts w:ascii="Arial Narrow" w:hAnsi="Arial Narrow" w:cs="Tahoma"/>
          <w:b/>
          <w:i/>
          <w:sz w:val="28"/>
          <w:szCs w:val="28"/>
        </w:rPr>
        <w:t>Administrative and support service activities</w:t>
      </w:r>
      <w:r w:rsidR="00652176" w:rsidRPr="00920768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E33D13" w:rsidRPr="0092076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652176" w:rsidRPr="00920768">
        <w:rPr>
          <w:rFonts w:ascii="Arial Narrow" w:hAnsi="Arial Narrow" w:cs="Tahoma"/>
          <w:b/>
          <w:sz w:val="28"/>
          <w:szCs w:val="28"/>
          <w:lang w:val="sr-Cyrl-BA"/>
        </w:rPr>
        <w:t>21</w:t>
      </w:r>
      <w:r w:rsidR="00E33D13" w:rsidRPr="0092076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92076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920768">
        <w:rPr>
          <w:rFonts w:ascii="Tahoma" w:hAnsi="Tahoma" w:cs="Tahoma"/>
          <w:b/>
          <w:lang w:val="sr-Cyrl-CS"/>
        </w:rPr>
        <w:tab/>
      </w:r>
      <w:r w:rsidRPr="00920768">
        <w:rPr>
          <w:rFonts w:ascii="Tahoma" w:hAnsi="Tahoma" w:cs="Tahoma"/>
          <w:b/>
          <w:lang w:val="sr-Cyrl-CS"/>
        </w:rPr>
        <w:tab/>
      </w:r>
    </w:p>
    <w:p w:rsidR="002C198C" w:rsidRDefault="002C198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9B5A57">
        <w:rPr>
          <w:rFonts w:ascii="Arial Narrow" w:hAnsi="Arial Narrow" w:cs="Tahoma"/>
          <w:sz w:val="22"/>
        </w:rPr>
        <w:t>Average monthly net wage of employed persons in Republika Srpska</w:t>
      </w:r>
      <w:r w:rsidRPr="009B5A57">
        <w:rPr>
          <w:rFonts w:ascii="Arial Narrow" w:hAnsi="Arial Narrow" w:cs="Tahoma"/>
          <w:b/>
          <w:sz w:val="22"/>
          <w:lang w:val="ru-RU"/>
        </w:rPr>
        <w:t xml:space="preserve"> </w:t>
      </w:r>
      <w:r w:rsidRPr="009B5A57">
        <w:rPr>
          <w:rFonts w:ascii="Arial Narrow" w:hAnsi="Arial Narrow" w:cs="Tahoma"/>
          <w:sz w:val="22"/>
        </w:rPr>
        <w:t>paid in</w:t>
      </w:r>
      <w:r>
        <w:rPr>
          <w:rFonts w:ascii="Arial Narrow" w:hAnsi="Arial Narrow" w:cs="Tahoma"/>
          <w:sz w:val="22"/>
        </w:rPr>
        <w:t xml:space="preserve"> June 2016 was 845 KM, while average monthly gross wage was 1,358 KM. </w:t>
      </w:r>
    </w:p>
    <w:p w:rsidR="00B82005" w:rsidRPr="0092076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2C198C" w:rsidRDefault="002C198C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 xml:space="preserve">Compared to June 2015, average net wage paid in June 2016 was really 1.8% higher and compared to May 2016 it was really 0.6% higher. </w:t>
      </w:r>
    </w:p>
    <w:p w:rsidR="00B747A8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2C198C" w:rsidRPr="00920768" w:rsidRDefault="002C198C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  <w:r>
        <w:rPr>
          <w:rFonts w:ascii="Arial Narrow" w:hAnsi="Arial Narrow" w:cs="Tahoma"/>
          <w:sz w:val="22"/>
          <w:lang w:val="sr-Latn-CS"/>
        </w:rPr>
        <w:t>The increase in average net wage in June 2016, compared to May 2016, occurred mainly due to to a higher number of paid hours of work (</w:t>
      </w:r>
      <w:r w:rsidR="001124B6">
        <w:rPr>
          <w:rFonts w:ascii="Arial Narrow" w:hAnsi="Arial Narrow" w:cs="Tahoma"/>
          <w:sz w:val="22"/>
          <w:lang w:val="sr-Latn-CS"/>
        </w:rPr>
        <w:t xml:space="preserve">especially during national holidays) in the sections Information and communication, Mining and quarrying, and Electricity, gas, steam and air-conditioning, which employ a significant number of persons. </w:t>
      </w:r>
    </w:p>
    <w:p w:rsidR="00B82005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1124B6" w:rsidRDefault="001124B6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lang w:val="sr-Latn-CS"/>
        </w:rPr>
        <w:t xml:space="preserve">In June 2016, the highest average wage, by section of activities, was paid in the section </w:t>
      </w:r>
      <w:r>
        <w:rPr>
          <w:rFonts w:ascii="Arial Narrow" w:hAnsi="Arial Narrow" w:cs="Tahoma"/>
          <w:i/>
          <w:sz w:val="22"/>
        </w:rPr>
        <w:t xml:space="preserve">Information and communication </w:t>
      </w:r>
      <w:r w:rsidRPr="009B5A57">
        <w:rPr>
          <w:rFonts w:ascii="Arial Narrow" w:hAnsi="Arial Narrow" w:cs="Tahoma"/>
          <w:sz w:val="22"/>
        </w:rPr>
        <w:t>and it amounted to</w:t>
      </w:r>
      <w:r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Pr="00B13D2B">
        <w:rPr>
          <w:rFonts w:ascii="Arial Narrow" w:hAnsi="Arial Narrow" w:cs="Tahoma"/>
          <w:sz w:val="22"/>
          <w:lang w:val="sr-Cyrl-CS"/>
        </w:rPr>
        <w:t>2</w:t>
      </w:r>
      <w:r>
        <w:rPr>
          <w:rFonts w:ascii="Arial Narrow" w:hAnsi="Arial Narrow" w:cs="Tahoma"/>
          <w:sz w:val="22"/>
          <w:lang w:val="sr-Cyrl-CS"/>
        </w:rPr>
        <w:t>80</w:t>
      </w:r>
      <w:r w:rsidRPr="00B13D2B">
        <w:rPr>
          <w:rFonts w:ascii="Arial Narrow" w:hAnsi="Arial Narrow" w:cs="Tahoma"/>
          <w:sz w:val="22"/>
          <w:lang w:val="sr-Cyrl-CS"/>
        </w:rPr>
        <w:t xml:space="preserve"> КМ</w:t>
      </w:r>
      <w:r w:rsidRPr="00B13D2B">
        <w:rPr>
          <w:rFonts w:ascii="Arial Narrow" w:hAnsi="Arial Narrow" w:cs="Tahoma"/>
          <w:sz w:val="22"/>
          <w:lang w:val="sr-Latn-CS"/>
        </w:rPr>
        <w:t xml:space="preserve">. </w:t>
      </w:r>
      <w:r>
        <w:rPr>
          <w:rFonts w:ascii="Arial Narrow" w:hAnsi="Arial Narrow" w:cs="Tahoma"/>
          <w:sz w:val="22"/>
          <w:lang w:val="sr-Latn-CS"/>
        </w:rPr>
        <w:t>On the other hand</w:t>
      </w:r>
      <w:r w:rsidRPr="00B13D2B">
        <w:rPr>
          <w:rFonts w:ascii="Arial Narrow" w:hAnsi="Arial Narrow" w:cs="Tahoma"/>
          <w:sz w:val="22"/>
          <w:lang w:val="sr-Latn-CS"/>
        </w:rPr>
        <w:t>,</w:t>
      </w:r>
      <w:r w:rsidRPr="00B13D2B">
        <w:rPr>
          <w:rFonts w:ascii="Arial Narrow" w:hAnsi="Arial Narrow" w:cs="Tahoma"/>
          <w:sz w:val="22"/>
          <w:lang w:val="sr-Cyrl-CS"/>
        </w:rPr>
        <w:t xml:space="preserve"> </w:t>
      </w:r>
      <w:r w:rsidRPr="00241D9E">
        <w:rPr>
          <w:rFonts w:ascii="Arial Narrow" w:hAnsi="Arial Narrow" w:cs="Tahoma"/>
          <w:sz w:val="22"/>
        </w:rPr>
        <w:t xml:space="preserve">the lowest average net wage in </w:t>
      </w:r>
      <w:r>
        <w:rPr>
          <w:rFonts w:ascii="Arial Narrow" w:hAnsi="Arial Narrow" w:cs="Tahoma"/>
          <w:sz w:val="22"/>
        </w:rPr>
        <w:t xml:space="preserve">June </w:t>
      </w:r>
      <w:r w:rsidRPr="00B13D2B">
        <w:rPr>
          <w:rFonts w:ascii="Arial Narrow" w:hAnsi="Arial Narrow" w:cs="Tahoma"/>
          <w:sz w:val="22"/>
          <w:lang w:val="sr-Cyrl-CS"/>
        </w:rPr>
        <w:t xml:space="preserve">2016 </w:t>
      </w:r>
      <w:r>
        <w:rPr>
          <w:rFonts w:ascii="Arial Narrow" w:hAnsi="Arial Narrow" w:cs="Tahoma"/>
          <w:sz w:val="22"/>
        </w:rPr>
        <w:t>was the one paid in the section</w:t>
      </w:r>
      <w:r w:rsidRPr="00B13D2B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Administrative and support service activities</w:t>
      </w:r>
      <w:r w:rsidRPr="00B13D2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B13D2B">
        <w:rPr>
          <w:rFonts w:ascii="Arial Narrow" w:hAnsi="Arial Narrow" w:cs="Tahoma"/>
          <w:sz w:val="22"/>
          <w:lang w:val="sr-Cyrl-BA"/>
        </w:rPr>
        <w:t>521 КМ</w:t>
      </w:r>
      <w:r>
        <w:rPr>
          <w:rFonts w:ascii="Arial Narrow" w:hAnsi="Arial Narrow" w:cs="Tahoma"/>
          <w:sz w:val="22"/>
        </w:rPr>
        <w:t xml:space="preserve">. </w:t>
      </w:r>
    </w:p>
    <w:p w:rsidR="001124B6" w:rsidRDefault="001124B6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1124B6" w:rsidRPr="001124B6" w:rsidRDefault="001124B6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June 2016, compared to May 2016, a nominal increase in net wages was recorded in the sections </w:t>
      </w:r>
      <w:r w:rsidRPr="001124B6">
        <w:rPr>
          <w:rFonts w:ascii="Arial Narrow" w:hAnsi="Arial Narrow" w:cs="Tahoma"/>
          <w:i/>
          <w:sz w:val="22"/>
        </w:rPr>
        <w:t>Information and communication</w:t>
      </w:r>
      <w:r>
        <w:rPr>
          <w:rFonts w:ascii="Arial Narrow" w:hAnsi="Arial Narrow" w:cs="Tahoma"/>
          <w:sz w:val="22"/>
        </w:rPr>
        <w:t xml:space="preserve"> 11.0%, </w:t>
      </w:r>
      <w:r w:rsidRPr="001124B6">
        <w:rPr>
          <w:rFonts w:ascii="Arial Narrow" w:hAnsi="Arial Narrow" w:cs="Tahoma"/>
          <w:i/>
          <w:sz w:val="22"/>
        </w:rPr>
        <w:t>Real estate activities</w:t>
      </w:r>
      <w:r>
        <w:rPr>
          <w:rFonts w:ascii="Arial Narrow" w:hAnsi="Arial Narrow" w:cs="Tahoma"/>
          <w:sz w:val="22"/>
        </w:rPr>
        <w:t xml:space="preserve"> 5.4% and </w:t>
      </w:r>
      <w:r w:rsidRPr="001124B6">
        <w:rPr>
          <w:rFonts w:ascii="Arial Narrow" w:hAnsi="Arial Narrow" w:cs="Tahoma"/>
          <w:i/>
          <w:sz w:val="22"/>
        </w:rPr>
        <w:t>Professional, scientific and technical activities</w:t>
      </w:r>
      <w:r>
        <w:rPr>
          <w:rFonts w:ascii="Arial Narrow" w:hAnsi="Arial Narrow" w:cs="Tahoma"/>
          <w:sz w:val="22"/>
        </w:rPr>
        <w:t xml:space="preserve"> 5.3%.</w:t>
      </w:r>
    </w:p>
    <w:p w:rsidR="00E33D13" w:rsidRPr="0092076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1124B6" w:rsidRDefault="001124B6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 decrease in nominal wages was recroded in the section </w:t>
      </w:r>
      <w:r w:rsidRPr="001124B6">
        <w:rPr>
          <w:rFonts w:ascii="Arial Narrow" w:hAnsi="Arial Narrow" w:cs="Tahoma"/>
          <w:i/>
          <w:sz w:val="22"/>
        </w:rPr>
        <w:t>Human health and social work activities</w:t>
      </w:r>
      <w:r>
        <w:rPr>
          <w:rFonts w:ascii="Arial Narrow" w:hAnsi="Arial Narrow" w:cs="Tahoma"/>
          <w:sz w:val="22"/>
        </w:rPr>
        <w:t xml:space="preserve"> 0.4%. </w:t>
      </w:r>
    </w:p>
    <w:p w:rsidR="00396802" w:rsidRPr="0092076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920768" w:rsidRDefault="00E33D13" w:rsidP="00E33D13">
      <w:pPr>
        <w:jc w:val="both"/>
        <w:rPr>
          <w:rFonts w:ascii="Tahoma" w:hAnsi="Tahoma" w:cs="Tahoma"/>
          <w:sz w:val="14"/>
          <w:lang w:val="sr-Cyrl-BA"/>
        </w:rPr>
      </w:pPr>
      <w:r w:rsidRPr="00920768">
        <w:rPr>
          <w:rFonts w:ascii="Tahoma" w:hAnsi="Tahoma" w:cs="Tahoma"/>
          <w:i/>
          <w:sz w:val="14"/>
          <w:lang w:val="sr-Cyrl-CS"/>
        </w:rPr>
        <w:t xml:space="preserve"> </w:t>
      </w:r>
      <w:r w:rsidRPr="00920768">
        <w:rPr>
          <w:rFonts w:ascii="Tahoma" w:hAnsi="Tahoma" w:cs="Tahoma"/>
          <w:sz w:val="14"/>
          <w:lang w:val="sr-Cyrl-CS"/>
        </w:rPr>
        <w:t xml:space="preserve">   </w:t>
      </w:r>
      <w:r w:rsidRPr="00920768">
        <w:rPr>
          <w:rFonts w:ascii="Tahoma" w:hAnsi="Tahoma" w:cs="Tahoma"/>
          <w:sz w:val="14"/>
          <w:lang w:val="sr-Latn-CS"/>
        </w:rPr>
        <w:tab/>
      </w:r>
      <w:r w:rsidRPr="00920768">
        <w:rPr>
          <w:rFonts w:ascii="Tahoma" w:hAnsi="Tahoma" w:cs="Tahoma"/>
          <w:sz w:val="14"/>
          <w:lang w:val="sr-Latn-CS"/>
        </w:rPr>
        <w:tab/>
      </w:r>
      <w:r w:rsidRPr="00920768">
        <w:rPr>
          <w:rFonts w:ascii="Tahoma" w:hAnsi="Tahoma" w:cs="Tahoma"/>
          <w:sz w:val="14"/>
          <w:lang w:val="sr-Cyrl-BA"/>
        </w:rPr>
        <w:t xml:space="preserve">          </w:t>
      </w: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920768" w:rsidRDefault="00920768" w:rsidP="00E33D13">
      <w:pPr>
        <w:jc w:val="both"/>
        <w:rPr>
          <w:rFonts w:ascii="Tahoma" w:hAnsi="Tahoma" w:cs="Tahoma"/>
          <w:sz w:val="14"/>
          <w:lang w:val="sr-Cyrl-BA"/>
        </w:rPr>
      </w:pPr>
    </w:p>
    <w:p w:rsidR="00E33D13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920768">
        <w:rPr>
          <w:rFonts w:ascii="Tahoma" w:hAnsi="Tahoma" w:cs="Tahoma"/>
          <w:sz w:val="14"/>
          <w:lang w:val="sr-Cyrl-BA"/>
        </w:rPr>
        <w:lastRenderedPageBreak/>
        <w:t xml:space="preserve">  </w:t>
      </w:r>
      <w:r w:rsidR="00F85AAC" w:rsidRPr="00920768">
        <w:rPr>
          <w:rFonts w:ascii="Tahoma" w:hAnsi="Tahoma" w:cs="Tahoma"/>
          <w:sz w:val="14"/>
          <w:lang w:val="sr-Cyrl-BA"/>
        </w:rPr>
        <w:t xml:space="preserve">   </w:t>
      </w:r>
      <w:r w:rsidR="00920768">
        <w:rPr>
          <w:rFonts w:ascii="Tahoma" w:hAnsi="Tahoma" w:cs="Tahoma"/>
          <w:sz w:val="14"/>
          <w:lang w:val="sr-Latn-BA"/>
        </w:rPr>
        <w:t xml:space="preserve">                             </w:t>
      </w:r>
      <w:r w:rsidR="00920768" w:rsidRPr="0092076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920768" w:rsidRPr="00920768" w:rsidRDefault="00920768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920768" w:rsidRDefault="00AD485B" w:rsidP="00E33D13">
      <w:pPr>
        <w:jc w:val="center"/>
        <w:rPr>
          <w:rFonts w:ascii="Tahoma" w:hAnsi="Tahoma" w:cs="Tahoma"/>
          <w:lang w:val="sr-Cyrl-BA"/>
        </w:rPr>
      </w:pPr>
      <w:r w:rsidRPr="00920768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2062810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920768">
        <w:rPr>
          <w:rFonts w:ascii="Tahoma" w:hAnsi="Tahoma" w:cs="Tahoma"/>
          <w:szCs w:val="18"/>
          <w:lang w:val="sr-Cyrl-BA"/>
        </w:rPr>
        <w:t xml:space="preserve"> </w:t>
      </w:r>
      <w:r w:rsidR="00026EAC" w:rsidRPr="00920768">
        <w:rPr>
          <w:noProof/>
        </w:rPr>
        <w:drawing>
          <wp:inline distT="0" distB="0" distL="0" distR="0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920768">
        <w:rPr>
          <w:rFonts w:ascii="Tahoma" w:hAnsi="Tahoma" w:cs="Tahoma"/>
          <w:szCs w:val="18"/>
          <w:lang w:val="sr-Cyrl-BA"/>
        </w:rPr>
        <w:t xml:space="preserve">  </w:t>
      </w:r>
    </w:p>
    <w:p w:rsidR="00E33D13" w:rsidRPr="0092076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8A1BE4" w:rsidRDefault="008A1BE4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92076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920768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920768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920768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920768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920768" w:rsidRDefault="004832EC">
      <w:pPr>
        <w:rPr>
          <w:rFonts w:ascii="Arial Narrow" w:hAnsi="Arial Narrow" w:cs="Tahoma"/>
          <w:sz w:val="22"/>
          <w:lang w:val="sr-Latn-BA"/>
        </w:rPr>
      </w:pPr>
    </w:p>
    <w:p w:rsidR="004832EC" w:rsidRPr="00920768" w:rsidRDefault="004832EC">
      <w:pPr>
        <w:rPr>
          <w:rFonts w:ascii="Arial Narrow" w:hAnsi="Arial Narrow" w:cs="Tahoma"/>
          <w:sz w:val="22"/>
          <w:lang w:val="sr-Latn-BA"/>
        </w:rPr>
      </w:pPr>
    </w:p>
    <w:p w:rsidR="00EB2F3C" w:rsidRPr="00920768" w:rsidRDefault="00EB2F3C">
      <w:pPr>
        <w:rPr>
          <w:rFonts w:ascii="Arial Narrow" w:hAnsi="Arial Narrow" w:cs="Tahoma"/>
          <w:sz w:val="22"/>
          <w:lang w:val="sr-Latn-BA"/>
        </w:rPr>
      </w:pPr>
    </w:p>
    <w:p w:rsidR="00122399" w:rsidRPr="00991978" w:rsidRDefault="00991978" w:rsidP="00122399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  <w:sz w:val="30"/>
          <w:szCs w:val="30"/>
        </w:rPr>
        <w:t>Monthly inflation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-0.</w:t>
      </w:r>
      <w:r w:rsidR="00122399" w:rsidRPr="00920768">
        <w:rPr>
          <w:rFonts w:ascii="Arial Narrow" w:hAnsi="Arial Narrow" w:cs="Tahoma"/>
          <w:b/>
          <w:sz w:val="30"/>
          <w:szCs w:val="30"/>
          <w:lang w:val="sr-Cyrl-BA"/>
        </w:rPr>
        <w:t>2%</w:t>
      </w:r>
      <w:r>
        <w:rPr>
          <w:rFonts w:ascii="Arial Narrow" w:hAnsi="Arial Narrow" w:cs="Tahoma"/>
          <w:b/>
          <w:sz w:val="30"/>
          <w:szCs w:val="30"/>
        </w:rPr>
        <w:t xml:space="preserve"> in June 2016</w:t>
      </w:r>
    </w:p>
    <w:p w:rsidR="00122399" w:rsidRPr="00920768" w:rsidRDefault="00991978" w:rsidP="00122399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122399" w:rsidRPr="00920768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Latn-BA"/>
        </w:rPr>
        <w:t>June</w:t>
      </w:r>
      <w:r w:rsidR="00122399" w:rsidRPr="00920768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>
        <w:rPr>
          <w:rFonts w:ascii="Arial Narrow" w:hAnsi="Arial Narrow" w:cs="Tahoma"/>
          <w:b/>
          <w:sz w:val="30"/>
          <w:szCs w:val="30"/>
          <w:lang w:val="sr-Latn-BA"/>
        </w:rPr>
        <w:t>June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2015) -1.</w:t>
      </w:r>
      <w:r w:rsidR="00122399" w:rsidRPr="00920768">
        <w:rPr>
          <w:rFonts w:ascii="Arial Narrow" w:hAnsi="Arial Narrow" w:cs="Tahoma"/>
          <w:b/>
          <w:sz w:val="30"/>
          <w:szCs w:val="30"/>
          <w:lang w:val="sr-Cyrl-BA"/>
        </w:rPr>
        <w:t>6%</w:t>
      </w:r>
    </w:p>
    <w:p w:rsidR="00122399" w:rsidRPr="00920768" w:rsidRDefault="00122399" w:rsidP="00122399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991978" w:rsidRDefault="00991978" w:rsidP="00122399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91978">
        <w:rPr>
          <w:rFonts w:ascii="Arial Narrow" w:hAnsi="Arial Narrow" w:cs="Tahoma"/>
          <w:sz w:val="22"/>
          <w:szCs w:val="22"/>
          <w:lang w:val="sr-Cyrl-BA"/>
        </w:rPr>
        <w:t xml:space="preserve">Prices of products and services for personal consumption in Republika Srpska, measured with the consumer price index, in June 2016, compared to the previous month, were on the average 0.2% lower, while they were 1.6% lower at the annual level. </w:t>
      </w:r>
    </w:p>
    <w:p w:rsidR="00991978" w:rsidRPr="00991978" w:rsidRDefault="00991978" w:rsidP="00122399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four divisions, a decrease was recorded in four divisions, while prices in four divisions remained on the average at the same level. </w:t>
      </w:r>
    </w:p>
    <w:p w:rsidR="00991978" w:rsidRPr="00991978" w:rsidRDefault="00991978" w:rsidP="00122399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in June was recorded in the division </w:t>
      </w:r>
      <w:r w:rsidRPr="00991978">
        <w:rPr>
          <w:rFonts w:ascii="Arial Narrow" w:hAnsi="Arial Narrow" w:cs="Tahoma"/>
          <w:i/>
          <w:sz w:val="22"/>
          <w:szCs w:val="22"/>
        </w:rPr>
        <w:t>Transport</w:t>
      </w:r>
      <w:r>
        <w:rPr>
          <w:rFonts w:ascii="Arial Narrow" w:hAnsi="Arial Narrow" w:cs="Tahoma"/>
          <w:sz w:val="22"/>
          <w:szCs w:val="22"/>
        </w:rPr>
        <w:t xml:space="preserve"> (0.9%), due to changes in purchase prices of fuel. An increase was also recorded in the division </w:t>
      </w:r>
      <w:r w:rsidRPr="00991978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 (0.3%), due to higher prices in the group recreation and sport services (13.5%). A slight increase in prices was also recorded in the division </w:t>
      </w:r>
      <w:r w:rsidRPr="00991978">
        <w:rPr>
          <w:rFonts w:ascii="Arial Narrow" w:hAnsi="Arial Narrow" w:cs="Tahoma"/>
          <w:i/>
          <w:sz w:val="22"/>
          <w:szCs w:val="22"/>
        </w:rPr>
        <w:t>Health care</w:t>
      </w:r>
      <w:r>
        <w:rPr>
          <w:rFonts w:ascii="Arial Narrow" w:hAnsi="Arial Narrow" w:cs="Tahoma"/>
          <w:sz w:val="22"/>
          <w:szCs w:val="22"/>
        </w:rPr>
        <w:t xml:space="preserve"> (0.1%), due to few new purchase prices of medicaments, and in the division Restaurants and hotels (0.1%), due to new prices of beverages in the group catering services. </w:t>
      </w:r>
    </w:p>
    <w:p w:rsidR="00122399" w:rsidRPr="00920768" w:rsidRDefault="00122399" w:rsidP="0012239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22399" w:rsidRPr="00920768" w:rsidRDefault="00991978" w:rsidP="0012239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</w:rPr>
        <w:t>In the divisions</w:t>
      </w:r>
      <w:r w:rsidR="00122399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Housing</w:t>
      </w:r>
      <w:r w:rsidR="00122399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, </w:t>
      </w:r>
      <w:r>
        <w:rPr>
          <w:rFonts w:ascii="Arial Narrow" w:hAnsi="Arial Narrow" w:cs="Tahoma"/>
          <w:i/>
          <w:sz w:val="22"/>
          <w:szCs w:val="22"/>
        </w:rPr>
        <w:t>Commnunication</w:t>
      </w:r>
      <w:r w:rsidR="00122399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, </w:t>
      </w:r>
      <w:r>
        <w:rPr>
          <w:rFonts w:ascii="Arial Narrow" w:hAnsi="Arial Narrow" w:cs="Tahoma"/>
          <w:i/>
          <w:sz w:val="22"/>
          <w:szCs w:val="22"/>
        </w:rPr>
        <w:t>Education,</w:t>
      </w:r>
      <w:r w:rsidR="00122399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and</w:t>
      </w:r>
      <w:r w:rsidR="00122399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Other goods and services</w:t>
      </w:r>
      <w:r w:rsidR="00122399" w:rsidRPr="00920768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prices remained on the average at the same level</w:t>
      </w:r>
      <w:r w:rsidR="00122399" w:rsidRPr="00920768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122399" w:rsidRPr="00920768" w:rsidRDefault="00122399" w:rsidP="0012239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C27AC" w:rsidRPr="009C27AC" w:rsidRDefault="009C27AC" w:rsidP="00122399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June was recorded in the division </w:t>
      </w:r>
      <w:r w:rsidRPr="009C27AC">
        <w:rPr>
          <w:rFonts w:ascii="Arial Narrow" w:hAnsi="Arial Narrow" w:cs="Tahoma"/>
          <w:i/>
          <w:sz w:val="22"/>
          <w:szCs w:val="22"/>
        </w:rPr>
        <w:t>Clothing and footwear</w:t>
      </w:r>
      <w:r>
        <w:rPr>
          <w:rFonts w:ascii="Arial Narrow" w:hAnsi="Arial Narrow" w:cs="Tahoma"/>
          <w:sz w:val="22"/>
          <w:szCs w:val="22"/>
        </w:rPr>
        <w:t xml:space="preserve"> (1.5%), due to various seasonal discounts, mainly in the group sports footwear (1.6%), followed by the division </w:t>
      </w:r>
      <w:r w:rsidRPr="009C27AC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(0.8%), mainly due to lower/seasonal prices of vegetables (9.6%), but also as a result of more discounts in other groups within the dicision Food. Lower prices were also recorded in the division </w:t>
      </w:r>
      <w:r w:rsidRPr="009C27AC">
        <w:rPr>
          <w:rFonts w:ascii="Arial Narrow" w:hAnsi="Arial Narrow" w:cs="Tahoma"/>
          <w:i/>
          <w:sz w:val="22"/>
          <w:szCs w:val="22"/>
        </w:rPr>
        <w:t>Furnishing and other equipment</w:t>
      </w:r>
      <w:r>
        <w:rPr>
          <w:rFonts w:ascii="Arial Narrow" w:hAnsi="Arial Narrow" w:cs="Tahoma"/>
          <w:sz w:val="22"/>
          <w:szCs w:val="22"/>
        </w:rPr>
        <w:t xml:space="preserve"> (0.6%), due to various discounts in the group </w:t>
      </w:r>
      <w:r>
        <w:rPr>
          <w:rFonts w:ascii="Arial Narrow" w:hAnsi="Arial Narrow" w:cs="Tahoma"/>
          <w:sz w:val="22"/>
        </w:rPr>
        <w:t xml:space="preserve">household cleaning and maintenance products (2.0%), and in the division </w:t>
      </w:r>
      <w:r w:rsidRPr="009C27AC">
        <w:rPr>
          <w:rFonts w:ascii="Arial Narrow" w:hAnsi="Arial Narrow" w:cs="Tahoma"/>
          <w:i/>
          <w:sz w:val="22"/>
        </w:rPr>
        <w:t>Alcoholic beverages and tobacco</w:t>
      </w:r>
      <w:r>
        <w:rPr>
          <w:rFonts w:ascii="Arial Narrow" w:hAnsi="Arial Narrow" w:cs="Tahoma"/>
          <w:sz w:val="22"/>
        </w:rPr>
        <w:t xml:space="preserve"> (0.1%). </w:t>
      </w:r>
    </w:p>
    <w:p w:rsidR="00152F07" w:rsidRPr="00920768" w:rsidRDefault="00152F07" w:rsidP="00E045B0">
      <w:pPr>
        <w:jc w:val="both"/>
        <w:rPr>
          <w:rFonts w:ascii="Arial Narrow" w:hAnsi="Arial Narrow" w:cs="Tahoma"/>
          <w:sz w:val="22"/>
          <w:lang w:val="sr-Cyrl-BA"/>
        </w:rPr>
      </w:pPr>
    </w:p>
    <w:p w:rsidR="007B3C79" w:rsidRPr="00920768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920768" w:rsidRDefault="00744FD7" w:rsidP="00920768">
      <w:pPr>
        <w:jc w:val="center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83.5pt;margin-top:225.35pt;width:67.15pt;height:19.85pt;z-index:251669504" fillcolor="white [3212]" stroked="f">
            <v:textbox>
              <w:txbxContent>
                <w:p w:rsidR="008A1BE4" w:rsidRPr="0033544C" w:rsidRDefault="008A1BE4" w:rsidP="008A1BE4">
                  <w:pPr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/>
                      <w:sz w:val="16"/>
                      <w:szCs w:val="16"/>
                    </w:rPr>
                    <w:t>Annual</w:t>
                  </w:r>
                  <w:r w:rsidRPr="0033544C">
                    <w:rPr>
                      <w:rFonts w:ascii="Arial Narrow" w:hAnsi="Arial Narrow"/>
                      <w:i/>
                      <w:sz w:val="16"/>
                      <w:szCs w:val="16"/>
                    </w:rPr>
                    <w:t xml:space="preserve"> inflation</w:t>
                  </w:r>
                </w:p>
              </w:txbxContent>
            </v:textbox>
          </v:shape>
        </w:pict>
      </w:r>
      <w:r>
        <w:rPr>
          <w:rFonts w:ascii="Arial Narrow" w:hAnsi="Arial Narrow" w:cs="Tahoma"/>
          <w:noProof/>
          <w:sz w:val="22"/>
          <w:szCs w:val="22"/>
        </w:rPr>
        <w:pict>
          <v:shape id="_x0000_s1073" type="#_x0000_t202" style="position:absolute;left:0;text-align:left;margin-left:182.25pt;margin-top:225.35pt;width:67.15pt;height:19.85pt;z-index:251668480" fillcolor="white [3212]" stroked="f">
            <v:textbox>
              <w:txbxContent>
                <w:p w:rsidR="008A1BE4" w:rsidRPr="0033544C" w:rsidRDefault="008A1BE4" w:rsidP="008A1BE4">
                  <w:pPr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  <w:r w:rsidRPr="0033544C">
                    <w:rPr>
                      <w:rFonts w:ascii="Arial Narrow" w:hAnsi="Arial Narrow"/>
                      <w:i/>
                      <w:sz w:val="16"/>
                      <w:szCs w:val="16"/>
                    </w:rPr>
                    <w:t>Monthly inflation</w:t>
                  </w:r>
                </w:p>
              </w:txbxContent>
            </v:textbox>
          </v:shape>
        </w:pict>
      </w:r>
      <w:r w:rsidR="009856D8" w:rsidRPr="00920768">
        <w:rPr>
          <w:noProof/>
        </w:rPr>
        <w:drawing>
          <wp:inline distT="0" distB="0" distL="0" distR="0" wp14:anchorId="24508D57" wp14:editId="414B0943">
            <wp:extent cx="5467350" cy="32480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8A1BE4" w:rsidRDefault="008A1BE4" w:rsidP="009856D8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9856D8" w:rsidRPr="00920768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920768">
        <w:rPr>
          <w:rFonts w:ascii="Arial Narrow" w:hAnsi="Arial Narrow" w:cs="Tahoma"/>
          <w:sz w:val="16"/>
          <w:szCs w:val="16"/>
          <w:lang w:val="sr-Latn-BA"/>
        </w:rPr>
        <w:t>2</w:t>
      </w:r>
      <w:r w:rsidR="009856D8" w:rsidRPr="00920768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</w:p>
    <w:p w:rsidR="009856D8" w:rsidRPr="00920768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920768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920768" w:rsidRDefault="009C27AC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="00F06D21" w:rsidRPr="00920768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June</w:t>
      </w:r>
      <w:r w:rsidR="00F06D21" w:rsidRPr="00920768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F06D21" w:rsidRPr="00920768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F06D21" w:rsidRPr="00920768">
        <w:rPr>
          <w:rFonts w:ascii="Arial Narrow" w:hAnsi="Arial Narrow" w:cs="Tahoma"/>
          <w:b/>
          <w:sz w:val="30"/>
          <w:szCs w:val="30"/>
        </w:rPr>
        <w:t>6</w:t>
      </w:r>
      <w:r w:rsidR="009034C3" w:rsidRPr="00920768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  <w:lang w:val="sr-Latn-BA"/>
        </w:rPr>
        <w:t>June</w:t>
      </w:r>
      <w:r w:rsidR="00F06D21" w:rsidRPr="0092076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F06D21" w:rsidRPr="00920768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bCs/>
          <w:sz w:val="30"/>
          <w:szCs w:val="30"/>
        </w:rPr>
        <w:t>5</w:t>
      </w:r>
      <w:r w:rsidR="00F06D21" w:rsidRPr="0092076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F06D21" w:rsidRPr="0092076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F06D21" w:rsidRPr="0092076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CD7671" w:rsidRPr="00920768">
        <w:rPr>
          <w:rFonts w:ascii="Arial Narrow" w:hAnsi="Arial Narrow" w:cs="Tahoma"/>
          <w:b/>
          <w:bCs/>
          <w:sz w:val="30"/>
          <w:szCs w:val="30"/>
        </w:rPr>
        <w:t>4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>.</w:t>
      </w:r>
      <w:r w:rsidR="00CD7671" w:rsidRPr="00920768">
        <w:rPr>
          <w:rFonts w:ascii="Arial Narrow" w:hAnsi="Arial Narrow" w:cs="Tahoma"/>
          <w:b/>
          <w:bCs/>
          <w:sz w:val="30"/>
          <w:szCs w:val="30"/>
        </w:rPr>
        <w:t>0</w:t>
      </w:r>
      <w:r w:rsidR="00F06D21" w:rsidRPr="00920768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920768" w:rsidRDefault="009C27AC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="00166F34" w:rsidRPr="00920768">
        <w:rPr>
          <w:rFonts w:ascii="Arial Narrow" w:hAnsi="Arial Narrow" w:cs="Tahoma"/>
          <w:b/>
          <w:sz w:val="28"/>
          <w:lang w:val="ru-RU"/>
        </w:rPr>
        <w:t xml:space="preserve"> (</w:t>
      </w:r>
      <w:r>
        <w:rPr>
          <w:rFonts w:ascii="Arial Narrow" w:hAnsi="Arial Narrow" w:cs="Tahoma"/>
          <w:b/>
          <w:sz w:val="28"/>
        </w:rPr>
        <w:t>June</w:t>
      </w:r>
      <w:r w:rsidR="00166F34" w:rsidRPr="00920768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920768">
        <w:rPr>
          <w:rFonts w:ascii="Arial Narrow" w:hAnsi="Arial Narrow" w:cs="Tahoma"/>
          <w:b/>
          <w:sz w:val="28"/>
        </w:rPr>
        <w:t>6</w:t>
      </w:r>
      <w:r w:rsidR="00166F34" w:rsidRPr="00920768">
        <w:rPr>
          <w:rFonts w:ascii="Arial Narrow" w:hAnsi="Arial Narrow" w:cs="Tahoma"/>
          <w:b/>
          <w:sz w:val="28"/>
          <w:lang w:val="ru-RU"/>
        </w:rPr>
        <w:t>/</w:t>
      </w:r>
      <w:r>
        <w:rPr>
          <w:rFonts w:ascii="Arial Narrow" w:hAnsi="Arial Narrow" w:cs="Tahoma"/>
          <w:b/>
          <w:sz w:val="28"/>
        </w:rPr>
        <w:t>June</w:t>
      </w:r>
      <w:r w:rsidR="00166F34" w:rsidRPr="00920768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920768">
        <w:rPr>
          <w:rFonts w:ascii="Arial Narrow" w:hAnsi="Arial Narrow" w:cs="Tahoma"/>
          <w:b/>
          <w:sz w:val="28"/>
        </w:rPr>
        <w:t>5</w:t>
      </w:r>
      <w:r w:rsidR="00166F34" w:rsidRPr="00920768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166F34" w:rsidRPr="00920768">
        <w:rPr>
          <w:rFonts w:ascii="Arial Narrow" w:hAnsi="Arial Narrow" w:cs="Tahoma"/>
          <w:b/>
          <w:sz w:val="28"/>
          <w:lang w:val="ru-RU"/>
        </w:rPr>
        <w:t xml:space="preserve"> </w:t>
      </w:r>
      <w:r w:rsidR="0033595C" w:rsidRPr="00920768">
        <w:rPr>
          <w:rFonts w:ascii="Arial Narrow" w:hAnsi="Arial Narrow" w:cs="Tahoma"/>
          <w:b/>
          <w:sz w:val="28"/>
          <w:lang w:val="sr-Cyrl-CS"/>
        </w:rPr>
        <w:t>0</w:t>
      </w:r>
      <w:r>
        <w:rPr>
          <w:rFonts w:ascii="Arial Narrow" w:hAnsi="Arial Narrow" w:cs="Tahoma"/>
          <w:b/>
          <w:sz w:val="28"/>
          <w:lang w:val="ru-RU"/>
        </w:rPr>
        <w:t>.</w:t>
      </w:r>
      <w:r w:rsidR="009034C3" w:rsidRPr="00920768">
        <w:rPr>
          <w:rFonts w:ascii="Arial Narrow" w:hAnsi="Arial Narrow" w:cs="Tahoma"/>
          <w:b/>
          <w:sz w:val="28"/>
          <w:lang w:val="ru-RU"/>
        </w:rPr>
        <w:t>3</w:t>
      </w:r>
      <w:r w:rsidR="00166F34" w:rsidRPr="00920768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920768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9C27AC" w:rsidRDefault="009C27AC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  <w:r>
        <w:rPr>
          <w:rFonts w:ascii="Arial Narrow" w:hAnsi="Arial Narrow" w:cs="Tahoma"/>
          <w:b/>
          <w:sz w:val="22"/>
          <w:szCs w:val="22"/>
        </w:rPr>
        <w:t>Working-day adjusted industrial production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in June</w:t>
      </w:r>
      <w:r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Pr="00A90BF7">
        <w:rPr>
          <w:rFonts w:ascii="Arial Narrow" w:hAnsi="Arial Narrow" w:cs="Tahoma"/>
          <w:sz w:val="22"/>
          <w:szCs w:val="22"/>
        </w:rPr>
        <w:t>201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6</w:t>
      </w:r>
      <w:r>
        <w:rPr>
          <w:rFonts w:ascii="Arial Narrow" w:hAnsi="Arial Narrow" w:cs="Tahoma"/>
          <w:sz w:val="22"/>
          <w:szCs w:val="22"/>
        </w:rPr>
        <w:t>,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compared to June</w:t>
      </w:r>
      <w:r w:rsidRPr="00A90BF7">
        <w:rPr>
          <w:rFonts w:ascii="Arial Narrow" w:hAnsi="Arial Narrow" w:cs="Tahoma"/>
          <w:spacing w:val="-2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ru-RU"/>
        </w:rPr>
        <w:t>2015,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increased by</w:t>
      </w:r>
      <w:r w:rsidRPr="00A90BF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>
        <w:rPr>
          <w:rFonts w:ascii="Arial Narrow" w:hAnsi="Arial Narrow" w:cs="Tahoma"/>
          <w:sz w:val="22"/>
          <w:szCs w:val="22"/>
          <w:lang w:val="sr-Cyrl-CS"/>
        </w:rPr>
        <w:t>4.0</w:t>
      </w:r>
      <w:r w:rsidRPr="00A90BF7">
        <w:rPr>
          <w:rFonts w:ascii="Arial Narrow" w:hAnsi="Arial Narrow" w:cs="Tahoma"/>
          <w:sz w:val="22"/>
          <w:szCs w:val="22"/>
          <w:lang w:val="sr-Cyrl-CS"/>
        </w:rPr>
        <w:t>%.</w:t>
      </w:r>
      <w:r w:rsidRPr="00A90BF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In the section </w:t>
      </w:r>
      <w:r>
        <w:rPr>
          <w:rFonts w:ascii="Arial Narrow" w:hAnsi="Arial Narrow" w:cs="Tahoma"/>
          <w:i/>
          <w:sz w:val="22"/>
          <w:szCs w:val="22"/>
        </w:rPr>
        <w:t>Manufacturing</w:t>
      </w:r>
      <w:r w:rsidRPr="00650F8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a decrease</w:t>
      </w:r>
      <w:r w:rsidRPr="00650F89">
        <w:rPr>
          <w:rFonts w:ascii="Arial Narrow" w:hAnsi="Arial Narrow" w:cs="Tahoma"/>
          <w:sz w:val="22"/>
          <w:szCs w:val="22"/>
        </w:rPr>
        <w:t xml:space="preserve"> by </w:t>
      </w:r>
      <w:r>
        <w:rPr>
          <w:rFonts w:ascii="Arial Narrow" w:hAnsi="Arial Narrow" w:cs="Tahoma"/>
          <w:sz w:val="22"/>
          <w:szCs w:val="22"/>
        </w:rPr>
        <w:t>0.9</w:t>
      </w:r>
      <w:r w:rsidRPr="00650F89">
        <w:rPr>
          <w:rFonts w:ascii="Arial Narrow" w:hAnsi="Arial Narrow" w:cs="Tahoma"/>
          <w:sz w:val="22"/>
          <w:szCs w:val="22"/>
        </w:rPr>
        <w:t>% was recorded</w:t>
      </w:r>
      <w:r>
        <w:rPr>
          <w:rFonts w:ascii="Arial Narrow" w:hAnsi="Arial Narrow" w:cs="Tahoma"/>
          <w:sz w:val="22"/>
          <w:szCs w:val="22"/>
        </w:rPr>
        <w:t xml:space="preserve"> and in the section </w:t>
      </w:r>
      <w:r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 decrease by 17.1%, while in the section </w:t>
      </w:r>
      <w:r w:rsidRPr="00650F89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 w:rsidRPr="00650F8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an increase by 35.5% was recorded. </w:t>
      </w:r>
      <w:r w:rsidRPr="00650F89">
        <w:rPr>
          <w:rFonts w:ascii="Arial Narrow" w:hAnsi="Arial Narrow" w:cs="Tahoma"/>
          <w:sz w:val="22"/>
          <w:szCs w:val="22"/>
        </w:rPr>
        <w:t>By main industrial group, based on economic purpose of products, working day-adjusted production of</w:t>
      </w:r>
      <w:r>
        <w:rPr>
          <w:rFonts w:ascii="Arial Narrow" w:hAnsi="Arial Narrow" w:cs="Tahoma"/>
          <w:sz w:val="22"/>
          <w:szCs w:val="22"/>
        </w:rPr>
        <w:t xml:space="preserve"> capital goods in June 2016, compared to June 2015, was 26.3% higher, production of energy was 7.2% higher, production of intermediate goods was 1.1% higher and production of consumer non-durables was 0.6% higher, while production of consumer durables was 10.4% lower.</w:t>
      </w:r>
    </w:p>
    <w:p w:rsidR="00F06D21" w:rsidRPr="00920768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9C27AC" w:rsidRPr="00EF107D" w:rsidRDefault="009C27AC" w:rsidP="00166F34">
      <w:pPr>
        <w:jc w:val="both"/>
        <w:rPr>
          <w:rFonts w:ascii="Arial Narrow" w:hAnsi="Arial Narrow" w:cs="Tahoma"/>
          <w:b/>
          <w:sz w:val="22"/>
          <w:lang w:val="ru-RU"/>
        </w:rPr>
      </w:pPr>
      <w:r w:rsidRPr="00F051BF">
        <w:rPr>
          <w:rFonts w:ascii="Arial Narrow" w:hAnsi="Arial Narrow" w:cs="Tahoma"/>
          <w:b/>
          <w:sz w:val="22"/>
          <w:szCs w:val="22"/>
        </w:rPr>
        <w:t>Number of employees in industry</w:t>
      </w:r>
      <w:r w:rsidRPr="00F051BF">
        <w:rPr>
          <w:rFonts w:ascii="Arial Narrow" w:hAnsi="Arial Narrow" w:cs="Tahoma"/>
          <w:sz w:val="22"/>
          <w:szCs w:val="22"/>
        </w:rPr>
        <w:t xml:space="preserve"> in </w:t>
      </w:r>
      <w:r w:rsidR="00EF107D">
        <w:rPr>
          <w:rFonts w:ascii="Arial Narrow" w:hAnsi="Arial Narrow" w:cs="Tahoma"/>
          <w:sz w:val="22"/>
          <w:szCs w:val="22"/>
        </w:rPr>
        <w:t>June</w:t>
      </w:r>
      <w:r w:rsidRPr="00F051BF">
        <w:rPr>
          <w:rFonts w:ascii="Arial Narrow" w:hAnsi="Arial Narrow" w:cs="Tahoma"/>
          <w:sz w:val="22"/>
          <w:szCs w:val="22"/>
        </w:rPr>
        <w:t xml:space="preserve"> 2016, compared to </w:t>
      </w:r>
      <w:r w:rsidR="00EF107D">
        <w:rPr>
          <w:rFonts w:ascii="Arial Narrow" w:hAnsi="Arial Narrow" w:cs="Tahoma"/>
          <w:sz w:val="22"/>
          <w:szCs w:val="22"/>
        </w:rPr>
        <w:t xml:space="preserve">the average monthly number of employed persons in 2015, was 0.6% higher. Compared to May 2016 it was 0.4% higher and compared to the same month of the previous year it was 0.3% higher. Number of employees in industry in the period January – June 2016, compared to the same period of the previous year, was 0.7% higher. During the same period, in the section </w:t>
      </w:r>
      <w:r w:rsidR="00EF107D">
        <w:rPr>
          <w:rFonts w:ascii="Arial Narrow" w:hAnsi="Arial Narrow" w:cs="Tahoma"/>
          <w:i/>
          <w:sz w:val="22"/>
          <w:szCs w:val="22"/>
        </w:rPr>
        <w:t xml:space="preserve">Manufacturing </w:t>
      </w:r>
      <w:r w:rsidR="00EF107D">
        <w:rPr>
          <w:rFonts w:ascii="Arial Narrow" w:hAnsi="Arial Narrow" w:cs="Tahoma"/>
          <w:sz w:val="22"/>
          <w:szCs w:val="22"/>
        </w:rPr>
        <w:t xml:space="preserve">an increase by 1.0% was recorded, while a decrease by 0.7% was recorded in the section </w:t>
      </w:r>
      <w:r w:rsidR="00EF107D" w:rsidRPr="00F051BF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 w:rsidR="00EF107D">
        <w:rPr>
          <w:rFonts w:ascii="Arial Narrow" w:hAnsi="Arial Narrow" w:cs="Tahoma"/>
          <w:i/>
          <w:sz w:val="22"/>
          <w:szCs w:val="22"/>
        </w:rPr>
        <w:t xml:space="preserve">. </w:t>
      </w:r>
      <w:r w:rsidR="00EF107D">
        <w:rPr>
          <w:rFonts w:ascii="Arial Narrow" w:hAnsi="Arial Narrow" w:cs="Tahoma"/>
          <w:sz w:val="22"/>
          <w:szCs w:val="22"/>
        </w:rPr>
        <w:t xml:space="preserve">In the section </w:t>
      </w:r>
      <w:r w:rsidR="00EF107D" w:rsidRPr="00EF107D">
        <w:rPr>
          <w:rFonts w:ascii="Arial Narrow" w:hAnsi="Arial Narrow" w:cs="Tahoma"/>
          <w:i/>
          <w:sz w:val="22"/>
          <w:szCs w:val="22"/>
        </w:rPr>
        <w:t>Mining and quarrying</w:t>
      </w:r>
      <w:r w:rsidR="00EF107D">
        <w:rPr>
          <w:rFonts w:ascii="Arial Narrow" w:hAnsi="Arial Narrow" w:cs="Tahoma"/>
          <w:sz w:val="22"/>
          <w:szCs w:val="22"/>
        </w:rPr>
        <w:t xml:space="preserve"> the number of employees remained unchanged. </w:t>
      </w:r>
    </w:p>
    <w:p w:rsidR="000213F8" w:rsidRPr="00920768" w:rsidRDefault="00744FD7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22"/>
          <w:szCs w:val="22"/>
        </w:rPr>
        <w:pict>
          <v:shape id="_x0000_s1078" type="#_x0000_t202" style="position:absolute;left:0;text-align:left;margin-left:296.05pt;margin-top:219.25pt;width:66.7pt;height:17.05pt;z-index:2516736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" fillcolor="window" stroked="f">
            <v:textbox>
              <w:txbxContent>
                <w:p w:rsidR="00EF107D" w:rsidRDefault="00E70CE7" w:rsidP="00EF107D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eastAsia="+mn-ea" w:hAnsi="Arial Narrow" w:cs="+mn-cs"/>
                      <w:i/>
                      <w:iCs/>
                      <w:sz w:val="14"/>
                      <w:szCs w:val="14"/>
                    </w:rPr>
                    <w:t>Trend indices</w:t>
                  </w:r>
                </w:p>
              </w:txbxContent>
            </v:textbox>
          </v:shape>
        </w:pict>
      </w:r>
      <w:r>
        <w:rPr>
          <w:rFonts w:ascii="Arial Narrow" w:hAnsi="Arial Narrow" w:cs="Tahoma"/>
          <w:noProof/>
          <w:sz w:val="22"/>
          <w:szCs w:val="22"/>
        </w:rPr>
        <w:pict>
          <v:shape id="Text Box 1" o:spid="_x0000_s1077" type="#_x0000_t202" style="position:absolute;left:0;text-align:left;margin-left:197.6pt;margin-top:215.1pt;width:66.7pt;height:27.95pt;z-index:2516725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" fillcolor="window" stroked="f">
            <v:textbox>
              <w:txbxContent>
                <w:p w:rsidR="00EF107D" w:rsidRDefault="00EF107D" w:rsidP="00EF107D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eastAsia="+mn-ea" w:hAnsi="Arial Narrow" w:cs="+mn-cs"/>
                      <w:i/>
                      <w:iCs/>
                      <w:sz w:val="14"/>
                      <w:szCs w:val="14"/>
                    </w:rPr>
                    <w:t>Seasonally adjusted indices</w:t>
                  </w:r>
                </w:p>
              </w:txbxContent>
            </v:textbox>
          </v:shape>
        </w:pict>
      </w:r>
      <w:r w:rsidR="000E323A" w:rsidRPr="00920768">
        <w:rPr>
          <w:noProof/>
        </w:rPr>
        <w:drawing>
          <wp:inline distT="0" distB="0" distL="0" distR="0" wp14:anchorId="64ED1689" wp14:editId="76866287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920768" w:rsidRDefault="008A1BE4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B85D9D" w:rsidRPr="00920768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920768">
        <w:rPr>
          <w:rFonts w:ascii="Arial Narrow" w:hAnsi="Arial Narrow" w:cs="Tahoma"/>
          <w:sz w:val="16"/>
          <w:szCs w:val="16"/>
          <w:lang w:val="sr-Latn-CS"/>
        </w:rPr>
        <w:t>3</w:t>
      </w:r>
      <w:r w:rsidR="00B85D9D" w:rsidRPr="00920768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B85D9D" w:rsidRPr="00920768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June</w:t>
      </w:r>
      <w:r w:rsidR="00F06D21" w:rsidRPr="00920768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B85D9D" w:rsidRPr="00920768">
        <w:rPr>
          <w:rFonts w:ascii="Arial Narrow" w:hAnsi="Arial Narrow" w:cs="Tahoma"/>
          <w:sz w:val="16"/>
          <w:szCs w:val="16"/>
          <w:lang w:val="sr-Latn-CS"/>
        </w:rPr>
        <w:t>20</w:t>
      </w:r>
      <w:r w:rsidR="00B85D9D" w:rsidRPr="00920768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920768">
        <w:rPr>
          <w:rFonts w:ascii="Arial Narrow" w:hAnsi="Arial Narrow" w:cs="Tahoma"/>
          <w:sz w:val="16"/>
          <w:szCs w:val="16"/>
          <w:lang w:val="sr-Cyrl-CS"/>
        </w:rPr>
        <w:t>2</w:t>
      </w:r>
      <w:r w:rsidR="00B85D9D" w:rsidRPr="0092076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June</w:t>
      </w:r>
      <w:r w:rsidR="00B85D9D" w:rsidRPr="00920768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920768">
        <w:rPr>
          <w:rFonts w:ascii="Arial Narrow" w:hAnsi="Arial Narrow" w:cs="Tahoma"/>
          <w:sz w:val="16"/>
          <w:szCs w:val="16"/>
          <w:lang w:val="sr-Cyrl-CS"/>
        </w:rPr>
        <w:t>6</w:t>
      </w:r>
      <w:r w:rsidR="00B85D9D" w:rsidRPr="00920768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92076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920768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92076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63D11" w:rsidRPr="00920768" w:rsidRDefault="00763D1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E4C93" w:rsidRPr="00920768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920768" w:rsidRDefault="00C74CD8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C74CD8">
        <w:rPr>
          <w:rFonts w:ascii="Arial Narrow" w:hAnsi="Arial Narrow" w:cs="Tahoma"/>
          <w:b/>
          <w:sz w:val="30"/>
          <w:szCs w:val="30"/>
        </w:rPr>
        <w:t xml:space="preserve">Coverage of import with export (in the period </w:t>
      </w:r>
      <w:r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>
        <w:rPr>
          <w:rFonts w:ascii="Arial Narrow" w:hAnsi="Arial Narrow" w:cs="Tahoma"/>
          <w:b/>
          <w:sz w:val="30"/>
          <w:szCs w:val="30"/>
        </w:rPr>
        <w:t>-June</w:t>
      </w:r>
      <w:r w:rsidR="00F442FA" w:rsidRPr="0092076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F442FA" w:rsidRPr="00920768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920768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F442FA" w:rsidRPr="00920768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="00F442FA" w:rsidRPr="0092076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920768">
        <w:rPr>
          <w:rFonts w:ascii="Arial Narrow" w:hAnsi="Arial Narrow" w:cs="Tahoma"/>
          <w:b/>
          <w:sz w:val="30"/>
          <w:szCs w:val="30"/>
        </w:rPr>
        <w:t>6</w:t>
      </w:r>
      <w:r w:rsidR="006E7C3A" w:rsidRPr="00920768">
        <w:rPr>
          <w:rFonts w:ascii="Arial Narrow" w:hAnsi="Arial Narrow" w:cs="Tahoma"/>
          <w:b/>
          <w:sz w:val="30"/>
          <w:szCs w:val="30"/>
        </w:rPr>
        <w:t>5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31402B" w:rsidRPr="00920768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="00F442FA" w:rsidRPr="0092076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920768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C74CD8" w:rsidRPr="00C74CD8" w:rsidRDefault="00C74CD8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In June 2016, the value of export was 248 million KM and the value of import was 418 million KM.</w:t>
      </w:r>
    </w:p>
    <w:p w:rsidR="003A0849" w:rsidRPr="00920768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C74CD8" w:rsidRDefault="00C74CD8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C74CD8">
        <w:rPr>
          <w:rFonts w:ascii="Arial Narrow" w:hAnsi="Arial Narrow" w:cs="Tahoma"/>
          <w:sz w:val="22"/>
        </w:rPr>
        <w:t xml:space="preserve">In the total external trade of Republika Srpska in </w:t>
      </w:r>
      <w:r>
        <w:rPr>
          <w:rFonts w:ascii="Arial Narrow" w:hAnsi="Arial Narrow" w:cs="Tahoma"/>
          <w:sz w:val="22"/>
        </w:rPr>
        <w:t>June</w:t>
      </w:r>
      <w:r w:rsidRPr="00C74CD8">
        <w:rPr>
          <w:rFonts w:ascii="Arial Narrow" w:hAnsi="Arial Narrow" w:cs="Tahoma"/>
          <w:sz w:val="22"/>
        </w:rPr>
        <w:t xml:space="preserve"> of the current year, the percentage of coverag</w:t>
      </w:r>
      <w:r>
        <w:rPr>
          <w:rFonts w:ascii="Arial Narrow" w:hAnsi="Arial Narrow" w:cs="Tahoma"/>
          <w:sz w:val="22"/>
        </w:rPr>
        <w:t>e of import with export was 59.3</w:t>
      </w:r>
      <w:r w:rsidRPr="00C74CD8">
        <w:rPr>
          <w:rFonts w:ascii="Arial Narrow" w:hAnsi="Arial Narrow" w:cs="Tahoma"/>
          <w:sz w:val="22"/>
        </w:rPr>
        <w:t xml:space="preserve">%. The percentage of coverage of import with export in the first </w:t>
      </w:r>
      <w:r>
        <w:rPr>
          <w:rFonts w:ascii="Arial Narrow" w:hAnsi="Arial Narrow" w:cs="Tahoma"/>
          <w:sz w:val="22"/>
        </w:rPr>
        <w:t>six</w:t>
      </w:r>
      <w:r w:rsidRPr="00C74CD8">
        <w:rPr>
          <w:rFonts w:ascii="Arial Narrow" w:hAnsi="Arial Narrow" w:cs="Tahoma"/>
          <w:sz w:val="22"/>
        </w:rPr>
        <w:t xml:space="preserve"> m</w:t>
      </w:r>
      <w:r>
        <w:rPr>
          <w:rFonts w:ascii="Arial Narrow" w:hAnsi="Arial Narrow" w:cs="Tahoma"/>
          <w:sz w:val="22"/>
        </w:rPr>
        <w:t>onths of the current year was 65</w:t>
      </w:r>
      <w:r w:rsidRPr="00C74CD8">
        <w:rPr>
          <w:rFonts w:ascii="Arial Narrow" w:hAnsi="Arial Narrow" w:cs="Tahoma"/>
          <w:sz w:val="22"/>
        </w:rPr>
        <w:t>.5%</w:t>
      </w:r>
    </w:p>
    <w:p w:rsidR="00384927" w:rsidRPr="00920768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C74CD8" w:rsidRDefault="00C74CD8" w:rsidP="00F442FA">
      <w:pPr>
        <w:jc w:val="both"/>
        <w:rPr>
          <w:rFonts w:ascii="Arial Narrow" w:hAnsi="Arial Narrow" w:cs="Tahoma"/>
          <w:sz w:val="22"/>
          <w:lang w:val="ru-RU"/>
        </w:rPr>
      </w:pPr>
      <w:r w:rsidRPr="00C74CD8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June</w:t>
      </w:r>
      <w:r w:rsidRPr="00C74CD8">
        <w:rPr>
          <w:rFonts w:ascii="Arial Narrow" w:hAnsi="Arial Narrow" w:cs="Tahoma"/>
          <w:sz w:val="22"/>
        </w:rPr>
        <w:t xml:space="preserve"> 2016, the value of export was 1 billion and </w:t>
      </w:r>
      <w:r>
        <w:rPr>
          <w:rFonts w:ascii="Arial Narrow" w:hAnsi="Arial Narrow" w:cs="Tahoma"/>
          <w:sz w:val="22"/>
        </w:rPr>
        <w:t>345</w:t>
      </w:r>
      <w:r w:rsidRPr="00C74CD8">
        <w:rPr>
          <w:rFonts w:ascii="Arial Narrow" w:hAnsi="Arial Narrow" w:cs="Tahoma"/>
          <w:sz w:val="22"/>
        </w:rPr>
        <w:t xml:space="preserve"> million KM, wh</w:t>
      </w:r>
      <w:r>
        <w:rPr>
          <w:rFonts w:ascii="Arial Narrow" w:hAnsi="Arial Narrow" w:cs="Tahoma"/>
          <w:sz w:val="22"/>
        </w:rPr>
        <w:t>ich represented an increase by 8.3</w:t>
      </w:r>
      <w:r w:rsidRPr="00C74CD8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>
        <w:rPr>
          <w:rFonts w:ascii="Arial Narrow" w:hAnsi="Arial Narrow" w:cs="Tahoma"/>
          <w:sz w:val="22"/>
        </w:rPr>
        <w:t>2</w:t>
      </w:r>
      <w:r w:rsidRPr="00C74CD8">
        <w:rPr>
          <w:rFonts w:ascii="Arial Narrow" w:hAnsi="Arial Narrow" w:cs="Tahoma"/>
          <w:sz w:val="22"/>
        </w:rPr>
        <w:t xml:space="preserve"> billion and </w:t>
      </w:r>
      <w:r>
        <w:rPr>
          <w:rFonts w:ascii="Arial Narrow" w:hAnsi="Arial Narrow" w:cs="Tahoma"/>
          <w:sz w:val="22"/>
        </w:rPr>
        <w:t>54</w:t>
      </w:r>
      <w:r w:rsidRPr="00C74CD8">
        <w:rPr>
          <w:rFonts w:ascii="Arial Narrow" w:hAnsi="Arial Narrow" w:cs="Tahoma"/>
          <w:sz w:val="22"/>
        </w:rPr>
        <w:t xml:space="preserve"> million KM, which represented </w:t>
      </w:r>
      <w:r>
        <w:rPr>
          <w:rFonts w:ascii="Arial Narrow" w:hAnsi="Arial Narrow" w:cs="Tahoma"/>
          <w:sz w:val="22"/>
        </w:rPr>
        <w:t>a decrease by 2.0</w:t>
      </w:r>
      <w:r w:rsidRPr="00C74CD8">
        <w:rPr>
          <w:rFonts w:ascii="Arial Narrow" w:hAnsi="Arial Narrow" w:cs="Tahoma"/>
          <w:sz w:val="22"/>
        </w:rPr>
        <w:t>% compared to the same period of the previous year</w:t>
      </w:r>
    </w:p>
    <w:p w:rsidR="00F442FA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C74CD8" w:rsidRPr="00C74CD8" w:rsidRDefault="00C74CD8" w:rsidP="00C74CD8">
      <w:pPr>
        <w:jc w:val="both"/>
        <w:rPr>
          <w:rFonts w:ascii="Arial Narrow" w:hAnsi="Arial Narrow" w:cs="Tahoma"/>
          <w:sz w:val="22"/>
        </w:rPr>
      </w:pPr>
      <w:r w:rsidRPr="00C74CD8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>
        <w:rPr>
          <w:rFonts w:ascii="Arial Narrow" w:hAnsi="Arial Narrow" w:cs="Tahoma"/>
          <w:sz w:val="22"/>
        </w:rPr>
        <w:t>June</w:t>
      </w:r>
      <w:r w:rsidRPr="00C74CD8">
        <w:rPr>
          <w:rFonts w:ascii="Arial Narrow" w:hAnsi="Arial Narrow" w:cs="Tahoma"/>
          <w:sz w:val="22"/>
        </w:rPr>
        <w:t xml:space="preserve"> 2016, the highest value of export was that of export to Italy, with </w:t>
      </w:r>
      <w:r w:rsidR="008E723C">
        <w:rPr>
          <w:rFonts w:ascii="Arial Narrow" w:hAnsi="Arial Narrow" w:cs="Tahoma"/>
          <w:sz w:val="22"/>
        </w:rPr>
        <w:t>254</w:t>
      </w:r>
      <w:r w:rsidRPr="00C74CD8">
        <w:rPr>
          <w:rFonts w:ascii="Arial Narrow" w:hAnsi="Arial Narrow" w:cs="Tahoma"/>
          <w:sz w:val="22"/>
        </w:rPr>
        <w:t xml:space="preserve"> mil</w:t>
      </w:r>
      <w:r w:rsidR="008E723C">
        <w:rPr>
          <w:rFonts w:ascii="Arial Narrow" w:hAnsi="Arial Narrow" w:cs="Tahoma"/>
          <w:sz w:val="22"/>
        </w:rPr>
        <w:t>lion KM or 18.8</w:t>
      </w:r>
      <w:r w:rsidRPr="00C74CD8">
        <w:rPr>
          <w:rFonts w:ascii="Arial Narrow" w:hAnsi="Arial Narrow" w:cs="Tahoma"/>
          <w:sz w:val="22"/>
        </w:rPr>
        <w:t xml:space="preserve">%, followed by Germany, with </w:t>
      </w:r>
      <w:r w:rsidR="008E723C">
        <w:rPr>
          <w:rFonts w:ascii="Arial Narrow" w:hAnsi="Arial Narrow" w:cs="Tahoma"/>
          <w:sz w:val="22"/>
        </w:rPr>
        <w:t>161 million KM or 12.0</w:t>
      </w:r>
      <w:r w:rsidRPr="00C74CD8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from Serbia, with </w:t>
      </w:r>
      <w:r w:rsidR="008E723C">
        <w:rPr>
          <w:rFonts w:ascii="Arial Narrow" w:hAnsi="Arial Narrow" w:cs="Tahoma"/>
          <w:sz w:val="22"/>
        </w:rPr>
        <w:t>369 million KM or 18</w:t>
      </w:r>
      <w:r w:rsidRPr="00C74CD8">
        <w:rPr>
          <w:rFonts w:ascii="Arial Narrow" w:hAnsi="Arial Narrow" w:cs="Tahoma"/>
          <w:sz w:val="22"/>
        </w:rPr>
        <w:t xml:space="preserve">.0%, followed by Italy, with </w:t>
      </w:r>
      <w:r w:rsidR="008E723C">
        <w:rPr>
          <w:rFonts w:ascii="Arial Narrow" w:hAnsi="Arial Narrow" w:cs="Tahoma"/>
          <w:sz w:val="22"/>
        </w:rPr>
        <w:t>270</w:t>
      </w:r>
      <w:r w:rsidRPr="00C74CD8">
        <w:rPr>
          <w:rFonts w:ascii="Arial Narrow" w:hAnsi="Arial Narrow" w:cs="Tahoma"/>
          <w:sz w:val="22"/>
        </w:rPr>
        <w:t xml:space="preserve"> million KM or 13.2% of the total realised import.</w:t>
      </w:r>
    </w:p>
    <w:p w:rsidR="00C74CD8" w:rsidRPr="00920768" w:rsidRDefault="00C74CD8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8E723C" w:rsidRPr="008E723C" w:rsidRDefault="008E723C" w:rsidP="008E723C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8E723C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June</w:t>
      </w:r>
      <w:r w:rsidRPr="008E723C">
        <w:rPr>
          <w:rFonts w:ascii="Arial Narrow" w:hAnsi="Arial Narrow" w:cs="Tahoma"/>
          <w:sz w:val="22"/>
        </w:rPr>
        <w:t xml:space="preserve"> 2016, the highest share in export was that of processed wood, with the total value of </w:t>
      </w:r>
      <w:r>
        <w:rPr>
          <w:rFonts w:ascii="Arial Narrow" w:hAnsi="Arial Narrow" w:cs="Tahoma"/>
          <w:sz w:val="22"/>
        </w:rPr>
        <w:t>82</w:t>
      </w:r>
      <w:r w:rsidRPr="008E723C">
        <w:rPr>
          <w:rFonts w:ascii="Arial Narrow" w:hAnsi="Arial Narrow" w:cs="Tahoma"/>
          <w:sz w:val="22"/>
        </w:rPr>
        <w:t xml:space="preserve"> million KM, which was 6.1%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224</w:t>
      </w:r>
      <w:r w:rsidRPr="008E723C">
        <w:rPr>
          <w:rFonts w:ascii="Arial Narrow" w:hAnsi="Arial Narrow" w:cs="Tahoma"/>
          <w:sz w:val="22"/>
        </w:rPr>
        <w:t xml:space="preserve"> million KM, which was </w:t>
      </w:r>
      <w:r>
        <w:rPr>
          <w:rFonts w:ascii="Arial Narrow" w:hAnsi="Arial Narrow" w:cs="Tahoma"/>
          <w:sz w:val="22"/>
        </w:rPr>
        <w:t>10.9</w:t>
      </w:r>
      <w:r w:rsidRPr="008E723C">
        <w:rPr>
          <w:rFonts w:ascii="Arial Narrow" w:hAnsi="Arial Narrow" w:cs="Tahoma"/>
          <w:sz w:val="22"/>
        </w:rPr>
        <w:t>% of the total import.</w:t>
      </w:r>
    </w:p>
    <w:p w:rsidR="008E723C" w:rsidRPr="008E723C" w:rsidRDefault="008E723C" w:rsidP="008E723C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15CDB" w:rsidRDefault="00115CDB" w:rsidP="00115CD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8E723C" w:rsidRDefault="008E723C" w:rsidP="00115CD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8E723C" w:rsidRPr="00920768" w:rsidRDefault="008E723C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92076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92076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92076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92076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92076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920768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920768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920768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20768" w:rsidRDefault="00744FD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8" type="#_x0000_t202" style="position:absolute;left:0;text-align:left;margin-left:295.05pt;margin-top:7.35pt;width:64.2pt;height:19.75pt;z-index:251664384;mso-width-relative:margin;mso-height-relative:margin" stroked="f">
            <v:textbox style="mso-next-textbox:#_x0000_s1068">
              <w:txbxContent>
                <w:p w:rsidR="005257A2" w:rsidRPr="000A1309" w:rsidRDefault="00376A8D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sr-Latn-BA"/>
                    </w:rPr>
                    <w:t>thous</w:t>
                  </w:r>
                  <w:r w:rsidR="005257A2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353834" w:rsidRPr="00920768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920768" w:rsidRDefault="00744FD7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iCs/>
          <w:noProof/>
          <w:sz w:val="18"/>
          <w:szCs w:val="18"/>
        </w:rPr>
        <w:pict>
          <v:shape id="_x0000_s1076" type="#_x0000_t202" style="position:absolute;left:0;text-align:left;margin-left:396.55pt;margin-top:91.95pt;width:48pt;height:21.25pt;z-index:2516715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" fillcolor="window" stroked="f">
            <v:textbox>
              <w:txbxContent>
                <w:p w:rsidR="008A1BE4" w:rsidRDefault="008A1BE4" w:rsidP="008A1BE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export</w:t>
                  </w:r>
                </w:p>
              </w:txbxContent>
            </v:textbox>
          </v:shape>
        </w:pict>
      </w:r>
      <w:r>
        <w:rPr>
          <w:rFonts w:ascii="Tahoma" w:hAnsi="Tahoma" w:cs="Tahoma"/>
          <w:iCs/>
          <w:noProof/>
          <w:sz w:val="18"/>
          <w:szCs w:val="18"/>
        </w:rPr>
        <w:pict>
          <v:shape id="TextBox 1" o:spid="_x0000_s1075" type="#_x0000_t202" style="position:absolute;left:0;text-align:left;margin-left:395.85pt;margin-top:71pt;width:42.05pt;height:17.3pt;z-index:2516705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" fillcolor="window" stroked="f">
            <v:path arrowok="t"/>
            <v:textbox style="mso-next-textbox:#TextBox 1">
              <w:txbxContent>
                <w:p w:rsidR="008A1BE4" w:rsidRDefault="008A1BE4" w:rsidP="008A1BE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Arial Narrow" w:hAnsi="Arial Narrow" w:cstheme="minorBidi"/>
                      <w:sz w:val="16"/>
                      <w:szCs w:val="16"/>
                    </w:rPr>
                    <w:t>import</w:t>
                  </w:r>
                </w:p>
              </w:txbxContent>
            </v:textbox>
          </v:shape>
        </w:pict>
      </w:r>
      <w:r w:rsidR="00AF73B5" w:rsidRPr="00920768">
        <w:rPr>
          <w:noProof/>
        </w:rPr>
        <w:drawing>
          <wp:inline distT="0" distB="0" distL="0" distR="0" wp14:anchorId="6099D55A" wp14:editId="60C2A84F">
            <wp:extent cx="478536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5.6pt;margin-top:202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5257A2" w:rsidRPr="000A1309" w:rsidRDefault="005257A2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3A0849" w:rsidRPr="00920768" w:rsidRDefault="00744FD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5.3pt;margin-top:2.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5257A2" w:rsidRPr="000A1309" w:rsidRDefault="005257A2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</w:p>
    <w:p w:rsidR="00101E3A" w:rsidRPr="00920768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920768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376A8D" w:rsidRDefault="00376A8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sr-Latn-BA"/>
        </w:rPr>
      </w:pPr>
      <w:r>
        <w:rPr>
          <w:rFonts w:ascii="Arial Narrow" w:hAnsi="Arial Narrow" w:cs="Tahoma"/>
          <w:sz w:val="16"/>
          <w:szCs w:val="22"/>
          <w:lang w:val="sr-Latn-BA"/>
        </w:rPr>
        <w:t>Graph</w:t>
      </w:r>
      <w:r w:rsidR="00777348" w:rsidRPr="00920768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635FC4">
        <w:rPr>
          <w:rFonts w:ascii="Arial Narrow" w:hAnsi="Arial Narrow" w:cs="Tahoma"/>
          <w:sz w:val="16"/>
          <w:szCs w:val="22"/>
          <w:lang w:val="sr-Latn-BA"/>
        </w:rPr>
        <w:t>4</w:t>
      </w:r>
      <w:r w:rsidR="00777348" w:rsidRPr="00920768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  <w:lang w:val="sr-Latn-BA"/>
        </w:rPr>
        <w:t>Export and import by month</w:t>
      </w:r>
    </w:p>
    <w:p w:rsidR="002E1D1D" w:rsidRPr="00920768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920768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2DC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DC2DCC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314CA9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314CA9">
              <w:rPr>
                <w:rFonts w:ascii="Arial Narrow" w:hAnsi="Arial Narrow" w:cs="Tahoma"/>
                <w:b/>
                <w:sz w:val="22"/>
                <w:lang w:val="sr-Cyrl-CS"/>
              </w:rPr>
              <w:t>DATA PREPARED BY</w:t>
            </w:r>
            <w:r w:rsidR="009E2A9A"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806FE" w:rsidRPr="00314CA9" w:rsidRDefault="00314CA9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National accounts statistics</w:t>
            </w:r>
          </w:p>
          <w:p w:rsidR="006806FE" w:rsidRPr="00314CA9" w:rsidRDefault="00314CA9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Žana Alagić</w:t>
            </w:r>
          </w:p>
          <w:p w:rsidR="006806FE" w:rsidRPr="000E323A" w:rsidRDefault="00744FD7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6806FE" w:rsidRPr="000E323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zana.alagic@rzs.rs.ba</w:t>
              </w:r>
            </w:hyperlink>
          </w:p>
          <w:p w:rsidR="006806FE" w:rsidRPr="00314CA9" w:rsidRDefault="00314CA9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Dragana Kunovac</w:t>
            </w:r>
          </w:p>
          <w:p w:rsidR="006806FE" w:rsidRPr="000E323A" w:rsidRDefault="00744FD7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6806FE" w:rsidRPr="000E323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dragana.kunovac@rzs.rs.ba</w:t>
              </w:r>
            </w:hyperlink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314CA9" w:rsidRPr="00CD455D" w:rsidRDefault="00314CA9" w:rsidP="00314CA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314CA9" w:rsidRPr="00CD455D" w:rsidRDefault="00314CA9" w:rsidP="00314CA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CD455D">
              <w:rPr>
                <w:rFonts w:ascii="Arial Narrow" w:hAnsi="Arial Narrow" w:cs="Tahoma"/>
                <w:sz w:val="18"/>
                <w:szCs w:val="18"/>
              </w:rPr>
              <w:t xml:space="preserve">Biljana Glušac </w:t>
            </w:r>
          </w:p>
          <w:p w:rsidR="0066022A" w:rsidRPr="00DC2DCC" w:rsidRDefault="00744FD7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14CA9" w:rsidRPr="00B84D4D" w:rsidRDefault="00314CA9" w:rsidP="00314CA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84D4D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314CA9" w:rsidRDefault="00314CA9" w:rsidP="00314CA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84D4D">
              <w:rPr>
                <w:rFonts w:ascii="Arial Narrow" w:hAnsi="Arial Narrow" w:cs="Tahoma"/>
                <w:sz w:val="18"/>
                <w:szCs w:val="18"/>
              </w:rPr>
              <w:t xml:space="preserve">Biljana Tešić </w:t>
            </w:r>
          </w:p>
          <w:p w:rsidR="0066022A" w:rsidRPr="00DC2DCC" w:rsidRDefault="00744FD7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DC2DCC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14CA9" w:rsidRPr="007E517E" w:rsidRDefault="00314CA9" w:rsidP="00314CA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314CA9" w:rsidRDefault="00314CA9" w:rsidP="00314CA9">
            <w:pPr>
              <w:jc w:val="both"/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>Mirjana Bandur</w:t>
            </w:r>
            <w:r>
              <w:t xml:space="preserve"> </w:t>
            </w:r>
          </w:p>
          <w:p w:rsidR="0066022A" w:rsidRPr="00DC2DCC" w:rsidRDefault="00744FD7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8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14CA9" w:rsidRPr="00700714" w:rsidRDefault="00314CA9" w:rsidP="00314CA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314CA9" w:rsidRPr="00252DE1" w:rsidRDefault="00314CA9" w:rsidP="00314CA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DC2DCC" w:rsidRDefault="00744FD7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9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314CA9" w:rsidRDefault="00314CA9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14CA9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314CA9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314CA9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744FD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744FD7">
        <w:trPr>
          <w:trHeight w:hRule="exact" w:val="113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9504BB" w:rsidTr="00744FD7">
        <w:trPr>
          <w:trHeight w:val="1603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744FD7" w:rsidRDefault="00744FD7" w:rsidP="00314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14CA9">
              <w:rPr>
                <w:rFonts w:ascii="Arial Narrow" w:hAnsi="Arial Narrow" w:cs="Tahoma"/>
                <w:sz w:val="18"/>
                <w:lang w:val="sr-Cyrl-CS"/>
              </w:rPr>
              <w:t>The Release prepared by the Publications Division</w:t>
            </w:r>
          </w:p>
          <w:p w:rsidR="00314CA9" w:rsidRPr="00314CA9" w:rsidRDefault="00314CA9" w:rsidP="00314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14CA9">
              <w:rPr>
                <w:rFonts w:ascii="Arial Narrow" w:hAnsi="Arial Narrow" w:cs="Tahoma"/>
                <w:sz w:val="18"/>
                <w:szCs w:val="18"/>
                <w:lang w:val="ru-RU"/>
              </w:rPr>
              <w:t>Vladan Sibinović, Head of the Division</w:t>
            </w:r>
          </w:p>
          <w:p w:rsidR="00314CA9" w:rsidRPr="00314CA9" w:rsidRDefault="00314CA9" w:rsidP="00314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14CA9">
              <w:rPr>
                <w:rFonts w:ascii="Arial Narrow" w:hAnsi="Arial Narrow" w:cs="Tahoma"/>
                <w:sz w:val="18"/>
                <w:szCs w:val="18"/>
                <w:lang w:val="ru-RU"/>
              </w:rPr>
              <w:t>Published by the Republika Srpska Institute of Statistics,</w:t>
            </w:r>
          </w:p>
          <w:p w:rsidR="00314CA9" w:rsidRPr="00314CA9" w:rsidRDefault="00314CA9" w:rsidP="00314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14CA9">
              <w:rPr>
                <w:rFonts w:ascii="Arial Narrow" w:hAnsi="Arial Narrow" w:cs="Tahoma"/>
                <w:sz w:val="18"/>
                <w:szCs w:val="18"/>
                <w:lang w:val="ru-RU"/>
              </w:rPr>
              <w:t>Republika Srpska, Banja Luka, Veljka Mlađenovića 12d</w:t>
            </w:r>
          </w:p>
          <w:p w:rsidR="00314CA9" w:rsidRDefault="00314CA9" w:rsidP="00314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14CA9">
              <w:rPr>
                <w:rFonts w:ascii="Arial Narrow" w:hAnsi="Arial Narrow" w:cs="Tahoma"/>
                <w:sz w:val="18"/>
                <w:szCs w:val="18"/>
                <w:lang w:val="ru-RU"/>
              </w:rPr>
              <w:t>Radmila Čičković, PhD, Director General of the Institute</w:t>
            </w:r>
          </w:p>
          <w:p w:rsidR="00744FD7" w:rsidRPr="00314CA9" w:rsidRDefault="00744FD7" w:rsidP="00314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744FD7">
              <w:rPr>
                <w:rFonts w:ascii="Arial Narrow" w:hAnsi="Arial Narrow" w:cs="Tahoma"/>
                <w:sz w:val="18"/>
                <w:szCs w:val="18"/>
                <w:lang w:val="ru-RU"/>
              </w:rPr>
              <w:t>Vladan Sibinović, Editor in chief</w:t>
            </w:r>
          </w:p>
          <w:p w:rsidR="00314CA9" w:rsidRPr="00314CA9" w:rsidRDefault="00314CA9" w:rsidP="00314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14CA9">
              <w:rPr>
                <w:rFonts w:ascii="Arial Narrow" w:hAnsi="Arial Narrow" w:cs="Tahoma"/>
                <w:sz w:val="18"/>
                <w:szCs w:val="18"/>
                <w:lang w:val="ru-RU"/>
              </w:rPr>
              <w:t>The Release is published online at: www.rzs.rs.ba</w:t>
            </w:r>
          </w:p>
          <w:p w:rsidR="009E2A9A" w:rsidRPr="00744FD7" w:rsidRDefault="00314CA9" w:rsidP="00314C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14CA9">
              <w:rPr>
                <w:rFonts w:ascii="Arial Narrow" w:hAnsi="Arial Narrow" w:cs="Tahoma"/>
                <w:sz w:val="18"/>
                <w:szCs w:val="18"/>
                <w:lang w:val="ru-RU"/>
              </w:rPr>
              <w:t>telephone +387 51 332 700; e-mail: stat@rzs.rs.ba</w:t>
            </w:r>
          </w:p>
          <w:p w:rsidR="009E2A9A" w:rsidRPr="00744FD7" w:rsidRDefault="00314CA9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sz w:val="18"/>
                <w:szCs w:val="18"/>
                <w:lang w:val="ru-RU"/>
              </w:rPr>
            </w:pPr>
            <w:r w:rsidRPr="00744FD7">
              <w:rPr>
                <w:rFonts w:ascii="Arial Narrow" w:hAnsi="Arial Narrow" w:cs="Tahoma"/>
                <w:b/>
                <w:sz w:val="18"/>
                <w:szCs w:val="18"/>
                <w:lang w:val="ru-RU"/>
              </w:rPr>
              <w:t>Data may be used provided the source is acknowledged</w:t>
            </w:r>
          </w:p>
        </w:tc>
      </w:tr>
    </w:tbl>
    <w:p w:rsidR="009E2A9A" w:rsidRPr="00CA19B5" w:rsidRDefault="00744FD7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A2" w:rsidRDefault="005257A2">
      <w:r>
        <w:separator/>
      </w:r>
    </w:p>
  </w:endnote>
  <w:endnote w:type="continuationSeparator" w:id="0">
    <w:p w:rsidR="005257A2" w:rsidRDefault="0052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744FD7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5257A2" w:rsidRPr="00175687" w:rsidRDefault="005257A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744FD7">
                    <w:rPr>
                      <w:rFonts w:ascii="Tahoma" w:hAnsi="Tahoma" w:cs="Tahoma"/>
                      <w:noProof/>
                      <w:color w:val="FFFFFF"/>
                    </w:rPr>
                    <w:t>6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744FD7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5257A2" w:rsidRPr="00175687" w:rsidRDefault="005257A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744FD7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A2" w:rsidRDefault="005257A2">
      <w:r>
        <w:separator/>
      </w:r>
    </w:p>
  </w:footnote>
  <w:footnote w:type="continuationSeparator" w:id="0">
    <w:p w:rsidR="005257A2" w:rsidRDefault="0052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5257A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257A2" w:rsidRPr="00AC312A" w:rsidRDefault="00AC312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5257A2" w:rsidRPr="00AC312A" w:rsidRDefault="00AC312A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257A2" w:rsidRPr="005D5311" w:rsidRDefault="005257A2" w:rsidP="00AC312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="00AC312A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July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="00AC312A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,</w:t>
          </w:r>
          <w:r w:rsidR="00AC312A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No.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84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257A2" w:rsidRDefault="00744FD7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4B6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98C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CA9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A8D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605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FC4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4FD7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BE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23C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68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978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AC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2EC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615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12A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4CD8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CE7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7D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D9350311-E44C-4C84-9660-C4B2C11A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8A1BE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mailto:mirjana.bandur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Biljana.tes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glusa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ragana.kunovac@rzs.rs.ba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ana.alagi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gnjicog\AppData\Local\Microsoft\Windows\Temporary%20Internet%20Files\Content.Outlook\MGF1XII8\Grafikon_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2015</c:v>
                  </c:pt>
                  <c:pt idx="7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843</c:v>
                </c:pt>
                <c:pt idx="1">
                  <c:v>834</c:v>
                </c:pt>
                <c:pt idx="2">
                  <c:v>834</c:v>
                </c:pt>
                <c:pt idx="3">
                  <c:v>834</c:v>
                </c:pt>
                <c:pt idx="4">
                  <c:v>824</c:v>
                </c:pt>
                <c:pt idx="5">
                  <c:v>824</c:v>
                </c:pt>
                <c:pt idx="6">
                  <c:v>834</c:v>
                </c:pt>
                <c:pt idx="7">
                  <c:v>816</c:v>
                </c:pt>
                <c:pt idx="8">
                  <c:v>838</c:v>
                </c:pt>
                <c:pt idx="9">
                  <c:v>837</c:v>
                </c:pt>
                <c:pt idx="10">
                  <c:v>832</c:v>
                </c:pt>
                <c:pt idx="11">
                  <c:v>841</c:v>
                </c:pt>
                <c:pt idx="12">
                  <c:v>845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1431288"/>
        <c:axId val="391449080"/>
      </c:lineChart>
      <c:catAx>
        <c:axId val="39143128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91449080"/>
        <c:crosses val="autoZero"/>
        <c:auto val="1"/>
        <c:lblAlgn val="ctr"/>
        <c:lblOffset val="100"/>
        <c:noMultiLvlLbl val="0"/>
      </c:catAx>
      <c:valAx>
        <c:axId val="39144908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3914312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725E-2"/>
          <c:w val="0.90069686411149863"/>
          <c:h val="0.76569037656904004"/>
        </c:manualLayout>
      </c:layout>
      <c:lineChart>
        <c:grouping val="standard"/>
        <c:varyColors val="0"/>
        <c:ser>
          <c:idx val="0"/>
          <c:order val="0"/>
          <c:tx>
            <c:strRef>
              <c:f>[Grafikon_2016.xlsx]jun!$C$3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[Grafikon_2016.xlsx]jun!$A$4:$B$16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2015</c:v>
                  </c:pt>
                  <c:pt idx="7">
                    <c:v>2016</c:v>
                  </c:pt>
                </c:lvl>
              </c:multiLvlStrCache>
            </c:multiLvlStrRef>
          </c:cat>
          <c:val>
            <c:numRef>
              <c:f>[Grafikon_2016.xlsx]jun!$C$4:$C$16</c:f>
              <c:numCache>
                <c:formatCode>General</c:formatCode>
                <c:ptCount val="13"/>
                <c:pt idx="0">
                  <c:v>-0.3</c:v>
                </c:pt>
                <c:pt idx="1">
                  <c:v>-0.8</c:v>
                </c:pt>
                <c:pt idx="2" formatCode="0.0">
                  <c:v>0</c:v>
                </c:pt>
                <c:pt idx="3">
                  <c:v>-0.1</c:v>
                </c:pt>
                <c:pt idx="4">
                  <c:v>0.9</c:v>
                </c:pt>
                <c:pt idx="5">
                  <c:v>-0.2</c:v>
                </c:pt>
                <c:pt idx="6">
                  <c:v>-0.2</c:v>
                </c:pt>
                <c:pt idx="7">
                  <c:v>0.2</c:v>
                </c:pt>
                <c:pt idx="8">
                  <c:v>-0.2</c:v>
                </c:pt>
                <c:pt idx="9" formatCode="0.0">
                  <c:v>0</c:v>
                </c:pt>
                <c:pt idx="10" formatCode="0.0">
                  <c:v>-1</c:v>
                </c:pt>
                <c:pt idx="11">
                  <c:v>0.1</c:v>
                </c:pt>
                <c:pt idx="12">
                  <c:v>-0.2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[Grafikon_2016.xlsx]jun!$D$3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[Grafikon_2016.xlsx]jun!$A$4:$B$16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2015</c:v>
                  </c:pt>
                  <c:pt idx="7">
                    <c:v>2016</c:v>
                  </c:pt>
                </c:lvl>
              </c:multiLvlStrCache>
            </c:multiLvlStrRef>
          </c:cat>
          <c:val>
            <c:numRef>
              <c:f>[Grafikon_2016.xlsx]jun!$D$4:$D$16</c:f>
              <c:numCache>
                <c:formatCode>General</c:formatCode>
                <c:ptCount val="13"/>
                <c:pt idx="0">
                  <c:v>-0.9</c:v>
                </c:pt>
                <c:pt idx="1">
                  <c:v>-1.6</c:v>
                </c:pt>
                <c:pt idx="2">
                  <c:v>-1.6</c:v>
                </c:pt>
                <c:pt idx="3">
                  <c:v>-2.1</c:v>
                </c:pt>
                <c:pt idx="4">
                  <c:v>-2.1</c:v>
                </c:pt>
                <c:pt idx="5" formatCode="0.0">
                  <c:v>-2</c:v>
                </c:pt>
                <c:pt idx="6">
                  <c:v>-1.6</c:v>
                </c:pt>
                <c:pt idx="7">
                  <c:v>-0.9</c:v>
                </c:pt>
                <c:pt idx="8">
                  <c:v>-1.3</c:v>
                </c:pt>
                <c:pt idx="9">
                  <c:v>-1.8</c:v>
                </c:pt>
                <c:pt idx="10">
                  <c:v>-1.7</c:v>
                </c:pt>
                <c:pt idx="11">
                  <c:v>-1.6</c:v>
                </c:pt>
                <c:pt idx="12">
                  <c:v>-1.6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3470928"/>
        <c:axId val="391162384"/>
      </c:lineChart>
      <c:catAx>
        <c:axId val="26347092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3911623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9116238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263470928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26"/>
          <c:y val="0.87484060194481572"/>
          <c:w val="0.52264808362369508"/>
          <c:h val="8.368200836820105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2012</c:v>
                  </c:pt>
                  <c:pt idx="9">
                    <c:v>2013</c:v>
                  </c:pt>
                  <c:pt idx="21">
                    <c:v>2014</c:v>
                  </c:pt>
                  <c:pt idx="33">
                    <c:v>2015</c:v>
                  </c:pt>
                  <c:pt idx="45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99.737027132766343</c:v>
                </c:pt>
                <c:pt idx="1">
                  <c:v>93.593675163358114</c:v>
                </c:pt>
                <c:pt idx="2">
                  <c:v>99.66857884138787</c:v>
                </c:pt>
                <c:pt idx="3">
                  <c:v>106.2631160051654</c:v>
                </c:pt>
                <c:pt idx="4">
                  <c:v>100.57098454277026</c:v>
                </c:pt>
                <c:pt idx="5">
                  <c:v>99.235538644261354</c:v>
                </c:pt>
                <c:pt idx="6">
                  <c:v>102.47529487610991</c:v>
                </c:pt>
                <c:pt idx="7">
                  <c:v>102.07063445739679</c:v>
                </c:pt>
                <c:pt idx="8">
                  <c:v>100.29794454300172</c:v>
                </c:pt>
                <c:pt idx="9">
                  <c:v>99.767375077264816</c:v>
                </c:pt>
                <c:pt idx="10">
                  <c:v>109.45282717471139</c:v>
                </c:pt>
                <c:pt idx="11">
                  <c:v>102.64313988632306</c:v>
                </c:pt>
                <c:pt idx="12">
                  <c:v>105.226646315178</c:v>
                </c:pt>
                <c:pt idx="13">
                  <c:v>110.48480099733112</c:v>
                </c:pt>
                <c:pt idx="14">
                  <c:v>106.80228760209836</c:v>
                </c:pt>
                <c:pt idx="15">
                  <c:v>100.94722308808012</c:v>
                </c:pt>
                <c:pt idx="16">
                  <c:v>101.84564661282528</c:v>
                </c:pt>
                <c:pt idx="17">
                  <c:v>105.17422038537428</c:v>
                </c:pt>
                <c:pt idx="18">
                  <c:v>106.45175076093209</c:v>
                </c:pt>
                <c:pt idx="19">
                  <c:v>107.05943029545593</c:v>
                </c:pt>
                <c:pt idx="20">
                  <c:v>104.85372891503452</c:v>
                </c:pt>
                <c:pt idx="21">
                  <c:v>101.16859680747574</c:v>
                </c:pt>
                <c:pt idx="22">
                  <c:v>103.48537830750257</c:v>
                </c:pt>
                <c:pt idx="23">
                  <c:v>102.42734711318478</c:v>
                </c:pt>
                <c:pt idx="24">
                  <c:v>104.29894097620915</c:v>
                </c:pt>
                <c:pt idx="25">
                  <c:v>106.2243241620284</c:v>
                </c:pt>
                <c:pt idx="26">
                  <c:v>99.889169897440269</c:v>
                </c:pt>
                <c:pt idx="27">
                  <c:v>109.81325383028428</c:v>
                </c:pt>
                <c:pt idx="28">
                  <c:v>107.91072180591196</c:v>
                </c:pt>
                <c:pt idx="29">
                  <c:v>107.74630785150015</c:v>
                </c:pt>
                <c:pt idx="30">
                  <c:v>106.19245256967287</c:v>
                </c:pt>
                <c:pt idx="31">
                  <c:v>109.49733537766313</c:v>
                </c:pt>
                <c:pt idx="32">
                  <c:v>109.80859511342219</c:v>
                </c:pt>
                <c:pt idx="33">
                  <c:v>103.08713776481009</c:v>
                </c:pt>
                <c:pt idx="34">
                  <c:v>106.67334983047276</c:v>
                </c:pt>
                <c:pt idx="35">
                  <c:v>109.17424131997642</c:v>
                </c:pt>
                <c:pt idx="36">
                  <c:v>109.09240263648107</c:v>
                </c:pt>
                <c:pt idx="37">
                  <c:v>108.02470971285911</c:v>
                </c:pt>
                <c:pt idx="38">
                  <c:v>110.62888364380255</c:v>
                </c:pt>
                <c:pt idx="39">
                  <c:v>106.35617807348618</c:v>
                </c:pt>
                <c:pt idx="40">
                  <c:v>108.76176638938983</c:v>
                </c:pt>
                <c:pt idx="41">
                  <c:v>107.78846280730173</c:v>
                </c:pt>
                <c:pt idx="42">
                  <c:v>107.09544215867049</c:v>
                </c:pt>
                <c:pt idx="43">
                  <c:v>103.76996571114768</c:v>
                </c:pt>
                <c:pt idx="44">
                  <c:v>114.08527302767885</c:v>
                </c:pt>
                <c:pt idx="45">
                  <c:v>120.71229356532122</c:v>
                </c:pt>
                <c:pt idx="46">
                  <c:v>111.47558717183223</c:v>
                </c:pt>
                <c:pt idx="47">
                  <c:v>115.6382352053422</c:v>
                </c:pt>
                <c:pt idx="48">
                  <c:v>113.4693187025109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2012</c:v>
                  </c:pt>
                  <c:pt idx="9">
                    <c:v>2013</c:v>
                  </c:pt>
                  <c:pt idx="21">
                    <c:v>2014</c:v>
                  </c:pt>
                  <c:pt idx="33">
                    <c:v>2015</c:v>
                  </c:pt>
                  <c:pt idx="45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100.84064074776917</c:v>
                </c:pt>
                <c:pt idx="1">
                  <c:v>100.84049482505139</c:v>
                </c:pt>
                <c:pt idx="2">
                  <c:v>101.06831357646041</c:v>
                </c:pt>
                <c:pt idx="3">
                  <c:v>101.35838001433424</c:v>
                </c:pt>
                <c:pt idx="4">
                  <c:v>101.51646226845533</c:v>
                </c:pt>
                <c:pt idx="5">
                  <c:v>101.69383099850991</c:v>
                </c:pt>
                <c:pt idx="6">
                  <c:v>101.95620126589533</c:v>
                </c:pt>
                <c:pt idx="7">
                  <c:v>102.22264787366043</c:v>
                </c:pt>
                <c:pt idx="8">
                  <c:v>102.48866327902195</c:v>
                </c:pt>
                <c:pt idx="9">
                  <c:v>102.86472078079528</c:v>
                </c:pt>
                <c:pt idx="10">
                  <c:v>103.2949406602842</c:v>
                </c:pt>
                <c:pt idx="11">
                  <c:v>103.59828966725584</c:v>
                </c:pt>
                <c:pt idx="12">
                  <c:v>103.88213491204601</c:v>
                </c:pt>
                <c:pt idx="13">
                  <c:v>104.12855197071855</c:v>
                </c:pt>
                <c:pt idx="14">
                  <c:v>104.17007219890532</c:v>
                </c:pt>
                <c:pt idx="15">
                  <c:v>104.12684183521789</c:v>
                </c:pt>
                <c:pt idx="16">
                  <c:v>104.18541219674917</c:v>
                </c:pt>
                <c:pt idx="17">
                  <c:v>104.33288928242227</c:v>
                </c:pt>
                <c:pt idx="18">
                  <c:v>104.46126190561671</c:v>
                </c:pt>
                <c:pt idx="19">
                  <c:v>104.52073042760017</c:v>
                </c:pt>
                <c:pt idx="20">
                  <c:v>104.49724677126173</c:v>
                </c:pt>
                <c:pt idx="21">
                  <c:v>104.48002703026077</c:v>
                </c:pt>
                <c:pt idx="22">
                  <c:v>104.56355951567332</c:v>
                </c:pt>
                <c:pt idx="23">
                  <c:v>104.7166832229824</c:v>
                </c:pt>
                <c:pt idx="24">
                  <c:v>104.95300793116832</c:v>
                </c:pt>
                <c:pt idx="25">
                  <c:v>105.20277929442767</c:v>
                </c:pt>
                <c:pt idx="26">
                  <c:v>105.48611946194168</c:v>
                </c:pt>
                <c:pt idx="27">
                  <c:v>105.8943701750832</c:v>
                </c:pt>
                <c:pt idx="28">
                  <c:v>106.25120951821185</c:v>
                </c:pt>
                <c:pt idx="29">
                  <c:v>106.51369410674792</c:v>
                </c:pt>
                <c:pt idx="30">
                  <c:v>106.76712315194678</c:v>
                </c:pt>
                <c:pt idx="31">
                  <c:v>107.02606304138872</c:v>
                </c:pt>
                <c:pt idx="32">
                  <c:v>107.20877908711752</c:v>
                </c:pt>
                <c:pt idx="33">
                  <c:v>107.34069118481182</c:v>
                </c:pt>
                <c:pt idx="34">
                  <c:v>107.59282472083784</c:v>
                </c:pt>
                <c:pt idx="35">
                  <c:v>107.9116104311869</c:v>
                </c:pt>
                <c:pt idx="36">
                  <c:v>108.18815215992807</c:v>
                </c:pt>
                <c:pt idx="37">
                  <c:v>108.45896015571208</c:v>
                </c:pt>
                <c:pt idx="38">
                  <c:v>108.72507889354077</c:v>
                </c:pt>
                <c:pt idx="39">
                  <c:v>108.97972712622844</c:v>
                </c:pt>
                <c:pt idx="40">
                  <c:v>109.29711367193192</c:v>
                </c:pt>
                <c:pt idx="41">
                  <c:v>109.68148279382001</c:v>
                </c:pt>
                <c:pt idx="42">
                  <c:v>110.12381502652364</c:v>
                </c:pt>
                <c:pt idx="43">
                  <c:v>110.72738682729819</c:v>
                </c:pt>
                <c:pt idx="44">
                  <c:v>111.55799096372638</c:v>
                </c:pt>
                <c:pt idx="45">
                  <c:v>112.32084499678811</c:v>
                </c:pt>
                <c:pt idx="46">
                  <c:v>112.86774609169544</c:v>
                </c:pt>
                <c:pt idx="47">
                  <c:v>113.40165135413176</c:v>
                </c:pt>
                <c:pt idx="48">
                  <c:v>113.92128498562215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1163168"/>
        <c:axId val="391163560"/>
      </c:lineChart>
      <c:catAx>
        <c:axId val="39116316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91163560"/>
        <c:crosses val="autoZero"/>
        <c:auto val="1"/>
        <c:lblAlgn val="ctr"/>
        <c:lblOffset val="100"/>
        <c:noMultiLvlLbl val="0"/>
      </c:catAx>
      <c:valAx>
        <c:axId val="391163560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39116316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zaJun2016!$A$2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zaJun2016!$B$1:$N$1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zaJun2016!$B$2:$N$2</c:f>
              <c:numCache>
                <c:formatCode>General</c:formatCode>
                <c:ptCount val="13"/>
                <c:pt idx="0">
                  <c:v>372846</c:v>
                </c:pt>
                <c:pt idx="1">
                  <c:v>442035</c:v>
                </c:pt>
                <c:pt idx="2">
                  <c:v>336534</c:v>
                </c:pt>
                <c:pt idx="3">
                  <c:v>390519</c:v>
                </c:pt>
                <c:pt idx="4">
                  <c:v>397166</c:v>
                </c:pt>
                <c:pt idx="5">
                  <c:v>346318</c:v>
                </c:pt>
                <c:pt idx="6">
                  <c:v>288270</c:v>
                </c:pt>
                <c:pt idx="7">
                  <c:v>227697</c:v>
                </c:pt>
                <c:pt idx="8">
                  <c:v>330765</c:v>
                </c:pt>
                <c:pt idx="9">
                  <c:v>354491</c:v>
                </c:pt>
                <c:pt idx="10">
                  <c:v>409414</c:v>
                </c:pt>
                <c:pt idx="11">
                  <c:v>312920</c:v>
                </c:pt>
                <c:pt idx="12">
                  <c:v>418421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zaJun2016!$A$3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zaJun2016!$B$1:$N$1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zaJun2016!$B$3:$N$3</c:f>
              <c:numCache>
                <c:formatCode>0</c:formatCode>
                <c:ptCount val="13"/>
                <c:pt idx="0">
                  <c:v>238678</c:v>
                </c:pt>
                <c:pt idx="1">
                  <c:v>243048</c:v>
                </c:pt>
                <c:pt idx="2">
                  <c:v>201596</c:v>
                </c:pt>
                <c:pt idx="3">
                  <c:v>237628</c:v>
                </c:pt>
                <c:pt idx="4">
                  <c:v>240795</c:v>
                </c:pt>
                <c:pt idx="5">
                  <c:v>202399</c:v>
                </c:pt>
                <c:pt idx="6">
                  <c:v>146158</c:v>
                </c:pt>
                <c:pt idx="7">
                  <c:v>183779</c:v>
                </c:pt>
                <c:pt idx="8">
                  <c:v>211524</c:v>
                </c:pt>
                <c:pt idx="9">
                  <c:v>239782</c:v>
                </c:pt>
                <c:pt idx="10">
                  <c:v>228100</c:v>
                </c:pt>
                <c:pt idx="11">
                  <c:v>233872</c:v>
                </c:pt>
                <c:pt idx="12">
                  <c:v>248109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1164736"/>
        <c:axId val="391165128"/>
      </c:lineChart>
      <c:catAx>
        <c:axId val="39116473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91165128"/>
        <c:crosses val="autoZero"/>
        <c:auto val="1"/>
        <c:lblAlgn val="ctr"/>
        <c:lblOffset val="100"/>
        <c:noMultiLvlLbl val="0"/>
      </c:catAx>
      <c:valAx>
        <c:axId val="39116512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391164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36E9-2B48-4AAB-8BA9-46CE4399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3737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9365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590</cp:revision>
  <cp:lastPrinted>2016-07-21T11:58:00Z</cp:lastPrinted>
  <dcterms:created xsi:type="dcterms:W3CDTF">2014-03-14T12:01:00Z</dcterms:created>
  <dcterms:modified xsi:type="dcterms:W3CDTF">2016-07-22T06:44:00Z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