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4C7183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7183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7183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7183">
              <w:rPr>
                <w:rFonts w:ascii="Tahoma" w:hAnsi="Tahoma" w:cs="Tahoma"/>
              </w:rPr>
              <w:br w:type="column"/>
            </w:r>
            <w:r w:rsidRPr="004C7183">
              <w:rPr>
                <w:rFonts w:ascii="Tahoma" w:hAnsi="Tahoma" w:cs="Tahoma"/>
              </w:rPr>
              <w:br w:type="column"/>
            </w:r>
            <w:r w:rsidRPr="004C7183">
              <w:rPr>
                <w:rFonts w:ascii="Tahoma" w:hAnsi="Tahoma" w:cs="Tahoma"/>
              </w:rPr>
              <w:br w:type="page"/>
            </w:r>
            <w:r w:rsidRPr="004C7183">
              <w:rPr>
                <w:rFonts w:ascii="Tahoma" w:hAnsi="Tahoma" w:cs="Tahoma"/>
              </w:rPr>
              <w:br w:type="page"/>
            </w:r>
            <w:r w:rsidR="008B47D1" w:rsidRPr="004C7183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7183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7183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7183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7183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4C7183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7183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4C7183" w:rsidRDefault="004551B9" w:rsidP="004C7183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4C7183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="009062FA" w:rsidRPr="004C7183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4C7183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4C7183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="00431915" w:rsidRPr="004C7183">
              <w:rPr>
                <w:rFonts w:ascii="Arial Narrow" w:hAnsi="Arial Narrow" w:cs="Tahoma"/>
                <w:color w:val="1F497D" w:themeColor="text2"/>
                <w:sz w:val="16"/>
              </w:rPr>
              <w:t>22</w:t>
            </w:r>
            <w:r w:rsidR="004C7183" w:rsidRPr="004C7183">
              <w:rPr>
                <w:rFonts w:ascii="Arial Narrow" w:hAnsi="Arial Narrow" w:cs="Tahoma"/>
                <w:color w:val="1F497D" w:themeColor="text2"/>
                <w:sz w:val="16"/>
                <w:szCs w:val="16"/>
                <w:vertAlign w:val="superscript"/>
              </w:rPr>
              <w:t>nd</w:t>
            </w:r>
            <w:r w:rsidR="004C7183" w:rsidRPr="004C7183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January</w:t>
            </w:r>
            <w:r w:rsidR="00431915" w:rsidRPr="004C7183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2016</w:t>
            </w:r>
            <w:r w:rsidR="004C7183" w:rsidRPr="004C7183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, </w:t>
            </w:r>
            <w:r w:rsidR="00431915" w:rsidRPr="004C7183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No. </w:t>
            </w:r>
            <w:r w:rsidR="00AF435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2</w:t>
            </w:r>
            <w:r w:rsidR="00431915" w:rsidRPr="004C7183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/16</w:t>
            </w:r>
            <w:r w:rsidR="00F6075A" w:rsidRPr="004C7183">
              <w:rPr>
                <w:rFonts w:ascii="Tahoma" w:hAnsi="Tahoma" w:cs="Tahoma"/>
                <w:color w:val="1F497D" w:themeColor="text2"/>
                <w:sz w:val="18"/>
              </w:rPr>
              <w:t xml:space="preserve"> </w:t>
            </w:r>
          </w:p>
        </w:tc>
      </w:tr>
      <w:tr w:rsidR="004C20B5" w:rsidRPr="004C7183" w:rsidTr="005074F6">
        <w:trPr>
          <w:cantSplit/>
        </w:trPr>
        <w:tc>
          <w:tcPr>
            <w:tcW w:w="5251" w:type="dxa"/>
            <w:vAlign w:val="center"/>
          </w:tcPr>
          <w:p w:rsidR="005D5311" w:rsidRPr="004C7183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7183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4C7183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7183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C7183" w:rsidRDefault="004C7183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4C7183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4C7183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C7183" w:rsidRDefault="004C718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January</w:t>
            </w:r>
            <w:r w:rsidR="00353834" w:rsidRPr="004C7183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2016</w:t>
            </w:r>
          </w:p>
        </w:tc>
      </w:tr>
    </w:tbl>
    <w:p w:rsidR="000F689B" w:rsidRPr="004C7183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</w:rPr>
      </w:pPr>
    </w:p>
    <w:p w:rsidR="00E33D13" w:rsidRPr="004C7183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</w:rPr>
      </w:pPr>
      <w:r w:rsidRPr="004C7183">
        <w:rPr>
          <w:rFonts w:ascii="Arial Narrow" w:hAnsi="Arial Narrow" w:cs="Tahoma"/>
          <w:b/>
          <w:color w:val="FF0000"/>
          <w:sz w:val="30"/>
          <w:szCs w:val="30"/>
        </w:rPr>
        <w:t xml:space="preserve">  </w:t>
      </w:r>
      <w:r w:rsidR="00D2660F">
        <w:rPr>
          <w:rFonts w:ascii="Arial Narrow" w:hAnsi="Arial Narrow" w:cs="Tahoma"/>
          <w:b/>
          <w:sz w:val="30"/>
          <w:szCs w:val="30"/>
        </w:rPr>
        <w:t xml:space="preserve">Average </w:t>
      </w:r>
      <w:r w:rsidR="00A75A1F">
        <w:rPr>
          <w:rFonts w:ascii="Arial Narrow" w:hAnsi="Arial Narrow" w:cs="Tahoma"/>
          <w:b/>
          <w:sz w:val="30"/>
          <w:szCs w:val="30"/>
        </w:rPr>
        <w:t>net wage in December</w:t>
      </w:r>
      <w:r w:rsidR="00E33D13" w:rsidRPr="004C7183">
        <w:rPr>
          <w:rFonts w:ascii="Arial Narrow" w:hAnsi="Arial Narrow" w:cs="Tahoma"/>
          <w:b/>
          <w:sz w:val="30"/>
          <w:szCs w:val="30"/>
        </w:rPr>
        <w:t xml:space="preserve"> 8</w:t>
      </w:r>
      <w:r w:rsidR="00B747A8" w:rsidRPr="004C7183">
        <w:rPr>
          <w:rFonts w:ascii="Arial Narrow" w:hAnsi="Arial Narrow" w:cs="Tahoma"/>
          <w:b/>
          <w:sz w:val="30"/>
          <w:szCs w:val="30"/>
        </w:rPr>
        <w:t>3</w:t>
      </w:r>
      <w:r w:rsidR="00625174" w:rsidRPr="004C7183">
        <w:rPr>
          <w:rFonts w:ascii="Arial Narrow" w:hAnsi="Arial Narrow" w:cs="Tahoma"/>
          <w:b/>
          <w:sz w:val="30"/>
          <w:szCs w:val="30"/>
        </w:rPr>
        <w:t>4</w:t>
      </w:r>
      <w:r w:rsidR="00E33D13" w:rsidRPr="004C7183">
        <w:rPr>
          <w:rFonts w:ascii="Arial Narrow" w:hAnsi="Arial Narrow" w:cs="Tahoma"/>
          <w:b/>
          <w:sz w:val="30"/>
          <w:szCs w:val="30"/>
        </w:rPr>
        <w:t xml:space="preserve"> КМ</w:t>
      </w:r>
    </w:p>
    <w:p w:rsidR="00E33D13" w:rsidRPr="004C7183" w:rsidRDefault="000C6E62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The highest average net wage was that in the section</w:t>
      </w:r>
      <w:r w:rsidR="00E33D13" w:rsidRPr="004C7183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>
        <w:rPr>
          <w:rFonts w:ascii="Arial Narrow" w:hAnsi="Arial Narrow" w:cs="Tahoma"/>
          <w:b/>
          <w:sz w:val="28"/>
          <w:szCs w:val="28"/>
        </w:rPr>
        <w:t xml:space="preserve"> 1,</w:t>
      </w:r>
      <w:r w:rsidR="00E33D13" w:rsidRPr="004C7183">
        <w:rPr>
          <w:rFonts w:ascii="Arial Narrow" w:hAnsi="Arial Narrow" w:cs="Tahoma"/>
          <w:b/>
          <w:sz w:val="28"/>
          <w:szCs w:val="28"/>
        </w:rPr>
        <w:t>2</w:t>
      </w:r>
      <w:r w:rsidR="00B747A8" w:rsidRPr="004C7183">
        <w:rPr>
          <w:rFonts w:ascii="Arial Narrow" w:hAnsi="Arial Narrow" w:cs="Tahoma"/>
          <w:b/>
          <w:sz w:val="28"/>
          <w:szCs w:val="28"/>
        </w:rPr>
        <w:t>59</w:t>
      </w:r>
      <w:r w:rsidR="00E33D13" w:rsidRPr="004C7183">
        <w:rPr>
          <w:rFonts w:ascii="Arial Narrow" w:hAnsi="Arial Narrow" w:cs="Tahoma"/>
          <w:b/>
          <w:sz w:val="28"/>
          <w:szCs w:val="28"/>
        </w:rPr>
        <w:t xml:space="preserve"> КМ, </w:t>
      </w:r>
      <w:r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Pr="005A735F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E33D13" w:rsidRPr="004C7183">
        <w:rPr>
          <w:rFonts w:ascii="Arial Narrow" w:hAnsi="Arial Narrow" w:cs="Tahoma"/>
          <w:b/>
          <w:sz w:val="28"/>
          <w:szCs w:val="28"/>
        </w:rPr>
        <w:t>5</w:t>
      </w:r>
      <w:r w:rsidR="00B747A8" w:rsidRPr="004C7183">
        <w:rPr>
          <w:rFonts w:ascii="Arial Narrow" w:hAnsi="Arial Narrow" w:cs="Tahoma"/>
          <w:b/>
          <w:sz w:val="28"/>
          <w:szCs w:val="28"/>
        </w:rPr>
        <w:t>21</w:t>
      </w:r>
      <w:r w:rsidR="00E33D13" w:rsidRPr="004C7183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4C718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4C7183">
        <w:rPr>
          <w:rFonts w:ascii="Tahoma" w:hAnsi="Tahoma" w:cs="Tahoma"/>
          <w:b/>
        </w:rPr>
        <w:tab/>
      </w:r>
      <w:r w:rsidRPr="004C7183">
        <w:rPr>
          <w:rFonts w:ascii="Tahoma" w:hAnsi="Tahoma" w:cs="Tahoma"/>
          <w:b/>
        </w:rPr>
        <w:tab/>
      </w:r>
    </w:p>
    <w:p w:rsidR="00B82005" w:rsidRPr="004C7183" w:rsidRDefault="00DE7F4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 w:rsidRPr="00016810">
        <w:rPr>
          <w:rFonts w:ascii="Arial Narrow" w:hAnsi="Arial Narrow" w:cs="Tahoma"/>
          <w:b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paid in</w:t>
      </w:r>
      <w:r w:rsidR="00E33D13" w:rsidRPr="004C7183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December </w:t>
      </w:r>
      <w:r w:rsidR="00E33D13" w:rsidRPr="004C7183">
        <w:rPr>
          <w:rFonts w:ascii="Arial Narrow" w:hAnsi="Arial Narrow" w:cs="Tahoma"/>
          <w:sz w:val="22"/>
        </w:rPr>
        <w:t>201</w:t>
      </w:r>
      <w:r w:rsidR="0032724B" w:rsidRPr="004C7183">
        <w:rPr>
          <w:rFonts w:ascii="Arial Narrow" w:hAnsi="Arial Narrow" w:cs="Tahoma"/>
          <w:sz w:val="22"/>
        </w:rPr>
        <w:t>5</w:t>
      </w:r>
      <w:r>
        <w:rPr>
          <w:rFonts w:ascii="Arial Narrow" w:hAnsi="Arial Narrow" w:cs="Tahoma"/>
          <w:sz w:val="22"/>
        </w:rPr>
        <w:t xml:space="preserve"> was</w:t>
      </w:r>
      <w:r w:rsidR="00E33D13" w:rsidRPr="004C7183">
        <w:rPr>
          <w:rFonts w:ascii="Arial Narrow" w:hAnsi="Arial Narrow" w:cs="Tahoma"/>
          <w:b/>
          <w:sz w:val="22"/>
        </w:rPr>
        <w:t xml:space="preserve"> </w:t>
      </w:r>
      <w:r w:rsidR="00E33D13" w:rsidRPr="004C7183">
        <w:rPr>
          <w:rFonts w:ascii="Arial Narrow" w:hAnsi="Arial Narrow" w:cs="Tahoma"/>
          <w:sz w:val="22"/>
        </w:rPr>
        <w:t>8</w:t>
      </w:r>
      <w:r w:rsidR="00B747A8" w:rsidRPr="004C7183">
        <w:rPr>
          <w:rFonts w:ascii="Arial Narrow" w:hAnsi="Arial Narrow" w:cs="Tahoma"/>
          <w:sz w:val="22"/>
        </w:rPr>
        <w:t>3</w:t>
      </w:r>
      <w:r w:rsidR="00625174" w:rsidRPr="004C7183">
        <w:rPr>
          <w:rFonts w:ascii="Arial Narrow" w:hAnsi="Arial Narrow" w:cs="Tahoma"/>
          <w:sz w:val="22"/>
        </w:rPr>
        <w:t>4</w:t>
      </w:r>
      <w:r w:rsidR="00E33D13" w:rsidRPr="004C7183">
        <w:rPr>
          <w:rFonts w:ascii="Arial Narrow" w:hAnsi="Arial Narrow" w:cs="Tahoma"/>
          <w:sz w:val="22"/>
        </w:rPr>
        <w:t xml:space="preserve"> КМ,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4C7183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1,</w:t>
      </w:r>
      <w:r w:rsidR="00E33D13" w:rsidRPr="004C7183">
        <w:rPr>
          <w:rFonts w:ascii="Arial Narrow" w:hAnsi="Arial Narrow" w:cs="Tahoma"/>
          <w:sz w:val="22"/>
        </w:rPr>
        <w:t>3</w:t>
      </w:r>
      <w:r w:rsidR="00B747A8" w:rsidRPr="004C7183">
        <w:rPr>
          <w:rFonts w:ascii="Arial Narrow" w:hAnsi="Arial Narrow" w:cs="Tahoma"/>
          <w:sz w:val="22"/>
        </w:rPr>
        <w:t>44</w:t>
      </w:r>
      <w:r w:rsidR="00F0781C" w:rsidRPr="004C7183">
        <w:rPr>
          <w:rFonts w:ascii="Arial Narrow" w:hAnsi="Arial Narrow" w:cs="Tahoma"/>
          <w:sz w:val="22"/>
        </w:rPr>
        <w:t xml:space="preserve"> </w:t>
      </w:r>
      <w:r w:rsidR="00E33D13" w:rsidRPr="004C7183">
        <w:rPr>
          <w:rFonts w:ascii="Arial Narrow" w:hAnsi="Arial Narrow" w:cs="Tahoma"/>
          <w:sz w:val="22"/>
        </w:rPr>
        <w:t>КМ.</w:t>
      </w:r>
      <w:r w:rsidR="00B82005" w:rsidRPr="004C7183">
        <w:rPr>
          <w:rFonts w:ascii="Arial Narrow" w:hAnsi="Arial Narrow" w:cs="Tahoma"/>
          <w:sz w:val="22"/>
        </w:rPr>
        <w:t xml:space="preserve"> </w:t>
      </w:r>
    </w:p>
    <w:p w:rsidR="00B82005" w:rsidRPr="004C7183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560FCD" w:rsidRDefault="00560FC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December 2014, average net wage paid in December 2015 was really 1.4% higher, while compared to November 2015 it was also really 1.4% higher. </w:t>
      </w:r>
    </w:p>
    <w:p w:rsidR="00B747A8" w:rsidRPr="004C7183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E7344" w:rsidRDefault="00AE7344" w:rsidP="00DC70B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net wage paid in 2015 amounted to 831 KM, while average gross wage was 1,340 KM. Compared to 2014, average net wage paid in 2015 was nominally 0.7% higher and really 2.2% higher. </w:t>
      </w:r>
    </w:p>
    <w:p w:rsidR="001A5260" w:rsidRDefault="001A5260" w:rsidP="00DC70B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1A5260" w:rsidRDefault="001A5260" w:rsidP="00DC70B4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increase in the average net wage in December 2015, compared to November 2015, occurred mainly due to higher payments based on a larger number of overtime hours of work and hours worked on public holidays,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in the sections </w:t>
      </w:r>
      <w:r w:rsidRPr="00E809BB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and </w:t>
      </w:r>
      <w:r w:rsidRPr="00E809BB">
        <w:rPr>
          <w:rFonts w:ascii="Arial Narrow" w:hAnsi="Arial Narrow" w:cs="Tahoma"/>
          <w:i/>
          <w:sz w:val="22"/>
        </w:rPr>
        <w:t>Electricity</w:t>
      </w:r>
      <w:r w:rsidR="00E809BB" w:rsidRPr="00E809BB">
        <w:rPr>
          <w:rFonts w:ascii="Arial Narrow" w:hAnsi="Arial Narrow" w:cs="Tahoma"/>
          <w:i/>
          <w:sz w:val="22"/>
        </w:rPr>
        <w:t>, gas, steam and air-conditioning</w:t>
      </w:r>
      <w:r w:rsidRPr="00E809BB">
        <w:rPr>
          <w:rFonts w:ascii="Arial Narrow" w:hAnsi="Arial Narrow" w:cs="Tahoma"/>
          <w:i/>
          <w:sz w:val="22"/>
        </w:rPr>
        <w:t xml:space="preserve"> supply</w:t>
      </w:r>
      <w:r>
        <w:rPr>
          <w:rFonts w:ascii="Arial Narrow" w:hAnsi="Arial Narrow" w:cs="Tahoma"/>
          <w:sz w:val="22"/>
        </w:rPr>
        <w:t xml:space="preserve">, which employ a significant number of persons. </w:t>
      </w:r>
    </w:p>
    <w:p w:rsidR="00B82005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809BB" w:rsidRPr="004C7183" w:rsidRDefault="00E809BB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December 2015, the highest average net wage, by section of activities, was paid in the section </w:t>
      </w:r>
      <w:r w:rsidRPr="007E517E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and it amounted to</w:t>
      </w:r>
      <w:r>
        <w:rPr>
          <w:rFonts w:ascii="Arial Narrow" w:hAnsi="Arial Narrow" w:cs="Tahoma"/>
          <w:sz w:val="22"/>
        </w:rPr>
        <w:t xml:space="preserve"> 1,259 KM. On the other hand, the lowest average net wage in December 2015 was the one paid in the section </w:t>
      </w:r>
      <w:r w:rsidRPr="00294434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5</w:t>
      </w:r>
      <w:r>
        <w:rPr>
          <w:rFonts w:ascii="Arial Narrow" w:hAnsi="Arial Narrow" w:cs="Tahoma"/>
          <w:sz w:val="22"/>
        </w:rPr>
        <w:t xml:space="preserve">21 KM. </w:t>
      </w:r>
    </w:p>
    <w:p w:rsidR="00E33D13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76678C" w:rsidRPr="004C7183" w:rsidRDefault="0076678C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December 2015, compared to November 2015, a nominal increase in net wages was recorded in the sections </w:t>
      </w:r>
      <w:r w:rsidRPr="0076678C">
        <w:rPr>
          <w:rFonts w:ascii="Arial Narrow" w:hAnsi="Arial Narrow" w:cs="Tahoma"/>
          <w:i/>
          <w:sz w:val="22"/>
        </w:rPr>
        <w:t>Real estate activities</w:t>
      </w:r>
      <w:r>
        <w:rPr>
          <w:rFonts w:ascii="Arial Narrow" w:hAnsi="Arial Narrow" w:cs="Tahoma"/>
          <w:sz w:val="22"/>
        </w:rPr>
        <w:t xml:space="preserve"> 7.6%, </w:t>
      </w:r>
      <w:r w:rsidRPr="0076678C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4.9% and </w:t>
      </w:r>
      <w:r w:rsidRPr="0076678C">
        <w:rPr>
          <w:rFonts w:ascii="Arial Narrow" w:hAnsi="Arial Narrow" w:cs="Tahoma"/>
          <w:i/>
          <w:sz w:val="22"/>
        </w:rPr>
        <w:t>Accommodation and food service activities</w:t>
      </w:r>
      <w:r>
        <w:rPr>
          <w:rFonts w:ascii="Arial Narrow" w:hAnsi="Arial Narrow" w:cs="Tahoma"/>
          <w:sz w:val="22"/>
        </w:rPr>
        <w:t xml:space="preserve"> 4.2%. </w:t>
      </w:r>
    </w:p>
    <w:p w:rsidR="00FF3EA0" w:rsidRPr="004C7183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B91DF6" w:rsidRDefault="00B91DF6" w:rsidP="00E33D1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B91DF6">
        <w:rPr>
          <w:rFonts w:ascii="Arial Narrow" w:hAnsi="Arial Narrow" w:cs="Tahoma"/>
          <w:i/>
          <w:sz w:val="22"/>
          <w:szCs w:val="22"/>
        </w:rPr>
        <w:t>Wholesale and retail trade, repair of motor vehicles and motorcycles</w:t>
      </w:r>
      <w:r>
        <w:rPr>
          <w:rFonts w:ascii="Arial Narrow" w:hAnsi="Arial Narrow" w:cs="Tahoma"/>
          <w:sz w:val="22"/>
          <w:szCs w:val="22"/>
        </w:rPr>
        <w:t xml:space="preserve"> 1.1%, </w:t>
      </w:r>
      <w:r w:rsidRPr="00B91DF6">
        <w:rPr>
          <w:rFonts w:ascii="Arial Narrow" w:hAnsi="Arial Narrow" w:cs="Tahoma"/>
          <w:i/>
          <w:sz w:val="22"/>
          <w:szCs w:val="22"/>
        </w:rPr>
        <w:t>Financial and insurance activities</w:t>
      </w:r>
      <w:r>
        <w:rPr>
          <w:rFonts w:ascii="Arial Narrow" w:hAnsi="Arial Narrow" w:cs="Tahoma"/>
          <w:sz w:val="22"/>
          <w:szCs w:val="22"/>
        </w:rPr>
        <w:t xml:space="preserve"> 0.5% and </w:t>
      </w:r>
      <w:r w:rsidRPr="00B91DF6">
        <w:rPr>
          <w:rFonts w:ascii="Arial Narrow" w:hAnsi="Arial Narrow" w:cs="Tahoma"/>
          <w:i/>
          <w:sz w:val="22"/>
          <w:szCs w:val="22"/>
        </w:rPr>
        <w:t>Agriculture, forestry and fishing</w:t>
      </w:r>
      <w:r>
        <w:rPr>
          <w:rFonts w:ascii="Arial Narrow" w:hAnsi="Arial Narrow" w:cs="Tahoma"/>
          <w:sz w:val="22"/>
          <w:szCs w:val="22"/>
        </w:rPr>
        <w:t xml:space="preserve"> 0.2%.</w:t>
      </w:r>
    </w:p>
    <w:p w:rsidR="00396802" w:rsidRPr="004C7183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4C718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C7183">
        <w:rPr>
          <w:rFonts w:ascii="Tahoma" w:hAnsi="Tahoma" w:cs="Tahoma"/>
          <w:i/>
          <w:sz w:val="14"/>
        </w:rPr>
        <w:t xml:space="preserve"> </w:t>
      </w:r>
      <w:r w:rsidRPr="004C7183">
        <w:rPr>
          <w:rFonts w:ascii="Tahoma" w:hAnsi="Tahoma" w:cs="Tahoma"/>
          <w:sz w:val="14"/>
        </w:rPr>
        <w:t xml:space="preserve">   </w:t>
      </w:r>
      <w:r w:rsidRPr="004C7183">
        <w:rPr>
          <w:rFonts w:ascii="Tahoma" w:hAnsi="Tahoma" w:cs="Tahoma"/>
          <w:sz w:val="14"/>
        </w:rPr>
        <w:tab/>
      </w:r>
      <w:r w:rsidRPr="004C7183">
        <w:rPr>
          <w:rFonts w:ascii="Tahoma" w:hAnsi="Tahoma" w:cs="Tahoma"/>
          <w:sz w:val="14"/>
        </w:rPr>
        <w:tab/>
        <w:t xml:space="preserve">            </w:t>
      </w:r>
      <w:r w:rsidR="00F85AAC" w:rsidRPr="004C7183">
        <w:rPr>
          <w:rFonts w:ascii="Tahoma" w:hAnsi="Tahoma" w:cs="Tahoma"/>
          <w:sz w:val="14"/>
        </w:rPr>
        <w:t xml:space="preserve">   </w:t>
      </w:r>
      <w:proofErr w:type="spellStart"/>
      <w:proofErr w:type="gramStart"/>
      <w:r w:rsidRPr="004C7183">
        <w:rPr>
          <w:rFonts w:ascii="Arial Narrow" w:hAnsi="Arial Narrow" w:cs="Tahoma"/>
          <w:sz w:val="22"/>
          <w:szCs w:val="22"/>
        </w:rPr>
        <w:t>км</w:t>
      </w:r>
      <w:proofErr w:type="spellEnd"/>
      <w:proofErr w:type="gramEnd"/>
    </w:p>
    <w:p w:rsidR="00E33D13" w:rsidRPr="004C7183" w:rsidRDefault="00AD485B" w:rsidP="00E33D13">
      <w:pPr>
        <w:jc w:val="center"/>
        <w:rPr>
          <w:rFonts w:ascii="Tahoma" w:hAnsi="Tahoma" w:cs="Tahoma"/>
        </w:rPr>
      </w:pPr>
      <w:r w:rsidRPr="004C7183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996645</wp:posOffset>
            </wp:positionH>
            <wp:positionV relativeFrom="paragraph">
              <wp:posOffset>1826895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4C7183">
        <w:rPr>
          <w:rFonts w:ascii="Tahoma" w:hAnsi="Tahoma" w:cs="Tahoma"/>
          <w:szCs w:val="18"/>
        </w:rPr>
        <w:t xml:space="preserve">  </w:t>
      </w:r>
      <w:r w:rsidR="00B747A8" w:rsidRPr="004C7183">
        <w:rPr>
          <w:noProof/>
        </w:rPr>
        <w:drawing>
          <wp:inline distT="0" distB="0" distL="0" distR="0" wp14:anchorId="07976286" wp14:editId="2A407172">
            <wp:extent cx="4572000" cy="250179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4C7183">
        <w:rPr>
          <w:rFonts w:ascii="Tahoma" w:hAnsi="Tahoma" w:cs="Tahoma"/>
          <w:szCs w:val="18"/>
        </w:rPr>
        <w:t xml:space="preserve"> </w:t>
      </w:r>
    </w:p>
    <w:p w:rsidR="00E33D13" w:rsidRDefault="00191388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4C7183">
        <w:rPr>
          <w:rFonts w:ascii="Arial Narrow" w:hAnsi="Arial Narrow" w:cs="Tahoma"/>
          <w:sz w:val="16"/>
          <w:szCs w:val="22"/>
        </w:rPr>
        <w:t xml:space="preserve"> </w:t>
      </w:r>
      <w:r w:rsidR="0066022A" w:rsidRPr="004C7183">
        <w:rPr>
          <w:rFonts w:ascii="Arial Narrow" w:hAnsi="Arial Narrow" w:cs="Tahoma"/>
          <w:sz w:val="16"/>
          <w:szCs w:val="22"/>
        </w:rPr>
        <w:t>1</w:t>
      </w:r>
      <w:r w:rsidR="00E33D13" w:rsidRPr="004C7183">
        <w:rPr>
          <w:rFonts w:ascii="Arial Narrow" w:hAnsi="Arial Narrow" w:cs="Tahoma"/>
          <w:sz w:val="16"/>
          <w:szCs w:val="22"/>
        </w:rPr>
        <w:t xml:space="preserve">.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91DF6" w:rsidRDefault="00B91DF6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</w:p>
    <w:p w:rsidR="00B91DF6" w:rsidRPr="004C7183" w:rsidRDefault="00B91DF6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</w:p>
    <w:p w:rsidR="00895587" w:rsidRPr="005C32FE" w:rsidRDefault="00895587" w:rsidP="00895587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-</w:t>
      </w:r>
      <w:r>
        <w:rPr>
          <w:rFonts w:ascii="Arial Narrow" w:hAnsi="Arial Narrow" w:cs="Tahoma"/>
          <w:b/>
          <w:sz w:val="30"/>
          <w:szCs w:val="30"/>
          <w:lang w:val="sr-Cyrl-BA"/>
        </w:rPr>
        <w:t>0.2</w:t>
      </w:r>
      <w:r w:rsidRPr="00D20AF8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</w:t>
      </w:r>
      <w:r w:rsidRPr="005C32FE">
        <w:rPr>
          <w:rFonts w:ascii="Arial Narrow" w:hAnsi="Arial Narrow" w:cs="Tahoma"/>
          <w:b/>
          <w:sz w:val="30"/>
          <w:szCs w:val="30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December</w:t>
      </w:r>
      <w:r>
        <w:rPr>
          <w:rFonts w:ascii="Arial Narrow" w:hAnsi="Arial Narrow" w:cs="Tahoma"/>
          <w:b/>
          <w:sz w:val="30"/>
          <w:szCs w:val="30"/>
        </w:rPr>
        <w:t xml:space="preserve"> </w:t>
      </w:r>
      <w:r w:rsidRPr="005C32FE">
        <w:rPr>
          <w:rFonts w:ascii="Arial Narrow" w:hAnsi="Arial Narrow" w:cs="Tahoma"/>
          <w:b/>
          <w:sz w:val="30"/>
          <w:szCs w:val="30"/>
        </w:rPr>
        <w:t>2015</w:t>
      </w:r>
    </w:p>
    <w:p w:rsidR="00B6034D" w:rsidRPr="004C7183" w:rsidRDefault="00895587" w:rsidP="00B6034D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B6034D" w:rsidRPr="004C7183">
        <w:rPr>
          <w:rFonts w:ascii="Arial Narrow" w:hAnsi="Arial Narrow" w:cs="Tahoma"/>
          <w:b/>
          <w:sz w:val="30"/>
          <w:szCs w:val="30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December</w:t>
      </w:r>
      <w:r w:rsidR="00B6034D" w:rsidRPr="004C7183">
        <w:rPr>
          <w:rFonts w:ascii="Arial Narrow" w:hAnsi="Arial Narrow" w:cs="Tahoma"/>
          <w:b/>
          <w:sz w:val="30"/>
          <w:szCs w:val="30"/>
        </w:rPr>
        <w:t xml:space="preserve"> 2015/</w:t>
      </w:r>
      <w:r>
        <w:rPr>
          <w:rFonts w:ascii="Arial Narrow" w:hAnsi="Arial Narrow" w:cs="Tahoma"/>
          <w:b/>
          <w:sz w:val="30"/>
          <w:szCs w:val="30"/>
        </w:rPr>
        <w:t>December 2014) -1.</w:t>
      </w:r>
      <w:r w:rsidR="009504BB" w:rsidRPr="004C7183">
        <w:rPr>
          <w:rFonts w:ascii="Arial Narrow" w:hAnsi="Arial Narrow" w:cs="Tahoma"/>
          <w:b/>
          <w:sz w:val="30"/>
          <w:szCs w:val="30"/>
        </w:rPr>
        <w:t>6</w:t>
      </w:r>
      <w:r w:rsidR="00B6034D" w:rsidRPr="004C7183">
        <w:rPr>
          <w:rFonts w:ascii="Arial Narrow" w:hAnsi="Arial Narrow" w:cs="Tahoma"/>
          <w:b/>
          <w:sz w:val="30"/>
          <w:szCs w:val="30"/>
        </w:rPr>
        <w:t>%</w:t>
      </w:r>
    </w:p>
    <w:p w:rsidR="00E045B0" w:rsidRPr="004C7183" w:rsidRDefault="00E045B0" w:rsidP="00E045B0">
      <w:pPr>
        <w:spacing w:after="120"/>
        <w:jc w:val="both"/>
        <w:rPr>
          <w:rFonts w:ascii="Arial Narrow" w:hAnsi="Arial Narrow" w:cs="Tahoma"/>
        </w:rPr>
      </w:pPr>
    </w:p>
    <w:p w:rsidR="002B25AA" w:rsidRDefault="002B25AA" w:rsidP="00B6034D">
      <w:pPr>
        <w:spacing w:after="120"/>
        <w:jc w:val="both"/>
        <w:rPr>
          <w:rFonts w:ascii="Arial Narrow" w:hAnsi="Arial Narrow" w:cs="Tahoma"/>
          <w:sz w:val="22"/>
        </w:rPr>
      </w:pPr>
      <w:r w:rsidRPr="003C71E2">
        <w:rPr>
          <w:rFonts w:ascii="Arial Narrow" w:hAnsi="Arial Narrow" w:cs="Tahoma"/>
        </w:rPr>
        <w:t xml:space="preserve">Prices of products and services for personal consumption in </w:t>
      </w:r>
      <w:proofErr w:type="spellStart"/>
      <w:r w:rsidRPr="003C71E2">
        <w:rPr>
          <w:rFonts w:ascii="Arial Narrow" w:hAnsi="Arial Narrow" w:cs="Tahoma"/>
        </w:rPr>
        <w:t>Republika</w:t>
      </w:r>
      <w:proofErr w:type="spellEnd"/>
      <w:r w:rsidRPr="003C71E2">
        <w:rPr>
          <w:rFonts w:ascii="Arial Narrow" w:hAnsi="Arial Narrow" w:cs="Tahoma"/>
        </w:rPr>
        <w:t xml:space="preserve"> </w:t>
      </w:r>
      <w:proofErr w:type="spellStart"/>
      <w:r w:rsidRPr="003C71E2">
        <w:rPr>
          <w:rFonts w:ascii="Arial Narrow" w:hAnsi="Arial Narrow" w:cs="Tahoma"/>
        </w:rPr>
        <w:t>Srpska</w:t>
      </w:r>
      <w:proofErr w:type="spellEnd"/>
      <w:r w:rsidRPr="003C71E2">
        <w:rPr>
          <w:rFonts w:ascii="Arial Narrow" w:hAnsi="Arial Narrow" w:cs="Tahoma"/>
        </w:rPr>
        <w:t>, measured with the consumer price index, in</w:t>
      </w:r>
      <w:r>
        <w:rPr>
          <w:rFonts w:ascii="Arial Narrow" w:hAnsi="Arial Narrow" w:cs="Tahoma"/>
        </w:rPr>
        <w:t xml:space="preserve"> December 2015, compared to the previous month, were on the average 0.2% lower, while they were 1.6% lower at the annual level. </w:t>
      </w:r>
    </w:p>
    <w:p w:rsidR="002B25AA" w:rsidRDefault="002B25AA" w:rsidP="002B25AA">
      <w:pPr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Of the 12 main divisions of products and services, an increase in prices was recorded in </w:t>
      </w:r>
      <w:r>
        <w:rPr>
          <w:rFonts w:ascii="Arial Narrow" w:hAnsi="Arial Narrow" w:cs="Tahoma"/>
        </w:rPr>
        <w:t>two</w:t>
      </w:r>
      <w:r>
        <w:rPr>
          <w:rFonts w:ascii="Arial Narrow" w:hAnsi="Arial Narrow" w:cs="Tahoma"/>
        </w:rPr>
        <w:t xml:space="preserve"> divisions, a decrease was recorded in </w:t>
      </w:r>
      <w:r>
        <w:rPr>
          <w:rFonts w:ascii="Arial Narrow" w:hAnsi="Arial Narrow" w:cs="Tahoma"/>
        </w:rPr>
        <w:t>four</w:t>
      </w:r>
      <w:r>
        <w:rPr>
          <w:rFonts w:ascii="Arial Narrow" w:hAnsi="Arial Narrow" w:cs="Tahoma"/>
        </w:rPr>
        <w:t xml:space="preserve"> divisions, while prices in </w:t>
      </w:r>
      <w:r>
        <w:rPr>
          <w:rFonts w:ascii="Arial Narrow" w:hAnsi="Arial Narrow" w:cs="Tahoma"/>
        </w:rPr>
        <w:t>six</w:t>
      </w:r>
      <w:r>
        <w:rPr>
          <w:rFonts w:ascii="Arial Narrow" w:hAnsi="Arial Narrow" w:cs="Tahoma"/>
        </w:rPr>
        <w:t xml:space="preserve"> divisions remained on the average at the same level. </w:t>
      </w:r>
    </w:p>
    <w:p w:rsidR="00EC4C30" w:rsidRDefault="00EC4C30" w:rsidP="00B6034D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increase in prices in December was recorded in the division </w:t>
      </w:r>
      <w:r w:rsidRPr="00EC4C30">
        <w:rPr>
          <w:rFonts w:ascii="Arial Narrow" w:hAnsi="Arial Narrow" w:cs="Tahoma"/>
          <w:i/>
          <w:sz w:val="22"/>
        </w:rPr>
        <w:t>Food and non-alcoholic beverages</w:t>
      </w:r>
      <w:r>
        <w:rPr>
          <w:rFonts w:ascii="Arial Narrow" w:hAnsi="Arial Narrow" w:cs="Tahoma"/>
          <w:sz w:val="22"/>
        </w:rPr>
        <w:t xml:space="preserve"> (0.4%), namely in the group fresh vegetables (8.1%), due to higher seasonal prices, and in the group sugar, jam, honey and related products (1.0%), because of higher purchase prices of sugar. A slight increase was also recorded in prices of fresh fish (0.5%), as well as in the group milk and dairy products (0.6%). Due to varying prices of suppliers, a slight increase was also recorded in the division </w:t>
      </w:r>
      <w:r w:rsidRPr="00EC4C30">
        <w:rPr>
          <w:rFonts w:ascii="Arial Narrow" w:hAnsi="Arial Narrow" w:cs="Tahoma"/>
          <w:i/>
          <w:sz w:val="22"/>
        </w:rPr>
        <w:t>Health care</w:t>
      </w:r>
      <w:r>
        <w:rPr>
          <w:rFonts w:ascii="Arial Narrow" w:hAnsi="Arial Narrow" w:cs="Tahoma"/>
          <w:sz w:val="22"/>
        </w:rPr>
        <w:t xml:space="preserve"> (0.1%), in the group pharmaceutical products. </w:t>
      </w:r>
    </w:p>
    <w:p w:rsidR="00B6034D" w:rsidRPr="004C7183" w:rsidRDefault="00EC4C30" w:rsidP="00B6034D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the divisions</w:t>
      </w:r>
      <w:r w:rsidR="00B6034D" w:rsidRPr="004C7183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i/>
          <w:sz w:val="22"/>
        </w:rPr>
        <w:t>Alcoholic beverages and tobacco</w:t>
      </w:r>
      <w:r w:rsidR="009504BB" w:rsidRPr="004C7183">
        <w:rPr>
          <w:rFonts w:ascii="Arial Narrow" w:hAnsi="Arial Narrow" w:cs="Tahoma"/>
          <w:i/>
          <w:sz w:val="22"/>
        </w:rPr>
        <w:t xml:space="preserve">, </w:t>
      </w:r>
      <w:r>
        <w:rPr>
          <w:rFonts w:ascii="Arial Narrow" w:hAnsi="Arial Narrow" w:cs="Tahoma"/>
          <w:i/>
          <w:sz w:val="22"/>
        </w:rPr>
        <w:t>Housing</w:t>
      </w:r>
      <w:r w:rsidR="009504BB" w:rsidRPr="004C7183">
        <w:rPr>
          <w:rFonts w:ascii="Arial Narrow" w:hAnsi="Arial Narrow" w:cs="Tahoma"/>
          <w:i/>
          <w:sz w:val="22"/>
        </w:rPr>
        <w:t xml:space="preserve">, </w:t>
      </w:r>
      <w:r>
        <w:rPr>
          <w:rFonts w:ascii="Arial Narrow" w:hAnsi="Arial Narrow" w:cs="Tahoma"/>
          <w:i/>
          <w:sz w:val="22"/>
        </w:rPr>
        <w:t>Communication</w:t>
      </w:r>
      <w:r w:rsidR="009504BB" w:rsidRPr="004C7183">
        <w:rPr>
          <w:rFonts w:ascii="Arial Narrow" w:hAnsi="Arial Narrow" w:cs="Tahoma"/>
          <w:i/>
          <w:sz w:val="22"/>
        </w:rPr>
        <w:t xml:space="preserve">, </w:t>
      </w:r>
      <w:r>
        <w:rPr>
          <w:rFonts w:ascii="Arial Narrow" w:hAnsi="Arial Narrow" w:cs="Tahoma"/>
          <w:i/>
          <w:sz w:val="22"/>
        </w:rPr>
        <w:t>Recreation and culture</w:t>
      </w:r>
      <w:r w:rsidR="009504BB" w:rsidRPr="004C7183">
        <w:rPr>
          <w:rFonts w:ascii="Arial Narrow" w:hAnsi="Arial Narrow" w:cs="Tahoma"/>
          <w:i/>
          <w:sz w:val="22"/>
        </w:rPr>
        <w:t xml:space="preserve">, </w:t>
      </w:r>
      <w:r>
        <w:rPr>
          <w:rFonts w:ascii="Arial Narrow" w:hAnsi="Arial Narrow" w:cs="Tahoma"/>
          <w:i/>
          <w:sz w:val="22"/>
        </w:rPr>
        <w:t>Education,</w:t>
      </w:r>
      <w:r w:rsidR="009504BB" w:rsidRPr="004C7183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and</w:t>
      </w:r>
      <w:r w:rsidR="009504BB" w:rsidRPr="004C7183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i/>
          <w:sz w:val="22"/>
        </w:rPr>
        <w:t>Restaurants and hotels</w:t>
      </w:r>
      <w:r w:rsidR="009504BB" w:rsidRPr="004C7183">
        <w:rPr>
          <w:rFonts w:ascii="Arial Narrow" w:hAnsi="Arial Narrow" w:cs="Tahoma"/>
          <w:sz w:val="22"/>
        </w:rPr>
        <w:t xml:space="preserve"> </w:t>
      </w:r>
      <w:r w:rsidRPr="007B7FB6">
        <w:rPr>
          <w:rFonts w:ascii="Arial Narrow" w:hAnsi="Arial Narrow" w:cs="Tahoma"/>
        </w:rPr>
        <w:t>prices remained on the average at the same level</w:t>
      </w:r>
      <w:r w:rsidR="00B6034D" w:rsidRPr="004C7183">
        <w:rPr>
          <w:rFonts w:ascii="Arial Narrow" w:hAnsi="Arial Narrow" w:cs="Tahoma"/>
          <w:sz w:val="22"/>
        </w:rPr>
        <w:t>.</w:t>
      </w:r>
    </w:p>
    <w:p w:rsidR="00EC4C30" w:rsidRDefault="00EC4C30" w:rsidP="009504BB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decrease in prices in December was recorded in the division </w:t>
      </w:r>
      <w:r w:rsidRPr="006B7049">
        <w:rPr>
          <w:rFonts w:ascii="Arial Narrow" w:hAnsi="Arial Narrow" w:cs="Tahoma"/>
          <w:i/>
          <w:sz w:val="22"/>
        </w:rPr>
        <w:t>Clothing and footwear</w:t>
      </w:r>
      <w:r>
        <w:rPr>
          <w:rFonts w:ascii="Arial Narrow" w:hAnsi="Arial Narrow" w:cs="Tahoma"/>
          <w:sz w:val="22"/>
        </w:rPr>
        <w:t xml:space="preserve"> (</w:t>
      </w:r>
      <w:r w:rsidR="006B7049">
        <w:rPr>
          <w:rFonts w:ascii="Arial Narrow" w:hAnsi="Arial Narrow" w:cs="Tahoma"/>
          <w:sz w:val="22"/>
        </w:rPr>
        <w:t xml:space="preserve">3.1%), due to numerous seasonal, New Year and other discounts. A decrease in prices was also recorded in the division </w:t>
      </w:r>
      <w:r w:rsidR="006B7049" w:rsidRPr="00FE3A73">
        <w:rPr>
          <w:rFonts w:ascii="Arial Narrow" w:hAnsi="Arial Narrow" w:cs="Tahoma"/>
          <w:i/>
          <w:sz w:val="22"/>
        </w:rPr>
        <w:t>Transport</w:t>
      </w:r>
      <w:r w:rsidR="006B7049">
        <w:rPr>
          <w:rFonts w:ascii="Arial Narrow" w:hAnsi="Arial Narrow" w:cs="Tahoma"/>
          <w:sz w:val="22"/>
        </w:rPr>
        <w:t xml:space="preserve"> (1.1%), mainly due to lower purchase prices of fuels. Lower prices were also recorded in the division </w:t>
      </w:r>
      <w:r w:rsidR="006B7049" w:rsidRPr="00385884">
        <w:rPr>
          <w:rFonts w:ascii="Arial Narrow" w:hAnsi="Arial Narrow" w:cs="Tahoma"/>
          <w:i/>
          <w:sz w:val="22"/>
        </w:rPr>
        <w:t>Furnishings and other equipment</w:t>
      </w:r>
      <w:r w:rsidR="006B7049">
        <w:rPr>
          <w:rFonts w:ascii="Arial Narrow" w:hAnsi="Arial Narrow" w:cs="Tahoma"/>
          <w:sz w:val="22"/>
        </w:rPr>
        <w:t xml:space="preserve"> (0.5%), due to New Year discounts </w:t>
      </w:r>
      <w:r w:rsidR="00385884">
        <w:rPr>
          <w:rFonts w:ascii="Arial Narrow" w:hAnsi="Arial Narrow" w:cs="Tahoma"/>
          <w:sz w:val="22"/>
        </w:rPr>
        <w:t xml:space="preserve">on various household appliances and other household equipment, and in the division </w:t>
      </w:r>
      <w:proofErr w:type="gramStart"/>
      <w:r w:rsidR="00385884" w:rsidRPr="00385884">
        <w:rPr>
          <w:rFonts w:ascii="Arial Narrow" w:hAnsi="Arial Narrow" w:cs="Tahoma"/>
          <w:i/>
          <w:sz w:val="22"/>
        </w:rPr>
        <w:t>Other</w:t>
      </w:r>
      <w:proofErr w:type="gramEnd"/>
      <w:r w:rsidR="00385884" w:rsidRPr="00385884">
        <w:rPr>
          <w:rFonts w:ascii="Arial Narrow" w:hAnsi="Arial Narrow" w:cs="Tahoma"/>
          <w:i/>
          <w:sz w:val="22"/>
        </w:rPr>
        <w:t xml:space="preserve"> goods and services</w:t>
      </w:r>
      <w:r w:rsidR="00385884">
        <w:rPr>
          <w:rFonts w:ascii="Arial Narrow" w:hAnsi="Arial Narrow" w:cs="Tahoma"/>
          <w:sz w:val="22"/>
        </w:rPr>
        <w:t xml:space="preserve"> (0.1%), due to lower (discount) prices in the group personal care products. </w:t>
      </w:r>
    </w:p>
    <w:p w:rsidR="00152F07" w:rsidRPr="004C7183" w:rsidRDefault="00152F07" w:rsidP="00E045B0">
      <w:pPr>
        <w:jc w:val="both"/>
        <w:rPr>
          <w:rFonts w:ascii="Arial Narrow" w:hAnsi="Arial Narrow" w:cs="Tahoma"/>
        </w:rPr>
      </w:pPr>
    </w:p>
    <w:p w:rsidR="00CA3895" w:rsidRPr="004C7183" w:rsidRDefault="00FF1D67" w:rsidP="00CA389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Working-day adjusted industrial production</w:t>
      </w:r>
      <w:r w:rsidRPr="00D20AF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5C32FE">
        <w:rPr>
          <w:rFonts w:ascii="Arial Narrow" w:hAnsi="Arial Narrow" w:cs="Tahoma"/>
          <w:b/>
          <w:sz w:val="28"/>
          <w:szCs w:val="28"/>
        </w:rPr>
        <w:t>(</w:t>
      </w:r>
      <w:r>
        <w:rPr>
          <w:rFonts w:ascii="Arial Narrow" w:hAnsi="Arial Narrow" w:cs="Tahoma"/>
          <w:b/>
          <w:sz w:val="28"/>
          <w:szCs w:val="28"/>
        </w:rPr>
        <w:t>January</w:t>
      </w:r>
      <w:r w:rsidR="00CA3895" w:rsidRPr="004C7183">
        <w:rPr>
          <w:rFonts w:ascii="Arial Narrow" w:hAnsi="Arial Narrow" w:cs="Tahoma"/>
          <w:b/>
          <w:sz w:val="28"/>
          <w:szCs w:val="28"/>
        </w:rPr>
        <w:t>-</w:t>
      </w:r>
      <w:r>
        <w:rPr>
          <w:rFonts w:ascii="Arial Narrow" w:hAnsi="Arial Narrow" w:cs="Tahoma"/>
          <w:b/>
          <w:sz w:val="28"/>
          <w:szCs w:val="28"/>
        </w:rPr>
        <w:t xml:space="preserve">December </w:t>
      </w:r>
      <w:r w:rsidR="00CA3895" w:rsidRPr="004C7183">
        <w:rPr>
          <w:rFonts w:ascii="Arial Narrow" w:hAnsi="Arial Narrow" w:cs="Tahoma"/>
          <w:b/>
          <w:sz w:val="28"/>
          <w:szCs w:val="28"/>
        </w:rPr>
        <w:t>2015/</w:t>
      </w:r>
      <w:r>
        <w:rPr>
          <w:rFonts w:ascii="Arial Narrow" w:hAnsi="Arial Narrow" w:cs="Tahoma"/>
          <w:b/>
          <w:sz w:val="28"/>
          <w:szCs w:val="28"/>
        </w:rPr>
        <w:t>January</w:t>
      </w:r>
      <w:r w:rsidR="00CA3895" w:rsidRPr="004C7183">
        <w:rPr>
          <w:rFonts w:ascii="Arial Narrow" w:hAnsi="Arial Narrow" w:cs="Tahoma"/>
          <w:b/>
          <w:sz w:val="28"/>
          <w:szCs w:val="28"/>
        </w:rPr>
        <w:t>-</w:t>
      </w:r>
      <w:r>
        <w:rPr>
          <w:rFonts w:ascii="Arial Narrow" w:hAnsi="Arial Narrow" w:cs="Tahoma"/>
          <w:b/>
          <w:sz w:val="28"/>
          <w:szCs w:val="28"/>
        </w:rPr>
        <w:t>December</w:t>
      </w:r>
      <w:r w:rsidR="00CA3895" w:rsidRPr="004C7183">
        <w:rPr>
          <w:rFonts w:ascii="Arial Narrow" w:hAnsi="Arial Narrow" w:cs="Tahoma"/>
          <w:b/>
          <w:bCs/>
          <w:sz w:val="28"/>
          <w:szCs w:val="28"/>
        </w:rPr>
        <w:t xml:space="preserve"> 201</w:t>
      </w:r>
      <w:r>
        <w:rPr>
          <w:rFonts w:ascii="Arial Narrow" w:hAnsi="Arial Narrow" w:cs="Tahoma"/>
          <w:b/>
          <w:bCs/>
          <w:sz w:val="28"/>
          <w:szCs w:val="28"/>
        </w:rPr>
        <w:t>4</w:t>
      </w:r>
      <w:r w:rsidR="00CA3895" w:rsidRPr="004C7183">
        <w:rPr>
          <w:rFonts w:ascii="Arial Narrow" w:hAnsi="Arial Narrow" w:cs="Tahoma"/>
          <w:b/>
          <w:bCs/>
          <w:sz w:val="28"/>
          <w:szCs w:val="28"/>
        </w:rPr>
        <w:t xml:space="preserve">) </w:t>
      </w:r>
      <w:r>
        <w:rPr>
          <w:rFonts w:ascii="Arial Narrow" w:hAnsi="Arial Narrow" w:cs="Tahoma"/>
          <w:b/>
          <w:bCs/>
          <w:sz w:val="28"/>
          <w:szCs w:val="28"/>
        </w:rPr>
        <w:t>increased by</w:t>
      </w:r>
      <w:r w:rsidR="00CA3895" w:rsidRPr="004C7183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="00374BDC" w:rsidRPr="004C7183">
        <w:rPr>
          <w:rFonts w:ascii="Arial Narrow" w:hAnsi="Arial Narrow" w:cs="Tahoma"/>
          <w:b/>
          <w:bCs/>
          <w:sz w:val="28"/>
          <w:szCs w:val="28"/>
        </w:rPr>
        <w:t>2</w:t>
      </w:r>
      <w:r>
        <w:rPr>
          <w:rFonts w:ascii="Arial Narrow" w:hAnsi="Arial Narrow" w:cs="Tahoma"/>
          <w:b/>
          <w:bCs/>
          <w:sz w:val="28"/>
          <w:szCs w:val="28"/>
        </w:rPr>
        <w:t>.</w:t>
      </w:r>
      <w:r w:rsidR="00374BDC" w:rsidRPr="004C7183">
        <w:rPr>
          <w:rFonts w:ascii="Arial Narrow" w:hAnsi="Arial Narrow" w:cs="Tahoma"/>
          <w:b/>
          <w:bCs/>
          <w:sz w:val="28"/>
          <w:szCs w:val="28"/>
        </w:rPr>
        <w:t>7</w:t>
      </w:r>
      <w:r w:rsidR="00CA3895" w:rsidRPr="004C7183">
        <w:rPr>
          <w:rFonts w:ascii="Arial Narrow" w:hAnsi="Arial Narrow" w:cs="Tahoma"/>
          <w:b/>
          <w:bCs/>
          <w:sz w:val="28"/>
          <w:szCs w:val="28"/>
        </w:rPr>
        <w:t>%</w:t>
      </w:r>
    </w:p>
    <w:p w:rsidR="00BA7878" w:rsidRPr="004C7183" w:rsidRDefault="00FF1D67" w:rsidP="00BA787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Number of employees in industry</w:t>
      </w:r>
      <w:r w:rsidR="00BA7878" w:rsidRPr="004C7183">
        <w:rPr>
          <w:rFonts w:ascii="Arial Narrow" w:hAnsi="Arial Narrow" w:cs="Tahoma"/>
          <w:b/>
          <w:sz w:val="28"/>
          <w:szCs w:val="28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>January</w:t>
      </w:r>
      <w:r w:rsidR="006017CC" w:rsidRPr="004C7183">
        <w:rPr>
          <w:rFonts w:ascii="Arial Narrow" w:hAnsi="Arial Narrow" w:cs="Tahoma"/>
          <w:b/>
          <w:sz w:val="28"/>
          <w:szCs w:val="28"/>
        </w:rPr>
        <w:t>-</w:t>
      </w:r>
      <w:r>
        <w:rPr>
          <w:rFonts w:ascii="Arial Narrow" w:hAnsi="Arial Narrow" w:cs="Tahoma"/>
          <w:b/>
          <w:sz w:val="28"/>
          <w:szCs w:val="28"/>
        </w:rPr>
        <w:t>December</w:t>
      </w:r>
      <w:r w:rsidR="006017CC" w:rsidRPr="004C7183">
        <w:rPr>
          <w:rFonts w:ascii="Arial Narrow" w:hAnsi="Arial Narrow" w:cs="Tahoma"/>
          <w:b/>
          <w:sz w:val="28"/>
          <w:szCs w:val="28"/>
        </w:rPr>
        <w:t xml:space="preserve"> 2015/</w:t>
      </w:r>
      <w:r>
        <w:rPr>
          <w:rFonts w:ascii="Arial Narrow" w:hAnsi="Arial Narrow" w:cs="Tahoma"/>
          <w:b/>
          <w:sz w:val="28"/>
          <w:szCs w:val="28"/>
        </w:rPr>
        <w:t>January</w:t>
      </w:r>
      <w:r w:rsidR="006017CC" w:rsidRPr="004C7183">
        <w:rPr>
          <w:rFonts w:ascii="Arial Narrow" w:hAnsi="Arial Narrow" w:cs="Tahoma"/>
          <w:b/>
          <w:sz w:val="28"/>
          <w:szCs w:val="28"/>
        </w:rPr>
        <w:t>-</w:t>
      </w:r>
      <w:r>
        <w:rPr>
          <w:rFonts w:ascii="Arial Narrow" w:hAnsi="Arial Narrow" w:cs="Tahoma"/>
          <w:b/>
          <w:sz w:val="28"/>
          <w:szCs w:val="28"/>
        </w:rPr>
        <w:t>December</w:t>
      </w:r>
      <w:r w:rsidR="006017CC" w:rsidRPr="004C7183">
        <w:rPr>
          <w:rFonts w:ascii="Arial Narrow" w:hAnsi="Arial Narrow" w:cs="Tahoma"/>
          <w:b/>
          <w:bCs/>
          <w:sz w:val="28"/>
          <w:szCs w:val="28"/>
        </w:rPr>
        <w:t xml:space="preserve"> 201</w:t>
      </w:r>
      <w:r>
        <w:rPr>
          <w:rFonts w:ascii="Arial Narrow" w:hAnsi="Arial Narrow" w:cs="Tahoma"/>
          <w:b/>
          <w:bCs/>
          <w:sz w:val="28"/>
          <w:szCs w:val="28"/>
        </w:rPr>
        <w:t>4</w:t>
      </w:r>
      <w:r w:rsidR="00BA7878" w:rsidRPr="004C7183">
        <w:rPr>
          <w:rFonts w:ascii="Arial Narrow" w:hAnsi="Arial Narrow" w:cs="Tahoma"/>
          <w:b/>
          <w:sz w:val="28"/>
          <w:szCs w:val="28"/>
        </w:rPr>
        <w:t xml:space="preserve">) </w:t>
      </w:r>
      <w:r>
        <w:rPr>
          <w:rFonts w:ascii="Arial Narrow" w:hAnsi="Arial Narrow" w:cs="Tahoma"/>
          <w:b/>
          <w:sz w:val="28"/>
          <w:szCs w:val="28"/>
        </w:rPr>
        <w:t>increased by</w:t>
      </w:r>
      <w:r w:rsidR="00BA7878" w:rsidRPr="004C7183">
        <w:rPr>
          <w:rFonts w:ascii="Arial Narrow" w:hAnsi="Arial Narrow" w:cs="Tahoma"/>
          <w:b/>
          <w:sz w:val="28"/>
          <w:szCs w:val="28"/>
        </w:rPr>
        <w:t xml:space="preserve"> </w:t>
      </w:r>
      <w:r w:rsidR="006017CC" w:rsidRPr="004C7183">
        <w:rPr>
          <w:rFonts w:ascii="Arial Narrow" w:hAnsi="Arial Narrow" w:cs="Tahoma"/>
          <w:b/>
          <w:sz w:val="28"/>
          <w:szCs w:val="28"/>
        </w:rPr>
        <w:t>1</w:t>
      </w:r>
      <w:r>
        <w:rPr>
          <w:rFonts w:ascii="Arial Narrow" w:hAnsi="Arial Narrow" w:cs="Tahoma"/>
          <w:b/>
          <w:sz w:val="28"/>
          <w:szCs w:val="28"/>
        </w:rPr>
        <w:t>.</w:t>
      </w:r>
      <w:r w:rsidR="006017CC" w:rsidRPr="004C7183">
        <w:rPr>
          <w:rFonts w:ascii="Arial Narrow" w:hAnsi="Arial Narrow" w:cs="Tahoma"/>
          <w:b/>
          <w:sz w:val="28"/>
          <w:szCs w:val="28"/>
        </w:rPr>
        <w:t>3</w:t>
      </w:r>
      <w:r w:rsidR="00BA7878" w:rsidRPr="004C7183">
        <w:rPr>
          <w:rFonts w:ascii="Arial Narrow" w:hAnsi="Arial Narrow" w:cs="Tahoma"/>
          <w:b/>
          <w:sz w:val="28"/>
          <w:szCs w:val="28"/>
        </w:rPr>
        <w:t>%</w:t>
      </w:r>
    </w:p>
    <w:p w:rsidR="00CA3895" w:rsidRPr="004C7183" w:rsidRDefault="00CA3895" w:rsidP="00CA3895">
      <w:pPr>
        <w:jc w:val="both"/>
        <w:rPr>
          <w:rFonts w:ascii="Arial Narrow" w:hAnsi="Arial Narrow" w:cs="Tahoma"/>
          <w:b/>
          <w:sz w:val="22"/>
          <w:szCs w:val="22"/>
        </w:rPr>
      </w:pPr>
    </w:p>
    <w:p w:rsidR="00737145" w:rsidRDefault="00737145" w:rsidP="00CA3895">
      <w:pPr>
        <w:jc w:val="both"/>
        <w:rPr>
          <w:rFonts w:ascii="Arial Narrow" w:hAnsi="Arial Narrow" w:cs="Tahoma"/>
          <w:sz w:val="22"/>
          <w:szCs w:val="22"/>
        </w:rPr>
      </w:pPr>
      <w:r w:rsidRPr="007E517E">
        <w:rPr>
          <w:rFonts w:ascii="Arial Narrow" w:hAnsi="Arial Narrow" w:cs="Tahoma"/>
          <w:b/>
          <w:sz w:val="22"/>
        </w:rPr>
        <w:t>Working-day adjusted industrial production</w:t>
      </w:r>
      <w:r w:rsidRPr="007E517E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in the period January </w:t>
      </w:r>
      <w:r w:rsidR="00CA3895" w:rsidRPr="004C7183">
        <w:rPr>
          <w:rFonts w:ascii="Arial Narrow" w:hAnsi="Arial Narrow" w:cs="Tahoma"/>
          <w:sz w:val="22"/>
          <w:szCs w:val="22"/>
        </w:rPr>
        <w:t>-</w:t>
      </w:r>
      <w:r w:rsidR="006017CC" w:rsidRPr="004C7183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pacing w:val="-2"/>
          <w:sz w:val="22"/>
          <w:szCs w:val="22"/>
        </w:rPr>
        <w:t>December</w:t>
      </w:r>
      <w:r w:rsidR="00CA3895" w:rsidRPr="004C7183">
        <w:rPr>
          <w:rFonts w:ascii="Arial Narrow" w:hAnsi="Arial Narrow" w:cs="Tahoma"/>
          <w:spacing w:val="-2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2015, compared to the same period of 2014, increased by 2.7%. </w:t>
      </w:r>
      <w:r>
        <w:rPr>
          <w:rFonts w:ascii="Arial Narrow" w:hAnsi="Arial Narrow" w:cs="Tahoma"/>
          <w:sz w:val="22"/>
          <w:szCs w:val="22"/>
        </w:rPr>
        <w:t xml:space="preserve">In the section </w:t>
      </w:r>
      <w:r w:rsidRPr="00CF6C46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an increase by 10.2</w:t>
      </w:r>
      <w:r>
        <w:rPr>
          <w:rFonts w:ascii="Arial Narrow" w:hAnsi="Arial Narrow" w:cs="Tahoma"/>
          <w:sz w:val="22"/>
          <w:szCs w:val="22"/>
        </w:rPr>
        <w:t xml:space="preserve">% was recorded and in the section  </w:t>
      </w:r>
      <w:r>
        <w:rPr>
          <w:rFonts w:ascii="Arial Narrow" w:hAnsi="Arial Narrow" w:cs="Tahoma"/>
          <w:i/>
          <w:sz w:val="22"/>
          <w:szCs w:val="22"/>
        </w:rPr>
        <w:t xml:space="preserve">Manufacturing </w:t>
      </w:r>
      <w:r>
        <w:rPr>
          <w:rFonts w:ascii="Arial Narrow" w:hAnsi="Arial Narrow" w:cs="Tahoma"/>
          <w:sz w:val="22"/>
          <w:szCs w:val="22"/>
        </w:rPr>
        <w:t>an increase by 2.7</w:t>
      </w:r>
      <w:r>
        <w:rPr>
          <w:rFonts w:ascii="Arial Narrow" w:hAnsi="Arial Narrow" w:cs="Tahoma"/>
          <w:sz w:val="22"/>
          <w:szCs w:val="22"/>
        </w:rPr>
        <w:t xml:space="preserve">%, </w:t>
      </w:r>
      <w:r>
        <w:rPr>
          <w:rFonts w:ascii="Arial Narrow" w:hAnsi="Arial Narrow" w:cs="Tahoma"/>
          <w:sz w:val="22"/>
          <w:szCs w:val="22"/>
        </w:rPr>
        <w:t>while</w:t>
      </w:r>
      <w:r>
        <w:rPr>
          <w:rFonts w:ascii="Arial Narrow" w:hAnsi="Arial Narrow" w:cs="Tahoma"/>
          <w:sz w:val="22"/>
          <w:szCs w:val="22"/>
        </w:rPr>
        <w:t xml:space="preserve"> in the section </w:t>
      </w:r>
      <w:r w:rsidRPr="00200154">
        <w:rPr>
          <w:rFonts w:ascii="Arial Narrow" w:hAnsi="Arial Narrow" w:cs="Tahoma"/>
          <w:i/>
          <w:sz w:val="22"/>
          <w:szCs w:val="22"/>
        </w:rPr>
        <w:t>Electricity, gas, steam and air-conditioning</w:t>
      </w:r>
      <w:r>
        <w:rPr>
          <w:rFonts w:ascii="Arial Narrow" w:hAnsi="Arial Narrow" w:cs="Tahoma"/>
          <w:i/>
          <w:sz w:val="22"/>
          <w:szCs w:val="22"/>
        </w:rPr>
        <w:t xml:space="preserve"> supply</w:t>
      </w:r>
      <w:r>
        <w:rPr>
          <w:rFonts w:ascii="Arial Narrow" w:hAnsi="Arial Narrow" w:cs="Tahoma"/>
          <w:sz w:val="22"/>
          <w:szCs w:val="22"/>
        </w:rPr>
        <w:t xml:space="preserve"> a decrease by 1.0</w:t>
      </w:r>
      <w:r>
        <w:rPr>
          <w:rFonts w:ascii="Arial Narrow" w:hAnsi="Arial Narrow" w:cs="Tahoma"/>
          <w:sz w:val="22"/>
          <w:szCs w:val="22"/>
        </w:rPr>
        <w:t>% was recorded</w:t>
      </w:r>
    </w:p>
    <w:p w:rsidR="00737145" w:rsidRDefault="00737145" w:rsidP="00CA389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By main industrial group, based on economic purpose of products, working-day adjusted production of consumer non-durables in the period January – </w:t>
      </w:r>
      <w:r>
        <w:rPr>
          <w:rFonts w:ascii="Arial Narrow" w:hAnsi="Arial Narrow" w:cs="Tahoma"/>
          <w:sz w:val="22"/>
          <w:szCs w:val="22"/>
        </w:rPr>
        <w:t>December</w:t>
      </w:r>
      <w:r>
        <w:rPr>
          <w:rFonts w:ascii="Arial Narrow" w:hAnsi="Arial Narrow" w:cs="Tahoma"/>
          <w:sz w:val="22"/>
          <w:szCs w:val="22"/>
        </w:rPr>
        <w:t xml:space="preserve"> 2015, compared to the same pe</w:t>
      </w:r>
      <w:r>
        <w:rPr>
          <w:rFonts w:ascii="Arial Narrow" w:hAnsi="Arial Narrow" w:cs="Tahoma"/>
          <w:sz w:val="22"/>
          <w:szCs w:val="22"/>
        </w:rPr>
        <w:t>riod of the previous year, was 7.4</w:t>
      </w:r>
      <w:r>
        <w:rPr>
          <w:rFonts w:ascii="Arial Narrow" w:hAnsi="Arial Narrow" w:cs="Tahoma"/>
          <w:sz w:val="22"/>
          <w:szCs w:val="22"/>
        </w:rPr>
        <w:t>% higher, produc</w:t>
      </w:r>
      <w:r>
        <w:rPr>
          <w:rFonts w:ascii="Arial Narrow" w:hAnsi="Arial Narrow" w:cs="Tahoma"/>
          <w:sz w:val="22"/>
          <w:szCs w:val="22"/>
        </w:rPr>
        <w:t>tion of intermediate goods was 4.4</w:t>
      </w:r>
      <w:r>
        <w:rPr>
          <w:rFonts w:ascii="Arial Narrow" w:hAnsi="Arial Narrow" w:cs="Tahoma"/>
          <w:sz w:val="22"/>
          <w:szCs w:val="22"/>
        </w:rPr>
        <w:t>% higher, produ</w:t>
      </w:r>
      <w:r>
        <w:rPr>
          <w:rFonts w:ascii="Arial Narrow" w:hAnsi="Arial Narrow" w:cs="Tahoma"/>
          <w:sz w:val="22"/>
          <w:szCs w:val="22"/>
        </w:rPr>
        <w:t>ction of consumer durables was 2.4</w:t>
      </w:r>
      <w:r>
        <w:rPr>
          <w:rFonts w:ascii="Arial Narrow" w:hAnsi="Arial Narrow" w:cs="Tahoma"/>
          <w:sz w:val="22"/>
          <w:szCs w:val="22"/>
        </w:rPr>
        <w:t>% highe</w:t>
      </w:r>
      <w:r>
        <w:rPr>
          <w:rFonts w:ascii="Arial Narrow" w:hAnsi="Arial Narrow" w:cs="Tahoma"/>
          <w:sz w:val="22"/>
          <w:szCs w:val="22"/>
        </w:rPr>
        <w:t>r and production of energy was 1.0</w:t>
      </w:r>
      <w:r>
        <w:rPr>
          <w:rFonts w:ascii="Arial Narrow" w:hAnsi="Arial Narrow" w:cs="Tahoma"/>
          <w:sz w:val="22"/>
          <w:szCs w:val="22"/>
        </w:rPr>
        <w:t>% higher, while p</w:t>
      </w:r>
      <w:r>
        <w:rPr>
          <w:rFonts w:ascii="Arial Narrow" w:hAnsi="Arial Narrow" w:cs="Tahoma"/>
          <w:sz w:val="22"/>
          <w:szCs w:val="22"/>
        </w:rPr>
        <w:t>roduction of capital goods was 5.6</w:t>
      </w:r>
      <w:r>
        <w:rPr>
          <w:rFonts w:ascii="Arial Narrow" w:hAnsi="Arial Narrow" w:cs="Tahoma"/>
          <w:sz w:val="22"/>
          <w:szCs w:val="22"/>
        </w:rPr>
        <w:t>% lower</w:t>
      </w:r>
      <w:r>
        <w:rPr>
          <w:rFonts w:ascii="Arial Narrow" w:hAnsi="Arial Narrow" w:cs="Tahoma"/>
          <w:sz w:val="22"/>
          <w:szCs w:val="22"/>
        </w:rPr>
        <w:t>.</w:t>
      </w:r>
    </w:p>
    <w:p w:rsidR="00152F07" w:rsidRPr="004C7183" w:rsidRDefault="00152F07" w:rsidP="00152F07">
      <w:pPr>
        <w:jc w:val="both"/>
        <w:rPr>
          <w:rFonts w:ascii="Arial Narrow" w:hAnsi="Arial Narrow" w:cs="Tahoma"/>
          <w:b/>
          <w:sz w:val="22"/>
          <w:szCs w:val="22"/>
        </w:rPr>
      </w:pPr>
    </w:p>
    <w:p w:rsidR="00737145" w:rsidRDefault="00737145" w:rsidP="000213F8">
      <w:pPr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Number of employees in industry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 </w:t>
      </w:r>
      <w:r>
        <w:rPr>
          <w:rFonts w:ascii="Arial Narrow" w:hAnsi="Arial Narrow" w:cs="Tahoma"/>
          <w:sz w:val="22"/>
          <w:szCs w:val="22"/>
        </w:rPr>
        <w:t>in</w:t>
      </w:r>
      <w:r>
        <w:rPr>
          <w:rFonts w:ascii="Arial Narrow" w:hAnsi="Arial Narrow" w:cs="Tahoma"/>
          <w:sz w:val="22"/>
          <w:szCs w:val="22"/>
        </w:rPr>
        <w:t xml:space="preserve"> December 2015, compared to the average monthly number of employed persons in 2014, was 1.3% higher. Compared to the same month of the previous year, it was 0.5% higher, while compared to November 2015 it was 0.5% lower. Number of employees in industry in the period January-December 2015, compared to the same period of the previous year, was 1.3% higher. During the same </w:t>
      </w:r>
      <w:proofErr w:type="spellStart"/>
      <w:r>
        <w:rPr>
          <w:rFonts w:ascii="Arial Narrow" w:hAnsi="Arial Narrow" w:cs="Tahoma"/>
          <w:sz w:val="22"/>
          <w:szCs w:val="22"/>
        </w:rPr>
        <w:t>peiod</w:t>
      </w:r>
      <w:proofErr w:type="spellEnd"/>
      <w:r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 xml:space="preserve">in the section </w:t>
      </w:r>
      <w:r w:rsidRPr="007E517E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>
        <w:rPr>
          <w:rFonts w:ascii="Arial Narrow" w:hAnsi="Arial Narrow" w:cs="Tahoma"/>
          <w:i/>
          <w:spacing w:val="-2"/>
          <w:sz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>an increase by 2.3</w:t>
      </w:r>
      <w:r>
        <w:rPr>
          <w:rFonts w:ascii="Arial Narrow" w:hAnsi="Arial Narrow" w:cs="Tahoma"/>
          <w:spacing w:val="-2"/>
          <w:sz w:val="22"/>
        </w:rPr>
        <w:t xml:space="preserve">% was recorded, in the section </w:t>
      </w:r>
      <w:r w:rsidRPr="007E517E">
        <w:rPr>
          <w:rFonts w:ascii="Arial Narrow" w:hAnsi="Arial Narrow" w:cs="Tahoma"/>
          <w:i/>
          <w:spacing w:val="-2"/>
          <w:sz w:val="22"/>
        </w:rPr>
        <w:t xml:space="preserve">Mining and quarrying </w:t>
      </w:r>
      <w:r w:rsidRPr="007E517E">
        <w:rPr>
          <w:rFonts w:ascii="Arial Narrow" w:hAnsi="Arial Narrow" w:cs="Tahoma"/>
          <w:spacing w:val="-2"/>
          <w:sz w:val="22"/>
        </w:rPr>
        <w:t xml:space="preserve">an </w:t>
      </w:r>
      <w:r>
        <w:rPr>
          <w:rFonts w:ascii="Arial Narrow" w:hAnsi="Arial Narrow" w:cs="Tahoma"/>
          <w:spacing w:val="-2"/>
          <w:sz w:val="22"/>
        </w:rPr>
        <w:t>increase by 1.7</w:t>
      </w:r>
      <w:r>
        <w:rPr>
          <w:rFonts w:ascii="Arial Narrow" w:hAnsi="Arial Narrow" w:cs="Tahoma"/>
          <w:spacing w:val="-2"/>
          <w:sz w:val="22"/>
        </w:rPr>
        <w:t xml:space="preserve">% and in the section </w:t>
      </w:r>
      <w:r w:rsidRPr="007E517E">
        <w:rPr>
          <w:rFonts w:ascii="Arial Narrow" w:hAnsi="Arial Narrow" w:cs="Tahoma"/>
          <w:i/>
          <w:spacing w:val="-2"/>
          <w:sz w:val="22"/>
        </w:rPr>
        <w:t>Manufacturing</w:t>
      </w:r>
      <w:r>
        <w:rPr>
          <w:rFonts w:ascii="Arial Narrow" w:hAnsi="Arial Narrow" w:cs="Tahoma"/>
          <w:i/>
          <w:spacing w:val="-2"/>
          <w:sz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>an increase by 1.0</w:t>
      </w:r>
      <w:r>
        <w:rPr>
          <w:rFonts w:ascii="Arial Narrow" w:hAnsi="Arial Narrow" w:cs="Tahoma"/>
          <w:spacing w:val="-2"/>
          <w:sz w:val="22"/>
        </w:rPr>
        <w:t>% was recorded.</w:t>
      </w:r>
    </w:p>
    <w:p w:rsidR="000213F8" w:rsidRPr="004C7183" w:rsidRDefault="00B9777F" w:rsidP="00DC2009">
      <w:pPr>
        <w:jc w:val="center"/>
        <w:rPr>
          <w:rFonts w:ascii="Arial Narrow" w:hAnsi="Arial Narrow" w:cs="Tahoma"/>
          <w:sz w:val="22"/>
          <w:szCs w:val="22"/>
        </w:rPr>
      </w:pPr>
      <w:r w:rsidRPr="004C7183">
        <w:rPr>
          <w:rFonts w:ascii="Arial Narrow" w:hAnsi="Arial Narrow" w:cs="Tahoma"/>
          <w:noProof/>
          <w:sz w:val="22"/>
          <w:szCs w:val="22"/>
        </w:rPr>
        <w:drawing>
          <wp:inline distT="0" distB="0" distL="0" distR="0">
            <wp:extent cx="6480810" cy="3053118"/>
            <wp:effectExtent l="0" t="0" r="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4C7183" w:rsidRDefault="00191388" w:rsidP="00B85D9D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B85D9D" w:rsidRPr="004C7183">
        <w:rPr>
          <w:rFonts w:ascii="Arial Narrow" w:hAnsi="Arial Narrow" w:cs="Tahoma"/>
          <w:sz w:val="16"/>
          <w:szCs w:val="16"/>
        </w:rPr>
        <w:t xml:space="preserve"> </w:t>
      </w:r>
      <w:r w:rsidR="0066022A" w:rsidRPr="004C7183">
        <w:rPr>
          <w:rFonts w:ascii="Arial Narrow" w:hAnsi="Arial Narrow" w:cs="Tahoma"/>
          <w:sz w:val="16"/>
          <w:szCs w:val="16"/>
        </w:rPr>
        <w:t>2</w:t>
      </w:r>
      <w:r w:rsidR="00B85D9D" w:rsidRPr="004C7183">
        <w:rPr>
          <w:rFonts w:ascii="Arial Narrow" w:hAnsi="Arial Narrow" w:cs="Tahoma"/>
          <w:sz w:val="16"/>
          <w:szCs w:val="16"/>
        </w:rPr>
        <w:t xml:space="preserve">. </w:t>
      </w:r>
      <w:r>
        <w:rPr>
          <w:rFonts w:ascii="Arial Narrow" w:hAnsi="Arial Narrow" w:cs="Tahoma"/>
          <w:sz w:val="16"/>
          <w:szCs w:val="16"/>
        </w:rPr>
        <w:t>Indices of industrial production</w:t>
      </w:r>
      <w:r w:rsidR="00B85D9D" w:rsidRPr="004C7183">
        <w:rPr>
          <w:rFonts w:ascii="Arial Narrow" w:hAnsi="Arial Narrow" w:cs="Tahoma"/>
          <w:sz w:val="16"/>
          <w:szCs w:val="16"/>
        </w:rPr>
        <w:t xml:space="preserve">, </w:t>
      </w:r>
      <w:r>
        <w:rPr>
          <w:rFonts w:ascii="Arial Narrow" w:hAnsi="Arial Narrow" w:cs="Tahoma"/>
          <w:sz w:val="16"/>
          <w:szCs w:val="16"/>
        </w:rPr>
        <w:t>December</w:t>
      </w:r>
      <w:r w:rsidR="00B85D9D" w:rsidRPr="004C7183">
        <w:rPr>
          <w:rFonts w:ascii="Arial Narrow" w:hAnsi="Arial Narrow" w:cs="Tahoma"/>
          <w:sz w:val="16"/>
          <w:szCs w:val="16"/>
        </w:rPr>
        <w:t xml:space="preserve"> 2011 – </w:t>
      </w:r>
      <w:r>
        <w:rPr>
          <w:rFonts w:ascii="Arial Narrow" w:hAnsi="Arial Narrow" w:cs="Tahoma"/>
          <w:sz w:val="16"/>
          <w:szCs w:val="16"/>
        </w:rPr>
        <w:t>December</w:t>
      </w:r>
      <w:r w:rsidR="00B85D9D" w:rsidRPr="004C7183">
        <w:rPr>
          <w:rFonts w:ascii="Arial Narrow" w:hAnsi="Arial Narrow" w:cs="Tahoma"/>
          <w:sz w:val="16"/>
          <w:szCs w:val="16"/>
        </w:rPr>
        <w:t xml:space="preserve"> 2015 (</w:t>
      </w:r>
      <w:r w:rsidR="00B85D9D" w:rsidRPr="004C7183">
        <w:rPr>
          <w:rFonts w:ascii="Arial Narrow" w:hAnsi="Arial Narrow" w:cs="Tahoma"/>
          <w:sz w:val="16"/>
          <w:szCs w:val="16"/>
        </w:rPr>
        <w:sym w:font="Symbol" w:char="F0C6"/>
      </w:r>
      <w:r w:rsidR="00B85D9D" w:rsidRPr="004C7183">
        <w:rPr>
          <w:rFonts w:ascii="Arial Narrow" w:hAnsi="Arial Narrow" w:cs="Tahoma"/>
          <w:sz w:val="16"/>
          <w:szCs w:val="16"/>
        </w:rPr>
        <w:t>2010=100)</w:t>
      </w:r>
    </w:p>
    <w:p w:rsidR="006E4C93" w:rsidRPr="004C7183" w:rsidRDefault="006E4C93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F442FA" w:rsidRPr="004C7183" w:rsidRDefault="00EE1CC4" w:rsidP="00F442FA">
      <w:pPr>
        <w:rPr>
          <w:rFonts w:ascii="Arial Narrow" w:hAnsi="Arial Narrow" w:cs="Tahoma"/>
          <w:b/>
          <w:sz w:val="30"/>
          <w:szCs w:val="30"/>
        </w:rPr>
      </w:pPr>
      <w:r w:rsidRPr="007E517E">
        <w:rPr>
          <w:rFonts w:ascii="Arial Narrow" w:hAnsi="Arial Narrow" w:cs="Tahoma"/>
          <w:b/>
          <w:sz w:val="30"/>
          <w:szCs w:val="30"/>
        </w:rPr>
        <w:t>Coverage of import with export (in the period January</w:t>
      </w:r>
      <w:r>
        <w:rPr>
          <w:rFonts w:ascii="Arial Narrow" w:hAnsi="Arial Narrow" w:cs="Tahoma"/>
          <w:b/>
          <w:sz w:val="30"/>
          <w:szCs w:val="30"/>
        </w:rPr>
        <w:t xml:space="preserve"> </w:t>
      </w:r>
      <w:r w:rsidRPr="005C32FE">
        <w:rPr>
          <w:rFonts w:ascii="Arial Narrow" w:hAnsi="Arial Narrow" w:cs="Tahoma"/>
          <w:b/>
          <w:sz w:val="30"/>
          <w:szCs w:val="30"/>
        </w:rPr>
        <w:t>-</w:t>
      </w:r>
      <w:r>
        <w:rPr>
          <w:rFonts w:ascii="Arial Narrow" w:hAnsi="Arial Narrow" w:cs="Tahoma"/>
          <w:b/>
          <w:sz w:val="30"/>
          <w:szCs w:val="30"/>
        </w:rPr>
        <w:t xml:space="preserve"> December</w:t>
      </w:r>
      <w:r w:rsidR="00F442FA" w:rsidRPr="004C7183">
        <w:rPr>
          <w:rFonts w:ascii="Arial Narrow" w:hAnsi="Arial Narrow" w:cs="Tahoma"/>
          <w:b/>
          <w:sz w:val="30"/>
          <w:szCs w:val="30"/>
        </w:rPr>
        <w:t xml:space="preserve"> 201</w:t>
      </w:r>
      <w:r>
        <w:rPr>
          <w:rFonts w:ascii="Arial Narrow" w:hAnsi="Arial Narrow" w:cs="Tahoma"/>
          <w:b/>
          <w:sz w:val="30"/>
          <w:szCs w:val="30"/>
        </w:rPr>
        <w:t>5</w:t>
      </w:r>
      <w:r w:rsidR="00F442FA" w:rsidRPr="004C7183">
        <w:rPr>
          <w:rFonts w:ascii="Arial Narrow" w:hAnsi="Arial Narrow" w:cs="Tahoma"/>
          <w:b/>
          <w:sz w:val="30"/>
          <w:szCs w:val="30"/>
        </w:rPr>
        <w:t xml:space="preserve">) </w:t>
      </w:r>
      <w:r w:rsidR="008F10AE" w:rsidRPr="004C7183">
        <w:rPr>
          <w:rFonts w:ascii="Arial Narrow" w:hAnsi="Arial Narrow" w:cs="Tahoma"/>
          <w:b/>
          <w:sz w:val="30"/>
          <w:szCs w:val="30"/>
        </w:rPr>
        <w:t>5</w:t>
      </w:r>
      <w:r w:rsidR="007E3425" w:rsidRPr="004C7183">
        <w:rPr>
          <w:rFonts w:ascii="Arial Narrow" w:hAnsi="Arial Narrow" w:cs="Tahoma"/>
          <w:b/>
          <w:sz w:val="30"/>
          <w:szCs w:val="30"/>
        </w:rPr>
        <w:t>8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7E3425" w:rsidRPr="004C7183">
        <w:rPr>
          <w:rFonts w:ascii="Arial Narrow" w:hAnsi="Arial Narrow" w:cs="Tahoma"/>
          <w:b/>
          <w:sz w:val="30"/>
          <w:szCs w:val="30"/>
        </w:rPr>
        <w:t>5</w:t>
      </w:r>
      <w:r w:rsidR="00F442FA" w:rsidRPr="004C7183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F442FA" w:rsidRPr="004C7183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2302B" w:rsidRDefault="00D2302B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December 2015, the value of export was 146 million KM and the value of import was 288 million KM. </w:t>
      </w:r>
    </w:p>
    <w:p w:rsidR="00F442FA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D2302B" w:rsidRPr="009E5326" w:rsidRDefault="00D2302B" w:rsidP="00D2302B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December</w:t>
      </w:r>
      <w:r>
        <w:rPr>
          <w:rFonts w:ascii="Arial Narrow" w:hAnsi="Arial Narrow" w:cs="Tahoma"/>
          <w:sz w:val="22"/>
        </w:rPr>
        <w:t xml:space="preserve"> of the current year, the percentage of cover</w:t>
      </w:r>
      <w:r>
        <w:rPr>
          <w:rFonts w:ascii="Arial Narrow" w:hAnsi="Arial Narrow" w:cs="Tahoma"/>
          <w:sz w:val="22"/>
        </w:rPr>
        <w:t>age of import with export was 50</w:t>
      </w:r>
      <w:r>
        <w:rPr>
          <w:rFonts w:ascii="Arial Narrow" w:hAnsi="Arial Narrow" w:cs="Tahoma"/>
          <w:sz w:val="22"/>
        </w:rPr>
        <w:t xml:space="preserve">.7%. The percentage of coverage of import with export in the </w:t>
      </w:r>
      <w:r>
        <w:rPr>
          <w:rFonts w:ascii="Arial Narrow" w:hAnsi="Arial Narrow" w:cs="Tahoma"/>
          <w:sz w:val="22"/>
        </w:rPr>
        <w:t>period January – December 2015 was 58.5</w:t>
      </w:r>
      <w:r>
        <w:rPr>
          <w:rFonts w:ascii="Arial Narrow" w:hAnsi="Arial Narrow" w:cs="Tahoma"/>
          <w:sz w:val="22"/>
        </w:rPr>
        <w:t xml:space="preserve">%. </w:t>
      </w:r>
    </w:p>
    <w:p w:rsidR="00D2302B" w:rsidRDefault="00D2302B" w:rsidP="00D2302B">
      <w:pPr>
        <w:jc w:val="both"/>
        <w:rPr>
          <w:rFonts w:ascii="Arial Narrow" w:hAnsi="Arial Narrow" w:cs="Tahoma"/>
          <w:sz w:val="22"/>
        </w:rPr>
      </w:pPr>
    </w:p>
    <w:p w:rsidR="00F442FA" w:rsidRPr="004C7183" w:rsidRDefault="00B60E60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December 2015, the value of export was 2 billion and 513 million KM, which represented a decrease by 6.6% compared to the same period of the previous year. </w:t>
      </w:r>
      <w:r>
        <w:rPr>
          <w:rFonts w:ascii="Arial Narrow" w:hAnsi="Arial Narrow" w:cs="Tahoma"/>
          <w:sz w:val="22"/>
        </w:rPr>
        <w:t>During the same p</w:t>
      </w:r>
      <w:r>
        <w:rPr>
          <w:rFonts w:ascii="Arial Narrow" w:hAnsi="Arial Narrow" w:cs="Tahoma"/>
          <w:sz w:val="22"/>
        </w:rPr>
        <w:t>eriod, the value of import was 4</w:t>
      </w:r>
      <w:r>
        <w:rPr>
          <w:rFonts w:ascii="Arial Narrow" w:hAnsi="Arial Narrow" w:cs="Tahoma"/>
          <w:sz w:val="22"/>
        </w:rPr>
        <w:t xml:space="preserve"> billion and </w:t>
      </w:r>
      <w:r>
        <w:rPr>
          <w:rFonts w:ascii="Arial Narrow" w:hAnsi="Arial Narrow" w:cs="Tahoma"/>
          <w:sz w:val="22"/>
        </w:rPr>
        <w:t>296</w:t>
      </w:r>
      <w:r>
        <w:rPr>
          <w:rFonts w:ascii="Arial Narrow" w:hAnsi="Arial Narrow" w:cs="Tahoma"/>
          <w:sz w:val="22"/>
        </w:rPr>
        <w:t xml:space="preserve"> million KM, whic</w:t>
      </w:r>
      <w:r>
        <w:rPr>
          <w:rFonts w:ascii="Arial Narrow" w:hAnsi="Arial Narrow" w:cs="Tahoma"/>
          <w:sz w:val="22"/>
        </w:rPr>
        <w:t>h represented a decrease by 13.1</w:t>
      </w:r>
      <w:r>
        <w:rPr>
          <w:rFonts w:ascii="Arial Narrow" w:hAnsi="Arial Narrow" w:cs="Tahoma"/>
          <w:sz w:val="22"/>
        </w:rPr>
        <w:t>% compared to the same period of the previous year.</w:t>
      </w:r>
    </w:p>
    <w:p w:rsidR="00F442FA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B60E60" w:rsidRPr="007E517E" w:rsidRDefault="00B60E60" w:rsidP="00B60E60">
      <w:pPr>
        <w:jc w:val="both"/>
        <w:rPr>
          <w:rFonts w:ascii="Arial Narrow" w:hAnsi="Arial Narrow" w:cs="Tahoma"/>
          <w:sz w:val="22"/>
        </w:rPr>
      </w:pPr>
      <w:r w:rsidRPr="007E517E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E517E">
        <w:rPr>
          <w:rFonts w:ascii="Arial Narrow" w:hAnsi="Arial Narrow" w:cs="Tahoma"/>
          <w:sz w:val="22"/>
        </w:rPr>
        <w:t>Republika</w:t>
      </w:r>
      <w:proofErr w:type="spellEnd"/>
      <w:r w:rsidRPr="007E517E">
        <w:rPr>
          <w:rFonts w:ascii="Arial Narrow" w:hAnsi="Arial Narrow" w:cs="Tahoma"/>
          <w:sz w:val="22"/>
        </w:rPr>
        <w:t xml:space="preserve"> </w:t>
      </w:r>
      <w:proofErr w:type="spellStart"/>
      <w:r w:rsidRPr="007E517E">
        <w:rPr>
          <w:rFonts w:ascii="Arial Narrow" w:hAnsi="Arial Narrow" w:cs="Tahoma"/>
          <w:sz w:val="22"/>
        </w:rPr>
        <w:t>Srpska</w:t>
      </w:r>
      <w:proofErr w:type="spellEnd"/>
      <w:r w:rsidRPr="007E517E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December</w:t>
      </w:r>
      <w:r w:rsidRPr="007E517E">
        <w:rPr>
          <w:rFonts w:ascii="Arial Narrow" w:hAnsi="Arial Narrow" w:cs="Tahoma"/>
          <w:sz w:val="22"/>
        </w:rPr>
        <w:t xml:space="preserve"> 2015, the highest value of export was that of export to Italy, with </w:t>
      </w:r>
      <w:r>
        <w:rPr>
          <w:rFonts w:ascii="Arial Narrow" w:hAnsi="Arial Narrow" w:cs="Tahoma"/>
          <w:sz w:val="22"/>
        </w:rPr>
        <w:t>451 million KM or 18.0</w:t>
      </w:r>
      <w:r w:rsidRPr="007E517E">
        <w:rPr>
          <w:rFonts w:ascii="Arial Narrow" w:hAnsi="Arial Narrow" w:cs="Tahoma"/>
          <w:sz w:val="22"/>
        </w:rPr>
        <w:t xml:space="preserve">%, followed by Serbia, with </w:t>
      </w:r>
      <w:r>
        <w:rPr>
          <w:rFonts w:ascii="Arial Narrow" w:hAnsi="Arial Narrow" w:cs="Tahoma"/>
          <w:sz w:val="22"/>
        </w:rPr>
        <w:t>327 million KM or 13.0</w:t>
      </w:r>
      <w:r w:rsidRPr="007E517E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7E517E">
        <w:rPr>
          <w:rFonts w:ascii="Arial Narrow" w:hAnsi="Arial Narrow" w:cs="Tahoma"/>
          <w:sz w:val="22"/>
        </w:rPr>
        <w:t>realised</w:t>
      </w:r>
      <w:proofErr w:type="spellEnd"/>
      <w:r w:rsidRPr="007E517E">
        <w:rPr>
          <w:rFonts w:ascii="Arial Narrow" w:hAnsi="Arial Narrow" w:cs="Tahoma"/>
          <w:sz w:val="22"/>
        </w:rPr>
        <w:t xml:space="preserve"> export. During the same period, the highest value of import was that of import from Serbia, with </w:t>
      </w:r>
      <w:r>
        <w:rPr>
          <w:rFonts w:ascii="Arial Narrow" w:hAnsi="Arial Narrow" w:cs="Tahoma"/>
          <w:sz w:val="22"/>
        </w:rPr>
        <w:t>754</w:t>
      </w:r>
      <w:r w:rsidRPr="007E517E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17.6</w:t>
      </w:r>
      <w:r w:rsidRPr="007E517E">
        <w:rPr>
          <w:rFonts w:ascii="Arial Narrow" w:hAnsi="Arial Narrow" w:cs="Tahoma"/>
          <w:sz w:val="22"/>
        </w:rPr>
        <w:t xml:space="preserve">%, followed by Russia, with </w:t>
      </w:r>
      <w:r>
        <w:rPr>
          <w:rFonts w:ascii="Arial Narrow" w:hAnsi="Arial Narrow" w:cs="Tahoma"/>
          <w:sz w:val="22"/>
        </w:rPr>
        <w:t>686</w:t>
      </w:r>
      <w:r w:rsidRPr="007E517E">
        <w:rPr>
          <w:rFonts w:ascii="Arial Narrow" w:hAnsi="Arial Narrow" w:cs="Tahoma"/>
          <w:sz w:val="22"/>
        </w:rPr>
        <w:t xml:space="preserve"> million </w:t>
      </w:r>
      <w:r>
        <w:rPr>
          <w:rFonts w:ascii="Arial Narrow" w:hAnsi="Arial Narrow" w:cs="Tahoma"/>
          <w:sz w:val="22"/>
        </w:rPr>
        <w:t>KM or 16.0</w:t>
      </w:r>
      <w:r w:rsidRPr="007E517E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7E517E">
        <w:rPr>
          <w:rFonts w:ascii="Arial Narrow" w:hAnsi="Arial Narrow" w:cs="Tahoma"/>
          <w:sz w:val="22"/>
        </w:rPr>
        <w:t>realised</w:t>
      </w:r>
      <w:proofErr w:type="spellEnd"/>
      <w:r w:rsidRPr="007E517E">
        <w:rPr>
          <w:rFonts w:ascii="Arial Narrow" w:hAnsi="Arial Narrow" w:cs="Tahoma"/>
          <w:sz w:val="22"/>
        </w:rPr>
        <w:t xml:space="preserve"> import.</w:t>
      </w:r>
    </w:p>
    <w:p w:rsidR="00B60E60" w:rsidRPr="004C7183" w:rsidRDefault="00B60E60" w:rsidP="00F442FA">
      <w:pPr>
        <w:jc w:val="both"/>
        <w:rPr>
          <w:rFonts w:ascii="Arial Narrow" w:hAnsi="Arial Narrow" w:cs="Tahoma"/>
          <w:sz w:val="22"/>
        </w:rPr>
      </w:pPr>
    </w:p>
    <w:p w:rsidR="00F442FA" w:rsidRPr="004C7183" w:rsidRDefault="00B60E6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By group of products, in the period January – December 2015, the highest share in export was that of artificial corundum, </w:t>
      </w:r>
      <w:proofErr w:type="spellStart"/>
      <w:r>
        <w:rPr>
          <w:rFonts w:ascii="Arial Narrow" w:hAnsi="Arial Narrow" w:cs="Tahoma"/>
          <w:sz w:val="22"/>
        </w:rPr>
        <w:t>aluminium</w:t>
      </w:r>
      <w:proofErr w:type="spellEnd"/>
      <w:r>
        <w:rPr>
          <w:rFonts w:ascii="Arial Narrow" w:hAnsi="Arial Narrow" w:cs="Tahoma"/>
          <w:sz w:val="22"/>
        </w:rPr>
        <w:t xml:space="preserve"> oxide and </w:t>
      </w:r>
      <w:proofErr w:type="spellStart"/>
      <w:r w:rsidR="00F33695">
        <w:rPr>
          <w:rFonts w:ascii="Arial Narrow" w:hAnsi="Arial Narrow" w:cs="Tahoma"/>
          <w:sz w:val="22"/>
        </w:rPr>
        <w:t>aluminium</w:t>
      </w:r>
      <w:proofErr w:type="spellEnd"/>
      <w:r w:rsidR="00F33695">
        <w:rPr>
          <w:rFonts w:ascii="Arial Narrow" w:hAnsi="Arial Narrow" w:cs="Tahoma"/>
          <w:sz w:val="22"/>
        </w:rPr>
        <w:t xml:space="preserve"> hydroxide with the total value of 162 million KM, which was 6.4% of the total export, </w:t>
      </w:r>
      <w:r w:rsidR="00F33695" w:rsidRPr="007E517E">
        <w:rPr>
          <w:rFonts w:ascii="Arial Narrow" w:hAnsi="Arial Narrow" w:cs="Tahoma"/>
          <w:sz w:val="22"/>
        </w:rPr>
        <w:t xml:space="preserve">while the highest share in import was that of petroleum and oils obtained from bituminous minerals (crude), with the total value of </w:t>
      </w:r>
      <w:r w:rsidR="00F33695">
        <w:rPr>
          <w:rFonts w:ascii="Arial Narrow" w:hAnsi="Arial Narrow" w:cs="Tahoma"/>
          <w:sz w:val="22"/>
        </w:rPr>
        <w:t>634 million KM, which was 14.8</w:t>
      </w:r>
      <w:r w:rsidR="00F33695" w:rsidRPr="007E517E">
        <w:rPr>
          <w:rFonts w:ascii="Arial Narrow" w:hAnsi="Arial Narrow" w:cs="Tahoma"/>
          <w:sz w:val="22"/>
        </w:rPr>
        <w:t>% of the total import</w:t>
      </w:r>
      <w:r w:rsidR="00F33695">
        <w:rPr>
          <w:rFonts w:ascii="Arial Narrow" w:hAnsi="Arial Narrow" w:cs="Tahoma"/>
          <w:sz w:val="22"/>
        </w:rPr>
        <w:t>.</w:t>
      </w:r>
    </w:p>
    <w:p w:rsidR="00115CDB" w:rsidRPr="004C7183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601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017CC" w:rsidRPr="004C7183" w:rsidRDefault="00F3369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4C7183"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65pt;margin-top:6.25pt;width:64.2pt;height:19.75pt;z-index:251664384;mso-width-relative:margin;mso-height-relative:margin" stroked="f">
            <v:textbox style="mso-next-textbox:#_x0000_s1068">
              <w:txbxContent>
                <w:p w:rsidR="00374BDC" w:rsidRPr="000A1309" w:rsidRDefault="002E37CC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thous</w:t>
                  </w:r>
                  <w:r w:rsidR="00374BDC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353834" w:rsidRPr="004C7183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A70D8" w:rsidRPr="004C7183" w:rsidRDefault="002E37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>
        <w:rPr>
          <w:rFonts w:ascii="Arial Narrow" w:hAnsi="Arial Narrow" w:cs="Tahoma"/>
          <w:iCs/>
          <w:noProof/>
          <w:sz w:val="16"/>
          <w:szCs w:val="22"/>
        </w:rPr>
        <w:pict>
          <v:shape id="_x0000_s1074" type="#_x0000_t202" style="position:absolute;left:0;text-align:left;margin-left:381.15pt;margin-top:79.8pt;width:42.15pt;height:21.25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vaqQEAADMDAAAOAAAAZHJzL2Uyb0RvYy54bWysUstu2zAQvBfoPxC815IVR2gFywGSwL0U&#10;bYEkH0CTlEWA5LJcxpL/vkv6kaC9FdWB4j44uzO767vZWXbQEQ34ni8XNWfaS1DG73v+8rz99Jkz&#10;TMIrYcHrnh818rvNxw/rKXS6gRGs0pERiMduCj0fUwpdVaEctRO4gKA9BQeITiQy475SUUyE7mzV&#10;1HVbTRBViCA1InkfT0G+KfjDoGX6MQyoE7M9p95SOWM5d/msNmvR7aMIo5HnNsQ/dOGE8VT0CvUo&#10;kmCv0fwF5YyMgDCkhQRXwTAYqQsHYrOs/2DzNIqgCxcSB8NVJvx/sPL74WdkRvW8WXHmhaMZPes5&#10;3cPMllmdKWBHSU+B0tJMbpryxY/kzKTnIbr8JzqM4qTz8aotYTFJztv2ZlW3nEkKNV9um7bNKNXb&#10;4xAxfdXgWL70PNLoiqLi8A3TKfWSkmshWKO2xtpiHPHBRnYQNGVaDgUTZ1ZgImfPt+U7V3v3rMrU&#10;ThTyLc27uQixutDbgToS64m2o+f461VEzVlM9gHKMuWe8kOaTCFy3qI8+vd2yXrb9c1vAAAA//8D&#10;AFBLAwQUAAYACAAAACEAJGJjd+EAAAALAQAADwAAAGRycy9kb3ducmV2LnhtbEyPwU6DQBCG7ya+&#10;w2ZMvBg7CLYBZGmMxkPtwZR68LhlRyCyu4RdKL6940mPM/Pln+8vtovpxUyj75yVcLeKQJCtne5s&#10;I+H9+HKbgvBBWa16Z0nCN3nYlpcXhcq1O9sDzVVoBIdYnysJbQhDjujrlozyKzeQ5dunG40KPI4N&#10;6lGdOdz0GEfRBo3qLH9o1UBPLdVf1WQkPKubpYra3ceh3mevOE94xN2blNdXy+MDiEBL+IPhV5/V&#10;oWSnk5us9qKXkG6SNaMSkvuYOzCRreMYxIk3aZYAlgX+71D+AAAA//8DAFBLAQItABQABgAIAAAA&#10;IQC2gziS/gAAAOEBAAATAAAAAAAAAAAAAAAAAAAAAABbQ29udGVudF9UeXBlc10ueG1sUEsBAi0A&#10;FAAGAAgAAAAhADj9If/WAAAAlAEAAAsAAAAAAAAAAAAAAAAALwEAAF9yZWxzLy5yZWxzUEsBAi0A&#10;FAAGAAgAAAAhAGCKu9qpAQAAMwMAAA4AAAAAAAAAAAAAAAAALgIAAGRycy9lMm9Eb2MueG1sUEsB&#10;Ai0AFAAGAAgAAAAhACRiY3fhAAAACwEAAA8AAAAAAAAAAAAAAAAAAwQAAGRycy9kb3ducmV2Lnht&#10;bFBLBQYAAAAABAAEAPMAAAARBQAAAAA=&#10;" fillcolor="window" stroked="f">
            <v:textbox>
              <w:txbxContent>
                <w:p w:rsidR="002E37CC" w:rsidRDefault="002E37CC" w:rsidP="002E37CC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export</w:t>
                  </w:r>
                  <w:proofErr w:type="gramEnd"/>
                </w:p>
              </w:txbxContent>
            </v:textbox>
          </v:shape>
        </w:pict>
      </w:r>
      <w:r>
        <w:rPr>
          <w:rFonts w:ascii="Arial Narrow" w:hAnsi="Arial Narrow" w:cs="Tahoma"/>
          <w:iCs/>
          <w:noProof/>
          <w:sz w:val="16"/>
          <w:szCs w:val="22"/>
        </w:rPr>
        <w:pict>
          <v:shape id="TextBox 1" o:spid="_x0000_s1073" type="#_x0000_t202" style="position:absolute;left:0;text-align:left;margin-left:381.15pt;margin-top:62.15pt;width:36.05pt;height:16.25pt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TextBox 1">
              <w:txbxContent>
                <w:p w:rsidR="002E37CC" w:rsidRDefault="002E37CC" w:rsidP="002E37CC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import</w:t>
                  </w:r>
                  <w:proofErr w:type="gramEnd"/>
                </w:p>
              </w:txbxContent>
            </v:textbox>
          </v:shape>
        </w:pict>
      </w:r>
      <w:r w:rsidR="00F33695" w:rsidRPr="004C7183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26.9pt;margin-top:172.8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374BDC" w:rsidRPr="000A1309" w:rsidRDefault="00374BDC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="00F33695" w:rsidRPr="004C7183">
        <w:rPr>
          <w:rFonts w:ascii="Tahoma" w:hAnsi="Tahoma" w:cs="Tahoma"/>
          <w:b/>
          <w:noProof/>
          <w:sz w:val="16"/>
          <w:szCs w:val="16"/>
          <w:lang w:eastAsia="bs-Latn-BA"/>
        </w:rPr>
        <w:pict>
          <v:shape id="_x0000_s1067" type="#_x0000_t202" style="position:absolute;left:0;text-align:left;margin-left:271.15pt;margin-top:176.1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374BDC" w:rsidRPr="000A1309" w:rsidRDefault="00374BDC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7E3425" w:rsidRPr="004C7183">
        <w:rPr>
          <w:noProof/>
        </w:rPr>
        <w:drawing>
          <wp:inline distT="0" distB="0" distL="0" distR="0">
            <wp:extent cx="3969328" cy="230886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6814" w:rsidRPr="004C7183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E6814" w:rsidRPr="004C7183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4C7183" w:rsidRDefault="002E37CC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4C7183">
        <w:rPr>
          <w:rFonts w:ascii="Arial Narrow" w:hAnsi="Arial Narrow" w:cs="Tahoma"/>
          <w:sz w:val="16"/>
          <w:szCs w:val="22"/>
        </w:rPr>
        <w:t xml:space="preserve"> </w:t>
      </w:r>
      <w:r w:rsidR="0066022A" w:rsidRPr="004C7183">
        <w:rPr>
          <w:rFonts w:ascii="Arial Narrow" w:hAnsi="Arial Narrow" w:cs="Tahoma"/>
          <w:sz w:val="16"/>
          <w:szCs w:val="22"/>
        </w:rPr>
        <w:t>3</w:t>
      </w:r>
      <w:r w:rsidR="00777348" w:rsidRPr="004C7183">
        <w:rPr>
          <w:rFonts w:ascii="Arial Narrow" w:hAnsi="Arial Narrow" w:cs="Tahoma"/>
          <w:sz w:val="16"/>
          <w:szCs w:val="22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4C7183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2E1D1D" w:rsidRPr="004C7183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AD1F00" w:rsidRPr="004C7183" w:rsidRDefault="00AD1F0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</w:p>
    <w:p w:rsidR="00115CDB" w:rsidRPr="004C7183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115CDB" w:rsidRPr="004C7183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AD1F00" w:rsidRPr="004C7183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7183" w:rsidRDefault="00171E5C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4C7183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AD1F00" w:rsidRPr="004C7183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D1F51" w:rsidRPr="005C32FE" w:rsidRDefault="006D1F51" w:rsidP="006D1F5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6D1F51" w:rsidRDefault="006D1F51" w:rsidP="006D1F51">
            <w:pPr>
              <w:jc w:val="both"/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4C7183">
              <w:t xml:space="preserve"> </w:t>
            </w:r>
          </w:p>
          <w:p w:rsidR="0066022A" w:rsidRPr="004C7183" w:rsidRDefault="00F33695" w:rsidP="006D1F5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4C718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4C7183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4C7183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D1F00" w:rsidRPr="004C7183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D1F51" w:rsidRPr="007E517E" w:rsidRDefault="006D1F51" w:rsidP="006D1F5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D1F51" w:rsidRPr="007E517E" w:rsidRDefault="006D1F51" w:rsidP="006D1F5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66022A" w:rsidRPr="004C7183" w:rsidRDefault="00F33695" w:rsidP="00252DE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66022A" w:rsidRPr="004C718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Biljana.tesic@rzs.rs.ba</w:t>
              </w:r>
            </w:hyperlink>
          </w:p>
        </w:tc>
      </w:tr>
      <w:tr w:rsidR="00AD1F00" w:rsidRPr="004C7183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D1F51" w:rsidRPr="007E517E" w:rsidRDefault="006D1F51" w:rsidP="006D1F5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66022A" w:rsidRPr="004C7183" w:rsidRDefault="006D1F51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66022A" w:rsidRPr="004C7183" w:rsidRDefault="00F33695" w:rsidP="00A91B0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66022A" w:rsidRPr="004C718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mirjana.bandur@rzs.rs.ba</w:t>
              </w:r>
            </w:hyperlink>
          </w:p>
        </w:tc>
      </w:tr>
      <w:tr w:rsidR="00AD1F00" w:rsidRPr="004C7183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D1F51" w:rsidRPr="00700714" w:rsidRDefault="006D1F51" w:rsidP="006D1F5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D1F51" w:rsidRPr="00F04972" w:rsidRDefault="006D1F51" w:rsidP="006D1F5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4C7183" w:rsidRDefault="00F33695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66022A" w:rsidRPr="004C718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4C718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4C718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4C718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4C718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4C7183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4C7183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7183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C7183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C7183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C7183" w:rsidRDefault="00171E5C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4C7183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C7183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4C7183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4C7183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4C7183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627C62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4C7183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4C7183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627C62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C7183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F04A4B" w:rsidRPr="004C7183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D1F00" w:rsidRPr="004C7183" w:rsidRDefault="00AD1F0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4C7183" w:rsidRDefault="00F3369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4C7183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4C7183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7183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4C20B5" w:rsidRPr="004C7183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7183" w:rsidRDefault="00627C62" w:rsidP="009E2A9A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E517E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4C7183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627C62" w:rsidRPr="007E517E" w:rsidRDefault="00627C62" w:rsidP="00627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627C62" w:rsidRPr="007E517E" w:rsidRDefault="00627C62" w:rsidP="00627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627C62" w:rsidRPr="007E517E" w:rsidRDefault="00627C62" w:rsidP="00627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627C62" w:rsidRPr="007E517E" w:rsidRDefault="00627C62" w:rsidP="00627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627C62" w:rsidRPr="007E517E" w:rsidRDefault="00627C62" w:rsidP="00627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E2A9A" w:rsidRPr="004C7183" w:rsidRDefault="00627C62" w:rsidP="00627C6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7" w:history="1">
              <w:r w:rsidRPr="007E51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9E2A9A" w:rsidRPr="004C7183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9E2A9A" w:rsidRPr="004C7183" w:rsidRDefault="00627C62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7E517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4C7183" w:rsidRDefault="00F33695" w:rsidP="009E2A9A">
      <w:pPr>
        <w:rPr>
          <w:rFonts w:ascii="Tahoma" w:hAnsi="Tahoma" w:cs="Tahoma"/>
        </w:rPr>
      </w:pPr>
      <w:r w:rsidRPr="004C7183">
        <w:rPr>
          <w:rFonts w:ascii="Tahoma" w:hAnsi="Tahoma" w:cs="Tahoma"/>
          <w:noProof/>
          <w:lang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4C7183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BDC" w:rsidRDefault="00374BDC">
      <w:r>
        <w:separator/>
      </w:r>
    </w:p>
  </w:endnote>
  <w:endnote w:type="continuationSeparator" w:id="0">
    <w:p w:rsidR="00374BDC" w:rsidRDefault="0037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DC" w:rsidRDefault="00F33695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374BDC" w:rsidRPr="00175687" w:rsidRDefault="00374BD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33695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DC" w:rsidRDefault="00F33695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374BDC" w:rsidRPr="00175687" w:rsidRDefault="00374BD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33695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BDC" w:rsidRDefault="00374BDC">
      <w:r>
        <w:separator/>
      </w:r>
    </w:p>
  </w:footnote>
  <w:footnote w:type="continuationSeparator" w:id="0">
    <w:p w:rsidR="00374BDC" w:rsidRDefault="0037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374BD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74BDC" w:rsidRPr="00E52C1C" w:rsidRDefault="00E52C1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374BDC" w:rsidRPr="00E52C1C" w:rsidRDefault="00E52C1C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74BDC" w:rsidRPr="005D5311" w:rsidRDefault="00374BDC" w:rsidP="00AD1F0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22</w:t>
          </w:r>
          <w:r w:rsidR="00E52C1C" w:rsidRPr="00E52C1C">
            <w:rPr>
              <w:rFonts w:ascii="Arial Narrow" w:hAnsi="Arial Narrow" w:cs="Tahoma"/>
              <w:color w:val="1F497D" w:themeColor="text2"/>
              <w:sz w:val="16"/>
              <w:szCs w:val="16"/>
              <w:vertAlign w:val="superscript"/>
              <w:lang w:val="sr-Cyrl-BA"/>
            </w:rPr>
            <w:t>nd</w:t>
          </w:r>
          <w:r w:rsidR="00E52C1C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January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E52C1C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 xml:space="preserve">,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No. </w:t>
          </w:r>
          <w:r w:rsidR="00AF435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CS"/>
            </w:rPr>
            <w:t>2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374BDC" w:rsidRDefault="00F33695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6E62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1E5C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88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260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5AA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7CC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5884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3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183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0FCD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7CC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62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049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1F51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145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78C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587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5A1F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1F00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344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359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0E60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DF6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7D0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02B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60F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7FA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E7F43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C1C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09BB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C30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CC4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95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A73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1D67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A5F94120-B263-41BB-8043-AB7F01FE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2E37CC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5\dec%202015\za%20Graf%20XII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2014</c:v>
                  </c:pt>
                  <c:pt idx="1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836</c:v>
                </c:pt>
                <c:pt idx="1">
                  <c:v>812</c:v>
                </c:pt>
                <c:pt idx="2">
                  <c:v>834</c:v>
                </c:pt>
                <c:pt idx="3">
                  <c:v>831</c:v>
                </c:pt>
                <c:pt idx="4">
                  <c:v>835</c:v>
                </c:pt>
                <c:pt idx="5">
                  <c:v>832</c:v>
                </c:pt>
                <c:pt idx="6">
                  <c:v>843</c:v>
                </c:pt>
                <c:pt idx="7">
                  <c:v>834</c:v>
                </c:pt>
                <c:pt idx="8">
                  <c:v>834</c:v>
                </c:pt>
                <c:pt idx="9">
                  <c:v>834</c:v>
                </c:pt>
                <c:pt idx="10">
                  <c:v>824</c:v>
                </c:pt>
                <c:pt idx="11">
                  <c:v>824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70664"/>
        <c:axId val="7373096"/>
      </c:lineChart>
      <c:catAx>
        <c:axId val="737066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7373096"/>
        <c:crosses val="autoZero"/>
        <c:auto val="1"/>
        <c:lblAlgn val="ctr"/>
        <c:lblOffset val="100"/>
        <c:noMultiLvlLbl val="0"/>
      </c:catAx>
      <c:valAx>
        <c:axId val="7373096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73706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'C:\Users\zecal\Desktop\[Za grafikon u saopstenju - decembar 2015..xlsx]Sheet1'!$C$1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'C:\Users\zecal\Desktop\[Za grafikon u saopstenju - decembar 2015..xlsx]Sheet1'!$A$2:$B$50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13">
                    <c:v>2013</c:v>
                  </c:pt>
                  <c:pt idx="25">
                    <c:v>2014</c:v>
                  </c:pt>
                  <c:pt idx="37">
                    <c:v>2015</c:v>
                  </c:pt>
                </c:lvl>
              </c:multiLvlStrCache>
            </c:multiLvlStrRef>
          </c:cat>
          <c:val>
            <c:numRef>
              <c:f>'C:\Users\zecal\Desktop\[Za grafikon u saopstenju - decembar 2015..xlsx]Sheet1'!$C$2:$C$50</c:f>
              <c:numCache>
                <c:formatCode>0.0</c:formatCode>
                <c:ptCount val="49"/>
                <c:pt idx="0">
                  <c:v>100.44025590448538</c:v>
                </c:pt>
                <c:pt idx="1">
                  <c:v>102.62887327592811</c:v>
                </c:pt>
                <c:pt idx="2">
                  <c:v>97.499368888457852</c:v>
                </c:pt>
                <c:pt idx="3">
                  <c:v>101.28568766595559</c:v>
                </c:pt>
                <c:pt idx="4">
                  <c:v>101.56821801602045</c:v>
                </c:pt>
                <c:pt idx="5">
                  <c:v>99.423492219881709</c:v>
                </c:pt>
                <c:pt idx="6">
                  <c:v>99.709184492640574</c:v>
                </c:pt>
                <c:pt idx="7">
                  <c:v>93.490854006062904</c:v>
                </c:pt>
                <c:pt idx="8">
                  <c:v>99.734371961539239</c:v>
                </c:pt>
                <c:pt idx="9">
                  <c:v>106.03081274255732</c:v>
                </c:pt>
                <c:pt idx="10">
                  <c:v>100.59397359895344</c:v>
                </c:pt>
                <c:pt idx="11">
                  <c:v>99.186015805691127</c:v>
                </c:pt>
                <c:pt idx="12">
                  <c:v>102.24572166852229</c:v>
                </c:pt>
                <c:pt idx="13">
                  <c:v>101.37441006942294</c:v>
                </c:pt>
                <c:pt idx="14">
                  <c:v>100.44257577216908</c:v>
                </c:pt>
                <c:pt idx="15">
                  <c:v>100.63811532208899</c:v>
                </c:pt>
                <c:pt idx="16">
                  <c:v>109.33363923807772</c:v>
                </c:pt>
                <c:pt idx="17">
                  <c:v>102.96107838222531</c:v>
                </c:pt>
                <c:pt idx="18">
                  <c:v>104.89980006569787</c:v>
                </c:pt>
                <c:pt idx="19">
                  <c:v>110.3755228582627</c:v>
                </c:pt>
                <c:pt idx="20">
                  <c:v>106.71824193919187</c:v>
                </c:pt>
                <c:pt idx="21">
                  <c:v>100.78492205879671</c:v>
                </c:pt>
                <c:pt idx="22">
                  <c:v>101.76535257706782</c:v>
                </c:pt>
                <c:pt idx="23">
                  <c:v>104.93121218933284</c:v>
                </c:pt>
                <c:pt idx="24">
                  <c:v>106.23026597160697</c:v>
                </c:pt>
                <c:pt idx="25">
                  <c:v>105.47256441155655</c:v>
                </c:pt>
                <c:pt idx="26">
                  <c:v>105.27622956473031</c:v>
                </c:pt>
                <c:pt idx="27">
                  <c:v>102.98936314154329</c:v>
                </c:pt>
                <c:pt idx="28">
                  <c:v>103.32908741242373</c:v>
                </c:pt>
                <c:pt idx="29">
                  <c:v>102.76516947824823</c:v>
                </c:pt>
                <c:pt idx="30">
                  <c:v>104.14787058463068</c:v>
                </c:pt>
                <c:pt idx="31">
                  <c:v>105.9414810646728</c:v>
                </c:pt>
                <c:pt idx="32">
                  <c:v>99.660855202093558</c:v>
                </c:pt>
                <c:pt idx="33">
                  <c:v>109.63839800979572</c:v>
                </c:pt>
                <c:pt idx="34">
                  <c:v>107.70277232360532</c:v>
                </c:pt>
                <c:pt idx="35">
                  <c:v>107.21023349385747</c:v>
                </c:pt>
                <c:pt idx="36">
                  <c:v>105.91149871974248</c:v>
                </c:pt>
                <c:pt idx="37">
                  <c:v>106.28810428027292</c:v>
                </c:pt>
                <c:pt idx="38">
                  <c:v>111.07093863282226</c:v>
                </c:pt>
                <c:pt idx="39">
                  <c:v>106.96355947361904</c:v>
                </c:pt>
                <c:pt idx="40">
                  <c:v>106.10331877985622</c:v>
                </c:pt>
                <c:pt idx="41">
                  <c:v>110.21751849221479</c:v>
                </c:pt>
                <c:pt idx="42">
                  <c:v>108.89347471396808</c:v>
                </c:pt>
                <c:pt idx="43">
                  <c:v>107.44658623296687</c:v>
                </c:pt>
                <c:pt idx="44">
                  <c:v>110.24817373187292</c:v>
                </c:pt>
                <c:pt idx="45">
                  <c:v>105.99162858937849</c:v>
                </c:pt>
                <c:pt idx="46">
                  <c:v>108.13556809745752</c:v>
                </c:pt>
                <c:pt idx="47">
                  <c:v>107.2662287493024</c:v>
                </c:pt>
                <c:pt idx="48">
                  <c:v>106.24688276095351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'C:\Users\zecal\Desktop\[Za grafikon u saopstenju - decembar 2015..xlsx]Sheet1'!$D$1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'C:\Users\zecal\Desktop\[Za grafikon u saopstenju - decembar 2015..xlsx]Sheet1'!$A$2:$B$50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13">
                    <c:v>2013</c:v>
                  </c:pt>
                  <c:pt idx="25">
                    <c:v>2014</c:v>
                  </c:pt>
                  <c:pt idx="37">
                    <c:v>2015</c:v>
                  </c:pt>
                </c:lvl>
              </c:multiLvlStrCache>
            </c:multiLvlStrRef>
          </c:cat>
          <c:val>
            <c:numRef>
              <c:f>'C:\Users\zecal\Desktop\[Za grafikon u saopstenju - decembar 2015..xlsx]Sheet1'!$D$2:$D$50</c:f>
              <c:numCache>
                <c:formatCode>0.0</c:formatCode>
                <c:ptCount val="49"/>
                <c:pt idx="0">
                  <c:v>101.96557699616858</c:v>
                </c:pt>
                <c:pt idx="1">
                  <c:v>101.69120666321871</c:v>
                </c:pt>
                <c:pt idx="2">
                  <c:v>101.43256193753108</c:v>
                </c:pt>
                <c:pt idx="3">
                  <c:v>101.27128496236777</c:v>
                </c:pt>
                <c:pt idx="4">
                  <c:v>101.13632534377081</c:v>
                </c:pt>
                <c:pt idx="5">
                  <c:v>100.99470810091418</c:v>
                </c:pt>
                <c:pt idx="6">
                  <c:v>100.88911425918458</c:v>
                </c:pt>
                <c:pt idx="7">
                  <c:v>100.8764799678801</c:v>
                </c:pt>
                <c:pt idx="8">
                  <c:v>101.09470094694882</c:v>
                </c:pt>
                <c:pt idx="9">
                  <c:v>101.37540398802744</c:v>
                </c:pt>
                <c:pt idx="10">
                  <c:v>101.5281834096766</c:v>
                </c:pt>
                <c:pt idx="11">
                  <c:v>101.7011803789793</c:v>
                </c:pt>
                <c:pt idx="12">
                  <c:v>101.95832052820209</c:v>
                </c:pt>
                <c:pt idx="13">
                  <c:v>102.22934310277275</c:v>
                </c:pt>
                <c:pt idx="14">
                  <c:v>102.52033230464527</c:v>
                </c:pt>
                <c:pt idx="15">
                  <c:v>102.91431909798462</c:v>
                </c:pt>
                <c:pt idx="16">
                  <c:v>103.33858540706281</c:v>
                </c:pt>
                <c:pt idx="17">
                  <c:v>103.62976929465395</c:v>
                </c:pt>
                <c:pt idx="18">
                  <c:v>103.89756587753917</c:v>
                </c:pt>
                <c:pt idx="19">
                  <c:v>104.1318557268077</c:v>
                </c:pt>
                <c:pt idx="20">
                  <c:v>104.16593915159544</c:v>
                </c:pt>
                <c:pt idx="21">
                  <c:v>104.11573479120985</c:v>
                </c:pt>
                <c:pt idx="22">
                  <c:v>104.16939351448586</c:v>
                </c:pt>
                <c:pt idx="23">
                  <c:v>104.31493369975352</c:v>
                </c:pt>
                <c:pt idx="24">
                  <c:v>104.44202290737094</c:v>
                </c:pt>
                <c:pt idx="25">
                  <c:v>104.51470797918726</c:v>
                </c:pt>
                <c:pt idx="26">
                  <c:v>104.54581053289974</c:v>
                </c:pt>
                <c:pt idx="27">
                  <c:v>104.56732583107342</c:v>
                </c:pt>
                <c:pt idx="28">
                  <c:v>104.63569448928469</c:v>
                </c:pt>
                <c:pt idx="29">
                  <c:v>104.76332012333242</c:v>
                </c:pt>
                <c:pt idx="30">
                  <c:v>104.96937827711183</c:v>
                </c:pt>
                <c:pt idx="31">
                  <c:v>105.18622526076275</c:v>
                </c:pt>
                <c:pt idx="32">
                  <c:v>105.44356566142913</c:v>
                </c:pt>
                <c:pt idx="33">
                  <c:v>105.82887550974412</c:v>
                </c:pt>
                <c:pt idx="34">
                  <c:v>106.1605820320916</c:v>
                </c:pt>
                <c:pt idx="35">
                  <c:v>106.40306345186774</c:v>
                </c:pt>
                <c:pt idx="36">
                  <c:v>106.63573845963263</c:v>
                </c:pt>
                <c:pt idx="37">
                  <c:v>106.89708743518914</c:v>
                </c:pt>
                <c:pt idx="38">
                  <c:v>107.16005057082121</c:v>
                </c:pt>
                <c:pt idx="39">
                  <c:v>107.32413547994432</c:v>
                </c:pt>
                <c:pt idx="40">
                  <c:v>107.48763154678338</c:v>
                </c:pt>
                <c:pt idx="41">
                  <c:v>107.69250417367292</c:v>
                </c:pt>
                <c:pt idx="42">
                  <c:v>107.82766877708598</c:v>
                </c:pt>
                <c:pt idx="43">
                  <c:v>107.93218338115773</c:v>
                </c:pt>
                <c:pt idx="44">
                  <c:v>108.03103519213738</c:v>
                </c:pt>
                <c:pt idx="45">
                  <c:v>108.09771875219228</c:v>
                </c:pt>
                <c:pt idx="46">
                  <c:v>108.20647334448579</c:v>
                </c:pt>
                <c:pt idx="47">
                  <c:v>108.34844706027322</c:v>
                </c:pt>
                <c:pt idx="48">
                  <c:v>108.53094137813703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937472"/>
        <c:axId val="146944000"/>
      </c:lineChart>
      <c:catAx>
        <c:axId val="14693747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6944000"/>
        <c:crosses val="autoZero"/>
        <c:auto val="1"/>
        <c:lblAlgn val="ctr"/>
        <c:lblOffset val="100"/>
        <c:noMultiLvlLbl val="0"/>
      </c:catAx>
      <c:valAx>
        <c:axId val="146944000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693747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8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zaDec2015!$A$2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strRef>
              <c:f>zaDec2015!$B$1:$N$1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zaDec2015!$B$2:$N$2</c:f>
              <c:numCache>
                <c:formatCode>General</c:formatCode>
                <c:ptCount val="13"/>
                <c:pt idx="0">
                  <c:v>434262</c:v>
                </c:pt>
                <c:pt idx="1">
                  <c:v>225106</c:v>
                </c:pt>
                <c:pt idx="2">
                  <c:v>345525</c:v>
                </c:pt>
                <c:pt idx="3">
                  <c:v>403648</c:v>
                </c:pt>
                <c:pt idx="4">
                  <c:v>355008</c:v>
                </c:pt>
                <c:pt idx="5">
                  <c:v>393112</c:v>
                </c:pt>
                <c:pt idx="6">
                  <c:v>372846</c:v>
                </c:pt>
                <c:pt idx="7">
                  <c:v>442035</c:v>
                </c:pt>
                <c:pt idx="8">
                  <c:v>336534</c:v>
                </c:pt>
                <c:pt idx="9">
                  <c:v>390519</c:v>
                </c:pt>
                <c:pt idx="10">
                  <c:v>397166</c:v>
                </c:pt>
                <c:pt idx="11">
                  <c:v>346318</c:v>
                </c:pt>
                <c:pt idx="12">
                  <c:v>288270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zaDec2015!$A$3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strRef>
              <c:f>zaDec2015!$B$1:$N$1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zaDec2015!$B$3:$N$3</c:f>
              <c:numCache>
                <c:formatCode>0</c:formatCode>
                <c:ptCount val="13"/>
                <c:pt idx="0">
                  <c:v>206415</c:v>
                </c:pt>
                <c:pt idx="1">
                  <c:v>169816</c:v>
                </c:pt>
                <c:pt idx="2">
                  <c:v>201174</c:v>
                </c:pt>
                <c:pt idx="3">
                  <c:v>214811</c:v>
                </c:pt>
                <c:pt idx="4">
                  <c:v>209561</c:v>
                </c:pt>
                <c:pt idx="5">
                  <c:v>207541</c:v>
                </c:pt>
                <c:pt idx="6">
                  <c:v>238678</c:v>
                </c:pt>
                <c:pt idx="7">
                  <c:v>243048</c:v>
                </c:pt>
                <c:pt idx="8">
                  <c:v>201596</c:v>
                </c:pt>
                <c:pt idx="9">
                  <c:v>237628</c:v>
                </c:pt>
                <c:pt idx="10">
                  <c:v>240795</c:v>
                </c:pt>
                <c:pt idx="11">
                  <c:v>202399</c:v>
                </c:pt>
                <c:pt idx="12">
                  <c:v>146158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951376"/>
        <c:axId val="146951760"/>
      </c:lineChart>
      <c:catAx>
        <c:axId val="14695137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6951760"/>
        <c:crosses val="autoZero"/>
        <c:auto val="1"/>
        <c:lblAlgn val="ctr"/>
        <c:lblOffset val="100"/>
        <c:noMultiLvlLbl val="0"/>
      </c:catAx>
      <c:valAx>
        <c:axId val="146951760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695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66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4C3C-362B-4CA3-9E13-6116A6E4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9308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Jelena Kadnic</cp:lastModifiedBy>
  <cp:revision>537</cp:revision>
  <cp:lastPrinted>2015-12-17T11:01:00Z</cp:lastPrinted>
  <dcterms:created xsi:type="dcterms:W3CDTF">2014-03-14T12:01:00Z</dcterms:created>
  <dcterms:modified xsi:type="dcterms:W3CDTF">2016-01-21T10:07:00Z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