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FB"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CA19B5" w:rsidTr="005074F6">
        <w:trPr>
          <w:cantSplit/>
          <w:trHeight w:val="970"/>
        </w:trPr>
        <w:tc>
          <w:tcPr>
            <w:tcW w:w="7513" w:type="dxa"/>
            <w:gridSpan w:val="2"/>
            <w:tcBorders>
              <w:bottom w:val="nil"/>
            </w:tcBorders>
            <w:tcMar>
              <w:left w:w="0" w:type="dxa"/>
              <w:right w:w="0" w:type="dxa"/>
            </w:tcMar>
          </w:tcPr>
          <w:p w:rsidR="005D5311" w:rsidRPr="00CA19B5" w:rsidRDefault="005D5311" w:rsidP="00687014">
            <w:pPr>
              <w:jc w:val="both"/>
              <w:outlineLvl w:val="0"/>
              <w:rPr>
                <w:rFonts w:ascii="Tahoma" w:hAnsi="Tahoma" w:cs="Tahoma"/>
                <w:sz w:val="16"/>
              </w:rPr>
            </w:pPr>
            <w:r w:rsidRPr="00CA19B5">
              <w:rPr>
                <w:rFonts w:ascii="Tahoma" w:hAnsi="Tahoma" w:cs="Tahoma"/>
              </w:rPr>
              <w:br w:type="column"/>
            </w:r>
            <w:r w:rsidRPr="00CA19B5">
              <w:rPr>
                <w:rFonts w:ascii="Tahoma" w:hAnsi="Tahoma" w:cs="Tahoma"/>
              </w:rPr>
              <w:br w:type="column"/>
            </w:r>
            <w:r w:rsidRPr="00CA19B5">
              <w:rPr>
                <w:rFonts w:ascii="Tahoma" w:hAnsi="Tahoma" w:cs="Tahoma"/>
              </w:rPr>
              <w:br w:type="page"/>
            </w:r>
            <w:r w:rsidRPr="00CA19B5">
              <w:rPr>
                <w:rFonts w:ascii="Tahoma" w:hAnsi="Tahoma" w:cs="Tahoma"/>
              </w:rPr>
              <w:br w:type="page"/>
            </w:r>
            <w:r w:rsidR="008B47D1" w:rsidRPr="00CA19B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CA19B5">
              <w:rPr>
                <w:rFonts w:ascii="Tahoma" w:hAnsi="Tahoma" w:cs="Tahoma"/>
              </w:rPr>
              <w:t xml:space="preserve">     </w:t>
            </w:r>
          </w:p>
        </w:tc>
        <w:tc>
          <w:tcPr>
            <w:tcW w:w="2806" w:type="dxa"/>
            <w:tcBorders>
              <w:bottom w:val="nil"/>
            </w:tcBorders>
            <w:tcMar>
              <w:right w:w="57" w:type="dxa"/>
            </w:tcMar>
          </w:tcPr>
          <w:p w:rsidR="005D5311" w:rsidRPr="00A738DC" w:rsidRDefault="005D5311" w:rsidP="00094E6E">
            <w:pPr>
              <w:ind w:left="113"/>
              <w:jc w:val="both"/>
              <w:outlineLvl w:val="0"/>
              <w:rPr>
                <w:rFonts w:ascii="Tahoma" w:hAnsi="Tahoma" w:cs="Tahoma"/>
                <w:sz w:val="16"/>
              </w:rPr>
            </w:pPr>
          </w:p>
          <w:p w:rsidR="005D5311" w:rsidRPr="00A738DC" w:rsidRDefault="005D5311" w:rsidP="00094E6E">
            <w:pPr>
              <w:ind w:left="113"/>
              <w:jc w:val="both"/>
              <w:outlineLvl w:val="0"/>
              <w:rPr>
                <w:rFonts w:ascii="Tahoma" w:hAnsi="Tahoma" w:cs="Tahoma"/>
                <w:sz w:val="16"/>
              </w:rPr>
            </w:pPr>
          </w:p>
          <w:p w:rsidR="005D5311" w:rsidRPr="00A738DC" w:rsidRDefault="005D5311" w:rsidP="00094E6E">
            <w:pPr>
              <w:ind w:left="113"/>
              <w:jc w:val="both"/>
              <w:outlineLvl w:val="0"/>
              <w:rPr>
                <w:rFonts w:ascii="Tahoma" w:hAnsi="Tahoma" w:cs="Tahoma"/>
                <w:sz w:val="16"/>
              </w:rPr>
            </w:pPr>
          </w:p>
          <w:p w:rsidR="00E72BD4" w:rsidRPr="00A738DC" w:rsidRDefault="00BC381E" w:rsidP="00094E6E">
            <w:pPr>
              <w:ind w:left="113"/>
              <w:jc w:val="both"/>
              <w:outlineLvl w:val="0"/>
              <w:rPr>
                <w:rFonts w:ascii="Tahoma" w:hAnsi="Tahoma" w:cs="Tahoma"/>
                <w:sz w:val="16"/>
              </w:rPr>
            </w:pPr>
            <w:r w:rsidRPr="00A738DC">
              <w:rPr>
                <w:rFonts w:ascii="Tahoma" w:hAnsi="Tahoma" w:cs="Tahoma"/>
                <w:sz w:val="16"/>
              </w:rPr>
              <w:t xml:space="preserve">  </w:t>
            </w:r>
          </w:p>
          <w:p w:rsidR="005D5311" w:rsidRPr="00A738DC" w:rsidRDefault="004551B9" w:rsidP="00431915">
            <w:pPr>
              <w:jc w:val="right"/>
              <w:outlineLvl w:val="0"/>
              <w:rPr>
                <w:rFonts w:ascii="Tahoma" w:hAnsi="Tahoma" w:cs="Tahoma"/>
                <w:color w:val="1F497D" w:themeColor="text2"/>
                <w:sz w:val="16"/>
              </w:rPr>
            </w:pPr>
            <w:r w:rsidRPr="00A738DC">
              <w:rPr>
                <w:rFonts w:ascii="Tahoma" w:hAnsi="Tahoma" w:cs="Tahoma"/>
                <w:color w:val="1F497D" w:themeColor="text2"/>
                <w:sz w:val="16"/>
              </w:rPr>
              <w:t xml:space="preserve"> </w:t>
            </w:r>
            <w:r w:rsidR="009062FA" w:rsidRPr="00A738DC">
              <w:rPr>
                <w:rFonts w:ascii="Tahoma" w:hAnsi="Tahoma" w:cs="Tahoma"/>
                <w:color w:val="1F497D" w:themeColor="text2"/>
                <w:sz w:val="16"/>
              </w:rPr>
              <w:t xml:space="preserve">        </w:t>
            </w:r>
            <w:r w:rsidR="009820C8" w:rsidRPr="00A738DC">
              <w:rPr>
                <w:rFonts w:ascii="Tahoma" w:hAnsi="Tahoma" w:cs="Tahoma"/>
                <w:color w:val="1F497D" w:themeColor="text2"/>
                <w:sz w:val="16"/>
              </w:rPr>
              <w:t xml:space="preserve"> </w:t>
            </w:r>
            <w:r w:rsidRPr="00A738DC">
              <w:rPr>
                <w:rFonts w:ascii="Tahoma" w:hAnsi="Tahoma" w:cs="Tahoma"/>
                <w:color w:val="1F497D" w:themeColor="text2"/>
                <w:sz w:val="16"/>
              </w:rPr>
              <w:t xml:space="preserve"> </w:t>
            </w:r>
            <w:r w:rsidR="00431915" w:rsidRPr="00A738DC">
              <w:rPr>
                <w:rFonts w:ascii="Arial Narrow" w:hAnsi="Arial Narrow" w:cs="Tahoma"/>
                <w:color w:val="1F497D" w:themeColor="text2"/>
                <w:sz w:val="16"/>
              </w:rPr>
              <w:t>22</w:t>
            </w:r>
            <w:r w:rsidR="00A738DC" w:rsidRPr="00A738DC">
              <w:rPr>
                <w:rFonts w:ascii="Arial Narrow" w:hAnsi="Arial Narrow" w:cs="Tahoma"/>
                <w:color w:val="1F497D" w:themeColor="text2"/>
                <w:sz w:val="16"/>
                <w:szCs w:val="16"/>
                <w:vertAlign w:val="superscript"/>
              </w:rPr>
              <w:t>nd</w:t>
            </w:r>
            <w:r w:rsidR="00431915" w:rsidRPr="00A738DC">
              <w:rPr>
                <w:rFonts w:ascii="Arial Narrow" w:hAnsi="Arial Narrow" w:cs="Tahoma"/>
                <w:color w:val="1F497D" w:themeColor="text2"/>
                <w:sz w:val="16"/>
                <w:szCs w:val="16"/>
              </w:rPr>
              <w:t xml:space="preserve"> </w:t>
            </w:r>
            <w:r w:rsidR="00A738DC">
              <w:rPr>
                <w:rFonts w:ascii="Arial Narrow" w:hAnsi="Arial Narrow" w:cs="Tahoma"/>
                <w:color w:val="1F497D" w:themeColor="text2"/>
                <w:sz w:val="16"/>
                <w:szCs w:val="16"/>
              </w:rPr>
              <w:t>February</w:t>
            </w:r>
            <w:r w:rsidR="00431915" w:rsidRPr="00A738DC">
              <w:rPr>
                <w:rFonts w:ascii="Arial Narrow" w:hAnsi="Arial Narrow" w:cs="Tahoma"/>
                <w:color w:val="1F497D" w:themeColor="text2"/>
                <w:sz w:val="16"/>
                <w:szCs w:val="16"/>
              </w:rPr>
              <w:t xml:space="preserve"> 2016</w:t>
            </w:r>
            <w:r w:rsidR="00A738DC">
              <w:rPr>
                <w:rFonts w:ascii="Arial Narrow" w:hAnsi="Arial Narrow" w:cs="Tahoma"/>
                <w:color w:val="1F497D" w:themeColor="text2"/>
                <w:sz w:val="16"/>
                <w:szCs w:val="16"/>
              </w:rPr>
              <w:t xml:space="preserve">, </w:t>
            </w:r>
            <w:r w:rsidR="00431915" w:rsidRPr="00A738DC">
              <w:rPr>
                <w:rFonts w:ascii="Arial Narrow" w:hAnsi="Arial Narrow" w:cs="Tahoma"/>
                <w:color w:val="1F497D" w:themeColor="text2"/>
                <w:sz w:val="16"/>
                <w:szCs w:val="16"/>
              </w:rPr>
              <w:t xml:space="preserve">No. </w:t>
            </w:r>
            <w:r w:rsidR="00431915" w:rsidRPr="00A738DC">
              <w:rPr>
                <w:rFonts w:ascii="Arial Narrow" w:hAnsi="Arial Narrow" w:cs="Tahoma"/>
                <w:b/>
                <w:color w:val="1F497D" w:themeColor="text2"/>
                <w:sz w:val="22"/>
                <w:szCs w:val="22"/>
              </w:rPr>
              <w:t>2</w:t>
            </w:r>
            <w:r w:rsidR="009835D7" w:rsidRPr="00A738DC">
              <w:rPr>
                <w:rFonts w:ascii="Arial Narrow" w:hAnsi="Arial Narrow" w:cs="Tahoma"/>
                <w:b/>
                <w:color w:val="1F497D" w:themeColor="text2"/>
                <w:sz w:val="22"/>
                <w:szCs w:val="22"/>
              </w:rPr>
              <w:t>6</w:t>
            </w:r>
            <w:r w:rsidR="00431915" w:rsidRPr="00A738DC">
              <w:rPr>
                <w:rFonts w:ascii="Arial Narrow" w:hAnsi="Arial Narrow" w:cs="Tahoma"/>
                <w:b/>
                <w:color w:val="1F497D" w:themeColor="text2"/>
                <w:sz w:val="22"/>
                <w:szCs w:val="22"/>
              </w:rPr>
              <w:t>/16</w:t>
            </w:r>
            <w:r w:rsidR="00F6075A" w:rsidRPr="00A738DC">
              <w:rPr>
                <w:rFonts w:ascii="Tahoma" w:hAnsi="Tahoma" w:cs="Tahoma"/>
                <w:color w:val="1F497D" w:themeColor="text2"/>
                <w:sz w:val="18"/>
              </w:rPr>
              <w:t xml:space="preserve"> </w:t>
            </w:r>
          </w:p>
        </w:tc>
      </w:tr>
      <w:tr w:rsidR="004C20B5" w:rsidRPr="00CA19B5" w:rsidTr="005074F6">
        <w:trPr>
          <w:cantSplit/>
        </w:trPr>
        <w:tc>
          <w:tcPr>
            <w:tcW w:w="5251" w:type="dxa"/>
            <w:vAlign w:val="center"/>
          </w:tcPr>
          <w:p w:rsidR="005D5311" w:rsidRPr="00CA19B5"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CA19B5" w:rsidRDefault="005D5311" w:rsidP="00094E6E">
            <w:pPr>
              <w:ind w:left="113"/>
              <w:jc w:val="both"/>
              <w:outlineLvl w:val="0"/>
              <w:rPr>
                <w:rFonts w:ascii="Tahoma" w:hAnsi="Tahoma" w:cs="Tahoma"/>
                <w:sz w:val="12"/>
                <w:lang w:val="sr-Cyrl-BA"/>
              </w:rPr>
            </w:pPr>
          </w:p>
        </w:tc>
      </w:tr>
    </w:tbl>
    <w:p w:rsidR="000971CB" w:rsidRPr="00CA19B5" w:rsidRDefault="000971CB" w:rsidP="00094E6E">
      <w:pPr>
        <w:jc w:val="both"/>
        <w:rPr>
          <w:rFonts w:ascii="Tahoma" w:hAnsi="Tahoma" w:cs="Tahoma"/>
          <w:i/>
          <w:sz w:val="16"/>
          <w:lang w:val="sr-Cyrl-BA"/>
        </w:rPr>
      </w:pPr>
    </w:p>
    <w:tbl>
      <w:tblPr>
        <w:tblW w:w="10319" w:type="dxa"/>
        <w:jc w:val="center"/>
        <w:shd w:val="clear" w:color="auto" w:fill="336699"/>
        <w:tblLook w:val="04A0" w:firstRow="1" w:lastRow="0" w:firstColumn="1" w:lastColumn="0" w:noHBand="0" w:noVBand="1"/>
      </w:tblPr>
      <w:tblGrid>
        <w:gridCol w:w="10319"/>
      </w:tblGrid>
      <w:tr w:rsidR="004C20B5" w:rsidRPr="00CA19B5" w:rsidTr="008B47D1">
        <w:trPr>
          <w:trHeight w:val="321"/>
          <w:jc w:val="center"/>
        </w:trPr>
        <w:tc>
          <w:tcPr>
            <w:tcW w:w="10624" w:type="dxa"/>
            <w:shd w:val="clear" w:color="auto" w:fill="336699"/>
          </w:tcPr>
          <w:p w:rsidR="00193339" w:rsidRPr="001D2CF2" w:rsidRDefault="00B84D4D" w:rsidP="00353834">
            <w:pPr>
              <w:jc w:val="center"/>
              <w:outlineLvl w:val="0"/>
              <w:rPr>
                <w:rFonts w:ascii="Arial Narrow" w:hAnsi="Arial Narrow" w:cs="Tahoma"/>
                <w:b/>
                <w:color w:val="FFFFFF" w:themeColor="background1"/>
                <w:sz w:val="34"/>
                <w:szCs w:val="34"/>
                <w:lang w:val="sr-Cyrl-BA"/>
              </w:rPr>
            </w:pPr>
            <w:r>
              <w:rPr>
                <w:rFonts w:ascii="Arial Narrow" w:hAnsi="Arial Narrow" w:cs="Tahoma"/>
                <w:bCs/>
                <w:color w:val="FFFFFF" w:themeColor="background1"/>
                <w:spacing w:val="30"/>
                <w:sz w:val="26"/>
                <w:szCs w:val="26"/>
              </w:rPr>
              <w:t>PRESS RELEASE</w:t>
            </w:r>
            <w:r w:rsidR="00353834">
              <w:rPr>
                <w:rFonts w:ascii="Arial Narrow" w:hAnsi="Arial Narrow" w:cs="Tahoma"/>
                <w:b/>
                <w:bCs/>
                <w:color w:val="FFFFFF" w:themeColor="background1"/>
                <w:spacing w:val="30"/>
                <w:sz w:val="34"/>
                <w:szCs w:val="34"/>
              </w:rPr>
              <w:t xml:space="preserve"> </w:t>
            </w:r>
          </w:p>
        </w:tc>
      </w:tr>
      <w:tr w:rsidR="004C20B5" w:rsidRPr="00CA19B5" w:rsidTr="008B47D1">
        <w:trPr>
          <w:trHeight w:val="264"/>
          <w:jc w:val="center"/>
        </w:trPr>
        <w:tc>
          <w:tcPr>
            <w:tcW w:w="10624" w:type="dxa"/>
            <w:shd w:val="clear" w:color="auto" w:fill="336699"/>
          </w:tcPr>
          <w:p w:rsidR="00193339" w:rsidRPr="001D2CF2" w:rsidRDefault="00B84D4D" w:rsidP="00EF319F">
            <w:pPr>
              <w:jc w:val="center"/>
              <w:rPr>
                <w:rFonts w:ascii="Arial Narrow" w:hAnsi="Arial Narrow" w:cs="Tahoma"/>
                <w:color w:val="FFFFFF" w:themeColor="background1"/>
                <w:sz w:val="26"/>
                <w:szCs w:val="26"/>
                <w:lang w:val="sr-Cyrl-BA"/>
              </w:rPr>
            </w:pPr>
            <w:r>
              <w:rPr>
                <w:rFonts w:ascii="Arial Narrow" w:hAnsi="Arial Narrow" w:cs="Tahoma"/>
                <w:b/>
                <w:bCs/>
                <w:color w:val="FFFFFF" w:themeColor="background1"/>
                <w:spacing w:val="30"/>
                <w:sz w:val="34"/>
                <w:szCs w:val="34"/>
              </w:rPr>
              <w:t>February</w:t>
            </w:r>
            <w:r w:rsidR="00353834" w:rsidRPr="001D2CF2">
              <w:rPr>
                <w:rFonts w:ascii="Arial Narrow" w:hAnsi="Arial Narrow" w:cs="Tahoma"/>
                <w:b/>
                <w:bCs/>
                <w:color w:val="FFFFFF" w:themeColor="background1"/>
                <w:spacing w:val="30"/>
                <w:sz w:val="34"/>
                <w:szCs w:val="34"/>
                <w:lang w:val="sr-Cyrl-CS"/>
              </w:rPr>
              <w:t xml:space="preserve"> </w:t>
            </w:r>
            <w:r w:rsidR="00353834" w:rsidRPr="001D2CF2">
              <w:rPr>
                <w:rFonts w:ascii="Arial Narrow" w:hAnsi="Arial Narrow" w:cs="Tahoma"/>
                <w:b/>
                <w:bCs/>
                <w:color w:val="FFFFFF" w:themeColor="background1"/>
                <w:spacing w:val="30"/>
                <w:sz w:val="34"/>
                <w:szCs w:val="34"/>
                <w:lang w:val="ru-RU"/>
              </w:rPr>
              <w:t>201</w:t>
            </w:r>
            <w:r w:rsidR="00353834">
              <w:rPr>
                <w:rFonts w:ascii="Arial Narrow" w:hAnsi="Arial Narrow" w:cs="Tahoma"/>
                <w:b/>
                <w:bCs/>
                <w:color w:val="FFFFFF" w:themeColor="background1"/>
                <w:spacing w:val="30"/>
                <w:sz w:val="34"/>
                <w:szCs w:val="34"/>
                <w:lang w:val="ru-RU"/>
              </w:rPr>
              <w:t>6</w:t>
            </w:r>
          </w:p>
        </w:tc>
      </w:tr>
    </w:tbl>
    <w:p w:rsidR="000F689B" w:rsidRPr="00D266AF" w:rsidRDefault="000F689B" w:rsidP="000F689B">
      <w:pPr>
        <w:jc w:val="both"/>
        <w:rPr>
          <w:rFonts w:ascii="Arial Narrow" w:hAnsi="Arial Narrow"/>
          <w:color w:val="FF0000"/>
          <w:spacing w:val="-2"/>
          <w:sz w:val="22"/>
          <w:szCs w:val="24"/>
          <w:lang w:val="sr-Cyrl-BA"/>
        </w:rPr>
      </w:pPr>
    </w:p>
    <w:p w:rsidR="00E33D13" w:rsidRPr="00D43F5A" w:rsidRDefault="002B5FFC" w:rsidP="00396802">
      <w:pPr>
        <w:ind w:left="-142"/>
        <w:jc w:val="both"/>
        <w:rPr>
          <w:rFonts w:ascii="Arial Narrow" w:hAnsi="Arial Narrow" w:cs="Tahoma"/>
          <w:b/>
          <w:sz w:val="30"/>
          <w:szCs w:val="30"/>
          <w:lang w:val="sr-Cyrl-BA"/>
        </w:rPr>
      </w:pPr>
      <w:r w:rsidRPr="00E97195">
        <w:rPr>
          <w:rFonts w:ascii="Arial Narrow" w:hAnsi="Arial Narrow" w:cs="Tahoma"/>
          <w:b/>
          <w:color w:val="FF0000"/>
          <w:sz w:val="30"/>
          <w:szCs w:val="30"/>
          <w:lang w:val="sr-Cyrl-CS"/>
        </w:rPr>
        <w:t xml:space="preserve">  </w:t>
      </w:r>
      <w:r w:rsidR="00216433">
        <w:rPr>
          <w:rFonts w:ascii="Arial Narrow" w:hAnsi="Arial Narrow" w:cs="Tahoma"/>
          <w:b/>
          <w:sz w:val="30"/>
          <w:szCs w:val="30"/>
        </w:rPr>
        <w:t>Average net wage in January</w:t>
      </w:r>
      <w:r w:rsidR="00E33D13" w:rsidRPr="00D43F5A">
        <w:rPr>
          <w:rFonts w:ascii="Arial Narrow" w:hAnsi="Arial Narrow" w:cs="Tahoma"/>
          <w:b/>
          <w:sz w:val="30"/>
          <w:szCs w:val="30"/>
          <w:lang w:val="bs-Latn-BA"/>
        </w:rPr>
        <w:t xml:space="preserve"> </w:t>
      </w:r>
      <w:r w:rsidR="00E33D13" w:rsidRPr="00D43F5A">
        <w:rPr>
          <w:rFonts w:ascii="Arial Narrow" w:hAnsi="Arial Narrow" w:cs="Tahoma"/>
          <w:b/>
          <w:sz w:val="30"/>
          <w:szCs w:val="30"/>
          <w:lang w:val="sr-Cyrl-CS"/>
        </w:rPr>
        <w:t>8</w:t>
      </w:r>
      <w:r w:rsidR="00757B05" w:rsidRPr="00D43F5A">
        <w:rPr>
          <w:rFonts w:ascii="Arial Narrow" w:hAnsi="Arial Narrow" w:cs="Tahoma"/>
          <w:b/>
          <w:sz w:val="30"/>
          <w:szCs w:val="30"/>
          <w:lang w:val="sr-Latn-BA"/>
        </w:rPr>
        <w:t>1</w:t>
      </w:r>
      <w:r w:rsidR="00E97195" w:rsidRPr="00D43F5A">
        <w:rPr>
          <w:rFonts w:ascii="Arial Narrow" w:hAnsi="Arial Narrow" w:cs="Tahoma"/>
          <w:b/>
          <w:sz w:val="30"/>
          <w:szCs w:val="30"/>
          <w:lang w:val="sr-Cyrl-CS"/>
        </w:rPr>
        <w:t>6</w:t>
      </w:r>
      <w:r w:rsidR="00E33D13" w:rsidRPr="00D43F5A">
        <w:rPr>
          <w:rFonts w:ascii="Arial Narrow" w:hAnsi="Arial Narrow" w:cs="Tahoma"/>
          <w:b/>
          <w:sz w:val="30"/>
          <w:szCs w:val="30"/>
          <w:lang w:val="sr-Cyrl-CS"/>
        </w:rPr>
        <w:t xml:space="preserve"> </w:t>
      </w:r>
      <w:r w:rsidR="00E33D13" w:rsidRPr="00D43F5A">
        <w:rPr>
          <w:rFonts w:ascii="Arial Narrow" w:hAnsi="Arial Narrow" w:cs="Tahoma"/>
          <w:b/>
          <w:sz w:val="30"/>
          <w:szCs w:val="30"/>
          <w:lang w:val="ru-RU"/>
        </w:rPr>
        <w:t>КМ</w:t>
      </w:r>
    </w:p>
    <w:p w:rsidR="00E33D13" w:rsidRPr="00D43F5A" w:rsidRDefault="00216433" w:rsidP="00E33D13">
      <w:pPr>
        <w:tabs>
          <w:tab w:val="left" w:pos="4343"/>
        </w:tabs>
        <w:jc w:val="both"/>
        <w:rPr>
          <w:rFonts w:ascii="Arial Narrow" w:hAnsi="Arial Narrow" w:cs="Tahoma"/>
          <w:b/>
          <w:i/>
          <w:sz w:val="28"/>
          <w:szCs w:val="28"/>
          <w:lang w:val="sr-Cyrl-BA"/>
        </w:rPr>
      </w:pPr>
      <w:r>
        <w:rPr>
          <w:rFonts w:ascii="Arial Narrow" w:hAnsi="Arial Narrow" w:cs="Tahoma"/>
          <w:b/>
          <w:sz w:val="28"/>
          <w:szCs w:val="28"/>
        </w:rPr>
        <w:t>The highest average net wage was that in the section</w:t>
      </w:r>
      <w:r w:rsidRPr="004C7183">
        <w:rPr>
          <w:rFonts w:ascii="Arial Narrow" w:hAnsi="Arial Narrow" w:cs="Tahoma"/>
          <w:b/>
          <w:sz w:val="28"/>
          <w:szCs w:val="28"/>
        </w:rPr>
        <w:t xml:space="preserve"> </w:t>
      </w:r>
      <w:r>
        <w:rPr>
          <w:rFonts w:ascii="Arial Narrow" w:hAnsi="Arial Narrow" w:cs="Tahoma"/>
          <w:b/>
          <w:i/>
          <w:sz w:val="28"/>
          <w:szCs w:val="28"/>
        </w:rPr>
        <w:t>Financial and insurance activities</w:t>
      </w:r>
      <w:r>
        <w:rPr>
          <w:rFonts w:ascii="Arial Narrow" w:hAnsi="Arial Narrow" w:cs="Tahoma"/>
          <w:b/>
          <w:sz w:val="28"/>
          <w:szCs w:val="28"/>
        </w:rPr>
        <w:t xml:space="preserve"> </w:t>
      </w:r>
      <w:r>
        <w:rPr>
          <w:rFonts w:ascii="Arial Narrow" w:hAnsi="Arial Narrow" w:cs="Tahoma"/>
          <w:b/>
          <w:sz w:val="28"/>
          <w:szCs w:val="28"/>
          <w:lang w:val="ru-RU"/>
        </w:rPr>
        <w:t>1,</w:t>
      </w:r>
      <w:r w:rsidR="00E33D13" w:rsidRPr="00D43F5A">
        <w:rPr>
          <w:rFonts w:ascii="Arial Narrow" w:hAnsi="Arial Narrow" w:cs="Tahoma"/>
          <w:b/>
          <w:sz w:val="28"/>
          <w:szCs w:val="28"/>
          <w:lang w:val="ru-RU"/>
        </w:rPr>
        <w:t>2</w:t>
      </w:r>
      <w:r w:rsidR="00E97195" w:rsidRPr="00D43F5A">
        <w:rPr>
          <w:rFonts w:ascii="Arial Narrow" w:hAnsi="Arial Narrow" w:cs="Tahoma"/>
          <w:b/>
          <w:sz w:val="28"/>
          <w:szCs w:val="28"/>
          <w:lang w:val="ru-RU"/>
        </w:rPr>
        <w:t>95</w:t>
      </w:r>
      <w:r w:rsidR="00E33D13" w:rsidRPr="00D43F5A">
        <w:rPr>
          <w:rFonts w:ascii="Arial Narrow" w:hAnsi="Arial Narrow" w:cs="Tahoma"/>
          <w:b/>
          <w:sz w:val="28"/>
          <w:szCs w:val="28"/>
          <w:lang w:val="ru-RU"/>
        </w:rPr>
        <w:t xml:space="preserve"> КМ</w:t>
      </w:r>
      <w:r w:rsidR="00E33D13" w:rsidRPr="00D43F5A">
        <w:rPr>
          <w:rFonts w:ascii="Arial Narrow" w:hAnsi="Arial Narrow" w:cs="Tahoma"/>
          <w:b/>
          <w:sz w:val="28"/>
          <w:szCs w:val="28"/>
          <w:lang w:val="sr-Cyrl-CS"/>
        </w:rPr>
        <w:t xml:space="preserve">, </w:t>
      </w:r>
      <w:r w:rsidRPr="00216433">
        <w:rPr>
          <w:rFonts w:ascii="Arial Narrow" w:hAnsi="Arial Narrow" w:cs="Tahoma"/>
          <w:b/>
          <w:sz w:val="28"/>
          <w:szCs w:val="28"/>
        </w:rPr>
        <w:t>while the lowest one was that in the section</w:t>
      </w:r>
      <w:r w:rsidRPr="00216433">
        <w:rPr>
          <w:rFonts w:ascii="Arial Narrow" w:hAnsi="Arial Narrow" w:cs="Tahoma"/>
          <w:b/>
          <w:sz w:val="28"/>
          <w:szCs w:val="28"/>
          <w:lang w:val="sr-Cyrl-CS"/>
        </w:rPr>
        <w:t xml:space="preserve"> </w:t>
      </w:r>
      <w:r>
        <w:rPr>
          <w:rFonts w:ascii="Arial Narrow" w:hAnsi="Arial Narrow" w:cs="Tahoma"/>
          <w:b/>
          <w:i/>
          <w:sz w:val="28"/>
          <w:szCs w:val="28"/>
        </w:rPr>
        <w:t>Administrative and support service activities</w:t>
      </w:r>
      <w:r w:rsidR="0048741A" w:rsidRPr="00D43F5A">
        <w:rPr>
          <w:rFonts w:ascii="Arial Narrow" w:hAnsi="Arial Narrow" w:cs="Tahoma"/>
          <w:b/>
          <w:i/>
          <w:sz w:val="28"/>
          <w:szCs w:val="28"/>
          <w:lang w:val="sr-Cyrl-CS"/>
        </w:rPr>
        <w:t xml:space="preserve"> </w:t>
      </w:r>
      <w:r w:rsidR="00E33D13" w:rsidRPr="00D43F5A">
        <w:rPr>
          <w:rFonts w:ascii="Arial Narrow" w:hAnsi="Arial Narrow" w:cs="Tahoma"/>
          <w:b/>
          <w:sz w:val="28"/>
          <w:szCs w:val="28"/>
          <w:lang w:val="sr-Cyrl-BA"/>
        </w:rPr>
        <w:t>5</w:t>
      </w:r>
      <w:r w:rsidR="00E97195" w:rsidRPr="00D43F5A">
        <w:rPr>
          <w:rFonts w:ascii="Arial Narrow" w:hAnsi="Arial Narrow" w:cs="Tahoma"/>
          <w:b/>
          <w:sz w:val="28"/>
          <w:szCs w:val="28"/>
          <w:lang w:val="sr-Cyrl-BA"/>
        </w:rPr>
        <w:t>09</w:t>
      </w:r>
      <w:r w:rsidR="00E33D13" w:rsidRPr="00D43F5A">
        <w:rPr>
          <w:rFonts w:ascii="Arial Narrow" w:hAnsi="Arial Narrow" w:cs="Tahoma"/>
          <w:b/>
          <w:sz w:val="28"/>
          <w:szCs w:val="28"/>
          <w:lang w:val="sr-Cyrl-BA"/>
        </w:rPr>
        <w:t xml:space="preserve"> КМ</w:t>
      </w:r>
    </w:p>
    <w:p w:rsidR="00E33D13" w:rsidRPr="00D43F5A" w:rsidRDefault="00470221" w:rsidP="00470221">
      <w:pPr>
        <w:tabs>
          <w:tab w:val="left" w:pos="1651"/>
          <w:tab w:val="left" w:pos="2192"/>
        </w:tabs>
        <w:jc w:val="both"/>
        <w:rPr>
          <w:rFonts w:ascii="Tahoma" w:hAnsi="Tahoma" w:cs="Tahoma"/>
          <w:b/>
          <w:lang w:val="sr-Cyrl-CS"/>
        </w:rPr>
      </w:pPr>
      <w:r w:rsidRPr="00D43F5A">
        <w:rPr>
          <w:rFonts w:ascii="Tahoma" w:hAnsi="Tahoma" w:cs="Tahoma"/>
          <w:b/>
          <w:lang w:val="sr-Cyrl-CS"/>
        </w:rPr>
        <w:tab/>
      </w:r>
      <w:r w:rsidRPr="00D43F5A">
        <w:rPr>
          <w:rFonts w:ascii="Tahoma" w:hAnsi="Tahoma" w:cs="Tahoma"/>
          <w:b/>
          <w:lang w:val="sr-Cyrl-CS"/>
        </w:rPr>
        <w:tab/>
      </w:r>
    </w:p>
    <w:p w:rsidR="00216433" w:rsidRPr="00216433" w:rsidRDefault="00216433" w:rsidP="00E33D13">
      <w:pPr>
        <w:tabs>
          <w:tab w:val="left" w:pos="1134"/>
        </w:tabs>
        <w:jc w:val="both"/>
        <w:rPr>
          <w:rFonts w:ascii="Arial Narrow" w:hAnsi="Arial Narrow" w:cs="Tahoma"/>
          <w:sz w:val="22"/>
        </w:rPr>
      </w:pPr>
      <w:r>
        <w:rPr>
          <w:rFonts w:ascii="Arial Narrow" w:hAnsi="Arial Narrow" w:cs="Tahoma"/>
          <w:sz w:val="22"/>
        </w:rPr>
        <w:t xml:space="preserve">Average monthly net wage of employed persons in Republika Srpska paid in January 2016 was 816 KM, while average monthly gross wage was 1,313 KM. </w:t>
      </w:r>
    </w:p>
    <w:p w:rsidR="00B82005" w:rsidRPr="00D43F5A" w:rsidRDefault="00B82005" w:rsidP="00F17452">
      <w:pPr>
        <w:tabs>
          <w:tab w:val="left" w:pos="1134"/>
        </w:tabs>
        <w:ind w:firstLine="720"/>
        <w:jc w:val="both"/>
        <w:rPr>
          <w:rFonts w:ascii="Arial Narrow" w:hAnsi="Arial Narrow" w:cs="Tahoma"/>
          <w:sz w:val="22"/>
          <w:lang w:val="sr-Cyrl-CS"/>
        </w:rPr>
      </w:pPr>
    </w:p>
    <w:p w:rsidR="00216433" w:rsidRDefault="00216433" w:rsidP="00E33D13">
      <w:pPr>
        <w:tabs>
          <w:tab w:val="left" w:pos="1134"/>
        </w:tabs>
        <w:jc w:val="both"/>
        <w:rPr>
          <w:rFonts w:ascii="Arial Narrow" w:hAnsi="Arial Narrow" w:cs="Tahoma"/>
          <w:sz w:val="22"/>
          <w:lang w:val="sr-Latn-CS"/>
        </w:rPr>
      </w:pPr>
      <w:r>
        <w:rPr>
          <w:rFonts w:ascii="Arial Narrow" w:hAnsi="Arial Narrow" w:cs="Tahoma"/>
          <w:sz w:val="22"/>
          <w:lang w:val="sr-Latn-CS"/>
        </w:rPr>
        <w:t xml:space="preserve">Compared to January 2015, average net wage paid in January 2016 was </w:t>
      </w:r>
      <w:r w:rsidR="008077E8">
        <w:rPr>
          <w:rFonts w:ascii="Arial Narrow" w:hAnsi="Arial Narrow" w:cs="Tahoma"/>
          <w:sz w:val="22"/>
          <w:lang w:val="sr-Latn-CS"/>
        </w:rPr>
        <w:t xml:space="preserve">reallu 1.4% higher, while compared to December 2015 it was really 2.3% lower. </w:t>
      </w:r>
    </w:p>
    <w:p w:rsidR="00B747A8" w:rsidRPr="00D43F5A" w:rsidRDefault="00B747A8" w:rsidP="00B747A8">
      <w:pPr>
        <w:tabs>
          <w:tab w:val="left" w:pos="1134"/>
        </w:tabs>
        <w:jc w:val="both"/>
        <w:rPr>
          <w:rFonts w:ascii="Arial Narrow" w:hAnsi="Arial Narrow" w:cs="Tahoma"/>
          <w:sz w:val="22"/>
          <w:lang w:val="ru-RU"/>
        </w:rPr>
      </w:pPr>
    </w:p>
    <w:p w:rsidR="008077E8" w:rsidRPr="008077E8" w:rsidRDefault="008077E8" w:rsidP="00E97195">
      <w:pPr>
        <w:jc w:val="both"/>
        <w:rPr>
          <w:rFonts w:ascii="Arial Narrow" w:hAnsi="Arial Narrow" w:cs="Tahoma"/>
          <w:sz w:val="22"/>
          <w:szCs w:val="22"/>
        </w:rPr>
      </w:pPr>
      <w:r>
        <w:rPr>
          <w:rFonts w:ascii="Arial Narrow" w:hAnsi="Arial Narrow" w:cs="Tahoma"/>
          <w:sz w:val="22"/>
          <w:szCs w:val="22"/>
        </w:rPr>
        <w:t xml:space="preserve">The decrease in the average net wage in January 2016, compared to December 2015, occurred mainly due to a significant number of entities that had no payments in January, while their average wages are high and they employ a significant number of persons. </w:t>
      </w:r>
    </w:p>
    <w:p w:rsidR="00B82005" w:rsidRDefault="00B82005" w:rsidP="00B82005">
      <w:pPr>
        <w:tabs>
          <w:tab w:val="left" w:pos="1134"/>
        </w:tabs>
        <w:jc w:val="both"/>
        <w:rPr>
          <w:rFonts w:ascii="Arial Narrow" w:hAnsi="Arial Narrow" w:cs="Tahoma"/>
          <w:sz w:val="22"/>
          <w:szCs w:val="22"/>
          <w:lang w:val="ru-RU"/>
        </w:rPr>
      </w:pPr>
    </w:p>
    <w:p w:rsidR="008077E8" w:rsidRDefault="008077E8" w:rsidP="00B82005">
      <w:pPr>
        <w:tabs>
          <w:tab w:val="left" w:pos="1134"/>
        </w:tabs>
        <w:jc w:val="both"/>
        <w:rPr>
          <w:rFonts w:ascii="Arial Narrow" w:hAnsi="Arial Narrow" w:cs="Tahoma"/>
          <w:sz w:val="22"/>
        </w:rPr>
      </w:pPr>
      <w:r>
        <w:rPr>
          <w:rFonts w:ascii="Arial Narrow" w:hAnsi="Arial Narrow" w:cs="Tahoma"/>
          <w:sz w:val="22"/>
          <w:szCs w:val="22"/>
        </w:rPr>
        <w:t xml:space="preserve">In January 2016, the highest average net wage, by section of activities, was paid in the </w:t>
      </w:r>
      <w:r>
        <w:rPr>
          <w:rFonts w:ascii="Arial Narrow" w:hAnsi="Arial Narrow" w:cs="Tahoma"/>
          <w:sz w:val="22"/>
        </w:rPr>
        <w:t xml:space="preserve">section </w:t>
      </w:r>
      <w:r w:rsidRPr="007E517E">
        <w:rPr>
          <w:rFonts w:ascii="Arial Narrow" w:hAnsi="Arial Narrow" w:cs="Tahoma"/>
          <w:i/>
          <w:sz w:val="22"/>
        </w:rPr>
        <w:t>Financial and insurance activities</w:t>
      </w:r>
      <w:r>
        <w:rPr>
          <w:rFonts w:ascii="Arial Narrow" w:hAnsi="Arial Narrow" w:cs="Tahoma"/>
          <w:sz w:val="22"/>
        </w:rPr>
        <w:t xml:space="preserve"> and it amounted to 1,295 KM. On the other hand, the lowest average net wage in January 2016 was the one paid in the section </w:t>
      </w:r>
      <w:r w:rsidRPr="00294434">
        <w:rPr>
          <w:rFonts w:ascii="Arial Narrow" w:hAnsi="Arial Narrow" w:cs="Tahoma"/>
          <w:i/>
          <w:sz w:val="22"/>
        </w:rPr>
        <w:t>Administrative and support service activities</w:t>
      </w:r>
      <w:r>
        <w:rPr>
          <w:rFonts w:ascii="Arial Narrow" w:hAnsi="Arial Narrow" w:cs="Tahoma"/>
          <w:i/>
          <w:sz w:val="22"/>
        </w:rPr>
        <w:t xml:space="preserve"> </w:t>
      </w:r>
      <w:r>
        <w:rPr>
          <w:rFonts w:ascii="Arial Narrow" w:hAnsi="Arial Narrow" w:cs="Tahoma"/>
          <w:sz w:val="22"/>
        </w:rPr>
        <w:t>509 KM.</w:t>
      </w:r>
    </w:p>
    <w:p w:rsidR="008F1A31" w:rsidRDefault="008F1A31" w:rsidP="00B82005">
      <w:pPr>
        <w:tabs>
          <w:tab w:val="left" w:pos="1134"/>
        </w:tabs>
        <w:jc w:val="both"/>
        <w:rPr>
          <w:rFonts w:ascii="Arial Narrow" w:hAnsi="Arial Narrow" w:cs="Tahoma"/>
          <w:sz w:val="22"/>
        </w:rPr>
      </w:pPr>
    </w:p>
    <w:p w:rsidR="008F1A31" w:rsidRPr="008077E8" w:rsidRDefault="008F1A31" w:rsidP="00B82005">
      <w:pPr>
        <w:tabs>
          <w:tab w:val="left" w:pos="1134"/>
        </w:tabs>
        <w:jc w:val="both"/>
        <w:rPr>
          <w:rFonts w:ascii="Arial Narrow" w:hAnsi="Arial Narrow" w:cs="Tahoma"/>
          <w:sz w:val="22"/>
        </w:rPr>
      </w:pPr>
      <w:r>
        <w:rPr>
          <w:rFonts w:ascii="Arial Narrow" w:hAnsi="Arial Narrow" w:cs="Tahoma"/>
          <w:sz w:val="22"/>
        </w:rPr>
        <w:t xml:space="preserve">In January 2016, compared to December 2015, a nominal increase in net wages was recorded in the sections </w:t>
      </w:r>
      <w:r w:rsidRPr="008F1A31">
        <w:rPr>
          <w:rFonts w:ascii="Arial Narrow" w:hAnsi="Arial Narrow" w:cs="Tahoma"/>
          <w:i/>
          <w:sz w:val="22"/>
        </w:rPr>
        <w:t>Financial and insurance services</w:t>
      </w:r>
      <w:r>
        <w:rPr>
          <w:rFonts w:ascii="Arial Narrow" w:hAnsi="Arial Narrow" w:cs="Tahoma"/>
          <w:sz w:val="22"/>
        </w:rPr>
        <w:t xml:space="preserve"> 2.9%, </w:t>
      </w:r>
      <w:r w:rsidRPr="008F1A31">
        <w:rPr>
          <w:rFonts w:ascii="Arial Narrow" w:hAnsi="Arial Narrow" w:cs="Tahoma"/>
          <w:i/>
          <w:sz w:val="22"/>
        </w:rPr>
        <w:t>Accommodation and food service activities</w:t>
      </w:r>
      <w:r>
        <w:rPr>
          <w:rFonts w:ascii="Arial Narrow" w:hAnsi="Arial Narrow" w:cs="Tahoma"/>
          <w:sz w:val="22"/>
        </w:rPr>
        <w:t xml:space="preserve"> 2.3% and </w:t>
      </w:r>
      <w:r w:rsidRPr="008F1A31">
        <w:rPr>
          <w:rFonts w:ascii="Arial Narrow" w:hAnsi="Arial Narrow" w:cs="Tahoma"/>
          <w:i/>
          <w:sz w:val="22"/>
        </w:rPr>
        <w:t>Manufacturing</w:t>
      </w:r>
      <w:r>
        <w:rPr>
          <w:rFonts w:ascii="Arial Narrow" w:hAnsi="Arial Narrow" w:cs="Tahoma"/>
          <w:sz w:val="22"/>
        </w:rPr>
        <w:t xml:space="preserve"> 0.7%. </w:t>
      </w:r>
    </w:p>
    <w:p w:rsidR="00E33D13" w:rsidRPr="00D43F5A" w:rsidRDefault="00E33D13" w:rsidP="00E33D13">
      <w:pPr>
        <w:jc w:val="both"/>
        <w:rPr>
          <w:rFonts w:ascii="Arial Narrow" w:hAnsi="Arial Narrow" w:cs="Tahoma"/>
          <w:sz w:val="22"/>
          <w:lang w:val="sr-Latn-CS"/>
        </w:rPr>
      </w:pPr>
    </w:p>
    <w:p w:rsidR="00FF3EA0" w:rsidRPr="008F1A31" w:rsidRDefault="008F1A31" w:rsidP="00E33D13">
      <w:pPr>
        <w:jc w:val="both"/>
        <w:rPr>
          <w:rFonts w:ascii="Arial Narrow" w:hAnsi="Arial Narrow" w:cs="Tahoma"/>
          <w:sz w:val="22"/>
        </w:rPr>
      </w:pPr>
      <w:r>
        <w:rPr>
          <w:rFonts w:ascii="Arial Narrow" w:hAnsi="Arial Narrow" w:cs="Tahoma"/>
          <w:sz w:val="22"/>
          <w:szCs w:val="22"/>
        </w:rPr>
        <w:t xml:space="preserve">A decrease in nominal wages was recorded in the sections </w:t>
      </w:r>
      <w:r w:rsidRPr="0076678C">
        <w:rPr>
          <w:rFonts w:ascii="Arial Narrow" w:hAnsi="Arial Narrow" w:cs="Tahoma"/>
          <w:i/>
          <w:sz w:val="22"/>
        </w:rPr>
        <w:t>Information and communication</w:t>
      </w:r>
      <w:r>
        <w:rPr>
          <w:rFonts w:ascii="Arial Narrow" w:hAnsi="Arial Narrow" w:cs="Tahoma"/>
          <w:i/>
          <w:sz w:val="22"/>
        </w:rPr>
        <w:t xml:space="preserve"> </w:t>
      </w:r>
      <w:r>
        <w:rPr>
          <w:rFonts w:ascii="Arial Narrow" w:hAnsi="Arial Narrow" w:cs="Tahoma"/>
          <w:sz w:val="22"/>
        </w:rPr>
        <w:t xml:space="preserve">33.6%, </w:t>
      </w:r>
      <w:r w:rsidRPr="008F1A31">
        <w:rPr>
          <w:rFonts w:ascii="Arial Narrow" w:hAnsi="Arial Narrow" w:cs="Tahoma"/>
          <w:i/>
          <w:sz w:val="22"/>
        </w:rPr>
        <w:t xml:space="preserve">Professional, scientific and technical activities </w:t>
      </w:r>
      <w:r>
        <w:rPr>
          <w:rFonts w:ascii="Arial Narrow" w:hAnsi="Arial Narrow" w:cs="Tahoma"/>
          <w:sz w:val="22"/>
        </w:rPr>
        <w:t xml:space="preserve">9.3% and </w:t>
      </w:r>
      <w:r w:rsidRPr="008F1A31">
        <w:rPr>
          <w:rFonts w:ascii="Arial Narrow" w:hAnsi="Arial Narrow" w:cs="Tahoma"/>
          <w:i/>
          <w:sz w:val="22"/>
        </w:rPr>
        <w:t>Education</w:t>
      </w:r>
      <w:r>
        <w:rPr>
          <w:rFonts w:ascii="Arial Narrow" w:hAnsi="Arial Narrow" w:cs="Tahoma"/>
          <w:sz w:val="22"/>
        </w:rPr>
        <w:t xml:space="preserve"> 2.3%. </w:t>
      </w:r>
    </w:p>
    <w:p w:rsidR="00396802" w:rsidRDefault="00396802" w:rsidP="00E33D13">
      <w:pPr>
        <w:jc w:val="both"/>
        <w:rPr>
          <w:rFonts w:ascii="Arial Narrow" w:hAnsi="Arial Narrow" w:cs="Tahoma"/>
          <w:sz w:val="22"/>
          <w:szCs w:val="22"/>
          <w:lang w:val="sr-Cyrl-BA"/>
        </w:rPr>
      </w:pPr>
    </w:p>
    <w:p w:rsidR="008F1A31" w:rsidRPr="00D43F5A" w:rsidRDefault="008F1A31" w:rsidP="00E33D13">
      <w:pPr>
        <w:jc w:val="both"/>
        <w:rPr>
          <w:rFonts w:ascii="Tahoma" w:hAnsi="Tahoma" w:cs="Tahoma"/>
          <w:i/>
          <w:sz w:val="14"/>
          <w:lang w:val="sr-Cyrl-CS"/>
        </w:rPr>
      </w:pPr>
    </w:p>
    <w:p w:rsidR="00E33D13" w:rsidRPr="00D43F5A" w:rsidRDefault="00E33D13" w:rsidP="00E33D13">
      <w:pPr>
        <w:jc w:val="both"/>
        <w:rPr>
          <w:rFonts w:ascii="Arial Narrow" w:hAnsi="Arial Narrow" w:cs="Tahoma"/>
          <w:sz w:val="22"/>
          <w:szCs w:val="22"/>
          <w:lang w:val="sr-Cyrl-BA"/>
        </w:rPr>
      </w:pPr>
      <w:r w:rsidRPr="00D43F5A">
        <w:rPr>
          <w:rFonts w:ascii="Tahoma" w:hAnsi="Tahoma" w:cs="Tahoma"/>
          <w:i/>
          <w:sz w:val="14"/>
          <w:lang w:val="sr-Cyrl-CS"/>
        </w:rPr>
        <w:t xml:space="preserve"> </w:t>
      </w:r>
      <w:r w:rsidRPr="00D43F5A">
        <w:rPr>
          <w:rFonts w:ascii="Tahoma" w:hAnsi="Tahoma" w:cs="Tahoma"/>
          <w:sz w:val="14"/>
          <w:lang w:val="sr-Cyrl-CS"/>
        </w:rPr>
        <w:t xml:space="preserve">   </w:t>
      </w:r>
      <w:r w:rsidRPr="00D43F5A">
        <w:rPr>
          <w:rFonts w:ascii="Tahoma" w:hAnsi="Tahoma" w:cs="Tahoma"/>
          <w:sz w:val="14"/>
          <w:lang w:val="sr-Latn-CS"/>
        </w:rPr>
        <w:tab/>
      </w:r>
      <w:r w:rsidRPr="00D43F5A">
        <w:rPr>
          <w:rFonts w:ascii="Tahoma" w:hAnsi="Tahoma" w:cs="Tahoma"/>
          <w:sz w:val="14"/>
          <w:lang w:val="sr-Latn-CS"/>
        </w:rPr>
        <w:tab/>
      </w:r>
      <w:r w:rsidRPr="00D43F5A">
        <w:rPr>
          <w:rFonts w:ascii="Tahoma" w:hAnsi="Tahoma" w:cs="Tahoma"/>
          <w:sz w:val="14"/>
          <w:lang w:val="sr-Cyrl-BA"/>
        </w:rPr>
        <w:t xml:space="preserve">            </w:t>
      </w:r>
      <w:r w:rsidR="00F85AAC" w:rsidRPr="00D43F5A">
        <w:rPr>
          <w:rFonts w:ascii="Tahoma" w:hAnsi="Tahoma" w:cs="Tahoma"/>
          <w:sz w:val="14"/>
          <w:lang w:val="sr-Cyrl-BA"/>
        </w:rPr>
        <w:t xml:space="preserve">  </w:t>
      </w:r>
      <w:r w:rsidRPr="00D43F5A">
        <w:rPr>
          <w:rFonts w:ascii="Arial Narrow" w:hAnsi="Arial Narrow" w:cs="Tahoma"/>
          <w:sz w:val="22"/>
          <w:szCs w:val="22"/>
          <w:lang w:val="sr-Cyrl-CS"/>
        </w:rPr>
        <w:t>км</w:t>
      </w:r>
    </w:p>
    <w:p w:rsidR="00E33D13" w:rsidRPr="00D43F5A" w:rsidRDefault="00AD485B" w:rsidP="00E33D13">
      <w:pPr>
        <w:jc w:val="center"/>
        <w:rPr>
          <w:rFonts w:ascii="Tahoma" w:hAnsi="Tahoma" w:cs="Tahoma"/>
          <w:lang w:val="sr-Cyrl-BA"/>
        </w:rPr>
      </w:pPr>
      <w:r w:rsidRPr="00D43F5A">
        <w:rPr>
          <w:rFonts w:ascii="Tahoma" w:hAnsi="Tahoma" w:cs="Tahoma"/>
          <w:noProof/>
          <w:szCs w:val="18"/>
        </w:rPr>
        <w:drawing>
          <wp:anchor distT="0" distB="0" distL="114300" distR="114300" simplePos="0" relativeHeight="251659776" behindDoc="0" locked="0" layoutInCell="1" allowOverlap="1">
            <wp:simplePos x="0" y="0"/>
            <wp:positionH relativeFrom="column">
              <wp:posOffset>974564</wp:posOffset>
            </wp:positionH>
            <wp:positionV relativeFrom="paragraph">
              <wp:posOffset>2063115</wp:posOffset>
            </wp:positionV>
            <wp:extent cx="4504690" cy="461010"/>
            <wp:effectExtent l="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4690" cy="461010"/>
                    </a:xfrm>
                    <a:prstGeom prst="rect">
                      <a:avLst/>
                    </a:prstGeom>
                  </pic:spPr>
                </pic:pic>
              </a:graphicData>
            </a:graphic>
          </wp:anchor>
        </w:drawing>
      </w:r>
      <w:r w:rsidR="00E33D13" w:rsidRPr="00D43F5A">
        <w:rPr>
          <w:rFonts w:ascii="Tahoma" w:hAnsi="Tahoma" w:cs="Tahoma"/>
          <w:szCs w:val="18"/>
          <w:lang w:val="sr-Cyrl-BA"/>
        </w:rPr>
        <w:t xml:space="preserve"> </w:t>
      </w:r>
      <w:r w:rsidR="00757B05" w:rsidRPr="00D43F5A">
        <w:rPr>
          <w:noProof/>
        </w:rPr>
        <w:drawing>
          <wp:inline distT="0" distB="0" distL="0" distR="0" wp14:anchorId="19C6863D" wp14:editId="77C0106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3D13" w:rsidRPr="00D43F5A">
        <w:rPr>
          <w:rFonts w:ascii="Tahoma" w:hAnsi="Tahoma" w:cs="Tahoma"/>
          <w:szCs w:val="18"/>
          <w:lang w:val="sr-Cyrl-BA"/>
        </w:rPr>
        <w:t xml:space="preserve">  </w:t>
      </w:r>
    </w:p>
    <w:p w:rsidR="00E33D13" w:rsidRPr="00D43F5A" w:rsidRDefault="00E33D13" w:rsidP="00E33D13">
      <w:pPr>
        <w:jc w:val="center"/>
        <w:rPr>
          <w:rFonts w:ascii="Tahoma" w:hAnsi="Tahoma" w:cs="Tahoma"/>
          <w:sz w:val="18"/>
          <w:szCs w:val="18"/>
          <w:lang w:val="sr-Cyrl-CS"/>
        </w:rPr>
      </w:pPr>
    </w:p>
    <w:p w:rsidR="00E33D13" w:rsidRPr="00216433" w:rsidRDefault="00216433" w:rsidP="00E33D13">
      <w:pPr>
        <w:jc w:val="center"/>
        <w:outlineLvl w:val="0"/>
        <w:rPr>
          <w:rFonts w:ascii="Arial Narrow" w:hAnsi="Arial Narrow" w:cs="Tahoma"/>
          <w:sz w:val="16"/>
          <w:szCs w:val="22"/>
        </w:rPr>
      </w:pPr>
      <w:r>
        <w:rPr>
          <w:rFonts w:ascii="Arial Narrow" w:hAnsi="Arial Narrow" w:cs="Tahoma"/>
          <w:sz w:val="16"/>
          <w:szCs w:val="22"/>
        </w:rPr>
        <w:t>Graph</w:t>
      </w:r>
      <w:r w:rsidR="00E33D13" w:rsidRPr="00D43F5A">
        <w:rPr>
          <w:rFonts w:ascii="Arial Narrow" w:hAnsi="Arial Narrow" w:cs="Tahoma"/>
          <w:sz w:val="16"/>
          <w:szCs w:val="22"/>
          <w:lang w:val="sr-Cyrl-BA"/>
        </w:rPr>
        <w:t xml:space="preserve"> </w:t>
      </w:r>
      <w:r w:rsidR="0066022A" w:rsidRPr="00D43F5A">
        <w:rPr>
          <w:rFonts w:ascii="Arial Narrow" w:hAnsi="Arial Narrow" w:cs="Tahoma"/>
          <w:sz w:val="16"/>
          <w:szCs w:val="22"/>
          <w:lang w:val="sr-Latn-BA"/>
        </w:rPr>
        <w:t>1</w:t>
      </w:r>
      <w:r w:rsidR="00E33D13" w:rsidRPr="00D43F5A">
        <w:rPr>
          <w:rFonts w:ascii="Arial Narrow" w:hAnsi="Arial Narrow" w:cs="Tahoma"/>
          <w:sz w:val="16"/>
          <w:szCs w:val="22"/>
          <w:lang w:val="sr-Cyrl-CS"/>
        </w:rPr>
        <w:t>.</w:t>
      </w:r>
      <w:r w:rsidR="00E33D13" w:rsidRPr="00D43F5A">
        <w:rPr>
          <w:rFonts w:ascii="Arial Narrow" w:hAnsi="Arial Narrow" w:cs="Tahoma"/>
          <w:sz w:val="16"/>
          <w:szCs w:val="22"/>
          <w:lang w:val="sr-Cyrl-BA"/>
        </w:rPr>
        <w:t xml:space="preserve"> </w:t>
      </w:r>
      <w:r>
        <w:rPr>
          <w:rFonts w:ascii="Arial Narrow" w:hAnsi="Arial Narrow" w:cs="Tahoma"/>
          <w:sz w:val="16"/>
          <w:szCs w:val="22"/>
        </w:rPr>
        <w:t>Average net wages of employed persons by month</w:t>
      </w:r>
    </w:p>
    <w:p w:rsidR="00BE051D" w:rsidRPr="00D43F5A" w:rsidRDefault="00BE051D">
      <w:pPr>
        <w:rPr>
          <w:rFonts w:ascii="Arial Narrow" w:hAnsi="Arial Narrow" w:cs="Tahoma"/>
          <w:sz w:val="22"/>
          <w:lang w:val="sr-Latn-BA"/>
        </w:rPr>
      </w:pPr>
    </w:p>
    <w:p w:rsidR="00EB2F3C" w:rsidRPr="00D43F5A" w:rsidRDefault="00EB2F3C">
      <w:pPr>
        <w:rPr>
          <w:rFonts w:ascii="Arial Narrow" w:hAnsi="Arial Narrow" w:cs="Tahoma"/>
          <w:sz w:val="22"/>
          <w:lang w:val="sr-Latn-BA"/>
        </w:rPr>
      </w:pPr>
    </w:p>
    <w:p w:rsidR="008D47DF" w:rsidRPr="005C32FE" w:rsidRDefault="008D47DF" w:rsidP="008D47DF">
      <w:pPr>
        <w:rPr>
          <w:rFonts w:ascii="Arial Narrow" w:hAnsi="Arial Narrow" w:cs="Tahoma"/>
          <w:b/>
          <w:sz w:val="30"/>
          <w:szCs w:val="30"/>
        </w:rPr>
      </w:pPr>
      <w:r>
        <w:rPr>
          <w:rFonts w:ascii="Arial Narrow" w:hAnsi="Arial Narrow" w:cs="Tahoma"/>
          <w:b/>
          <w:sz w:val="30"/>
          <w:szCs w:val="30"/>
        </w:rPr>
        <w:lastRenderedPageBreak/>
        <w:t>Monthly inflation</w:t>
      </w:r>
      <w:r>
        <w:rPr>
          <w:rFonts w:ascii="Arial Narrow" w:hAnsi="Arial Narrow" w:cs="Tahoma"/>
          <w:b/>
          <w:sz w:val="30"/>
          <w:szCs w:val="30"/>
          <w:lang w:val="sr-Cyrl-BA"/>
        </w:rPr>
        <w:t xml:space="preserve"> 0.2</w:t>
      </w:r>
      <w:r w:rsidRPr="00D20AF8">
        <w:rPr>
          <w:rFonts w:ascii="Arial Narrow" w:hAnsi="Arial Narrow" w:cs="Tahoma"/>
          <w:b/>
          <w:sz w:val="30"/>
          <w:szCs w:val="30"/>
          <w:lang w:val="sr-Cyrl-BA"/>
        </w:rPr>
        <w:t>%</w:t>
      </w:r>
      <w:r>
        <w:rPr>
          <w:rFonts w:ascii="Arial Narrow" w:hAnsi="Arial Narrow" w:cs="Tahoma"/>
          <w:b/>
          <w:sz w:val="30"/>
          <w:szCs w:val="30"/>
        </w:rPr>
        <w:t xml:space="preserve"> in</w:t>
      </w:r>
      <w:r w:rsidRPr="005C32FE">
        <w:rPr>
          <w:rFonts w:ascii="Arial Narrow" w:hAnsi="Arial Narrow" w:cs="Tahoma"/>
          <w:b/>
          <w:sz w:val="30"/>
          <w:szCs w:val="30"/>
        </w:rPr>
        <w:t xml:space="preserve"> </w:t>
      </w:r>
      <w:r>
        <w:rPr>
          <w:rFonts w:ascii="Arial Narrow" w:hAnsi="Arial Narrow" w:cs="Tahoma"/>
          <w:b/>
          <w:sz w:val="30"/>
          <w:szCs w:val="30"/>
        </w:rPr>
        <w:t>January 2016</w:t>
      </w:r>
    </w:p>
    <w:p w:rsidR="00FE332E" w:rsidRPr="00D43F5A" w:rsidRDefault="008D47DF" w:rsidP="00FE332E">
      <w:pPr>
        <w:rPr>
          <w:rFonts w:ascii="Arial Narrow" w:hAnsi="Arial Narrow" w:cs="Tahoma"/>
          <w:b/>
          <w:sz w:val="30"/>
          <w:szCs w:val="30"/>
          <w:lang w:val="sr-Cyrl-BA"/>
        </w:rPr>
      </w:pPr>
      <w:r>
        <w:rPr>
          <w:rFonts w:ascii="Arial Narrow" w:hAnsi="Arial Narrow" w:cs="Tahoma"/>
          <w:b/>
          <w:sz w:val="30"/>
          <w:szCs w:val="30"/>
        </w:rPr>
        <w:t>Annual inflation</w:t>
      </w:r>
      <w:r w:rsidR="00FE332E" w:rsidRPr="00D43F5A">
        <w:rPr>
          <w:rFonts w:ascii="Arial Narrow" w:hAnsi="Arial Narrow" w:cs="Tahoma"/>
          <w:b/>
          <w:sz w:val="30"/>
          <w:szCs w:val="30"/>
          <w:lang w:val="sr-Cyrl-BA"/>
        </w:rPr>
        <w:t xml:space="preserve"> (</w:t>
      </w:r>
      <w:r>
        <w:rPr>
          <w:rFonts w:ascii="Arial Narrow" w:hAnsi="Arial Narrow" w:cs="Tahoma"/>
          <w:b/>
          <w:sz w:val="30"/>
          <w:szCs w:val="30"/>
          <w:lang w:val="sr-Latn-BA"/>
        </w:rPr>
        <w:t>January</w:t>
      </w:r>
      <w:r w:rsidR="00FE332E" w:rsidRPr="00D43F5A">
        <w:rPr>
          <w:rFonts w:ascii="Arial Narrow" w:hAnsi="Arial Narrow" w:cs="Tahoma"/>
          <w:b/>
          <w:sz w:val="30"/>
          <w:szCs w:val="30"/>
          <w:lang w:val="sr-Cyrl-BA"/>
        </w:rPr>
        <w:t xml:space="preserve"> 2016/</w:t>
      </w:r>
      <w:r>
        <w:rPr>
          <w:rFonts w:ascii="Arial Narrow" w:hAnsi="Arial Narrow" w:cs="Tahoma"/>
          <w:b/>
          <w:sz w:val="30"/>
          <w:szCs w:val="30"/>
          <w:lang w:val="sr-Latn-BA"/>
        </w:rPr>
        <w:t>January</w:t>
      </w:r>
      <w:r>
        <w:rPr>
          <w:rFonts w:ascii="Arial Narrow" w:hAnsi="Arial Narrow" w:cs="Tahoma"/>
          <w:b/>
          <w:sz w:val="30"/>
          <w:szCs w:val="30"/>
          <w:lang w:val="sr-Cyrl-BA"/>
        </w:rPr>
        <w:t xml:space="preserve"> 2015) -0.</w:t>
      </w:r>
      <w:r w:rsidR="00FE332E" w:rsidRPr="00D43F5A">
        <w:rPr>
          <w:rFonts w:ascii="Arial Narrow" w:hAnsi="Arial Narrow" w:cs="Tahoma"/>
          <w:b/>
          <w:sz w:val="30"/>
          <w:szCs w:val="30"/>
          <w:lang w:val="sr-Cyrl-BA"/>
        </w:rPr>
        <w:t>9%</w:t>
      </w:r>
    </w:p>
    <w:p w:rsidR="00FE332E" w:rsidRPr="00D43F5A" w:rsidRDefault="00FE332E" w:rsidP="00FE332E">
      <w:pPr>
        <w:spacing w:after="120"/>
        <w:jc w:val="both"/>
        <w:rPr>
          <w:rFonts w:ascii="Arial Narrow" w:hAnsi="Arial Narrow" w:cs="Tahoma"/>
          <w:lang w:val="sr-Cyrl-BA"/>
        </w:rPr>
      </w:pPr>
    </w:p>
    <w:p w:rsidR="00ED1A2E" w:rsidRPr="00ED1A2E" w:rsidRDefault="00ED1A2E" w:rsidP="00FE332E">
      <w:pPr>
        <w:spacing w:after="120"/>
        <w:jc w:val="both"/>
        <w:rPr>
          <w:rFonts w:ascii="Arial Narrow" w:hAnsi="Arial Narrow" w:cs="Tahoma"/>
          <w:sz w:val="22"/>
          <w:szCs w:val="22"/>
          <w:lang w:val="sr-Cyrl-BA"/>
        </w:rPr>
      </w:pPr>
      <w:r w:rsidRPr="00ED1A2E">
        <w:rPr>
          <w:rFonts w:ascii="Arial Narrow" w:hAnsi="Arial Narrow" w:cs="Tahoma"/>
          <w:sz w:val="22"/>
          <w:szCs w:val="22"/>
        </w:rPr>
        <w:t>Prices of products and services for personal consumption in Republika Srpska, measured with the consumer price index, in January 2016, compared to the previous month, were on the average 0.2% higher, while they were 0.9% lower at the annual level</w:t>
      </w:r>
    </w:p>
    <w:p w:rsidR="00ED1A2E" w:rsidRPr="00ED1A2E" w:rsidRDefault="00ED1A2E" w:rsidP="00FE332E">
      <w:pPr>
        <w:spacing w:after="120"/>
        <w:jc w:val="both"/>
        <w:rPr>
          <w:rFonts w:ascii="Arial Narrow" w:hAnsi="Arial Narrow" w:cs="Tahoma"/>
          <w:sz w:val="22"/>
          <w:szCs w:val="22"/>
        </w:rPr>
      </w:pPr>
      <w:r w:rsidRPr="00ED1A2E">
        <w:rPr>
          <w:rFonts w:ascii="Arial Narrow" w:hAnsi="Arial Narrow" w:cs="Tahoma"/>
          <w:sz w:val="22"/>
          <w:szCs w:val="22"/>
        </w:rPr>
        <w:t xml:space="preserve">Of the 12 main divisions of products </w:t>
      </w:r>
      <w:r w:rsidR="003E1C1B">
        <w:rPr>
          <w:rFonts w:ascii="Arial Narrow" w:hAnsi="Arial Narrow" w:cs="Tahoma"/>
          <w:sz w:val="22"/>
          <w:szCs w:val="22"/>
        </w:rPr>
        <w:t xml:space="preserve">and services, an increase in prices was recorded in four divisions, a decrease was recorded in </w:t>
      </w:r>
      <w:r w:rsidR="00B81E0A">
        <w:rPr>
          <w:rFonts w:ascii="Arial Narrow" w:hAnsi="Arial Narrow" w:cs="Tahoma"/>
          <w:sz w:val="22"/>
          <w:szCs w:val="22"/>
        </w:rPr>
        <w:t>two</w:t>
      </w:r>
      <w:r w:rsidR="003E1C1B">
        <w:rPr>
          <w:rFonts w:ascii="Arial Narrow" w:hAnsi="Arial Narrow" w:cs="Tahoma"/>
          <w:sz w:val="22"/>
          <w:szCs w:val="22"/>
        </w:rPr>
        <w:t xml:space="preserve"> divisions, while prices in </w:t>
      </w:r>
      <w:r w:rsidR="00B81E0A">
        <w:rPr>
          <w:rFonts w:ascii="Arial Narrow" w:hAnsi="Arial Narrow" w:cs="Tahoma"/>
          <w:sz w:val="22"/>
          <w:szCs w:val="22"/>
        </w:rPr>
        <w:t>six</w:t>
      </w:r>
      <w:bookmarkStart w:id="0" w:name="_GoBack"/>
      <w:bookmarkEnd w:id="0"/>
      <w:r w:rsidR="003E1C1B">
        <w:rPr>
          <w:rFonts w:ascii="Arial Narrow" w:hAnsi="Arial Narrow" w:cs="Tahoma"/>
          <w:sz w:val="22"/>
          <w:szCs w:val="22"/>
        </w:rPr>
        <w:t xml:space="preserve"> divisions remained on the average at the same level. </w:t>
      </w:r>
    </w:p>
    <w:p w:rsidR="00190085" w:rsidRDefault="00190085" w:rsidP="00FE332E">
      <w:pPr>
        <w:jc w:val="both"/>
        <w:rPr>
          <w:rFonts w:ascii="Arial Narrow" w:hAnsi="Arial Narrow" w:cs="Tahoma"/>
          <w:sz w:val="22"/>
        </w:rPr>
      </w:pPr>
      <w:r>
        <w:rPr>
          <w:rFonts w:ascii="Arial Narrow" w:hAnsi="Arial Narrow" w:cs="Tahoma"/>
          <w:sz w:val="22"/>
          <w:szCs w:val="22"/>
        </w:rPr>
        <w:t xml:space="preserve">The highest increase in prices in January was recorded in the division </w:t>
      </w:r>
      <w:r>
        <w:rPr>
          <w:rFonts w:ascii="Arial Narrow" w:hAnsi="Arial Narrow" w:cs="Tahoma"/>
          <w:i/>
          <w:sz w:val="22"/>
        </w:rPr>
        <w:t xml:space="preserve">Alcoholic beverages and tobacco </w:t>
      </w:r>
      <w:r>
        <w:rPr>
          <w:rFonts w:ascii="Arial Narrow" w:hAnsi="Arial Narrow" w:cs="Tahoma"/>
          <w:sz w:val="22"/>
        </w:rPr>
        <w:t>(5.7%), due to higher prices in the group tobacco, as a result of the increased excise tax on tobacco and tobacco products introduced on 1</w:t>
      </w:r>
      <w:r w:rsidRPr="00190085">
        <w:rPr>
          <w:rFonts w:ascii="Arial Narrow" w:hAnsi="Arial Narrow" w:cs="Tahoma"/>
          <w:sz w:val="22"/>
          <w:vertAlign w:val="superscript"/>
        </w:rPr>
        <w:t>st</w:t>
      </w:r>
      <w:r>
        <w:rPr>
          <w:rFonts w:ascii="Arial Narrow" w:hAnsi="Arial Narrow" w:cs="Tahoma"/>
          <w:sz w:val="22"/>
        </w:rPr>
        <w:t xml:space="preserve"> January 2016. Higher prices were also recorded in the division </w:t>
      </w:r>
      <w:r w:rsidRPr="00190085">
        <w:rPr>
          <w:rFonts w:ascii="Arial Narrow" w:hAnsi="Arial Narrow" w:cs="Tahoma"/>
          <w:i/>
          <w:sz w:val="22"/>
        </w:rPr>
        <w:t>Food and non-alcoholic beverages</w:t>
      </w:r>
      <w:r>
        <w:rPr>
          <w:rFonts w:ascii="Arial Narrow" w:hAnsi="Arial Narrow" w:cs="Tahoma"/>
          <w:sz w:val="22"/>
        </w:rPr>
        <w:t xml:space="preserve"> (1.7%), mainly in the groups vegetables (8.1%) and fruit (5.1%), due to higher seasonal prices, as well as in the group non-alcoholic beverages – coffee, tea and cocoa (2.2%) and in the group other food products (1.4%), as a result of new purchases</w:t>
      </w:r>
      <w:r w:rsidR="003F6A58">
        <w:rPr>
          <w:rFonts w:ascii="Arial Narrow" w:hAnsi="Arial Narrow" w:cs="Tahoma"/>
          <w:sz w:val="22"/>
        </w:rPr>
        <w:t xml:space="preserve"> and the </w:t>
      </w:r>
      <w:r w:rsidR="00D60726">
        <w:rPr>
          <w:rFonts w:ascii="Arial Narrow" w:hAnsi="Arial Narrow" w:cs="Tahoma"/>
          <w:sz w:val="22"/>
        </w:rPr>
        <w:t>end</w:t>
      </w:r>
      <w:r w:rsidR="003F6A58">
        <w:rPr>
          <w:rFonts w:ascii="Arial Narrow" w:hAnsi="Arial Narrow" w:cs="Tahoma"/>
          <w:sz w:val="22"/>
        </w:rPr>
        <w:t xml:space="preserve"> of the discounts period. </w:t>
      </w:r>
      <w:r>
        <w:rPr>
          <w:rFonts w:ascii="Arial Narrow" w:hAnsi="Arial Narrow" w:cs="Tahoma"/>
          <w:sz w:val="22"/>
        </w:rPr>
        <w:t xml:space="preserve"> </w:t>
      </w:r>
    </w:p>
    <w:p w:rsidR="00625222" w:rsidRDefault="00625222" w:rsidP="00FE332E">
      <w:pPr>
        <w:jc w:val="both"/>
        <w:rPr>
          <w:rFonts w:ascii="Arial Narrow" w:hAnsi="Arial Narrow" w:cs="Tahoma"/>
          <w:sz w:val="22"/>
        </w:rPr>
      </w:pPr>
    </w:p>
    <w:p w:rsidR="004367A0" w:rsidRPr="00D60726" w:rsidRDefault="00625222" w:rsidP="00FE332E">
      <w:pPr>
        <w:jc w:val="both"/>
        <w:rPr>
          <w:rFonts w:ascii="Arial Narrow" w:hAnsi="Arial Narrow" w:cs="Tahoma"/>
          <w:sz w:val="22"/>
        </w:rPr>
      </w:pPr>
      <w:r>
        <w:rPr>
          <w:rFonts w:ascii="Arial Narrow" w:hAnsi="Arial Narrow" w:cs="Tahoma"/>
          <w:sz w:val="22"/>
        </w:rPr>
        <w:t xml:space="preserve">In the division </w:t>
      </w:r>
      <w:r w:rsidRPr="00625222">
        <w:rPr>
          <w:rFonts w:ascii="Arial Narrow" w:hAnsi="Arial Narrow" w:cs="Tahoma"/>
          <w:i/>
          <w:sz w:val="22"/>
        </w:rPr>
        <w:t>Furnishings and other equipment</w:t>
      </w:r>
      <w:r>
        <w:rPr>
          <w:rFonts w:ascii="Arial Narrow" w:hAnsi="Arial Narrow" w:cs="Tahoma"/>
          <w:sz w:val="22"/>
        </w:rPr>
        <w:t xml:space="preserve">, the highest increase was recorded in the group </w:t>
      </w:r>
      <w:r w:rsidR="00D60726">
        <w:rPr>
          <w:rFonts w:ascii="Arial Narrow" w:hAnsi="Arial Narrow" w:cs="Tahoma"/>
          <w:sz w:val="22"/>
        </w:rPr>
        <w:t xml:space="preserve">household cleaning and maintenance products (3.8%), due to higher purchase prices of certain articles in this group and as a result of the end of discounts period. A slight increase in prices was also recorded in the division </w:t>
      </w:r>
      <w:r w:rsidR="00D60726" w:rsidRPr="00D60726">
        <w:rPr>
          <w:rFonts w:ascii="Arial Narrow" w:hAnsi="Arial Narrow" w:cs="Tahoma"/>
          <w:i/>
          <w:sz w:val="22"/>
        </w:rPr>
        <w:t>Other goods and services</w:t>
      </w:r>
      <w:r w:rsidR="00D60726">
        <w:rPr>
          <w:rFonts w:ascii="Arial Narrow" w:hAnsi="Arial Narrow" w:cs="Tahoma"/>
          <w:sz w:val="22"/>
        </w:rPr>
        <w:t xml:space="preserve"> (0.4%), also as a result of the end of the discount period in the group personal care products. </w:t>
      </w:r>
    </w:p>
    <w:p w:rsidR="00FE332E" w:rsidRPr="00ED1A2E" w:rsidRDefault="00FE332E" w:rsidP="00FE332E">
      <w:pPr>
        <w:jc w:val="both"/>
        <w:rPr>
          <w:rFonts w:ascii="Arial Narrow" w:hAnsi="Arial Narrow" w:cs="Tahoma"/>
          <w:sz w:val="22"/>
          <w:szCs w:val="22"/>
          <w:lang w:val="sr-Cyrl-BA"/>
        </w:rPr>
      </w:pPr>
    </w:p>
    <w:p w:rsidR="00FE332E" w:rsidRPr="00ED1A2E" w:rsidRDefault="00AE2C69" w:rsidP="00D43F5A">
      <w:pPr>
        <w:spacing w:after="120"/>
        <w:jc w:val="both"/>
        <w:rPr>
          <w:rFonts w:ascii="Arial Narrow" w:hAnsi="Arial Narrow" w:cs="Tahoma"/>
          <w:sz w:val="22"/>
          <w:szCs w:val="22"/>
          <w:lang w:val="sr-Cyrl-BA"/>
        </w:rPr>
      </w:pPr>
      <w:r>
        <w:rPr>
          <w:rFonts w:ascii="Arial Narrow" w:hAnsi="Arial Narrow" w:cs="Tahoma"/>
          <w:sz w:val="22"/>
          <w:szCs w:val="22"/>
        </w:rPr>
        <w:t xml:space="preserve">In the divisions </w:t>
      </w:r>
      <w:r w:rsidRPr="00AE2C69">
        <w:rPr>
          <w:rFonts w:ascii="Arial Narrow" w:hAnsi="Arial Narrow" w:cs="Tahoma"/>
          <w:i/>
          <w:sz w:val="22"/>
          <w:szCs w:val="22"/>
        </w:rPr>
        <w:t>Housing</w:t>
      </w:r>
      <w:r w:rsidR="00FE332E" w:rsidRPr="00ED1A2E">
        <w:rPr>
          <w:rFonts w:ascii="Arial Narrow" w:hAnsi="Arial Narrow" w:cs="Tahoma"/>
          <w:i/>
          <w:sz w:val="22"/>
          <w:szCs w:val="22"/>
          <w:lang w:val="sr-Cyrl-BA"/>
        </w:rPr>
        <w:t xml:space="preserve">, </w:t>
      </w:r>
      <w:r>
        <w:rPr>
          <w:rFonts w:ascii="Arial Narrow" w:hAnsi="Arial Narrow" w:cs="Tahoma"/>
          <w:i/>
          <w:sz w:val="22"/>
          <w:szCs w:val="22"/>
        </w:rPr>
        <w:t>Health care</w:t>
      </w:r>
      <w:r w:rsidR="00FE332E" w:rsidRPr="00ED1A2E">
        <w:rPr>
          <w:rFonts w:ascii="Arial Narrow" w:hAnsi="Arial Narrow" w:cs="Tahoma"/>
          <w:sz w:val="22"/>
          <w:szCs w:val="22"/>
          <w:lang w:val="sr-Cyrl-BA"/>
        </w:rPr>
        <w:t xml:space="preserve">, </w:t>
      </w:r>
      <w:r>
        <w:rPr>
          <w:rFonts w:ascii="Arial Narrow" w:hAnsi="Arial Narrow" w:cs="Tahoma"/>
          <w:i/>
          <w:sz w:val="22"/>
          <w:szCs w:val="22"/>
        </w:rPr>
        <w:t>Communication</w:t>
      </w:r>
      <w:r w:rsidR="00FE332E" w:rsidRPr="00ED1A2E">
        <w:rPr>
          <w:rFonts w:ascii="Arial Narrow" w:hAnsi="Arial Narrow" w:cs="Tahoma"/>
          <w:i/>
          <w:sz w:val="22"/>
          <w:szCs w:val="22"/>
          <w:lang w:val="sr-Cyrl-BA"/>
        </w:rPr>
        <w:t xml:space="preserve">, </w:t>
      </w:r>
      <w:r>
        <w:rPr>
          <w:rFonts w:ascii="Arial Narrow" w:hAnsi="Arial Narrow" w:cs="Tahoma"/>
          <w:i/>
          <w:sz w:val="22"/>
          <w:szCs w:val="22"/>
        </w:rPr>
        <w:t>Recreation and culture</w:t>
      </w:r>
      <w:r w:rsidR="00FE332E" w:rsidRPr="00ED1A2E">
        <w:rPr>
          <w:rFonts w:ascii="Arial Narrow" w:hAnsi="Arial Narrow" w:cs="Tahoma"/>
          <w:i/>
          <w:sz w:val="22"/>
          <w:szCs w:val="22"/>
          <w:lang w:val="sr-Cyrl-BA"/>
        </w:rPr>
        <w:t xml:space="preserve">, </w:t>
      </w:r>
      <w:r>
        <w:rPr>
          <w:rFonts w:ascii="Arial Narrow" w:hAnsi="Arial Narrow" w:cs="Tahoma"/>
          <w:i/>
          <w:sz w:val="22"/>
          <w:szCs w:val="22"/>
        </w:rPr>
        <w:t>Education</w:t>
      </w:r>
      <w:r w:rsidR="00FE332E" w:rsidRPr="00ED1A2E">
        <w:rPr>
          <w:rFonts w:ascii="Arial Narrow" w:hAnsi="Arial Narrow" w:cs="Tahoma"/>
          <w:i/>
          <w:sz w:val="22"/>
          <w:szCs w:val="22"/>
          <w:lang w:val="sr-Cyrl-BA"/>
        </w:rPr>
        <w:t xml:space="preserve"> </w:t>
      </w:r>
      <w:r>
        <w:rPr>
          <w:rFonts w:ascii="Arial Narrow" w:hAnsi="Arial Narrow" w:cs="Tahoma"/>
          <w:sz w:val="22"/>
          <w:szCs w:val="22"/>
        </w:rPr>
        <w:t>and</w:t>
      </w:r>
      <w:r w:rsidR="00FE332E" w:rsidRPr="00ED1A2E">
        <w:rPr>
          <w:rFonts w:ascii="Arial Narrow" w:hAnsi="Arial Narrow" w:cs="Tahoma"/>
          <w:i/>
          <w:sz w:val="22"/>
          <w:szCs w:val="22"/>
          <w:lang w:val="sr-Cyrl-BA"/>
        </w:rPr>
        <w:t xml:space="preserve"> </w:t>
      </w:r>
      <w:r>
        <w:rPr>
          <w:rFonts w:ascii="Arial Narrow" w:hAnsi="Arial Narrow" w:cs="Tahoma"/>
          <w:i/>
          <w:sz w:val="22"/>
          <w:szCs w:val="22"/>
        </w:rPr>
        <w:t>Restaurants and hotels</w:t>
      </w:r>
      <w:r w:rsidR="00FE332E" w:rsidRPr="00ED1A2E">
        <w:rPr>
          <w:rFonts w:ascii="Arial Narrow" w:hAnsi="Arial Narrow" w:cs="Tahoma"/>
          <w:sz w:val="22"/>
          <w:szCs w:val="22"/>
          <w:lang w:val="sr-Cyrl-BA"/>
        </w:rPr>
        <w:t xml:space="preserve"> </w:t>
      </w:r>
      <w:r>
        <w:rPr>
          <w:rFonts w:ascii="Arial Narrow" w:hAnsi="Arial Narrow" w:cs="Tahoma"/>
          <w:sz w:val="22"/>
          <w:szCs w:val="22"/>
        </w:rPr>
        <w:t>prices remained on the average at the same level</w:t>
      </w:r>
      <w:r w:rsidR="00FE332E" w:rsidRPr="00ED1A2E">
        <w:rPr>
          <w:rFonts w:ascii="Arial Narrow" w:hAnsi="Arial Narrow" w:cs="Tahoma"/>
          <w:sz w:val="22"/>
          <w:szCs w:val="22"/>
          <w:lang w:val="sr-Cyrl-BA"/>
        </w:rPr>
        <w:t xml:space="preserve">. </w:t>
      </w:r>
    </w:p>
    <w:p w:rsidR="00643885" w:rsidRPr="00643885" w:rsidRDefault="00643885" w:rsidP="00FE332E">
      <w:pPr>
        <w:jc w:val="both"/>
        <w:rPr>
          <w:rFonts w:ascii="Arial Narrow" w:hAnsi="Arial Narrow" w:cs="Tahoma"/>
          <w:sz w:val="22"/>
          <w:szCs w:val="22"/>
        </w:rPr>
      </w:pPr>
      <w:r>
        <w:rPr>
          <w:rFonts w:ascii="Arial Narrow" w:hAnsi="Arial Narrow" w:cs="Tahoma"/>
          <w:sz w:val="22"/>
          <w:szCs w:val="22"/>
        </w:rPr>
        <w:t xml:space="preserve">The highest decrease in prices in January was recorded in the division </w:t>
      </w:r>
      <w:r w:rsidRPr="008C34F5">
        <w:rPr>
          <w:rFonts w:ascii="Arial Narrow" w:hAnsi="Arial Narrow" w:cs="Tahoma"/>
          <w:i/>
          <w:sz w:val="22"/>
          <w:szCs w:val="22"/>
        </w:rPr>
        <w:t>Clothing and footwear</w:t>
      </w:r>
      <w:r>
        <w:rPr>
          <w:rFonts w:ascii="Arial Narrow" w:hAnsi="Arial Narrow" w:cs="Tahoma"/>
          <w:sz w:val="22"/>
          <w:szCs w:val="22"/>
        </w:rPr>
        <w:t xml:space="preserve"> (4.7%), due </w:t>
      </w:r>
      <w:r w:rsidR="008C34F5">
        <w:rPr>
          <w:rFonts w:ascii="Arial Narrow" w:hAnsi="Arial Narrow" w:cs="Tahoma"/>
          <w:sz w:val="22"/>
          <w:szCs w:val="22"/>
        </w:rPr>
        <w:t xml:space="preserve">to numerous seasonal discounts. A decrease in prices was also recorded in the division </w:t>
      </w:r>
      <w:r w:rsidR="008C34F5" w:rsidRPr="008C34F5">
        <w:rPr>
          <w:rFonts w:ascii="Arial Narrow" w:hAnsi="Arial Narrow" w:cs="Tahoma"/>
          <w:i/>
          <w:sz w:val="22"/>
          <w:szCs w:val="22"/>
        </w:rPr>
        <w:t>Transport</w:t>
      </w:r>
      <w:r w:rsidR="008C34F5">
        <w:rPr>
          <w:rFonts w:ascii="Arial Narrow" w:hAnsi="Arial Narrow" w:cs="Tahoma"/>
          <w:sz w:val="22"/>
          <w:szCs w:val="22"/>
        </w:rPr>
        <w:t xml:space="preserve"> (3.6%), as a result of the continued trend of lower purchase prices of fuels. </w:t>
      </w:r>
    </w:p>
    <w:p w:rsidR="00152F07" w:rsidRPr="00D43F5A" w:rsidRDefault="00152F07" w:rsidP="00E045B0">
      <w:pPr>
        <w:jc w:val="both"/>
        <w:rPr>
          <w:rFonts w:ascii="Arial Narrow" w:hAnsi="Arial Narrow" w:cs="Tahoma"/>
          <w:lang w:val="sr-Cyrl-BA"/>
        </w:rPr>
      </w:pPr>
    </w:p>
    <w:p w:rsidR="007B3C79" w:rsidRPr="00D43F5A" w:rsidRDefault="00B81E0A" w:rsidP="00D43F5A">
      <w:pPr>
        <w:jc w:val="center"/>
        <w:rPr>
          <w:rFonts w:ascii="Arial Narrow" w:hAnsi="Arial Narrow" w:cs="Tahoma"/>
          <w:sz w:val="22"/>
          <w:szCs w:val="22"/>
          <w:lang w:val="sr-Cyrl-BA"/>
        </w:rPr>
      </w:pPr>
      <w:r>
        <w:rPr>
          <w:rFonts w:ascii="Arial Narrow" w:hAnsi="Arial Narrow" w:cs="Tahoma"/>
          <w:noProof/>
          <w:sz w:val="30"/>
          <w:szCs w:val="30"/>
        </w:rPr>
        <w:pict>
          <v:shapetype id="_x0000_t202" coordsize="21600,21600" o:spt="202" path="m,l,21600r21600,l21600,xe">
            <v:stroke joinstyle="miter"/>
            <v:path gradientshapeok="t" o:connecttype="rect"/>
          </v:shapetype>
          <v:shape id="_x0000_s1076" type="#_x0000_t202" style="position:absolute;left:0;text-align:left;margin-left:285.95pt;margin-top:195.6pt;width:66.75pt;height:17.25pt;z-index:251671552" strokecolor="white [3212]">
            <v:textbox>
              <w:txbxContent>
                <w:p w:rsidR="008C31D6" w:rsidRPr="008C31D6" w:rsidRDefault="008C31D6" w:rsidP="008C31D6">
                  <w:pPr>
                    <w:rPr>
                      <w:rFonts w:ascii="Arial Narrow" w:hAnsi="Arial Narrow"/>
                      <w:sz w:val="16"/>
                      <w:szCs w:val="16"/>
                    </w:rPr>
                  </w:pPr>
                  <w:r>
                    <w:rPr>
                      <w:rFonts w:ascii="Arial Narrow" w:hAnsi="Arial Narrow"/>
                      <w:sz w:val="16"/>
                      <w:szCs w:val="16"/>
                    </w:rPr>
                    <w:t>Annual</w:t>
                  </w:r>
                  <w:r w:rsidRPr="008C31D6">
                    <w:rPr>
                      <w:rFonts w:ascii="Arial Narrow" w:hAnsi="Arial Narrow"/>
                      <w:sz w:val="16"/>
                      <w:szCs w:val="16"/>
                    </w:rPr>
                    <w:t xml:space="preserve"> inflation</w:t>
                  </w:r>
                </w:p>
              </w:txbxContent>
            </v:textbox>
          </v:shape>
        </w:pict>
      </w:r>
      <w:r>
        <w:rPr>
          <w:rFonts w:ascii="Arial Narrow" w:hAnsi="Arial Narrow" w:cs="Tahoma"/>
          <w:noProof/>
          <w:sz w:val="30"/>
          <w:szCs w:val="30"/>
        </w:rPr>
        <w:pict>
          <v:shape id="_x0000_s1075" type="#_x0000_t202" style="position:absolute;left:0;text-align:left;margin-left:180.95pt;margin-top:195.6pt;width:66.75pt;height:17.25pt;z-index:251670528;mso-position-vertical:absolute" strokecolor="white [3212]">
            <v:textbox>
              <w:txbxContent>
                <w:p w:rsidR="008C31D6" w:rsidRPr="008C31D6" w:rsidRDefault="008C31D6">
                  <w:pPr>
                    <w:rPr>
                      <w:rFonts w:ascii="Arial Narrow" w:hAnsi="Arial Narrow"/>
                      <w:sz w:val="16"/>
                      <w:szCs w:val="16"/>
                    </w:rPr>
                  </w:pPr>
                  <w:r w:rsidRPr="008C31D6">
                    <w:rPr>
                      <w:rFonts w:ascii="Arial Narrow" w:hAnsi="Arial Narrow"/>
                      <w:sz w:val="16"/>
                      <w:szCs w:val="16"/>
                    </w:rPr>
                    <w:t>Monthly inflation</w:t>
                  </w:r>
                </w:p>
              </w:txbxContent>
            </v:textbox>
          </v:shape>
        </w:pict>
      </w:r>
      <w:r w:rsidR="00D43F5A" w:rsidRPr="00D43F5A">
        <w:rPr>
          <w:noProof/>
        </w:rPr>
        <w:drawing>
          <wp:inline distT="0" distB="0" distL="0" distR="0" wp14:anchorId="16B844E1" wp14:editId="36373000">
            <wp:extent cx="5467350" cy="2831911"/>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3895" w:rsidRPr="008C31D6" w:rsidRDefault="008C31D6" w:rsidP="00D43F5A">
      <w:pPr>
        <w:tabs>
          <w:tab w:val="left" w:pos="0"/>
          <w:tab w:val="left" w:pos="1100"/>
        </w:tabs>
        <w:jc w:val="center"/>
        <w:rPr>
          <w:rFonts w:ascii="Arial Narrow" w:hAnsi="Arial Narrow" w:cs="Tahoma"/>
          <w:bCs/>
          <w:sz w:val="16"/>
          <w:szCs w:val="28"/>
        </w:rPr>
      </w:pPr>
      <w:r>
        <w:rPr>
          <w:rFonts w:ascii="Arial Narrow" w:hAnsi="Arial Narrow" w:cs="Tahoma"/>
          <w:bCs/>
          <w:sz w:val="16"/>
          <w:szCs w:val="28"/>
        </w:rPr>
        <w:t>Graph</w:t>
      </w:r>
      <w:r w:rsidR="00D43F5A" w:rsidRPr="00D43F5A">
        <w:rPr>
          <w:rFonts w:ascii="Arial Narrow" w:hAnsi="Arial Narrow" w:cs="Tahoma"/>
          <w:bCs/>
          <w:sz w:val="16"/>
          <w:szCs w:val="28"/>
          <w:lang w:val="sr-Cyrl-CS"/>
        </w:rPr>
        <w:t xml:space="preserve"> 2. </w:t>
      </w:r>
      <w:r>
        <w:rPr>
          <w:rFonts w:ascii="Arial Narrow" w:hAnsi="Arial Narrow" w:cs="Tahoma"/>
          <w:bCs/>
          <w:sz w:val="16"/>
          <w:szCs w:val="28"/>
        </w:rPr>
        <w:t>Monthly and annual inflation</w:t>
      </w:r>
    </w:p>
    <w:p w:rsidR="00D43F5A" w:rsidRDefault="00D43F5A" w:rsidP="00F442FA">
      <w:pPr>
        <w:rPr>
          <w:rFonts w:ascii="Arial Narrow" w:hAnsi="Arial Narrow" w:cs="Tahoma"/>
          <w:sz w:val="30"/>
          <w:szCs w:val="30"/>
          <w:lang w:val="bs-Cyrl-BA"/>
        </w:rPr>
      </w:pPr>
    </w:p>
    <w:p w:rsidR="008C34F5" w:rsidRDefault="008C34F5" w:rsidP="00F442FA">
      <w:pPr>
        <w:rPr>
          <w:rFonts w:ascii="Arial Narrow" w:hAnsi="Arial Narrow" w:cs="Tahoma"/>
          <w:b/>
          <w:sz w:val="30"/>
          <w:szCs w:val="30"/>
        </w:rPr>
      </w:pPr>
    </w:p>
    <w:p w:rsidR="008C34F5" w:rsidRDefault="008C34F5" w:rsidP="00F442FA">
      <w:pPr>
        <w:rPr>
          <w:rFonts w:ascii="Arial Narrow" w:hAnsi="Arial Narrow" w:cs="Tahoma"/>
          <w:b/>
          <w:sz w:val="30"/>
          <w:szCs w:val="30"/>
        </w:rPr>
      </w:pPr>
    </w:p>
    <w:p w:rsidR="008C34F5" w:rsidRDefault="008C34F5" w:rsidP="00F442FA">
      <w:pPr>
        <w:rPr>
          <w:rFonts w:ascii="Arial Narrow" w:hAnsi="Arial Narrow" w:cs="Tahoma"/>
          <w:b/>
          <w:sz w:val="30"/>
          <w:szCs w:val="30"/>
        </w:rPr>
      </w:pPr>
    </w:p>
    <w:p w:rsidR="008C34F5" w:rsidRDefault="008C34F5" w:rsidP="00F442FA">
      <w:pPr>
        <w:rPr>
          <w:rFonts w:ascii="Arial Narrow" w:hAnsi="Arial Narrow" w:cs="Tahoma"/>
          <w:b/>
          <w:sz w:val="30"/>
          <w:szCs w:val="30"/>
        </w:rPr>
      </w:pPr>
    </w:p>
    <w:p w:rsidR="008C34F5" w:rsidRDefault="008C34F5" w:rsidP="00F442FA">
      <w:pPr>
        <w:rPr>
          <w:rFonts w:ascii="Arial Narrow" w:hAnsi="Arial Narrow" w:cs="Tahoma"/>
          <w:b/>
          <w:sz w:val="30"/>
          <w:szCs w:val="30"/>
        </w:rPr>
      </w:pPr>
    </w:p>
    <w:p w:rsidR="008C34F5" w:rsidRDefault="008C34F5" w:rsidP="00F442FA">
      <w:pPr>
        <w:rPr>
          <w:rFonts w:ascii="Arial Narrow" w:hAnsi="Arial Narrow" w:cs="Tahoma"/>
          <w:b/>
          <w:sz w:val="30"/>
          <w:szCs w:val="30"/>
        </w:rPr>
      </w:pPr>
    </w:p>
    <w:p w:rsidR="008C34F5" w:rsidRDefault="008C34F5" w:rsidP="00F442FA">
      <w:pPr>
        <w:rPr>
          <w:rFonts w:ascii="Arial Narrow" w:hAnsi="Arial Narrow" w:cs="Tahoma"/>
          <w:b/>
          <w:sz w:val="30"/>
          <w:szCs w:val="30"/>
        </w:rPr>
      </w:pPr>
    </w:p>
    <w:p w:rsidR="00F442FA" w:rsidRPr="00D43F5A" w:rsidRDefault="00520AE7" w:rsidP="00F442FA">
      <w:pPr>
        <w:rPr>
          <w:rFonts w:ascii="Arial Narrow" w:hAnsi="Arial Narrow" w:cs="Tahoma"/>
          <w:b/>
          <w:sz w:val="30"/>
          <w:szCs w:val="30"/>
          <w:lang w:val="sr-Cyrl-CS"/>
        </w:rPr>
      </w:pPr>
      <w:r w:rsidRPr="007E517E">
        <w:rPr>
          <w:rFonts w:ascii="Arial Narrow" w:hAnsi="Arial Narrow" w:cs="Tahoma"/>
          <w:b/>
          <w:sz w:val="30"/>
          <w:szCs w:val="30"/>
        </w:rPr>
        <w:t xml:space="preserve">Coverage of import with export </w:t>
      </w:r>
      <w:r w:rsidR="00384927" w:rsidRPr="00D43F5A">
        <w:rPr>
          <w:rFonts w:ascii="Arial Narrow" w:hAnsi="Arial Narrow" w:cs="Tahoma"/>
          <w:b/>
          <w:sz w:val="30"/>
          <w:szCs w:val="30"/>
          <w:lang w:val="sr-Cyrl-BA"/>
        </w:rPr>
        <w:t>(</w:t>
      </w:r>
      <w:r>
        <w:rPr>
          <w:rFonts w:ascii="Arial Narrow" w:hAnsi="Arial Narrow" w:cs="Tahoma"/>
          <w:b/>
          <w:sz w:val="30"/>
          <w:szCs w:val="30"/>
          <w:lang w:val="sr-Latn-CS"/>
        </w:rPr>
        <w:t>January</w:t>
      </w:r>
      <w:r w:rsidR="00F442FA" w:rsidRPr="00D43F5A">
        <w:rPr>
          <w:rFonts w:ascii="Arial Narrow" w:hAnsi="Arial Narrow" w:cs="Tahoma"/>
          <w:b/>
          <w:sz w:val="30"/>
          <w:szCs w:val="30"/>
          <w:lang w:val="sr-Cyrl-CS"/>
        </w:rPr>
        <w:t xml:space="preserve"> </w:t>
      </w:r>
      <w:r w:rsidR="00F442FA" w:rsidRPr="00D43F5A">
        <w:rPr>
          <w:rFonts w:ascii="Arial Narrow" w:hAnsi="Arial Narrow" w:cs="Tahoma"/>
          <w:b/>
          <w:sz w:val="30"/>
          <w:szCs w:val="30"/>
          <w:lang w:val="ru-RU"/>
        </w:rPr>
        <w:t>201</w:t>
      </w:r>
      <w:r w:rsidR="00384927" w:rsidRPr="00D43F5A">
        <w:rPr>
          <w:rFonts w:ascii="Arial Narrow" w:hAnsi="Arial Narrow" w:cs="Tahoma"/>
          <w:b/>
          <w:sz w:val="30"/>
          <w:szCs w:val="30"/>
          <w:lang w:val="sr-Latn-BA"/>
        </w:rPr>
        <w:t>6</w:t>
      </w:r>
      <w:r w:rsidR="00F442FA" w:rsidRPr="00D43F5A">
        <w:rPr>
          <w:rFonts w:ascii="Arial Narrow" w:hAnsi="Arial Narrow" w:cs="Tahoma"/>
          <w:b/>
          <w:sz w:val="30"/>
          <w:szCs w:val="30"/>
          <w:lang w:val="sr-Cyrl-BA"/>
        </w:rPr>
        <w:t>)</w:t>
      </w:r>
      <w:r w:rsidR="00F442FA" w:rsidRPr="00D43F5A">
        <w:rPr>
          <w:rFonts w:ascii="Arial Narrow" w:hAnsi="Arial Narrow" w:cs="Tahoma"/>
          <w:b/>
          <w:sz w:val="30"/>
          <w:szCs w:val="30"/>
          <w:lang w:val="sr-Cyrl-CS"/>
        </w:rPr>
        <w:t xml:space="preserve"> </w:t>
      </w:r>
      <w:r w:rsidR="007E3425" w:rsidRPr="00D43F5A">
        <w:rPr>
          <w:rFonts w:ascii="Arial Narrow" w:hAnsi="Arial Narrow" w:cs="Tahoma"/>
          <w:b/>
          <w:sz w:val="30"/>
          <w:szCs w:val="30"/>
          <w:lang w:val="hr-HR"/>
        </w:rPr>
        <w:t>8</w:t>
      </w:r>
      <w:r w:rsidR="00384927" w:rsidRPr="00D43F5A">
        <w:rPr>
          <w:rFonts w:ascii="Arial Narrow" w:hAnsi="Arial Narrow" w:cs="Tahoma"/>
          <w:b/>
          <w:sz w:val="30"/>
          <w:szCs w:val="30"/>
          <w:lang w:val="sr-Cyrl-BA"/>
        </w:rPr>
        <w:t>3</w:t>
      </w:r>
      <w:r>
        <w:rPr>
          <w:rFonts w:ascii="Arial Narrow" w:hAnsi="Arial Narrow" w:cs="Tahoma"/>
          <w:b/>
          <w:sz w:val="30"/>
          <w:szCs w:val="30"/>
          <w:lang w:val="hr-HR"/>
        </w:rPr>
        <w:t>.</w:t>
      </w:r>
      <w:r w:rsidR="00384927" w:rsidRPr="00D43F5A">
        <w:rPr>
          <w:rFonts w:ascii="Arial Narrow" w:hAnsi="Arial Narrow" w:cs="Tahoma"/>
          <w:b/>
          <w:sz w:val="30"/>
          <w:szCs w:val="30"/>
          <w:lang w:val="sr-Cyrl-BA"/>
        </w:rPr>
        <w:t>3</w:t>
      </w:r>
      <w:r w:rsidR="00F442FA" w:rsidRPr="00D43F5A">
        <w:rPr>
          <w:rFonts w:ascii="Arial Narrow" w:hAnsi="Arial Narrow" w:cs="Tahoma"/>
          <w:b/>
          <w:sz w:val="30"/>
          <w:szCs w:val="30"/>
          <w:lang w:val="ru-RU"/>
        </w:rPr>
        <w:t xml:space="preserve">% </w:t>
      </w:r>
    </w:p>
    <w:p w:rsidR="00F442FA" w:rsidRPr="00D43F5A" w:rsidRDefault="00F442FA" w:rsidP="00F442FA">
      <w:pPr>
        <w:tabs>
          <w:tab w:val="left" w:pos="300"/>
          <w:tab w:val="left" w:pos="1100"/>
        </w:tabs>
        <w:jc w:val="both"/>
        <w:rPr>
          <w:rFonts w:ascii="Tahoma" w:hAnsi="Tahoma" w:cs="Tahoma"/>
          <w:b/>
          <w:lang w:val="sr-Cyrl-BA"/>
        </w:rPr>
      </w:pPr>
    </w:p>
    <w:p w:rsidR="008C34F5" w:rsidRDefault="008C34F5" w:rsidP="00F442FA">
      <w:pPr>
        <w:jc w:val="both"/>
        <w:rPr>
          <w:rFonts w:ascii="Arial Narrow" w:hAnsi="Arial Narrow" w:cs="Tahoma"/>
          <w:sz w:val="22"/>
        </w:rPr>
      </w:pPr>
      <w:r>
        <w:rPr>
          <w:rFonts w:ascii="Arial Narrow" w:hAnsi="Arial Narrow" w:cs="Tahoma"/>
          <w:sz w:val="22"/>
        </w:rPr>
        <w:t>In the total external trade of Republika Srpska in January of the current year, the percentage of coverage of import with export was 83.3%.</w:t>
      </w:r>
    </w:p>
    <w:p w:rsidR="008C34F5" w:rsidRDefault="008C34F5" w:rsidP="00F442FA">
      <w:pPr>
        <w:jc w:val="both"/>
        <w:rPr>
          <w:rFonts w:ascii="Arial Narrow" w:hAnsi="Arial Narrow" w:cs="Tahoma"/>
          <w:sz w:val="22"/>
        </w:rPr>
      </w:pPr>
    </w:p>
    <w:p w:rsidR="008C34F5" w:rsidRDefault="008C34F5" w:rsidP="00F442FA">
      <w:pPr>
        <w:jc w:val="both"/>
        <w:rPr>
          <w:rFonts w:ascii="Arial Narrow" w:hAnsi="Arial Narrow" w:cs="Tahoma"/>
          <w:sz w:val="22"/>
        </w:rPr>
      </w:pPr>
      <w:r>
        <w:rPr>
          <w:rFonts w:ascii="Arial Narrow" w:hAnsi="Arial Narrow" w:cs="Tahoma"/>
          <w:sz w:val="22"/>
        </w:rPr>
        <w:t xml:space="preserve">In January 2016, the value of export was 184 million KM, which represents an increase by 8.4% compared to the same month of the previous year. In the same month, the value of import was 221 million KM, which represents a decrease by 1.8% compared to the same month of the previous year. </w:t>
      </w:r>
    </w:p>
    <w:p w:rsidR="008C34F5" w:rsidRDefault="008C34F5" w:rsidP="00F442FA">
      <w:pPr>
        <w:jc w:val="both"/>
        <w:rPr>
          <w:rFonts w:ascii="Arial Narrow" w:hAnsi="Arial Narrow" w:cs="Tahoma"/>
          <w:sz w:val="22"/>
          <w:lang w:val="sr-Cyrl-BA"/>
        </w:rPr>
      </w:pPr>
    </w:p>
    <w:p w:rsidR="008C34F5" w:rsidRPr="007E517E" w:rsidRDefault="008C34F5" w:rsidP="008C34F5">
      <w:pPr>
        <w:jc w:val="both"/>
        <w:rPr>
          <w:rFonts w:ascii="Arial Narrow" w:hAnsi="Arial Narrow" w:cs="Tahoma"/>
          <w:sz w:val="22"/>
        </w:rPr>
      </w:pPr>
      <w:r w:rsidRPr="007E517E">
        <w:rPr>
          <w:rFonts w:ascii="Arial Narrow" w:hAnsi="Arial Narrow" w:cs="Tahoma"/>
          <w:sz w:val="22"/>
        </w:rPr>
        <w:t xml:space="preserve">In terms of the geographical distribution of external trade of </w:t>
      </w:r>
      <w:r>
        <w:rPr>
          <w:rFonts w:ascii="Arial Narrow" w:hAnsi="Arial Narrow" w:cs="Tahoma"/>
          <w:sz w:val="22"/>
        </w:rPr>
        <w:t>Republika Srpska, in January 2016</w:t>
      </w:r>
      <w:r w:rsidRPr="007E517E">
        <w:rPr>
          <w:rFonts w:ascii="Arial Narrow" w:hAnsi="Arial Narrow" w:cs="Tahoma"/>
          <w:sz w:val="22"/>
        </w:rPr>
        <w:t xml:space="preserve">, the highest value of export was that of export to Italy, with </w:t>
      </w:r>
      <w:r>
        <w:rPr>
          <w:rFonts w:ascii="Arial Narrow" w:hAnsi="Arial Narrow" w:cs="Tahoma"/>
          <w:sz w:val="22"/>
        </w:rPr>
        <w:t>36 million KM or 19.4</w:t>
      </w:r>
      <w:r w:rsidRPr="007E517E">
        <w:rPr>
          <w:rFonts w:ascii="Arial Narrow" w:hAnsi="Arial Narrow" w:cs="Tahoma"/>
          <w:sz w:val="22"/>
        </w:rPr>
        <w:t xml:space="preserve">%, followed by </w:t>
      </w:r>
      <w:r>
        <w:rPr>
          <w:rFonts w:ascii="Arial Narrow" w:hAnsi="Arial Narrow" w:cs="Tahoma"/>
          <w:sz w:val="22"/>
        </w:rPr>
        <w:t>Germany</w:t>
      </w:r>
      <w:r w:rsidRPr="007E517E">
        <w:rPr>
          <w:rFonts w:ascii="Arial Narrow" w:hAnsi="Arial Narrow" w:cs="Tahoma"/>
          <w:sz w:val="22"/>
        </w:rPr>
        <w:t xml:space="preserve">, with </w:t>
      </w:r>
      <w:r>
        <w:rPr>
          <w:rFonts w:ascii="Arial Narrow" w:hAnsi="Arial Narrow" w:cs="Tahoma"/>
          <w:sz w:val="22"/>
        </w:rPr>
        <w:t>25 million KM or 13.8</w:t>
      </w:r>
      <w:r w:rsidRPr="007E517E">
        <w:rPr>
          <w:rFonts w:ascii="Arial Narrow" w:hAnsi="Arial Narrow" w:cs="Tahoma"/>
          <w:sz w:val="22"/>
        </w:rPr>
        <w:t xml:space="preserve">% of the total realised export. During the same </w:t>
      </w:r>
      <w:r>
        <w:rPr>
          <w:rFonts w:ascii="Arial Narrow" w:hAnsi="Arial Narrow" w:cs="Tahoma"/>
          <w:sz w:val="22"/>
        </w:rPr>
        <w:t>month</w:t>
      </w:r>
      <w:r w:rsidRPr="007E517E">
        <w:rPr>
          <w:rFonts w:ascii="Arial Narrow" w:hAnsi="Arial Narrow" w:cs="Tahoma"/>
          <w:sz w:val="22"/>
        </w:rPr>
        <w:t xml:space="preserve">, the highest value of import was that of import from Serbia, with </w:t>
      </w:r>
      <w:r>
        <w:rPr>
          <w:rFonts w:ascii="Arial Narrow" w:hAnsi="Arial Narrow" w:cs="Tahoma"/>
          <w:sz w:val="22"/>
        </w:rPr>
        <w:t>40</w:t>
      </w:r>
      <w:r w:rsidRPr="007E517E">
        <w:rPr>
          <w:rFonts w:ascii="Arial Narrow" w:hAnsi="Arial Narrow" w:cs="Tahoma"/>
          <w:sz w:val="22"/>
        </w:rPr>
        <w:t xml:space="preserve"> million KM or </w:t>
      </w:r>
      <w:r>
        <w:rPr>
          <w:rFonts w:ascii="Arial Narrow" w:hAnsi="Arial Narrow" w:cs="Tahoma"/>
          <w:sz w:val="22"/>
        </w:rPr>
        <w:t>17.1</w:t>
      </w:r>
      <w:r w:rsidRPr="007E517E">
        <w:rPr>
          <w:rFonts w:ascii="Arial Narrow" w:hAnsi="Arial Narrow" w:cs="Tahoma"/>
          <w:sz w:val="22"/>
        </w:rPr>
        <w:t xml:space="preserve">%, followed by </w:t>
      </w:r>
      <w:r>
        <w:rPr>
          <w:rFonts w:ascii="Arial Narrow" w:hAnsi="Arial Narrow" w:cs="Tahoma"/>
          <w:sz w:val="22"/>
        </w:rPr>
        <w:t>Italy</w:t>
      </w:r>
      <w:r w:rsidRPr="007E517E">
        <w:rPr>
          <w:rFonts w:ascii="Arial Narrow" w:hAnsi="Arial Narrow" w:cs="Tahoma"/>
          <w:sz w:val="22"/>
        </w:rPr>
        <w:t xml:space="preserve">, with </w:t>
      </w:r>
      <w:r>
        <w:rPr>
          <w:rFonts w:ascii="Arial Narrow" w:hAnsi="Arial Narrow" w:cs="Tahoma"/>
          <w:sz w:val="22"/>
        </w:rPr>
        <w:t>31</w:t>
      </w:r>
      <w:r w:rsidRPr="007E517E">
        <w:rPr>
          <w:rFonts w:ascii="Arial Narrow" w:hAnsi="Arial Narrow" w:cs="Tahoma"/>
          <w:sz w:val="22"/>
        </w:rPr>
        <w:t xml:space="preserve"> million </w:t>
      </w:r>
      <w:r>
        <w:rPr>
          <w:rFonts w:ascii="Arial Narrow" w:hAnsi="Arial Narrow" w:cs="Tahoma"/>
          <w:sz w:val="22"/>
        </w:rPr>
        <w:t>KM or 14.2</w:t>
      </w:r>
      <w:r w:rsidRPr="007E517E">
        <w:rPr>
          <w:rFonts w:ascii="Arial Narrow" w:hAnsi="Arial Narrow" w:cs="Tahoma"/>
          <w:sz w:val="22"/>
        </w:rPr>
        <w:t>% of the total realised import.</w:t>
      </w:r>
    </w:p>
    <w:p w:rsidR="00F442FA" w:rsidRPr="00D43F5A" w:rsidRDefault="00F442FA" w:rsidP="00F442FA">
      <w:pPr>
        <w:jc w:val="both"/>
        <w:rPr>
          <w:rFonts w:ascii="Arial Narrow" w:hAnsi="Arial Narrow" w:cs="Tahoma"/>
          <w:sz w:val="22"/>
          <w:lang w:val="ru-RU"/>
        </w:rPr>
      </w:pPr>
    </w:p>
    <w:p w:rsidR="00F442FA" w:rsidRPr="00D43F5A" w:rsidRDefault="008C34F5" w:rsidP="00F442FA">
      <w:pPr>
        <w:tabs>
          <w:tab w:val="left" w:pos="300"/>
          <w:tab w:val="left" w:pos="1100"/>
        </w:tabs>
        <w:jc w:val="both"/>
        <w:rPr>
          <w:rFonts w:ascii="Arial Narrow" w:hAnsi="Arial Narrow" w:cs="Tahoma"/>
          <w:sz w:val="22"/>
          <w:lang w:val="sr-Cyrl-CS"/>
        </w:rPr>
      </w:pPr>
      <w:r>
        <w:rPr>
          <w:rFonts w:ascii="Arial Narrow" w:hAnsi="Arial Narrow" w:cs="Tahoma"/>
          <w:sz w:val="22"/>
        </w:rPr>
        <w:t xml:space="preserve">By group of products, in January 2016, the highest share in export was that of artificial corundum, aluminium oxide and aluminium hydroxide with the total value of 12 million KM, which was 6.5% of the total export, </w:t>
      </w:r>
      <w:r w:rsidRPr="007E517E">
        <w:rPr>
          <w:rFonts w:ascii="Arial Narrow" w:hAnsi="Arial Narrow" w:cs="Tahoma"/>
          <w:sz w:val="22"/>
        </w:rPr>
        <w:t xml:space="preserve">while the highest share in import was that of petroleum and oils obtained from bituminous minerals (crude), with the total value of </w:t>
      </w:r>
      <w:r>
        <w:rPr>
          <w:rFonts w:ascii="Arial Narrow" w:hAnsi="Arial Narrow" w:cs="Tahoma"/>
          <w:sz w:val="22"/>
        </w:rPr>
        <w:t>13 million KM, which was 6.0</w:t>
      </w:r>
      <w:r w:rsidRPr="007E517E">
        <w:rPr>
          <w:rFonts w:ascii="Arial Narrow" w:hAnsi="Arial Narrow" w:cs="Tahoma"/>
          <w:sz w:val="22"/>
        </w:rPr>
        <w:t>% of the total import</w:t>
      </w:r>
    </w:p>
    <w:p w:rsidR="00115CDB" w:rsidRPr="00D43F5A" w:rsidRDefault="00115CDB" w:rsidP="00115CDB">
      <w:pPr>
        <w:tabs>
          <w:tab w:val="left" w:pos="300"/>
          <w:tab w:val="left" w:pos="1100"/>
        </w:tabs>
        <w:jc w:val="both"/>
        <w:rPr>
          <w:rFonts w:ascii="Tahoma" w:hAnsi="Tahoma" w:cs="Tahoma"/>
          <w:sz w:val="18"/>
          <w:szCs w:val="18"/>
          <w:lang w:val="sr-Cyrl-CS"/>
        </w:rPr>
      </w:pPr>
    </w:p>
    <w:p w:rsidR="00252DE1" w:rsidRPr="00D43F5A" w:rsidRDefault="00252DE1" w:rsidP="00451451">
      <w:pPr>
        <w:tabs>
          <w:tab w:val="left" w:pos="300"/>
          <w:tab w:val="left" w:pos="1100"/>
        </w:tabs>
        <w:jc w:val="center"/>
        <w:rPr>
          <w:rFonts w:ascii="Tahoma" w:hAnsi="Tahoma" w:cs="Tahoma"/>
          <w:sz w:val="16"/>
          <w:szCs w:val="16"/>
          <w:lang w:val="sr-Latn-BA"/>
        </w:rPr>
      </w:pPr>
    </w:p>
    <w:p w:rsidR="003206D9" w:rsidRPr="00D43F5A" w:rsidRDefault="003206D9" w:rsidP="00451451">
      <w:pPr>
        <w:tabs>
          <w:tab w:val="left" w:pos="300"/>
          <w:tab w:val="left" w:pos="1100"/>
        </w:tabs>
        <w:jc w:val="center"/>
        <w:rPr>
          <w:rFonts w:ascii="Tahoma" w:hAnsi="Tahoma" w:cs="Tahoma"/>
          <w:sz w:val="16"/>
          <w:szCs w:val="16"/>
          <w:lang w:val="sr-Latn-BA"/>
        </w:rPr>
      </w:pPr>
    </w:p>
    <w:p w:rsidR="003206D9" w:rsidRPr="00D43F5A" w:rsidRDefault="003206D9" w:rsidP="00451451">
      <w:pPr>
        <w:tabs>
          <w:tab w:val="left" w:pos="300"/>
          <w:tab w:val="left" w:pos="1100"/>
        </w:tabs>
        <w:jc w:val="center"/>
        <w:rPr>
          <w:rFonts w:ascii="Tahoma" w:hAnsi="Tahoma" w:cs="Tahoma"/>
          <w:sz w:val="16"/>
          <w:szCs w:val="16"/>
          <w:lang w:val="sr-Latn-BA"/>
        </w:rPr>
      </w:pPr>
    </w:p>
    <w:p w:rsidR="00252DE1" w:rsidRPr="00D43F5A" w:rsidRDefault="00252DE1" w:rsidP="00451451">
      <w:pPr>
        <w:tabs>
          <w:tab w:val="left" w:pos="300"/>
          <w:tab w:val="left" w:pos="1100"/>
        </w:tabs>
        <w:jc w:val="center"/>
        <w:rPr>
          <w:rFonts w:ascii="Tahoma" w:hAnsi="Tahoma" w:cs="Tahoma"/>
          <w:sz w:val="16"/>
          <w:szCs w:val="16"/>
          <w:lang w:val="sr-Latn-BA"/>
        </w:rPr>
      </w:pPr>
    </w:p>
    <w:p w:rsidR="00353834" w:rsidRPr="00D43F5A" w:rsidRDefault="00B81E0A" w:rsidP="00451451">
      <w:pPr>
        <w:tabs>
          <w:tab w:val="left" w:pos="300"/>
          <w:tab w:val="left" w:pos="1100"/>
        </w:tabs>
        <w:jc w:val="center"/>
        <w:rPr>
          <w:rFonts w:ascii="Tahoma" w:hAnsi="Tahoma" w:cs="Tahoma"/>
          <w:sz w:val="16"/>
          <w:szCs w:val="16"/>
          <w:lang w:val="sr-Latn-BA"/>
        </w:rPr>
      </w:pPr>
      <w:r>
        <w:rPr>
          <w:rFonts w:ascii="Tahoma" w:hAnsi="Tahoma" w:cs="Tahoma"/>
          <w:noProof/>
          <w:sz w:val="18"/>
          <w:szCs w:val="18"/>
          <w:lang w:eastAsia="zh-TW"/>
        </w:rPr>
        <w:pict>
          <v:shape id="_x0000_s1068" type="#_x0000_t202" style="position:absolute;left:0;text-align:left;margin-left:295.05pt;margin-top:7.35pt;width:64.2pt;height:19.75pt;z-index:251664384;mso-width-relative:margin;mso-height-relative:margin" stroked="f">
            <v:textbox style="mso-next-textbox:#_x0000_s1068">
              <w:txbxContent>
                <w:p w:rsidR="00374BDC" w:rsidRPr="000A1309" w:rsidRDefault="00016E63" w:rsidP="008809BE">
                  <w:pPr>
                    <w:jc w:val="right"/>
                    <w:rPr>
                      <w:rFonts w:ascii="Arial Narrow" w:hAnsi="Arial Narrow" w:cs="Tahoma"/>
                      <w:sz w:val="16"/>
                      <w:szCs w:val="16"/>
                      <w:lang w:val="bs-Cyrl-BA"/>
                    </w:rPr>
                  </w:pPr>
                  <w:r>
                    <w:rPr>
                      <w:rFonts w:ascii="Arial Narrow" w:hAnsi="Arial Narrow" w:cs="Tahoma"/>
                      <w:sz w:val="16"/>
                      <w:szCs w:val="16"/>
                    </w:rPr>
                    <w:t>thous</w:t>
                  </w:r>
                  <w:r w:rsidR="00374BDC" w:rsidRPr="000A1309">
                    <w:rPr>
                      <w:rFonts w:ascii="Arial Narrow" w:hAnsi="Arial Narrow" w:cs="Tahoma"/>
                      <w:sz w:val="16"/>
                      <w:szCs w:val="16"/>
                      <w:lang w:val="bs-Cyrl-BA"/>
                    </w:rPr>
                    <w:t>. КМ</w:t>
                  </w:r>
                </w:p>
              </w:txbxContent>
            </v:textbox>
          </v:shape>
        </w:pict>
      </w:r>
    </w:p>
    <w:p w:rsidR="00353834" w:rsidRPr="00D43F5A" w:rsidRDefault="00353834" w:rsidP="00451451">
      <w:pPr>
        <w:tabs>
          <w:tab w:val="left" w:pos="300"/>
          <w:tab w:val="left" w:pos="1100"/>
        </w:tabs>
        <w:jc w:val="center"/>
        <w:rPr>
          <w:rFonts w:ascii="Tahoma" w:hAnsi="Tahoma" w:cs="Tahoma"/>
          <w:sz w:val="16"/>
          <w:szCs w:val="16"/>
          <w:lang w:val="sr-Latn-BA"/>
        </w:rPr>
      </w:pPr>
    </w:p>
    <w:p w:rsidR="00BA70D8" w:rsidRPr="00D43F5A" w:rsidRDefault="00B81E0A" w:rsidP="00451451">
      <w:pPr>
        <w:tabs>
          <w:tab w:val="left" w:pos="300"/>
          <w:tab w:val="left" w:pos="1100"/>
        </w:tabs>
        <w:jc w:val="center"/>
        <w:rPr>
          <w:rFonts w:ascii="Tahoma" w:hAnsi="Tahoma" w:cs="Tahoma"/>
          <w:sz w:val="16"/>
          <w:szCs w:val="16"/>
          <w:lang w:val="sr-Cyrl-BA"/>
        </w:rPr>
      </w:pPr>
      <w:r>
        <w:rPr>
          <w:rFonts w:ascii="Tahoma" w:hAnsi="Tahoma" w:cs="Tahoma"/>
          <w:iCs/>
          <w:noProof/>
          <w:color w:val="FF0000"/>
          <w:sz w:val="18"/>
          <w:szCs w:val="18"/>
        </w:rPr>
        <w:pict>
          <v:shape id="_x0000_s1074" type="#_x0000_t202" style="position:absolute;left:0;text-align:left;margin-left:386.4pt;margin-top:87pt;width:42.15pt;height:21.25pt;z-index:25166950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" fillcolor="window" stroked="f">
            <v:textbox>
              <w:txbxContent>
                <w:p w:rsidR="00C53C5B" w:rsidRDefault="00C53C5B" w:rsidP="00C53C5B">
                  <w:pPr>
                    <w:pStyle w:val="NormalWeb"/>
                    <w:spacing w:before="0" w:beforeAutospacing="0" w:after="0" w:afterAutospacing="0"/>
                  </w:pPr>
                  <w:r>
                    <w:rPr>
                      <w:rFonts w:ascii="Arial Narrow" w:hAnsi="Arial Narrow" w:cstheme="minorBidi"/>
                      <w:sz w:val="16"/>
                      <w:szCs w:val="16"/>
                    </w:rPr>
                    <w:t>export</w:t>
                  </w:r>
                </w:p>
              </w:txbxContent>
            </v:textbox>
          </v:shape>
        </w:pict>
      </w:r>
      <w:r>
        <w:rPr>
          <w:rFonts w:ascii="Tahoma" w:hAnsi="Tahoma" w:cs="Tahoma"/>
          <w:iCs/>
          <w:noProof/>
          <w:color w:val="FF0000"/>
          <w:sz w:val="18"/>
          <w:szCs w:val="18"/>
        </w:rPr>
        <w:pict>
          <v:shape id="TextBox 1" o:spid="_x0000_s1073" type="#_x0000_t202" style="position:absolute;left:0;text-align:left;margin-left:387.15pt;margin-top:70pt;width:36.05pt;height:16.25pt;z-index:2516684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" fillcolor="window" stroked="f">
            <v:path arrowok="t"/>
            <v:textbox style="mso-next-textbox:#TextBox 1">
              <w:txbxContent>
                <w:p w:rsidR="00C53C5B" w:rsidRDefault="00C53C5B" w:rsidP="00C53C5B">
                  <w:pPr>
                    <w:pStyle w:val="NormalWeb"/>
                    <w:spacing w:before="0" w:beforeAutospacing="0" w:after="0" w:afterAutospacing="0"/>
                  </w:pPr>
                  <w:r>
                    <w:rPr>
                      <w:rFonts w:ascii="Arial Narrow" w:hAnsi="Arial Narrow" w:cstheme="minorBidi"/>
                      <w:sz w:val="16"/>
                      <w:szCs w:val="16"/>
                    </w:rPr>
                    <w:t>import</w:t>
                  </w:r>
                </w:p>
              </w:txbxContent>
            </v:textbox>
          </v:shape>
        </w:pict>
      </w:r>
      <w:r w:rsidR="00544ABB" w:rsidRPr="00D43F5A">
        <w:rPr>
          <w:noProof/>
        </w:rPr>
        <w:drawing>
          <wp:inline distT="0" distB="0" distL="0" distR="0" wp14:anchorId="2CC8CFFA" wp14:editId="0ADF32D2">
            <wp:extent cx="4122420" cy="25222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6814" w:rsidRPr="00D43F5A" w:rsidRDefault="00B81E0A" w:rsidP="00451451">
      <w:pPr>
        <w:tabs>
          <w:tab w:val="left" w:pos="300"/>
          <w:tab w:val="left" w:pos="1100"/>
        </w:tabs>
        <w:jc w:val="center"/>
        <w:rPr>
          <w:rFonts w:ascii="Tahoma" w:hAnsi="Tahoma" w:cs="Tahoma"/>
          <w:sz w:val="16"/>
          <w:szCs w:val="16"/>
          <w:lang w:val="sr-Cyrl-BA"/>
        </w:rPr>
      </w:pPr>
      <w:r>
        <w:rPr>
          <w:rFonts w:ascii="Tahoma" w:hAnsi="Tahoma" w:cs="Tahoma"/>
          <w:b/>
          <w:noProof/>
          <w:sz w:val="16"/>
          <w:szCs w:val="16"/>
          <w:lang w:eastAsia="zh-TW"/>
        </w:rPr>
        <w:pict>
          <v:shape id="_x0000_s1066" type="#_x0000_t202" style="position:absolute;left:0;text-align:left;margin-left:186.8pt;margin-top:5.45pt;width:37.85pt;height:16.4pt;z-index:251662336;mso-height-percent:200;mso-position-horizontal-relative:text;mso-position-vertical-relative:text;mso-height-percent:200;mso-width-relative:margin;mso-height-relative:margin" stroked="f">
            <v:textbox style="mso-next-textbox:#_x0000_s1066;mso-fit-shape-to-text:t">
              <w:txbxContent>
                <w:p w:rsidR="00374BDC" w:rsidRPr="000A1309" w:rsidRDefault="00374BDC" w:rsidP="00115CDB">
                  <w:pPr>
                    <w:rPr>
                      <w:rFonts w:ascii="Arial Narrow" w:hAnsi="Arial Narrow" w:cs="Tahoma"/>
                      <w:sz w:val="16"/>
                      <w:szCs w:val="16"/>
                      <w:lang w:val="sr-Cyrl-BA"/>
                    </w:rPr>
                  </w:pPr>
                  <w:r w:rsidRPr="000A1309">
                    <w:rPr>
                      <w:rFonts w:ascii="Arial Narrow" w:hAnsi="Arial Narrow" w:cs="Tahoma"/>
                      <w:sz w:val="16"/>
                      <w:szCs w:val="16"/>
                    </w:rPr>
                    <w:t>201</w:t>
                  </w:r>
                  <w:r w:rsidR="00544ABB">
                    <w:rPr>
                      <w:rFonts w:ascii="Arial Narrow" w:hAnsi="Arial Narrow" w:cs="Tahoma"/>
                      <w:sz w:val="16"/>
                      <w:szCs w:val="16"/>
                      <w:lang w:val="sr-Cyrl-BA"/>
                    </w:rPr>
                    <w:t>5</w:t>
                  </w:r>
                </w:p>
              </w:txbxContent>
            </v:textbox>
          </v:shape>
        </w:pict>
      </w:r>
      <w:r>
        <w:rPr>
          <w:rFonts w:ascii="Tahoma" w:hAnsi="Tahoma" w:cs="Tahoma"/>
          <w:b/>
          <w:noProof/>
          <w:sz w:val="16"/>
          <w:szCs w:val="16"/>
          <w:lang w:val="bs-Latn-BA" w:eastAsia="bs-Latn-BA"/>
        </w:rPr>
        <w:pict>
          <v:shape id="_x0000_s1067" type="#_x0000_t202" style="position:absolute;left:0;text-align:left;margin-left:322.7pt;margin-top:3.7pt;width:44.2pt;height:16.4pt;z-index:251663360;mso-height-percent:200;mso-position-horizontal-relative:text;mso-position-vertical-relative:text;mso-height-percent:200;mso-width-relative:margin;mso-height-relative:margin" stroked="f">
            <v:textbox style="mso-next-textbox:#_x0000_s1067;mso-fit-shape-to-text:t">
              <w:txbxContent>
                <w:p w:rsidR="00374BDC" w:rsidRPr="000A1309" w:rsidRDefault="00374BDC"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00544ABB">
                    <w:rPr>
                      <w:rFonts w:ascii="Arial Narrow" w:hAnsi="Arial Narrow" w:cs="Tahoma"/>
                      <w:sz w:val="16"/>
                      <w:szCs w:val="16"/>
                      <w:lang w:val="sr-Cyrl-BA"/>
                    </w:rPr>
                    <w:t>6</w:t>
                  </w:r>
                </w:p>
              </w:txbxContent>
            </v:textbox>
          </v:shape>
        </w:pict>
      </w:r>
    </w:p>
    <w:p w:rsidR="004E6814" w:rsidRPr="00D43F5A" w:rsidRDefault="004E6814" w:rsidP="00451451">
      <w:pPr>
        <w:tabs>
          <w:tab w:val="left" w:pos="300"/>
          <w:tab w:val="left" w:pos="1100"/>
        </w:tabs>
        <w:jc w:val="center"/>
        <w:rPr>
          <w:rFonts w:ascii="Tahoma" w:hAnsi="Tahoma" w:cs="Tahoma"/>
          <w:sz w:val="16"/>
          <w:szCs w:val="16"/>
          <w:lang w:val="sr-Cyrl-BA"/>
        </w:rPr>
      </w:pPr>
    </w:p>
    <w:p w:rsidR="008902BA" w:rsidRPr="00D43F5A" w:rsidRDefault="008902BA" w:rsidP="00777348">
      <w:pPr>
        <w:tabs>
          <w:tab w:val="left" w:pos="2535"/>
        </w:tabs>
        <w:jc w:val="center"/>
        <w:rPr>
          <w:rFonts w:ascii="Arial Narrow" w:hAnsi="Arial Narrow" w:cs="Tahoma"/>
          <w:sz w:val="16"/>
          <w:szCs w:val="22"/>
          <w:lang w:val="ru-RU"/>
        </w:rPr>
      </w:pPr>
    </w:p>
    <w:p w:rsidR="00960CD8" w:rsidRDefault="00960CD8" w:rsidP="00777348">
      <w:pPr>
        <w:tabs>
          <w:tab w:val="left" w:pos="2535"/>
        </w:tabs>
        <w:jc w:val="center"/>
        <w:rPr>
          <w:rFonts w:ascii="Arial Narrow" w:hAnsi="Arial Narrow" w:cs="Tahoma"/>
          <w:sz w:val="16"/>
          <w:szCs w:val="22"/>
          <w:lang w:val="ru-RU"/>
        </w:rPr>
      </w:pPr>
    </w:p>
    <w:p w:rsidR="00960CD8" w:rsidRDefault="00960CD8" w:rsidP="00777348">
      <w:pPr>
        <w:tabs>
          <w:tab w:val="left" w:pos="2535"/>
        </w:tabs>
        <w:jc w:val="center"/>
        <w:rPr>
          <w:rFonts w:ascii="Arial Narrow" w:hAnsi="Arial Narrow" w:cs="Tahoma"/>
          <w:sz w:val="16"/>
          <w:szCs w:val="22"/>
          <w:lang w:val="ru-RU"/>
        </w:rPr>
      </w:pPr>
    </w:p>
    <w:p w:rsidR="00016E63" w:rsidRPr="00016E63" w:rsidRDefault="00016E63" w:rsidP="00016E63">
      <w:pPr>
        <w:tabs>
          <w:tab w:val="left" w:pos="2535"/>
        </w:tabs>
        <w:jc w:val="center"/>
        <w:rPr>
          <w:rFonts w:ascii="Arial Narrow" w:hAnsi="Arial Narrow" w:cs="Tahoma"/>
          <w:iCs/>
          <w:sz w:val="16"/>
          <w:szCs w:val="22"/>
        </w:rPr>
      </w:pPr>
      <w:r w:rsidRPr="00016E63">
        <w:rPr>
          <w:rFonts w:ascii="Arial Narrow" w:hAnsi="Arial Narrow" w:cs="Tahoma"/>
          <w:sz w:val="16"/>
          <w:szCs w:val="22"/>
        </w:rPr>
        <w:t xml:space="preserve">Graph 3. </w:t>
      </w:r>
      <w:r w:rsidRPr="00016E63">
        <w:rPr>
          <w:rFonts w:ascii="Arial Narrow" w:hAnsi="Arial Narrow" w:cs="Tahoma"/>
          <w:iCs/>
          <w:sz w:val="16"/>
          <w:szCs w:val="22"/>
        </w:rPr>
        <w:t>Export and import by month</w:t>
      </w:r>
    </w:p>
    <w:p w:rsidR="002E1D1D" w:rsidRPr="00D43F5A" w:rsidRDefault="002E1D1D" w:rsidP="00777348">
      <w:pPr>
        <w:tabs>
          <w:tab w:val="left" w:pos="2535"/>
        </w:tabs>
        <w:jc w:val="center"/>
        <w:rPr>
          <w:rFonts w:ascii="Arial Narrow" w:hAnsi="Arial Narrow" w:cs="Tahoma"/>
          <w:iCs/>
          <w:sz w:val="16"/>
          <w:szCs w:val="22"/>
          <w:lang w:val="ru-RU"/>
        </w:rPr>
      </w:pPr>
    </w:p>
    <w:p w:rsidR="00115CDB" w:rsidRPr="00D43F5A" w:rsidRDefault="00115CDB" w:rsidP="00115CDB">
      <w:pPr>
        <w:tabs>
          <w:tab w:val="left" w:pos="2535"/>
        </w:tabs>
        <w:jc w:val="center"/>
        <w:rPr>
          <w:rFonts w:ascii="Tahoma" w:hAnsi="Tahoma" w:cs="Tahoma"/>
          <w:iCs/>
          <w:sz w:val="18"/>
          <w:szCs w:val="18"/>
          <w:lang w:val="ru-RU"/>
        </w:rPr>
      </w:pPr>
    </w:p>
    <w:p w:rsidR="00D43F5A" w:rsidRPr="00D43F5A" w:rsidRDefault="00D43F5A" w:rsidP="00115CDB">
      <w:pPr>
        <w:tabs>
          <w:tab w:val="left" w:pos="2535"/>
        </w:tabs>
        <w:jc w:val="center"/>
        <w:rPr>
          <w:rFonts w:ascii="Tahoma" w:hAnsi="Tahoma" w:cs="Tahoma"/>
          <w:iCs/>
          <w:sz w:val="18"/>
          <w:szCs w:val="18"/>
          <w:lang w:val="ru-RU"/>
        </w:rPr>
      </w:pPr>
    </w:p>
    <w:p w:rsidR="00D43F5A" w:rsidRPr="00D43F5A" w:rsidRDefault="00D43F5A" w:rsidP="00115CDB">
      <w:pPr>
        <w:tabs>
          <w:tab w:val="left" w:pos="2535"/>
        </w:tabs>
        <w:jc w:val="center"/>
        <w:rPr>
          <w:rFonts w:ascii="Tahoma" w:hAnsi="Tahoma" w:cs="Tahoma"/>
          <w:iCs/>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D43F5A" w:rsidRDefault="00D43F5A" w:rsidP="00115CDB">
      <w:pPr>
        <w:tabs>
          <w:tab w:val="left" w:pos="2535"/>
        </w:tabs>
        <w:jc w:val="center"/>
        <w:rPr>
          <w:rFonts w:ascii="Tahoma" w:hAnsi="Tahoma" w:cs="Tahoma"/>
          <w:iCs/>
          <w:color w:val="FF0000"/>
          <w:sz w:val="18"/>
          <w:szCs w:val="18"/>
          <w:lang w:val="ru-RU"/>
        </w:rPr>
      </w:pPr>
    </w:p>
    <w:p w:rsidR="00115CDB" w:rsidRPr="004C3AAF" w:rsidRDefault="00115CDB" w:rsidP="00115CDB">
      <w:pPr>
        <w:tabs>
          <w:tab w:val="left" w:pos="2535"/>
        </w:tabs>
        <w:jc w:val="center"/>
        <w:rPr>
          <w:rFonts w:ascii="Tahoma" w:hAnsi="Tahoma" w:cs="Tahoma"/>
          <w:b/>
          <w:spacing w:val="-16"/>
          <w:sz w:val="18"/>
          <w:szCs w:val="18"/>
          <w:lang w:val="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C20B5" w:rsidRPr="00252DE1" w:rsidTr="00960CD8">
        <w:trPr>
          <w:trHeight w:hRule="exact" w:val="340"/>
          <w:jc w:val="center"/>
        </w:trPr>
        <w:tc>
          <w:tcPr>
            <w:tcW w:w="10490" w:type="dxa"/>
            <w:tcBorders>
              <w:top w:val="nil"/>
              <w:left w:val="nil"/>
              <w:bottom w:val="nil"/>
              <w:right w:val="nil"/>
            </w:tcBorders>
          </w:tcPr>
          <w:p w:rsidR="009E2A9A" w:rsidRPr="00252DE1" w:rsidRDefault="00B84D4D" w:rsidP="009E2A9A">
            <w:pPr>
              <w:jc w:val="both"/>
              <w:rPr>
                <w:rFonts w:ascii="Arial Narrow" w:hAnsi="Arial Narrow" w:cs="Tahoma"/>
                <w:b/>
                <w:sz w:val="22"/>
                <w:lang w:val="sr-Cyrl-CS"/>
              </w:rPr>
            </w:pPr>
            <w:r>
              <w:rPr>
                <w:rFonts w:ascii="Arial Narrow" w:hAnsi="Arial Narrow" w:cs="Tahoma"/>
                <w:b/>
                <w:sz w:val="22"/>
              </w:rPr>
              <w:t>DATA PREPARED BY</w:t>
            </w:r>
            <w:r w:rsidR="009E2A9A" w:rsidRPr="00252DE1">
              <w:rPr>
                <w:rFonts w:ascii="Arial Narrow" w:hAnsi="Arial Narrow" w:cs="Tahoma"/>
                <w:b/>
                <w:sz w:val="22"/>
                <w:lang w:val="sr-Cyrl-CS"/>
              </w:rPr>
              <w:t xml:space="preserve">: </w:t>
            </w:r>
          </w:p>
          <w:p w:rsidR="009E2A9A" w:rsidRPr="00252DE1" w:rsidRDefault="009E2A9A" w:rsidP="009E2A9A">
            <w:pPr>
              <w:jc w:val="both"/>
              <w:rPr>
                <w:rFonts w:ascii="Tahoma" w:hAnsi="Tahoma" w:cs="Tahoma"/>
                <w:b/>
                <w:lang w:val="sr-Cyrl-CS"/>
              </w:rPr>
            </w:pPr>
          </w:p>
          <w:p w:rsidR="009E2A9A" w:rsidRPr="00252DE1" w:rsidRDefault="009E2A9A" w:rsidP="009E2A9A">
            <w:pPr>
              <w:jc w:val="both"/>
              <w:rPr>
                <w:rFonts w:ascii="Tahoma" w:hAnsi="Tahoma" w:cs="Tahoma"/>
                <w:b/>
                <w:lang w:val="sr-Cyrl-CS"/>
              </w:rPr>
            </w:pPr>
          </w:p>
          <w:p w:rsidR="009E2A9A" w:rsidRPr="00252DE1" w:rsidRDefault="009E2A9A" w:rsidP="009E2A9A">
            <w:pPr>
              <w:jc w:val="both"/>
              <w:rPr>
                <w:rFonts w:ascii="Tahoma" w:hAnsi="Tahoma" w:cs="Tahoma"/>
                <w:b/>
                <w:lang w:val="sr-Cyrl-CS"/>
              </w:rPr>
            </w:pPr>
          </w:p>
          <w:p w:rsidR="009E2A9A" w:rsidRPr="00252DE1" w:rsidRDefault="009E2A9A" w:rsidP="009E2A9A">
            <w:pPr>
              <w:jc w:val="both"/>
              <w:rPr>
                <w:rFonts w:ascii="Tahoma" w:hAnsi="Tahoma" w:cs="Tahoma"/>
                <w:b/>
                <w:lang w:val="sr-Cyrl-CS"/>
              </w:rPr>
            </w:pPr>
          </w:p>
          <w:p w:rsidR="009E2A9A" w:rsidRPr="00252DE1" w:rsidRDefault="009E2A9A" w:rsidP="009E2A9A">
            <w:pPr>
              <w:jc w:val="both"/>
              <w:rPr>
                <w:rFonts w:ascii="Tahoma" w:hAnsi="Tahoma" w:cs="Tahoma"/>
                <w:b/>
                <w:lang w:val="sr-Cyrl-CS"/>
              </w:rPr>
            </w:pPr>
          </w:p>
        </w:tc>
      </w:tr>
      <w:tr w:rsidR="0066022A" w:rsidRPr="00252DE1" w:rsidTr="00960CD8">
        <w:trPr>
          <w:trHeight w:val="709"/>
          <w:jc w:val="center"/>
        </w:trPr>
        <w:tc>
          <w:tcPr>
            <w:tcW w:w="10490" w:type="dxa"/>
            <w:tcBorders>
              <w:top w:val="nil"/>
              <w:left w:val="nil"/>
              <w:bottom w:val="nil"/>
              <w:right w:val="nil"/>
            </w:tcBorders>
          </w:tcPr>
          <w:p w:rsidR="00B84D4D" w:rsidRPr="00B84D4D" w:rsidRDefault="00B84D4D" w:rsidP="00B84D4D">
            <w:pPr>
              <w:jc w:val="both"/>
              <w:rPr>
                <w:rFonts w:ascii="Arial Narrow" w:hAnsi="Arial Narrow" w:cs="Tahoma"/>
                <w:b/>
                <w:sz w:val="18"/>
                <w:szCs w:val="18"/>
              </w:rPr>
            </w:pPr>
            <w:r w:rsidRPr="00B84D4D">
              <w:rPr>
                <w:rFonts w:ascii="Arial Narrow" w:hAnsi="Arial Narrow" w:cs="Tahoma"/>
                <w:b/>
                <w:sz w:val="18"/>
                <w:szCs w:val="18"/>
              </w:rPr>
              <w:t>Labour statistics</w:t>
            </w:r>
          </w:p>
          <w:p w:rsidR="00B84D4D" w:rsidRPr="00B84D4D" w:rsidRDefault="00B84D4D" w:rsidP="00B84D4D">
            <w:pPr>
              <w:jc w:val="both"/>
              <w:rPr>
                <w:rFonts w:ascii="Arial Narrow" w:hAnsi="Arial Narrow" w:cs="Tahoma"/>
                <w:sz w:val="18"/>
                <w:szCs w:val="18"/>
              </w:rPr>
            </w:pPr>
            <w:r w:rsidRPr="00B84D4D">
              <w:rPr>
                <w:rFonts w:ascii="Arial Narrow" w:hAnsi="Arial Narrow" w:cs="Tahoma"/>
                <w:sz w:val="18"/>
                <w:szCs w:val="18"/>
              </w:rPr>
              <w:t xml:space="preserve">Biljana Glušac </w:t>
            </w:r>
          </w:p>
          <w:p w:rsidR="0066022A" w:rsidRPr="00252DE1" w:rsidRDefault="00B81E0A" w:rsidP="00A44E14">
            <w:pPr>
              <w:jc w:val="both"/>
              <w:rPr>
                <w:rFonts w:ascii="Arial Narrow" w:hAnsi="Arial Narrow" w:cs="Tahoma"/>
                <w:b/>
                <w:sz w:val="18"/>
                <w:szCs w:val="18"/>
              </w:rPr>
            </w:pPr>
            <w:hyperlink r:id="rId13" w:history="1">
              <w:r w:rsidR="0066022A" w:rsidRPr="00252DE1">
                <w:rPr>
                  <w:rStyle w:val="Hyperlink"/>
                  <w:rFonts w:ascii="Arial Narrow" w:hAnsi="Arial Narrow" w:cs="Tahoma"/>
                  <w:color w:val="auto"/>
                  <w:sz w:val="18"/>
                  <w:szCs w:val="18"/>
                  <w:lang w:val="sr-Latn-CS"/>
                </w:rPr>
                <w:t>biljana.glusac@rzs.rs.ba</w:t>
              </w:r>
            </w:hyperlink>
            <w:r w:rsidR="0066022A" w:rsidRPr="00252DE1">
              <w:rPr>
                <w:rFonts w:ascii="Arial Narrow" w:hAnsi="Arial Narrow" w:cs="Tahoma"/>
                <w:b/>
                <w:sz w:val="18"/>
                <w:szCs w:val="18"/>
              </w:rPr>
              <w:t xml:space="preserve"> </w:t>
            </w:r>
          </w:p>
          <w:p w:rsidR="00E31BF3" w:rsidRPr="00252DE1" w:rsidRDefault="00E31BF3" w:rsidP="007B3C79">
            <w:pPr>
              <w:jc w:val="both"/>
              <w:rPr>
                <w:rFonts w:ascii="Arial Narrow" w:hAnsi="Arial Narrow" w:cs="Tahoma"/>
                <w:sz w:val="18"/>
                <w:szCs w:val="18"/>
                <w:lang w:val="sr-Cyrl-CS"/>
              </w:rPr>
            </w:pPr>
          </w:p>
        </w:tc>
      </w:tr>
      <w:tr w:rsidR="0066022A" w:rsidRPr="00252DE1" w:rsidTr="00960CD8">
        <w:trPr>
          <w:trHeight w:val="720"/>
          <w:jc w:val="center"/>
        </w:trPr>
        <w:tc>
          <w:tcPr>
            <w:tcW w:w="10490" w:type="dxa"/>
            <w:tcBorders>
              <w:top w:val="nil"/>
              <w:left w:val="nil"/>
              <w:bottom w:val="nil"/>
              <w:right w:val="nil"/>
            </w:tcBorders>
          </w:tcPr>
          <w:p w:rsidR="00B84D4D" w:rsidRPr="00B84D4D" w:rsidRDefault="00B84D4D" w:rsidP="00B84D4D">
            <w:pPr>
              <w:jc w:val="both"/>
              <w:rPr>
                <w:rFonts w:ascii="Arial Narrow" w:hAnsi="Arial Narrow" w:cs="Tahoma"/>
                <w:b/>
                <w:sz w:val="18"/>
                <w:szCs w:val="18"/>
              </w:rPr>
            </w:pPr>
            <w:r w:rsidRPr="00B84D4D">
              <w:rPr>
                <w:rFonts w:ascii="Arial Narrow" w:hAnsi="Arial Narrow" w:cs="Tahoma"/>
                <w:b/>
                <w:sz w:val="18"/>
                <w:szCs w:val="18"/>
              </w:rPr>
              <w:t>Prices statistics</w:t>
            </w:r>
          </w:p>
          <w:p w:rsidR="00B84D4D" w:rsidRPr="00B84D4D" w:rsidRDefault="00B84D4D" w:rsidP="00B84D4D">
            <w:pPr>
              <w:jc w:val="both"/>
              <w:rPr>
                <w:rFonts w:ascii="Arial Narrow" w:hAnsi="Arial Narrow" w:cs="Tahoma"/>
                <w:sz w:val="18"/>
                <w:szCs w:val="18"/>
              </w:rPr>
            </w:pPr>
            <w:r w:rsidRPr="00B84D4D">
              <w:rPr>
                <w:rFonts w:ascii="Arial Narrow" w:hAnsi="Arial Narrow" w:cs="Tahoma"/>
                <w:sz w:val="18"/>
                <w:szCs w:val="18"/>
              </w:rPr>
              <w:t xml:space="preserve">Biljana Tešić </w:t>
            </w:r>
          </w:p>
          <w:p w:rsidR="0066022A" w:rsidRPr="00252DE1" w:rsidRDefault="00B81E0A" w:rsidP="00B84D4D">
            <w:pPr>
              <w:jc w:val="both"/>
              <w:rPr>
                <w:rFonts w:ascii="Arial Narrow" w:hAnsi="Arial Narrow" w:cs="Tahoma"/>
                <w:sz w:val="18"/>
                <w:szCs w:val="18"/>
                <w:lang w:val="sr-Cyrl-CS"/>
              </w:rPr>
            </w:pPr>
            <w:hyperlink r:id="rId14" w:history="1">
              <w:r w:rsidR="0066022A" w:rsidRPr="00252DE1">
                <w:rPr>
                  <w:rStyle w:val="Hyperlink"/>
                  <w:rFonts w:ascii="Arial Narrow" w:hAnsi="Arial Narrow" w:cs="Tahoma"/>
                  <w:color w:val="auto"/>
                  <w:sz w:val="18"/>
                  <w:szCs w:val="18"/>
                  <w:lang w:val="sr-Latn-CS"/>
                </w:rPr>
                <w:t>Biljana.tesic@rzs.rs.ba</w:t>
              </w:r>
            </w:hyperlink>
          </w:p>
        </w:tc>
      </w:tr>
      <w:tr w:rsidR="0066022A" w:rsidRPr="00252DE1" w:rsidTr="00960CD8">
        <w:trPr>
          <w:trHeight w:hRule="exact" w:val="680"/>
          <w:jc w:val="center"/>
        </w:trPr>
        <w:tc>
          <w:tcPr>
            <w:tcW w:w="10490" w:type="dxa"/>
            <w:tcBorders>
              <w:top w:val="nil"/>
              <w:left w:val="nil"/>
              <w:bottom w:val="nil"/>
              <w:right w:val="nil"/>
            </w:tcBorders>
          </w:tcPr>
          <w:p w:rsidR="00B84D4D" w:rsidRPr="00B84D4D" w:rsidRDefault="00B84D4D" w:rsidP="00B84D4D">
            <w:pPr>
              <w:jc w:val="both"/>
              <w:rPr>
                <w:rFonts w:ascii="Arial Narrow" w:hAnsi="Arial Narrow" w:cs="Tahoma"/>
                <w:b/>
                <w:sz w:val="18"/>
                <w:szCs w:val="18"/>
              </w:rPr>
            </w:pPr>
            <w:r w:rsidRPr="00B84D4D">
              <w:rPr>
                <w:rFonts w:ascii="Arial Narrow" w:hAnsi="Arial Narrow" w:cs="Tahoma"/>
                <w:b/>
                <w:sz w:val="18"/>
                <w:szCs w:val="18"/>
              </w:rPr>
              <w:t>External trade statistics</w:t>
            </w:r>
          </w:p>
          <w:p w:rsidR="00B84D4D" w:rsidRPr="00B84D4D" w:rsidRDefault="00B84D4D" w:rsidP="00B84D4D">
            <w:pPr>
              <w:jc w:val="both"/>
              <w:rPr>
                <w:rFonts w:ascii="Arial Narrow" w:hAnsi="Arial Narrow" w:cs="Tahoma"/>
                <w:sz w:val="18"/>
                <w:szCs w:val="18"/>
              </w:rPr>
            </w:pPr>
            <w:r w:rsidRPr="00B84D4D">
              <w:rPr>
                <w:rFonts w:ascii="Arial Narrow" w:hAnsi="Arial Narrow" w:cs="Tahoma"/>
                <w:sz w:val="18"/>
                <w:szCs w:val="18"/>
                <w:lang w:val="sr-Latn-BA"/>
              </w:rPr>
              <w:t>Sanja Stojčević Uvalić, MSc</w:t>
            </w:r>
          </w:p>
          <w:p w:rsidR="0066022A" w:rsidRPr="00252DE1" w:rsidRDefault="00B81E0A" w:rsidP="009E2A9A">
            <w:pPr>
              <w:jc w:val="both"/>
              <w:rPr>
                <w:rFonts w:ascii="Arial Narrow" w:hAnsi="Arial Narrow"/>
                <w:sz w:val="18"/>
                <w:szCs w:val="18"/>
                <w:lang w:val="sr-Cyrl-CS"/>
              </w:rPr>
            </w:pPr>
            <w:hyperlink r:id="rId15" w:history="1">
              <w:r w:rsidR="0066022A" w:rsidRPr="00252DE1">
                <w:rPr>
                  <w:rStyle w:val="Hyperlink"/>
                  <w:rFonts w:ascii="Arial Narrow" w:hAnsi="Arial Narrow" w:cs="Tahoma"/>
                  <w:color w:val="auto"/>
                  <w:sz w:val="18"/>
                  <w:szCs w:val="18"/>
                </w:rPr>
                <w:t>sanja</w:t>
              </w:r>
              <w:r w:rsidR="0066022A" w:rsidRPr="00252DE1">
                <w:rPr>
                  <w:rStyle w:val="Hyperlink"/>
                  <w:rFonts w:ascii="Arial Narrow" w:hAnsi="Arial Narrow" w:cs="Tahoma"/>
                  <w:color w:val="auto"/>
                  <w:sz w:val="18"/>
                  <w:szCs w:val="18"/>
                  <w:lang w:val="sr-Cyrl-CS"/>
                </w:rPr>
                <w:t>.</w:t>
              </w:r>
              <w:r w:rsidR="0066022A" w:rsidRPr="00252DE1">
                <w:rPr>
                  <w:rStyle w:val="Hyperlink"/>
                  <w:rFonts w:ascii="Arial Narrow" w:hAnsi="Arial Narrow" w:cs="Tahoma"/>
                  <w:color w:val="auto"/>
                  <w:sz w:val="18"/>
                  <w:szCs w:val="18"/>
                </w:rPr>
                <w:t>stojcevic</w:t>
              </w:r>
              <w:r w:rsidR="0066022A" w:rsidRPr="00252DE1">
                <w:rPr>
                  <w:rStyle w:val="Hyperlink"/>
                  <w:rFonts w:ascii="Arial Narrow" w:hAnsi="Arial Narrow" w:cs="Tahoma"/>
                  <w:color w:val="auto"/>
                  <w:sz w:val="18"/>
                  <w:szCs w:val="18"/>
                  <w:lang w:val="sr-Cyrl-CS"/>
                </w:rPr>
                <w:t>@</w:t>
              </w:r>
              <w:r w:rsidR="0066022A" w:rsidRPr="00252DE1">
                <w:rPr>
                  <w:rStyle w:val="Hyperlink"/>
                  <w:rFonts w:ascii="Arial Narrow" w:hAnsi="Arial Narrow" w:cs="Tahoma"/>
                  <w:color w:val="auto"/>
                  <w:sz w:val="18"/>
                  <w:szCs w:val="18"/>
                </w:rPr>
                <w:t>rzs</w:t>
              </w:r>
              <w:r w:rsidR="0066022A" w:rsidRPr="00252DE1">
                <w:rPr>
                  <w:rStyle w:val="Hyperlink"/>
                  <w:rFonts w:ascii="Arial Narrow" w:hAnsi="Arial Narrow" w:cs="Tahoma"/>
                  <w:color w:val="auto"/>
                  <w:sz w:val="18"/>
                  <w:szCs w:val="18"/>
                  <w:lang w:val="sr-Cyrl-CS"/>
                </w:rPr>
                <w:t>.</w:t>
              </w:r>
              <w:r w:rsidR="0066022A" w:rsidRPr="00252DE1">
                <w:rPr>
                  <w:rStyle w:val="Hyperlink"/>
                  <w:rFonts w:ascii="Arial Narrow" w:hAnsi="Arial Narrow" w:cs="Tahoma"/>
                  <w:color w:val="auto"/>
                  <w:sz w:val="18"/>
                  <w:szCs w:val="18"/>
                </w:rPr>
                <w:t>rs</w:t>
              </w:r>
              <w:r w:rsidR="0066022A" w:rsidRPr="00252DE1">
                <w:rPr>
                  <w:rStyle w:val="Hyperlink"/>
                  <w:rFonts w:ascii="Arial Narrow" w:hAnsi="Arial Narrow" w:cs="Tahoma"/>
                  <w:color w:val="auto"/>
                  <w:sz w:val="18"/>
                  <w:szCs w:val="18"/>
                  <w:lang w:val="sr-Cyrl-CS"/>
                </w:rPr>
                <w:t>.</w:t>
              </w:r>
              <w:r w:rsidR="0066022A" w:rsidRPr="00252DE1">
                <w:rPr>
                  <w:rStyle w:val="Hyperlink"/>
                  <w:rFonts w:ascii="Arial Narrow" w:hAnsi="Arial Narrow" w:cs="Tahoma"/>
                  <w:color w:val="auto"/>
                  <w:sz w:val="18"/>
                  <w:szCs w:val="18"/>
                </w:rPr>
                <w:t>ba</w:t>
              </w:r>
            </w:hyperlink>
          </w:p>
          <w:p w:rsidR="0066022A" w:rsidRPr="00252DE1" w:rsidRDefault="0066022A" w:rsidP="009E2A9A">
            <w:pPr>
              <w:jc w:val="both"/>
              <w:rPr>
                <w:rFonts w:ascii="Arial Narrow" w:hAnsi="Arial Narrow"/>
                <w:sz w:val="18"/>
                <w:szCs w:val="18"/>
                <w:lang w:val="sr-Cyrl-BA"/>
              </w:rPr>
            </w:pPr>
          </w:p>
          <w:p w:rsidR="0066022A" w:rsidRPr="00252DE1" w:rsidRDefault="0066022A" w:rsidP="009E2A9A">
            <w:pPr>
              <w:jc w:val="both"/>
              <w:rPr>
                <w:rFonts w:ascii="Arial Narrow" w:hAnsi="Arial Narrow"/>
                <w:sz w:val="18"/>
                <w:szCs w:val="18"/>
                <w:lang w:val="sr-Cyrl-BA"/>
              </w:rPr>
            </w:pPr>
          </w:p>
          <w:p w:rsidR="0066022A" w:rsidRPr="00252DE1" w:rsidRDefault="0066022A" w:rsidP="009E2A9A">
            <w:pPr>
              <w:jc w:val="both"/>
              <w:rPr>
                <w:rFonts w:ascii="Arial Narrow" w:hAnsi="Arial Narrow" w:cs="Tahoma"/>
                <w:sz w:val="18"/>
                <w:szCs w:val="18"/>
                <w:lang w:val="sr-Cyrl-BA"/>
              </w:rPr>
            </w:pPr>
          </w:p>
          <w:p w:rsidR="0066022A" w:rsidRPr="00252DE1" w:rsidRDefault="0066022A" w:rsidP="009E2A9A">
            <w:pPr>
              <w:jc w:val="both"/>
              <w:rPr>
                <w:rFonts w:ascii="Arial Narrow" w:hAnsi="Arial Narrow" w:cs="Tahoma"/>
                <w:sz w:val="18"/>
                <w:szCs w:val="18"/>
                <w:lang w:val="sr-Cyrl-CS"/>
              </w:rPr>
            </w:pPr>
          </w:p>
        </w:tc>
      </w:tr>
    </w:tbl>
    <w:p w:rsidR="009E2A9A" w:rsidRPr="00252DE1" w:rsidRDefault="009E2A9A" w:rsidP="009E2A9A">
      <w:pPr>
        <w:tabs>
          <w:tab w:val="left" w:pos="300"/>
          <w:tab w:val="left" w:pos="1100"/>
        </w:tabs>
        <w:jc w:val="both"/>
        <w:rPr>
          <w:rFonts w:ascii="Tahoma" w:hAnsi="Tahoma" w:cs="Tahoma"/>
          <w:b/>
          <w:sz w:val="16"/>
          <w:szCs w:val="16"/>
          <w:lang w:val="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C20B5" w:rsidRPr="00CA19B5" w:rsidTr="00353834">
        <w:trPr>
          <w:trHeight w:hRule="exact" w:val="1165"/>
          <w:jc w:val="center"/>
        </w:trPr>
        <w:tc>
          <w:tcPr>
            <w:tcW w:w="10490" w:type="dxa"/>
            <w:tcBorders>
              <w:top w:val="nil"/>
              <w:left w:val="nil"/>
              <w:bottom w:val="nil"/>
              <w:right w:val="nil"/>
            </w:tcBorders>
          </w:tcPr>
          <w:p w:rsidR="009E2A9A" w:rsidRPr="00CA19B5" w:rsidRDefault="009E2A9A" w:rsidP="009E2A9A">
            <w:pPr>
              <w:jc w:val="both"/>
              <w:rPr>
                <w:rFonts w:ascii="Arial Narrow" w:hAnsi="Arial Narrow" w:cs="Tahoma"/>
                <w:b/>
                <w:sz w:val="22"/>
                <w:lang w:val="sr-Cyrl-CS"/>
              </w:rPr>
            </w:pPr>
          </w:p>
          <w:p w:rsidR="009E2A9A" w:rsidRPr="00CA19B5" w:rsidRDefault="009E2A9A" w:rsidP="009E2A9A">
            <w:pPr>
              <w:jc w:val="both"/>
              <w:rPr>
                <w:rFonts w:ascii="Arial Narrow" w:hAnsi="Arial Narrow" w:cs="Tahoma"/>
                <w:b/>
                <w:sz w:val="22"/>
                <w:lang w:val="sr-Cyrl-CS"/>
              </w:rPr>
            </w:pPr>
          </w:p>
          <w:p w:rsidR="009E2A9A" w:rsidRPr="00CA19B5" w:rsidRDefault="009E2A9A" w:rsidP="009E2A9A">
            <w:pPr>
              <w:jc w:val="both"/>
              <w:rPr>
                <w:rFonts w:ascii="Arial Narrow" w:hAnsi="Arial Narrow" w:cs="Tahoma"/>
                <w:b/>
                <w:sz w:val="22"/>
                <w:lang w:val="sr-Cyrl-CS"/>
              </w:rPr>
            </w:pPr>
          </w:p>
          <w:p w:rsidR="009E2A9A" w:rsidRPr="00B84D4D" w:rsidRDefault="00B84D4D" w:rsidP="009E2A9A">
            <w:pPr>
              <w:jc w:val="both"/>
              <w:rPr>
                <w:rFonts w:ascii="Arial Narrow" w:hAnsi="Arial Narrow" w:cs="Tahoma"/>
                <w:b/>
                <w:sz w:val="22"/>
              </w:rPr>
            </w:pPr>
            <w:r>
              <w:rPr>
                <w:rFonts w:ascii="Arial Narrow" w:hAnsi="Arial Narrow" w:cs="Tahoma"/>
                <w:b/>
                <w:sz w:val="22"/>
              </w:rPr>
              <w:t>SYMBOLS</w:t>
            </w:r>
          </w:p>
        </w:tc>
      </w:tr>
      <w:tr w:rsidR="009E2A9A" w:rsidRPr="00CA19B5" w:rsidTr="00353834">
        <w:trPr>
          <w:trHeight w:hRule="exact" w:val="1025"/>
          <w:jc w:val="center"/>
        </w:trPr>
        <w:tc>
          <w:tcPr>
            <w:tcW w:w="10490" w:type="dxa"/>
            <w:tcBorders>
              <w:top w:val="nil"/>
              <w:left w:val="nil"/>
              <w:bottom w:val="nil"/>
              <w:right w:val="nil"/>
            </w:tcBorders>
          </w:tcPr>
          <w:p w:rsidR="009E2A9A" w:rsidRPr="00B84D4D" w:rsidRDefault="009E2A9A" w:rsidP="009E2A9A">
            <w:pPr>
              <w:jc w:val="both"/>
              <w:rPr>
                <w:rFonts w:ascii="Arial Narrow" w:hAnsi="Arial Narrow" w:cs="Tahoma"/>
                <w:bCs/>
                <w:sz w:val="18"/>
                <w:szCs w:val="16"/>
              </w:rPr>
            </w:pPr>
            <w:r w:rsidRPr="00CC790C">
              <w:rPr>
                <w:rFonts w:ascii="Arial Narrow" w:hAnsi="Arial Narrow" w:cs="Tahoma"/>
                <w:b/>
                <w:bCs/>
                <w:sz w:val="22"/>
              </w:rPr>
              <w:sym w:font="Symbol" w:char="00C6"/>
            </w:r>
            <w:r w:rsidRPr="00CC790C">
              <w:rPr>
                <w:rFonts w:ascii="Arial Narrow" w:hAnsi="Arial Narrow" w:cs="Tahoma"/>
                <w:b/>
                <w:bCs/>
                <w:sz w:val="32"/>
                <w:szCs w:val="28"/>
                <w:lang w:val="sr-Cyrl-CS"/>
              </w:rPr>
              <w:t xml:space="preserve"> </w:t>
            </w:r>
            <w:r w:rsidRPr="00CC790C">
              <w:rPr>
                <w:rFonts w:ascii="Arial Narrow" w:hAnsi="Arial Narrow" w:cs="Tahoma"/>
                <w:bCs/>
                <w:sz w:val="18"/>
                <w:szCs w:val="16"/>
                <w:lang w:val="sr-Cyrl-CS"/>
              </w:rPr>
              <w:t xml:space="preserve">- </w:t>
            </w:r>
            <w:r w:rsidR="00B84D4D">
              <w:rPr>
                <w:rFonts w:ascii="Arial Narrow" w:hAnsi="Arial Narrow" w:cs="Tahoma"/>
                <w:bCs/>
                <w:sz w:val="18"/>
                <w:szCs w:val="16"/>
              </w:rPr>
              <w:t>average</w:t>
            </w:r>
          </w:p>
          <w:p w:rsidR="009E2A9A" w:rsidRPr="00CC790C" w:rsidRDefault="00D61322" w:rsidP="00B538D0">
            <w:pPr>
              <w:rPr>
                <w:rFonts w:ascii="Arial Narrow" w:hAnsi="Arial Narrow" w:cs="Tahoma"/>
                <w:bCs/>
                <w:sz w:val="16"/>
                <w:szCs w:val="16"/>
                <w:lang w:val="sr-Latn-CS"/>
              </w:rPr>
            </w:pPr>
            <w:r w:rsidRPr="00CC790C">
              <w:rPr>
                <w:rFonts w:ascii="Arial Narrow" w:hAnsi="Arial Narrow" w:cs="Tahoma"/>
                <w:sz w:val="18"/>
                <w:szCs w:val="16"/>
                <w:lang w:val="sr-Cyrl-BA" w:eastAsia="sr-Latn-BA"/>
              </w:rPr>
              <w:t>¹</w:t>
            </w:r>
            <w:r w:rsidRPr="00CC790C">
              <w:rPr>
                <w:rFonts w:ascii="Arial Narrow" w:hAnsi="Arial Narrow" w:cs="Tahoma"/>
                <w:sz w:val="18"/>
                <w:szCs w:val="16"/>
                <w:lang w:eastAsia="sr-Latn-BA"/>
              </w:rPr>
              <w:t xml:space="preserve"> - </w:t>
            </w:r>
            <w:r w:rsidR="00B84D4D">
              <w:rPr>
                <w:rFonts w:ascii="Arial Narrow" w:hAnsi="Arial Narrow" w:cs="Tahoma"/>
                <w:sz w:val="18"/>
                <w:szCs w:val="16"/>
                <w:lang w:eastAsia="sr-Latn-BA"/>
              </w:rPr>
              <w:t>estimate</w:t>
            </w: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
                <w:sz w:val="16"/>
                <w:lang w:val="sr-Latn-CS"/>
              </w:rPr>
            </w:pPr>
          </w:p>
        </w:tc>
      </w:tr>
    </w:tbl>
    <w:p w:rsidR="00F04A4B" w:rsidRDefault="00F04A4B"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D43F5A" w:rsidRDefault="00D43F5A" w:rsidP="009E2A9A">
      <w:pPr>
        <w:tabs>
          <w:tab w:val="left" w:pos="300"/>
          <w:tab w:val="left" w:pos="1100"/>
        </w:tabs>
        <w:jc w:val="both"/>
        <w:rPr>
          <w:rFonts w:ascii="Tahoma" w:hAnsi="Tahoma" w:cs="Tahoma"/>
          <w:b/>
        </w:rPr>
      </w:pPr>
    </w:p>
    <w:p w:rsidR="00960CD8" w:rsidRDefault="00960CD8" w:rsidP="009E2A9A">
      <w:pPr>
        <w:tabs>
          <w:tab w:val="left" w:pos="300"/>
          <w:tab w:val="left" w:pos="1100"/>
        </w:tabs>
        <w:jc w:val="both"/>
        <w:rPr>
          <w:rFonts w:ascii="Tahoma" w:hAnsi="Tahoma" w:cs="Tahoma"/>
          <w:b/>
        </w:rPr>
      </w:pPr>
    </w:p>
    <w:p w:rsidR="00960CD8" w:rsidRDefault="00960CD8" w:rsidP="009E2A9A">
      <w:pPr>
        <w:tabs>
          <w:tab w:val="left" w:pos="300"/>
          <w:tab w:val="left" w:pos="1100"/>
        </w:tabs>
        <w:jc w:val="both"/>
        <w:rPr>
          <w:rFonts w:ascii="Tahoma" w:hAnsi="Tahoma" w:cs="Tahoma"/>
          <w:b/>
        </w:rPr>
      </w:pPr>
    </w:p>
    <w:p w:rsidR="00960CD8" w:rsidRDefault="00960CD8" w:rsidP="009E2A9A">
      <w:pPr>
        <w:tabs>
          <w:tab w:val="left" w:pos="300"/>
          <w:tab w:val="left" w:pos="1100"/>
        </w:tabs>
        <w:jc w:val="both"/>
        <w:rPr>
          <w:rFonts w:ascii="Tahoma" w:hAnsi="Tahoma" w:cs="Tahoma"/>
          <w:b/>
        </w:rPr>
      </w:pPr>
    </w:p>
    <w:p w:rsidR="00960CD8" w:rsidRDefault="00960CD8" w:rsidP="009E2A9A">
      <w:pPr>
        <w:tabs>
          <w:tab w:val="left" w:pos="300"/>
          <w:tab w:val="left" w:pos="1100"/>
        </w:tabs>
        <w:jc w:val="both"/>
        <w:rPr>
          <w:rFonts w:ascii="Tahoma" w:hAnsi="Tahoma" w:cs="Tahoma"/>
          <w:b/>
        </w:rPr>
      </w:pPr>
    </w:p>
    <w:p w:rsidR="00960CD8" w:rsidRDefault="00960CD8" w:rsidP="009E2A9A">
      <w:pPr>
        <w:tabs>
          <w:tab w:val="left" w:pos="300"/>
          <w:tab w:val="left" w:pos="1100"/>
        </w:tabs>
        <w:jc w:val="both"/>
        <w:rPr>
          <w:rFonts w:ascii="Tahoma" w:hAnsi="Tahoma" w:cs="Tahoma"/>
          <w:b/>
        </w:rPr>
      </w:pPr>
    </w:p>
    <w:p w:rsidR="00960CD8" w:rsidRDefault="00960CD8" w:rsidP="009E2A9A">
      <w:pPr>
        <w:tabs>
          <w:tab w:val="left" w:pos="300"/>
          <w:tab w:val="left" w:pos="1100"/>
        </w:tabs>
        <w:jc w:val="both"/>
        <w:rPr>
          <w:rFonts w:ascii="Tahoma" w:hAnsi="Tahoma" w:cs="Tahoma"/>
          <w:b/>
        </w:rPr>
      </w:pPr>
    </w:p>
    <w:p w:rsidR="00D43F5A" w:rsidRPr="00CA19B5" w:rsidRDefault="00D43F5A" w:rsidP="009E2A9A">
      <w:pPr>
        <w:tabs>
          <w:tab w:val="left" w:pos="300"/>
          <w:tab w:val="left" w:pos="1100"/>
        </w:tabs>
        <w:jc w:val="both"/>
        <w:rPr>
          <w:rFonts w:ascii="Tahoma" w:hAnsi="Tahoma" w:cs="Tahoma"/>
          <w:b/>
        </w:rPr>
      </w:pPr>
    </w:p>
    <w:p w:rsidR="009E2A9A" w:rsidRPr="00CA19B5" w:rsidRDefault="00B81E0A" w:rsidP="009E2A9A">
      <w:pPr>
        <w:tabs>
          <w:tab w:val="left" w:pos="300"/>
          <w:tab w:val="left" w:pos="1100"/>
        </w:tabs>
        <w:jc w:val="both"/>
        <w:rPr>
          <w:rFonts w:ascii="Tahoma" w:hAnsi="Tahoma" w:cs="Tahoma"/>
          <w:b/>
          <w:lang w:val="sr-Cyrl-CS"/>
        </w:rPr>
      </w:pPr>
      <w:r>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4C20B5" w:rsidRPr="00CA19B5" w:rsidTr="00B2585D">
        <w:trPr>
          <w:trHeight w:hRule="exact" w:val="113"/>
        </w:trPr>
        <w:tc>
          <w:tcPr>
            <w:tcW w:w="10348" w:type="dxa"/>
            <w:tcMar>
              <w:left w:w="0" w:type="dxa"/>
              <w:right w:w="0" w:type="dxa"/>
            </w:tcMar>
          </w:tcPr>
          <w:p w:rsidR="009E2A9A" w:rsidRPr="00CA19B5" w:rsidRDefault="009E2A9A" w:rsidP="009E2A9A">
            <w:pPr>
              <w:jc w:val="both"/>
              <w:rPr>
                <w:rFonts w:ascii="Tahoma" w:hAnsi="Tahoma" w:cs="Tahoma"/>
                <w:sz w:val="16"/>
                <w:lang w:val="sr-Cyrl-CS"/>
              </w:rPr>
            </w:pPr>
          </w:p>
        </w:tc>
      </w:tr>
      <w:tr w:rsidR="004C20B5" w:rsidRPr="00CA19B5" w:rsidTr="00B2585D">
        <w:tc>
          <w:tcPr>
            <w:tcW w:w="10348" w:type="dxa"/>
            <w:tcMar>
              <w:left w:w="0" w:type="dxa"/>
              <w:right w:w="0" w:type="dxa"/>
            </w:tcMar>
          </w:tcPr>
          <w:p w:rsidR="009E2A9A" w:rsidRPr="00CA19B5" w:rsidRDefault="00B84D4D" w:rsidP="009E2A9A">
            <w:pPr>
              <w:jc w:val="center"/>
              <w:rPr>
                <w:rFonts w:ascii="Arial Narrow" w:hAnsi="Arial Narrow" w:cs="Tahoma"/>
                <w:sz w:val="16"/>
                <w:szCs w:val="16"/>
                <w:lang w:val="sr-Latn-CS"/>
              </w:rPr>
            </w:pPr>
            <w:r w:rsidRPr="00B84D4D">
              <w:rPr>
                <w:rFonts w:ascii="Arial Narrow" w:hAnsi="Arial Narrow" w:cs="Tahoma"/>
                <w:sz w:val="18"/>
              </w:rPr>
              <w:t>The Release prepared by the Publications Division</w:t>
            </w:r>
          </w:p>
        </w:tc>
      </w:tr>
      <w:tr w:rsidR="004C20B5" w:rsidRPr="009504BB" w:rsidTr="00B2585D">
        <w:trPr>
          <w:trHeight w:val="1603"/>
        </w:trPr>
        <w:tc>
          <w:tcPr>
            <w:tcW w:w="10348" w:type="dxa"/>
            <w:tcMar>
              <w:left w:w="0" w:type="dxa"/>
              <w:right w:w="0" w:type="dxa"/>
            </w:tcMar>
          </w:tcPr>
          <w:p w:rsidR="00B84D4D" w:rsidRPr="00B84D4D" w:rsidRDefault="00B84D4D" w:rsidP="00B84D4D">
            <w:pPr>
              <w:autoSpaceDE w:val="0"/>
              <w:autoSpaceDN w:val="0"/>
              <w:adjustRightInd w:val="0"/>
              <w:jc w:val="center"/>
              <w:rPr>
                <w:rFonts w:ascii="Arial Narrow" w:hAnsi="Arial Narrow" w:cs="Tahoma"/>
                <w:sz w:val="18"/>
                <w:szCs w:val="18"/>
              </w:rPr>
            </w:pPr>
            <w:r w:rsidRPr="00B84D4D">
              <w:rPr>
                <w:rFonts w:ascii="Arial Narrow" w:hAnsi="Arial Narrow" w:cs="Tahoma"/>
                <w:sz w:val="18"/>
                <w:szCs w:val="18"/>
              </w:rPr>
              <w:t>Vladan Sibinović, Head of the Division</w:t>
            </w:r>
          </w:p>
          <w:p w:rsidR="00B84D4D" w:rsidRPr="00B84D4D" w:rsidRDefault="00B84D4D" w:rsidP="00B84D4D">
            <w:pPr>
              <w:autoSpaceDE w:val="0"/>
              <w:autoSpaceDN w:val="0"/>
              <w:adjustRightInd w:val="0"/>
              <w:jc w:val="center"/>
              <w:rPr>
                <w:rFonts w:ascii="Arial Narrow" w:hAnsi="Arial Narrow" w:cs="Tahoma"/>
                <w:sz w:val="18"/>
                <w:szCs w:val="18"/>
              </w:rPr>
            </w:pPr>
            <w:r w:rsidRPr="00B84D4D">
              <w:rPr>
                <w:rFonts w:ascii="Arial Narrow" w:hAnsi="Arial Narrow" w:cs="Tahoma"/>
                <w:sz w:val="18"/>
                <w:szCs w:val="18"/>
              </w:rPr>
              <w:t>Published by the Republika Srpska Institute of Statistics,</w:t>
            </w:r>
          </w:p>
          <w:p w:rsidR="00B84D4D" w:rsidRPr="00B84D4D" w:rsidRDefault="00B84D4D" w:rsidP="00B84D4D">
            <w:pPr>
              <w:autoSpaceDE w:val="0"/>
              <w:autoSpaceDN w:val="0"/>
              <w:adjustRightInd w:val="0"/>
              <w:jc w:val="center"/>
              <w:rPr>
                <w:rFonts w:ascii="Arial Narrow" w:hAnsi="Arial Narrow" w:cs="Tahoma"/>
                <w:sz w:val="18"/>
                <w:szCs w:val="18"/>
              </w:rPr>
            </w:pPr>
            <w:r w:rsidRPr="00B84D4D">
              <w:rPr>
                <w:rFonts w:ascii="Arial Narrow" w:hAnsi="Arial Narrow" w:cs="Tahoma"/>
                <w:sz w:val="18"/>
                <w:szCs w:val="18"/>
              </w:rPr>
              <w:t>Republika Srpska, Banja Luka, Veljka Mlađenovića 12d</w:t>
            </w:r>
          </w:p>
          <w:p w:rsidR="00B84D4D" w:rsidRPr="00B84D4D" w:rsidRDefault="00B84D4D" w:rsidP="00B84D4D">
            <w:pPr>
              <w:autoSpaceDE w:val="0"/>
              <w:autoSpaceDN w:val="0"/>
              <w:adjustRightInd w:val="0"/>
              <w:jc w:val="center"/>
              <w:rPr>
                <w:rFonts w:ascii="Arial Narrow" w:hAnsi="Arial Narrow" w:cs="Tahoma"/>
                <w:sz w:val="18"/>
                <w:szCs w:val="18"/>
              </w:rPr>
            </w:pPr>
            <w:r w:rsidRPr="00B84D4D">
              <w:rPr>
                <w:rFonts w:ascii="Arial Narrow" w:hAnsi="Arial Narrow" w:cs="Tahoma"/>
                <w:sz w:val="18"/>
                <w:szCs w:val="18"/>
              </w:rPr>
              <w:t>Radmila Čičković, PhD, Director General of the Institute</w:t>
            </w:r>
          </w:p>
          <w:p w:rsidR="00B84D4D" w:rsidRPr="00B84D4D" w:rsidRDefault="00B84D4D" w:rsidP="00B84D4D">
            <w:pPr>
              <w:autoSpaceDE w:val="0"/>
              <w:autoSpaceDN w:val="0"/>
              <w:adjustRightInd w:val="0"/>
              <w:jc w:val="center"/>
              <w:rPr>
                <w:rFonts w:ascii="Arial Narrow" w:hAnsi="Arial Narrow" w:cs="Tahoma"/>
                <w:sz w:val="18"/>
                <w:szCs w:val="18"/>
              </w:rPr>
            </w:pPr>
            <w:r w:rsidRPr="00B84D4D">
              <w:rPr>
                <w:rFonts w:ascii="Arial Narrow" w:hAnsi="Arial Narrow" w:cs="Tahoma"/>
                <w:sz w:val="18"/>
                <w:szCs w:val="18"/>
              </w:rPr>
              <w:t>The Release is published online at: www.rzs.rs.ba</w:t>
            </w:r>
          </w:p>
          <w:p w:rsidR="009E2A9A" w:rsidRPr="00CA19B5" w:rsidRDefault="00B84D4D" w:rsidP="00B84D4D">
            <w:pPr>
              <w:autoSpaceDE w:val="0"/>
              <w:autoSpaceDN w:val="0"/>
              <w:adjustRightInd w:val="0"/>
              <w:jc w:val="center"/>
              <w:rPr>
                <w:rFonts w:ascii="Arial Narrow" w:hAnsi="Arial Narrow" w:cs="Tahoma"/>
                <w:sz w:val="18"/>
                <w:szCs w:val="18"/>
                <w:lang w:val="sr-Cyrl-CS"/>
              </w:rPr>
            </w:pPr>
            <w:r w:rsidRPr="00B84D4D">
              <w:rPr>
                <w:rFonts w:ascii="Arial Narrow" w:hAnsi="Arial Narrow" w:cs="Tahoma"/>
                <w:sz w:val="18"/>
                <w:szCs w:val="18"/>
              </w:rPr>
              <w:t xml:space="preserve">telephone +387 51 332 700; e-mail: </w:t>
            </w:r>
            <w:hyperlink r:id="rId16" w:history="1">
              <w:r w:rsidRPr="00B84D4D">
                <w:rPr>
                  <w:rStyle w:val="Hyperlink"/>
                  <w:rFonts w:ascii="Arial Narrow" w:hAnsi="Arial Narrow" w:cs="Tahoma"/>
                  <w:sz w:val="18"/>
                  <w:szCs w:val="18"/>
                </w:rPr>
                <w:t>stat@rzs.rs.ba</w:t>
              </w:r>
            </w:hyperlink>
          </w:p>
          <w:p w:rsidR="009E2A9A" w:rsidRPr="00CA19B5" w:rsidRDefault="009E2A9A" w:rsidP="009E2A9A">
            <w:pPr>
              <w:jc w:val="center"/>
              <w:rPr>
                <w:rFonts w:ascii="Tahoma" w:hAnsi="Tahoma" w:cs="Tahoma"/>
                <w:b/>
                <w:bCs/>
                <w:sz w:val="16"/>
                <w:lang w:val="ru-RU"/>
              </w:rPr>
            </w:pPr>
          </w:p>
          <w:p w:rsidR="009E2A9A" w:rsidRPr="00CA19B5" w:rsidRDefault="00B84D4D" w:rsidP="009E2A9A">
            <w:pPr>
              <w:autoSpaceDE w:val="0"/>
              <w:autoSpaceDN w:val="0"/>
              <w:adjustRightInd w:val="0"/>
              <w:ind w:left="-198"/>
              <w:jc w:val="center"/>
              <w:rPr>
                <w:rFonts w:ascii="Arial Narrow" w:hAnsi="Arial Narrow" w:cs="Tahoma"/>
                <w:b/>
                <w:bCs/>
                <w:sz w:val="16"/>
                <w:szCs w:val="18"/>
                <w:lang w:val="ru-RU"/>
              </w:rPr>
            </w:pPr>
            <w:r>
              <w:rPr>
                <w:rFonts w:ascii="Arial Narrow" w:hAnsi="Arial Narrow" w:cs="Tahoma"/>
                <w:b/>
                <w:bCs/>
                <w:sz w:val="18"/>
              </w:rPr>
              <w:t>D</w:t>
            </w:r>
            <w:r w:rsidRPr="00B84D4D">
              <w:rPr>
                <w:rFonts w:ascii="Arial Narrow" w:hAnsi="Arial Narrow" w:cs="Tahoma"/>
                <w:b/>
                <w:bCs/>
                <w:sz w:val="18"/>
              </w:rPr>
              <w:t>ata may be used provided the source is acknowledged</w:t>
            </w:r>
          </w:p>
        </w:tc>
      </w:tr>
    </w:tbl>
    <w:p w:rsidR="009E2A9A" w:rsidRPr="00CA19B5" w:rsidRDefault="00B81E0A" w:rsidP="009E2A9A">
      <w:pPr>
        <w:rPr>
          <w:rFonts w:ascii="Tahoma" w:hAnsi="Tahoma" w:cs="Tahoma"/>
          <w:lang w:val="sr-Latn-CS"/>
        </w:rPr>
      </w:pPr>
      <w:r>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sectPr w:rsidR="009E2A9A" w:rsidRPr="00CA19B5" w:rsidSect="0076768F">
      <w:headerReference w:type="default" r:id="rId17"/>
      <w:footerReference w:type="default" r:id="rId18"/>
      <w:footerReference w:type="first" r:id="rId19"/>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DC" w:rsidRDefault="00374BDC">
      <w:r>
        <w:separator/>
      </w:r>
    </w:p>
  </w:endnote>
  <w:endnote w:type="continuationSeparator" w:id="0">
    <w:p w:rsidR="00374BDC" w:rsidRDefault="0037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DC" w:rsidRDefault="00B81E0A"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374BDC" w:rsidRPr="00175687" w:rsidRDefault="00374BD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B81E0A">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DC" w:rsidRDefault="00B81E0A"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374BDC" w:rsidRPr="00175687" w:rsidRDefault="00374BD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B81E0A">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DC" w:rsidRDefault="00374BDC">
      <w:r>
        <w:separator/>
      </w:r>
    </w:p>
  </w:footnote>
  <w:footnote w:type="continuationSeparator" w:id="0">
    <w:p w:rsidR="00374BDC" w:rsidRDefault="00374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375"/>
      <w:gridCol w:w="7062"/>
    </w:tblGrid>
    <w:tr w:rsidR="00374BDC">
      <w:tc>
        <w:tcPr>
          <w:tcW w:w="1617" w:type="pct"/>
          <w:tcBorders>
            <w:bottom w:val="single" w:sz="4" w:space="0" w:color="943634"/>
          </w:tcBorders>
          <w:shd w:val="clear" w:color="auto" w:fill="365F91"/>
          <w:vAlign w:val="bottom"/>
        </w:tcPr>
        <w:p w:rsidR="00374BDC" w:rsidRPr="00B84D4D" w:rsidRDefault="00B84D4D"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374BDC" w:rsidRPr="00B84D4D" w:rsidRDefault="00B84D4D"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374BDC" w:rsidRPr="005D5311" w:rsidRDefault="00B84D4D" w:rsidP="00C03D42">
          <w:pPr>
            <w:pStyle w:val="Header"/>
            <w:rPr>
              <w:bCs/>
              <w:color w:val="76923C"/>
              <w:sz w:val="24"/>
              <w:szCs w:val="24"/>
              <w:lang w:val="bs-Cyrl-BA"/>
            </w:rPr>
          </w:pPr>
          <w:r>
            <w:rPr>
              <w:rFonts w:ascii="Arial Narrow" w:hAnsi="Arial Narrow" w:cs="Tahoma"/>
              <w:color w:val="1F497D" w:themeColor="text2"/>
              <w:sz w:val="16"/>
            </w:rPr>
            <w:t>22</w:t>
          </w:r>
          <w:r w:rsidRPr="00B84D4D">
            <w:rPr>
              <w:rFonts w:ascii="Arial Narrow" w:hAnsi="Arial Narrow" w:cs="Tahoma"/>
              <w:color w:val="1F497D" w:themeColor="text2"/>
              <w:sz w:val="16"/>
              <w:vertAlign w:val="superscript"/>
            </w:rPr>
            <w:t>nd</w:t>
          </w:r>
          <w:r w:rsidR="00374BDC" w:rsidRPr="00431915">
            <w:rPr>
              <w:rFonts w:ascii="Arial Narrow" w:hAnsi="Arial Narrow" w:cs="Tahoma"/>
              <w:color w:val="1F497D" w:themeColor="text2"/>
              <w:sz w:val="16"/>
              <w:szCs w:val="16"/>
              <w:lang w:val="sr-Cyrl-BA"/>
            </w:rPr>
            <w:t xml:space="preserve"> </w:t>
          </w:r>
          <w:r>
            <w:rPr>
              <w:rFonts w:ascii="Arial Narrow" w:hAnsi="Arial Narrow" w:cs="Tahoma"/>
              <w:color w:val="1F497D" w:themeColor="text2"/>
              <w:sz w:val="16"/>
              <w:szCs w:val="16"/>
            </w:rPr>
            <w:t xml:space="preserve">February </w:t>
          </w:r>
          <w:r w:rsidR="00374BDC" w:rsidRPr="00FD7FAE">
            <w:rPr>
              <w:rFonts w:ascii="Arial Narrow" w:hAnsi="Arial Narrow" w:cs="Tahoma"/>
              <w:color w:val="1F497D" w:themeColor="text2"/>
              <w:sz w:val="16"/>
              <w:szCs w:val="16"/>
              <w:lang w:val="sr-Cyrl-BA"/>
            </w:rPr>
            <w:t>201</w:t>
          </w:r>
          <w:r w:rsidR="00374BDC">
            <w:rPr>
              <w:rFonts w:ascii="Arial Narrow" w:hAnsi="Arial Narrow" w:cs="Tahoma"/>
              <w:color w:val="1F497D" w:themeColor="text2"/>
              <w:sz w:val="16"/>
              <w:szCs w:val="16"/>
              <w:lang w:val="sr-Latn-BA"/>
            </w:rPr>
            <w:t>6</w:t>
          </w:r>
          <w:r>
            <w:rPr>
              <w:rFonts w:ascii="Arial Narrow" w:hAnsi="Arial Narrow" w:cs="Tahoma"/>
              <w:color w:val="1F497D" w:themeColor="text2"/>
              <w:sz w:val="16"/>
              <w:szCs w:val="16"/>
              <w:lang w:val="sr-Cyrl-CS"/>
            </w:rPr>
            <w:t>,</w:t>
          </w:r>
          <w:r>
            <w:rPr>
              <w:rFonts w:ascii="Arial Narrow" w:hAnsi="Arial Narrow" w:cs="Tahoma"/>
              <w:color w:val="1F497D" w:themeColor="text2"/>
              <w:sz w:val="16"/>
              <w:szCs w:val="16"/>
              <w:lang w:val="sr-Cyrl-BA"/>
            </w:rPr>
            <w:t xml:space="preserve"> </w:t>
          </w:r>
          <w:r w:rsidR="00374BDC">
            <w:rPr>
              <w:rFonts w:ascii="Arial Narrow" w:hAnsi="Arial Narrow" w:cs="Tahoma"/>
              <w:color w:val="1F497D" w:themeColor="text2"/>
              <w:sz w:val="16"/>
              <w:szCs w:val="16"/>
              <w:lang w:val="sr-Latn-CS"/>
            </w:rPr>
            <w:t xml:space="preserve">No. </w:t>
          </w:r>
          <w:r w:rsidR="00374BDC" w:rsidRPr="00A64260">
            <w:rPr>
              <w:rFonts w:ascii="Arial Narrow" w:hAnsi="Arial Narrow" w:cs="Tahoma"/>
              <w:b/>
              <w:color w:val="1F497D" w:themeColor="text2"/>
              <w:sz w:val="22"/>
              <w:szCs w:val="22"/>
              <w:lang w:val="sr-Latn-CS"/>
            </w:rPr>
            <w:t>2</w:t>
          </w:r>
          <w:r w:rsidR="009835D7">
            <w:rPr>
              <w:rFonts w:ascii="Arial Narrow" w:hAnsi="Arial Narrow" w:cs="Tahoma"/>
              <w:b/>
              <w:color w:val="1F497D" w:themeColor="text2"/>
              <w:sz w:val="22"/>
              <w:szCs w:val="22"/>
              <w:lang w:val="sr-Latn-CS"/>
            </w:rPr>
            <w:t>6</w:t>
          </w:r>
          <w:r w:rsidR="00374BDC" w:rsidRPr="00A64260">
            <w:rPr>
              <w:rFonts w:ascii="Arial Narrow" w:hAnsi="Arial Narrow" w:cs="Tahoma"/>
              <w:b/>
              <w:color w:val="1F497D" w:themeColor="text2"/>
              <w:sz w:val="22"/>
              <w:szCs w:val="22"/>
              <w:lang w:val="sr-Cyrl-BA"/>
            </w:rPr>
            <w:t>/1</w:t>
          </w:r>
          <w:r w:rsidR="00374BDC">
            <w:rPr>
              <w:rFonts w:ascii="Arial Narrow" w:hAnsi="Arial Narrow" w:cs="Tahoma"/>
              <w:b/>
              <w:color w:val="1F497D" w:themeColor="text2"/>
              <w:sz w:val="22"/>
              <w:szCs w:val="22"/>
            </w:rPr>
            <w:t>6</w:t>
          </w:r>
          <w:r w:rsidR="00374BDC">
            <w:rPr>
              <w:rFonts w:ascii="Tahoma" w:hAnsi="Tahoma" w:cs="Tahoma"/>
              <w:b/>
              <w:color w:val="0070C0"/>
              <w:sz w:val="32"/>
              <w:szCs w:val="32"/>
            </w:rPr>
            <w:t xml:space="preserve">                            </w:t>
          </w:r>
          <w:r w:rsidR="00374BDC">
            <w:rPr>
              <w:rFonts w:ascii="Tahoma" w:hAnsi="Tahoma" w:cs="Tahoma"/>
              <w:b/>
              <w:color w:val="0070C0"/>
              <w:sz w:val="32"/>
              <w:szCs w:val="32"/>
              <w:lang w:val="sr-Cyrl-BA"/>
            </w:rPr>
            <w:t xml:space="preserve">     </w:t>
          </w:r>
          <w:r w:rsidR="00374BDC">
            <w:rPr>
              <w:rFonts w:ascii="Tahoma" w:hAnsi="Tahoma" w:cs="Tahoma"/>
              <w:b/>
              <w:color w:val="0070C0"/>
              <w:sz w:val="32"/>
              <w:szCs w:val="32"/>
            </w:rPr>
            <w:t xml:space="preserve">    </w:t>
          </w:r>
          <w:r w:rsidR="00374BDC">
            <w:rPr>
              <w:rFonts w:ascii="Tahoma" w:hAnsi="Tahoma" w:cs="Tahoma"/>
              <w:b/>
              <w:color w:val="0070C0"/>
              <w:sz w:val="32"/>
              <w:szCs w:val="32"/>
              <w:lang w:val="sr-Cyrl-BA"/>
            </w:rPr>
            <w:t xml:space="preserve">     </w:t>
          </w:r>
        </w:p>
      </w:tc>
    </w:tr>
  </w:tbl>
  <w:p w:rsidR="00374BDC" w:rsidRDefault="00B81E0A" w:rsidP="006D0CE1">
    <w:pPr>
      <w:pStyle w:val="Header"/>
      <w:ind w:right="360"/>
      <w:rPr>
        <w:rFonts w:ascii="Tahoma" w:hAnsi="Tahoma" w:cs="Tahoma"/>
        <w:sz w:val="16"/>
        <w:lang w:val="sr-Latn-CS"/>
      </w:rPr>
    </w:pPr>
    <w:r>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97F"/>
    <w:rsid w:val="00010B41"/>
    <w:rsid w:val="00010F3E"/>
    <w:rsid w:val="000110A0"/>
    <w:rsid w:val="000122E3"/>
    <w:rsid w:val="000134F3"/>
    <w:rsid w:val="00013C1D"/>
    <w:rsid w:val="00014781"/>
    <w:rsid w:val="00014D96"/>
    <w:rsid w:val="00016342"/>
    <w:rsid w:val="00016ABE"/>
    <w:rsid w:val="00016B4C"/>
    <w:rsid w:val="00016E63"/>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D61"/>
    <w:rsid w:val="0002401D"/>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3C1"/>
    <w:rsid w:val="0007340D"/>
    <w:rsid w:val="0007341E"/>
    <w:rsid w:val="00073AB3"/>
    <w:rsid w:val="00073DC1"/>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7AA"/>
    <w:rsid w:val="00082912"/>
    <w:rsid w:val="00082C41"/>
    <w:rsid w:val="00082D67"/>
    <w:rsid w:val="00082DA2"/>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D3E"/>
    <w:rsid w:val="000F0E12"/>
    <w:rsid w:val="000F0E43"/>
    <w:rsid w:val="000F0FB0"/>
    <w:rsid w:val="000F1185"/>
    <w:rsid w:val="000F1EDA"/>
    <w:rsid w:val="000F2712"/>
    <w:rsid w:val="000F27B9"/>
    <w:rsid w:val="000F2FBE"/>
    <w:rsid w:val="000F4C35"/>
    <w:rsid w:val="000F4CE7"/>
    <w:rsid w:val="000F4DE8"/>
    <w:rsid w:val="000F55DE"/>
    <w:rsid w:val="000F5794"/>
    <w:rsid w:val="000F57F7"/>
    <w:rsid w:val="000F5F23"/>
    <w:rsid w:val="000F5F69"/>
    <w:rsid w:val="000F689B"/>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3E2A"/>
    <w:rsid w:val="00164E59"/>
    <w:rsid w:val="001655F9"/>
    <w:rsid w:val="0016574C"/>
    <w:rsid w:val="001658E6"/>
    <w:rsid w:val="001658F6"/>
    <w:rsid w:val="00165B0F"/>
    <w:rsid w:val="00165FE9"/>
    <w:rsid w:val="001664E5"/>
    <w:rsid w:val="001665AD"/>
    <w:rsid w:val="00166C85"/>
    <w:rsid w:val="0016733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085"/>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51AE"/>
    <w:rsid w:val="001952E2"/>
    <w:rsid w:val="00195AC9"/>
    <w:rsid w:val="00195F3F"/>
    <w:rsid w:val="00196133"/>
    <w:rsid w:val="001966D3"/>
    <w:rsid w:val="00196D35"/>
    <w:rsid w:val="0019784E"/>
    <w:rsid w:val="0019785A"/>
    <w:rsid w:val="0019795C"/>
    <w:rsid w:val="00197F64"/>
    <w:rsid w:val="00197F82"/>
    <w:rsid w:val="001A01E7"/>
    <w:rsid w:val="001A026F"/>
    <w:rsid w:val="001A0CB0"/>
    <w:rsid w:val="001A164F"/>
    <w:rsid w:val="001A1708"/>
    <w:rsid w:val="001A1901"/>
    <w:rsid w:val="001A1B78"/>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9CE"/>
    <w:rsid w:val="001B3F32"/>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C4F"/>
    <w:rsid w:val="001D1E13"/>
    <w:rsid w:val="001D1FE4"/>
    <w:rsid w:val="001D2625"/>
    <w:rsid w:val="001D2989"/>
    <w:rsid w:val="001D2A95"/>
    <w:rsid w:val="001D2CF2"/>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433"/>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9D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8FE"/>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1CF"/>
    <w:rsid w:val="0031435D"/>
    <w:rsid w:val="00314EDA"/>
    <w:rsid w:val="00315794"/>
    <w:rsid w:val="00316671"/>
    <w:rsid w:val="003169EF"/>
    <w:rsid w:val="003170C4"/>
    <w:rsid w:val="00317BE9"/>
    <w:rsid w:val="00317F21"/>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405"/>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F1E"/>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BDC"/>
    <w:rsid w:val="00374E8D"/>
    <w:rsid w:val="003751C6"/>
    <w:rsid w:val="0037535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927"/>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8F"/>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F8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C1B"/>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E54"/>
    <w:rsid w:val="003E6516"/>
    <w:rsid w:val="003E6751"/>
    <w:rsid w:val="003E7689"/>
    <w:rsid w:val="003E793A"/>
    <w:rsid w:val="003F02D9"/>
    <w:rsid w:val="003F0BB4"/>
    <w:rsid w:val="003F0CE8"/>
    <w:rsid w:val="003F0D72"/>
    <w:rsid w:val="003F0E9A"/>
    <w:rsid w:val="003F0FB9"/>
    <w:rsid w:val="003F110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A58"/>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2260"/>
    <w:rsid w:val="004323F5"/>
    <w:rsid w:val="0043250A"/>
    <w:rsid w:val="004325DE"/>
    <w:rsid w:val="004325F0"/>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7A0"/>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B6A"/>
    <w:rsid w:val="00454D24"/>
    <w:rsid w:val="004551B9"/>
    <w:rsid w:val="004552DC"/>
    <w:rsid w:val="0045570F"/>
    <w:rsid w:val="00455B31"/>
    <w:rsid w:val="00455DB5"/>
    <w:rsid w:val="00456B3F"/>
    <w:rsid w:val="0045710B"/>
    <w:rsid w:val="00457173"/>
    <w:rsid w:val="00457CA3"/>
    <w:rsid w:val="00457ECB"/>
    <w:rsid w:val="00457F03"/>
    <w:rsid w:val="0046013D"/>
    <w:rsid w:val="004604EB"/>
    <w:rsid w:val="00460578"/>
    <w:rsid w:val="004607C9"/>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397"/>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41A"/>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079"/>
    <w:rsid w:val="004B642C"/>
    <w:rsid w:val="004B65B0"/>
    <w:rsid w:val="004B6831"/>
    <w:rsid w:val="004B6832"/>
    <w:rsid w:val="004B6841"/>
    <w:rsid w:val="004B684A"/>
    <w:rsid w:val="004B6FC7"/>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E81"/>
    <w:rsid w:val="004C7FE4"/>
    <w:rsid w:val="004D012D"/>
    <w:rsid w:val="004D047A"/>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6D03"/>
    <w:rsid w:val="004D703F"/>
    <w:rsid w:val="004D711C"/>
    <w:rsid w:val="004D740C"/>
    <w:rsid w:val="004D7803"/>
    <w:rsid w:val="004D7874"/>
    <w:rsid w:val="004D7CA9"/>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AE7"/>
    <w:rsid w:val="00520DE0"/>
    <w:rsid w:val="00521B73"/>
    <w:rsid w:val="00521E1B"/>
    <w:rsid w:val="0052236A"/>
    <w:rsid w:val="005226CB"/>
    <w:rsid w:val="0052298E"/>
    <w:rsid w:val="005234E8"/>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00"/>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5F66"/>
    <w:rsid w:val="005769D8"/>
    <w:rsid w:val="00576B31"/>
    <w:rsid w:val="00576C77"/>
    <w:rsid w:val="0057714E"/>
    <w:rsid w:val="005771B5"/>
    <w:rsid w:val="005772D9"/>
    <w:rsid w:val="00577336"/>
    <w:rsid w:val="00577434"/>
    <w:rsid w:val="00577690"/>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3EC"/>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40D5"/>
    <w:rsid w:val="00624567"/>
    <w:rsid w:val="00624876"/>
    <w:rsid w:val="00624B78"/>
    <w:rsid w:val="00624CFB"/>
    <w:rsid w:val="00624DBD"/>
    <w:rsid w:val="00624EDA"/>
    <w:rsid w:val="00625174"/>
    <w:rsid w:val="00625222"/>
    <w:rsid w:val="0062578C"/>
    <w:rsid w:val="006257F4"/>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B02"/>
    <w:rsid w:val="00640D78"/>
    <w:rsid w:val="006411A4"/>
    <w:rsid w:val="00641561"/>
    <w:rsid w:val="0064294C"/>
    <w:rsid w:val="0064319E"/>
    <w:rsid w:val="00643885"/>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939"/>
    <w:rsid w:val="0066022A"/>
    <w:rsid w:val="00660381"/>
    <w:rsid w:val="00660409"/>
    <w:rsid w:val="00660A00"/>
    <w:rsid w:val="00660A85"/>
    <w:rsid w:val="00660DC6"/>
    <w:rsid w:val="00661850"/>
    <w:rsid w:val="00661EE6"/>
    <w:rsid w:val="00662052"/>
    <w:rsid w:val="00662279"/>
    <w:rsid w:val="006622E1"/>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67B"/>
    <w:rsid w:val="00672866"/>
    <w:rsid w:val="0067319A"/>
    <w:rsid w:val="006732F7"/>
    <w:rsid w:val="0067365B"/>
    <w:rsid w:val="00673764"/>
    <w:rsid w:val="00673D83"/>
    <w:rsid w:val="00673ECA"/>
    <w:rsid w:val="00675807"/>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137"/>
    <w:rsid w:val="006A64E0"/>
    <w:rsid w:val="006A669E"/>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F001E"/>
    <w:rsid w:val="006F0082"/>
    <w:rsid w:val="006F01FB"/>
    <w:rsid w:val="006F078A"/>
    <w:rsid w:val="006F0A3F"/>
    <w:rsid w:val="006F1026"/>
    <w:rsid w:val="006F109A"/>
    <w:rsid w:val="006F13D1"/>
    <w:rsid w:val="006F1EF5"/>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675"/>
    <w:rsid w:val="007A68D2"/>
    <w:rsid w:val="007A6BE5"/>
    <w:rsid w:val="007A6D3F"/>
    <w:rsid w:val="007A6DAD"/>
    <w:rsid w:val="007A6DF3"/>
    <w:rsid w:val="007A6F3C"/>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E01DB"/>
    <w:rsid w:val="007E050A"/>
    <w:rsid w:val="007E0910"/>
    <w:rsid w:val="007E0C0D"/>
    <w:rsid w:val="007E0E39"/>
    <w:rsid w:val="007E158B"/>
    <w:rsid w:val="007E2039"/>
    <w:rsid w:val="007E27B6"/>
    <w:rsid w:val="007E2C56"/>
    <w:rsid w:val="007E2C58"/>
    <w:rsid w:val="007E2EE7"/>
    <w:rsid w:val="007E32C2"/>
    <w:rsid w:val="007E3425"/>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217"/>
    <w:rsid w:val="007F5A67"/>
    <w:rsid w:val="007F5DCB"/>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7E8"/>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0F1"/>
    <w:rsid w:val="00836E56"/>
    <w:rsid w:val="00836F17"/>
    <w:rsid w:val="00837084"/>
    <w:rsid w:val="0083727B"/>
    <w:rsid w:val="0084005D"/>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4C"/>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A8F"/>
    <w:rsid w:val="00884A98"/>
    <w:rsid w:val="00885744"/>
    <w:rsid w:val="008857B8"/>
    <w:rsid w:val="00885CE5"/>
    <w:rsid w:val="0088637C"/>
    <w:rsid w:val="008864E1"/>
    <w:rsid w:val="00886717"/>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C3"/>
    <w:rsid w:val="00897C18"/>
    <w:rsid w:val="008A075D"/>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5F66"/>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1D6"/>
    <w:rsid w:val="008C3261"/>
    <w:rsid w:val="008C33CF"/>
    <w:rsid w:val="008C346D"/>
    <w:rsid w:val="008C34F5"/>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7DF"/>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A31"/>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4BB"/>
    <w:rsid w:val="009505D1"/>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30C"/>
    <w:rsid w:val="009577BA"/>
    <w:rsid w:val="00957949"/>
    <w:rsid w:val="00957A68"/>
    <w:rsid w:val="009600A4"/>
    <w:rsid w:val="0096014A"/>
    <w:rsid w:val="0096021D"/>
    <w:rsid w:val="00960CD8"/>
    <w:rsid w:val="00960D5C"/>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E26"/>
    <w:rsid w:val="00985695"/>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0B74"/>
    <w:rsid w:val="009A0F96"/>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78"/>
    <w:rsid w:val="009C118D"/>
    <w:rsid w:val="009C17AB"/>
    <w:rsid w:val="009C1882"/>
    <w:rsid w:val="009C1EDF"/>
    <w:rsid w:val="009C2510"/>
    <w:rsid w:val="009C27FA"/>
    <w:rsid w:val="009C2D0E"/>
    <w:rsid w:val="009C2E97"/>
    <w:rsid w:val="009C3434"/>
    <w:rsid w:val="009C3629"/>
    <w:rsid w:val="009C36A8"/>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55C"/>
    <w:rsid w:val="00A57853"/>
    <w:rsid w:val="00A57C7E"/>
    <w:rsid w:val="00A60737"/>
    <w:rsid w:val="00A6090F"/>
    <w:rsid w:val="00A6131A"/>
    <w:rsid w:val="00A616ED"/>
    <w:rsid w:val="00A6234A"/>
    <w:rsid w:val="00A623FC"/>
    <w:rsid w:val="00A62438"/>
    <w:rsid w:val="00A62C85"/>
    <w:rsid w:val="00A62FE1"/>
    <w:rsid w:val="00A63067"/>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08E8"/>
    <w:rsid w:val="00A71D6E"/>
    <w:rsid w:val="00A7261D"/>
    <w:rsid w:val="00A72757"/>
    <w:rsid w:val="00A727AE"/>
    <w:rsid w:val="00A72953"/>
    <w:rsid w:val="00A72B00"/>
    <w:rsid w:val="00A72CF6"/>
    <w:rsid w:val="00A738DC"/>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6BC1"/>
    <w:rsid w:val="00A87773"/>
    <w:rsid w:val="00A87D08"/>
    <w:rsid w:val="00A87D87"/>
    <w:rsid w:val="00A87DDF"/>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2FAB"/>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4206"/>
    <w:rsid w:val="00AC42BA"/>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5DF"/>
    <w:rsid w:val="00AE183B"/>
    <w:rsid w:val="00AE1AF2"/>
    <w:rsid w:val="00AE1B19"/>
    <w:rsid w:val="00AE1FC2"/>
    <w:rsid w:val="00AE246F"/>
    <w:rsid w:val="00AE25DE"/>
    <w:rsid w:val="00AE2650"/>
    <w:rsid w:val="00AE2AEF"/>
    <w:rsid w:val="00AE2C69"/>
    <w:rsid w:val="00AE2FD3"/>
    <w:rsid w:val="00AE3290"/>
    <w:rsid w:val="00AE3362"/>
    <w:rsid w:val="00AE3B3E"/>
    <w:rsid w:val="00AE3CC6"/>
    <w:rsid w:val="00AE3E53"/>
    <w:rsid w:val="00AE4088"/>
    <w:rsid w:val="00AE4168"/>
    <w:rsid w:val="00AE41CB"/>
    <w:rsid w:val="00AE49DC"/>
    <w:rsid w:val="00AE539B"/>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EC"/>
    <w:rsid w:val="00AF7401"/>
    <w:rsid w:val="00AF742F"/>
    <w:rsid w:val="00AF74A9"/>
    <w:rsid w:val="00AF77EA"/>
    <w:rsid w:val="00AF7899"/>
    <w:rsid w:val="00AF78D3"/>
    <w:rsid w:val="00AF78D8"/>
    <w:rsid w:val="00B00C02"/>
    <w:rsid w:val="00B00C33"/>
    <w:rsid w:val="00B0119B"/>
    <w:rsid w:val="00B01494"/>
    <w:rsid w:val="00B01D55"/>
    <w:rsid w:val="00B02808"/>
    <w:rsid w:val="00B02887"/>
    <w:rsid w:val="00B02F3E"/>
    <w:rsid w:val="00B0341D"/>
    <w:rsid w:val="00B03BEA"/>
    <w:rsid w:val="00B040ED"/>
    <w:rsid w:val="00B0417C"/>
    <w:rsid w:val="00B04534"/>
    <w:rsid w:val="00B048D3"/>
    <w:rsid w:val="00B04B99"/>
    <w:rsid w:val="00B04FEB"/>
    <w:rsid w:val="00B0510C"/>
    <w:rsid w:val="00B055AA"/>
    <w:rsid w:val="00B06280"/>
    <w:rsid w:val="00B0675B"/>
    <w:rsid w:val="00B06CC6"/>
    <w:rsid w:val="00B06D8B"/>
    <w:rsid w:val="00B07584"/>
    <w:rsid w:val="00B0787F"/>
    <w:rsid w:val="00B07C23"/>
    <w:rsid w:val="00B10011"/>
    <w:rsid w:val="00B10AF9"/>
    <w:rsid w:val="00B10E7A"/>
    <w:rsid w:val="00B11663"/>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2B45"/>
    <w:rsid w:val="00B43658"/>
    <w:rsid w:val="00B438DA"/>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4CF"/>
    <w:rsid w:val="00B50B7D"/>
    <w:rsid w:val="00B5147C"/>
    <w:rsid w:val="00B51E09"/>
    <w:rsid w:val="00B520CA"/>
    <w:rsid w:val="00B52521"/>
    <w:rsid w:val="00B530FF"/>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7A8"/>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E0A"/>
    <w:rsid w:val="00B81FAF"/>
    <w:rsid w:val="00B82005"/>
    <w:rsid w:val="00B82DAD"/>
    <w:rsid w:val="00B83038"/>
    <w:rsid w:val="00B831CA"/>
    <w:rsid w:val="00B83328"/>
    <w:rsid w:val="00B83919"/>
    <w:rsid w:val="00B8431C"/>
    <w:rsid w:val="00B8453F"/>
    <w:rsid w:val="00B8493B"/>
    <w:rsid w:val="00B84B2D"/>
    <w:rsid w:val="00B84D4D"/>
    <w:rsid w:val="00B850D3"/>
    <w:rsid w:val="00B8548E"/>
    <w:rsid w:val="00B85D9D"/>
    <w:rsid w:val="00B85E7F"/>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ACF"/>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C5B"/>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FEE"/>
    <w:rsid w:val="00CA6714"/>
    <w:rsid w:val="00CA672D"/>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B04"/>
    <w:rsid w:val="00D24DD2"/>
    <w:rsid w:val="00D258EC"/>
    <w:rsid w:val="00D25CAA"/>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3F5A"/>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0726"/>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079A"/>
    <w:rsid w:val="00D71F02"/>
    <w:rsid w:val="00D71FC5"/>
    <w:rsid w:val="00D720BE"/>
    <w:rsid w:val="00D72227"/>
    <w:rsid w:val="00D72486"/>
    <w:rsid w:val="00D72770"/>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FB0"/>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190"/>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87D"/>
    <w:rsid w:val="00DC2009"/>
    <w:rsid w:val="00DC2754"/>
    <w:rsid w:val="00DC2C3D"/>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8E8"/>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5DA"/>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63F"/>
    <w:rsid w:val="00E15BE0"/>
    <w:rsid w:val="00E15DCC"/>
    <w:rsid w:val="00E161B3"/>
    <w:rsid w:val="00E165D1"/>
    <w:rsid w:val="00E1693C"/>
    <w:rsid w:val="00E16F47"/>
    <w:rsid w:val="00E1747E"/>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7195"/>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F25"/>
    <w:rsid w:val="00EB0297"/>
    <w:rsid w:val="00EB077E"/>
    <w:rsid w:val="00EB14E1"/>
    <w:rsid w:val="00EB1C9A"/>
    <w:rsid w:val="00EB21F8"/>
    <w:rsid w:val="00EB2360"/>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A2E"/>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2E77"/>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75E"/>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2E"/>
    <w:rsid w:val="00FE33A4"/>
    <w:rsid w:val="00FE375C"/>
    <w:rsid w:val="00FE3B25"/>
    <w:rsid w:val="00FE4C4E"/>
    <w:rsid w:val="00FE50A9"/>
    <w:rsid w:val="00FE52F7"/>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3EA0"/>
    <w:rsid w:val="00FF41E6"/>
    <w:rsid w:val="00FF4388"/>
    <w:rsid w:val="00FF4FD2"/>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15:docId w15:val="{A5F94120-B263-41BB-8043-AB7F01FE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 w:type="paragraph" w:styleId="NormalWeb">
    <w:name w:val="Normal (Web)"/>
    <w:basedOn w:val="Normal"/>
    <w:uiPriority w:val="99"/>
    <w:semiHidden/>
    <w:unhideWhenUsed/>
    <w:rsid w:val="00C53C5B"/>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tesic@rzs.rs.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sibinovicvl\AppData\Local\Microsoft\Windows\Temporary%20Internet%20Files\Content.Outlook\GIKFSG0R\Grafikon_2016.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2015</c:v>
                  </c:pt>
                  <c:pt idx="12">
                    <c:v>2016</c:v>
                  </c:pt>
                </c:lvl>
              </c:multiLvlStrCache>
            </c:multiLvlStrRef>
          </c:cat>
          <c:val>
            <c:numRef>
              <c:f>'graf 2'!$C$1:$C$13</c:f>
              <c:numCache>
                <c:formatCode>0</c:formatCode>
                <c:ptCount val="13"/>
                <c:pt idx="0">
                  <c:v>812</c:v>
                </c:pt>
                <c:pt idx="1">
                  <c:v>834</c:v>
                </c:pt>
                <c:pt idx="2">
                  <c:v>831</c:v>
                </c:pt>
                <c:pt idx="3">
                  <c:v>835</c:v>
                </c:pt>
                <c:pt idx="4">
                  <c:v>832</c:v>
                </c:pt>
                <c:pt idx="5">
                  <c:v>843</c:v>
                </c:pt>
                <c:pt idx="6">
                  <c:v>834</c:v>
                </c:pt>
                <c:pt idx="7">
                  <c:v>834</c:v>
                </c:pt>
                <c:pt idx="8">
                  <c:v>834</c:v>
                </c:pt>
                <c:pt idx="9">
                  <c:v>824</c:v>
                </c:pt>
                <c:pt idx="10">
                  <c:v>824</c:v>
                </c:pt>
                <c:pt idx="11">
                  <c:v>834</c:v>
                </c:pt>
                <c:pt idx="12">
                  <c:v>816</c:v>
                </c:pt>
              </c:numCache>
            </c:numRef>
          </c:val>
          <c:smooth val="0"/>
        </c:ser>
        <c:dLbls>
          <c:showLegendKey val="0"/>
          <c:showVal val="0"/>
          <c:showCatName val="0"/>
          <c:showSerName val="0"/>
          <c:showPercent val="0"/>
          <c:showBubbleSize val="0"/>
        </c:dLbls>
        <c:smooth val="0"/>
        <c:axId val="205235496"/>
        <c:axId val="205233536"/>
      </c:lineChart>
      <c:catAx>
        <c:axId val="205235496"/>
        <c:scaling>
          <c:orientation val="minMax"/>
        </c:scaling>
        <c:delete val="0"/>
        <c:axPos val="b"/>
        <c:minorGridlines>
          <c:spPr>
            <a:ln w="3175">
              <a:solidFill>
                <a:schemeClr val="bg1">
                  <a:lumMod val="65000"/>
                </a:schemeClr>
              </a:solidFill>
            </a:ln>
          </c:spPr>
        </c:minorGridlines>
        <c:numFmt formatCode="General" sourceLinked="0"/>
        <c:majorTickMark val="out"/>
        <c:minorTickMark val="none"/>
        <c:tickLblPos val="nextTo"/>
        <c:crossAx val="205233536"/>
        <c:crosses val="autoZero"/>
        <c:auto val="1"/>
        <c:lblAlgn val="ctr"/>
        <c:lblOffset val="100"/>
        <c:noMultiLvlLbl val="0"/>
      </c:catAx>
      <c:valAx>
        <c:axId val="205233536"/>
        <c:scaling>
          <c:orientation val="minMax"/>
          <c:max val="900"/>
          <c:min val="600"/>
        </c:scaling>
        <c:delete val="0"/>
        <c:axPos val="l"/>
        <c:majorGridlines>
          <c:spPr>
            <a:ln w="3175"/>
          </c:spPr>
        </c:majorGridlines>
        <c:numFmt formatCode="0" sourceLinked="1"/>
        <c:majorTickMark val="out"/>
        <c:minorTickMark val="none"/>
        <c:tickLblPos val="nextTo"/>
        <c:crossAx val="205235496"/>
        <c:crosses val="autoZero"/>
        <c:crossBetween val="between"/>
      </c:valAx>
    </c:plotArea>
    <c:plotVisOnly val="1"/>
    <c:dispBlanksAs val="gap"/>
    <c:showDLblsOverMax val="0"/>
  </c:chart>
  <c:spPr>
    <a:noFill/>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170731707317069E-2"/>
          <c:y val="5.8577405857740628E-2"/>
          <c:w val="0.90069686411149863"/>
          <c:h val="0.76569037656903849"/>
        </c:manualLayout>
      </c:layout>
      <c:lineChart>
        <c:grouping val="standard"/>
        <c:varyColors val="0"/>
        <c:ser>
          <c:idx val="0"/>
          <c:order val="0"/>
          <c:tx>
            <c:strRef>
              <c:f>[Grafikon_2016.xlsx]jan!$C$3</c:f>
              <c:strCache>
                <c:ptCount val="1"/>
                <c:pt idx="0">
                  <c:v>Мјесечна инфлација</c:v>
                </c:pt>
              </c:strCache>
            </c:strRef>
          </c:tx>
          <c:spPr>
            <a:ln w="25400">
              <a:solidFill>
                <a:srgbClr val="666699"/>
              </a:solidFill>
              <a:prstDash val="solid"/>
            </a:ln>
          </c:spPr>
          <c:marker>
            <c:symbol val="none"/>
          </c:marker>
          <c:cat>
            <c:multiLvlStrRef>
              <c:f>[Grafikon_2016.xlsx]jan!$A$4:$B$16</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5">
                    <c:v>2015</c:v>
                  </c:pt>
                  <c:pt idx="12">
                    <c:v>2016</c:v>
                  </c:pt>
                </c:lvl>
              </c:multiLvlStrCache>
            </c:multiLvlStrRef>
          </c:cat>
          <c:val>
            <c:numRef>
              <c:f>[Grafikon_2016.xlsx]jan!$C$4:$C$16</c:f>
              <c:numCache>
                <c:formatCode>General</c:formatCode>
                <c:ptCount val="13"/>
                <c:pt idx="0">
                  <c:v>-0.4</c:v>
                </c:pt>
                <c:pt idx="1">
                  <c:v>0.2</c:v>
                </c:pt>
                <c:pt idx="2">
                  <c:v>0.5</c:v>
                </c:pt>
                <c:pt idx="3">
                  <c:v>-1.1000000000000001</c:v>
                </c:pt>
                <c:pt idx="4" formatCode="0.0">
                  <c:v>0</c:v>
                </c:pt>
                <c:pt idx="5">
                  <c:v>-0.3</c:v>
                </c:pt>
                <c:pt idx="6">
                  <c:v>-0.8</c:v>
                </c:pt>
                <c:pt idx="7" formatCode="0.0">
                  <c:v>0</c:v>
                </c:pt>
                <c:pt idx="8">
                  <c:v>-0.1</c:v>
                </c:pt>
                <c:pt idx="9">
                  <c:v>0.9</c:v>
                </c:pt>
                <c:pt idx="10">
                  <c:v>-0.2</c:v>
                </c:pt>
                <c:pt idx="11">
                  <c:v>-0.2</c:v>
                </c:pt>
                <c:pt idx="12">
                  <c:v>0.2</c:v>
                </c:pt>
              </c:numCache>
            </c:numRef>
          </c:val>
          <c:smooth val="0"/>
        </c:ser>
        <c:ser>
          <c:idx val="1"/>
          <c:order val="1"/>
          <c:tx>
            <c:strRef>
              <c:f>[Grafikon_2016.xlsx]jan!$D$3</c:f>
              <c:strCache>
                <c:ptCount val="1"/>
                <c:pt idx="0">
                  <c:v>Годишња инфлација</c:v>
                </c:pt>
              </c:strCache>
            </c:strRef>
          </c:tx>
          <c:spPr>
            <a:ln w="25400">
              <a:solidFill>
                <a:srgbClr val="996633"/>
              </a:solidFill>
              <a:prstDash val="solid"/>
            </a:ln>
          </c:spPr>
          <c:marker>
            <c:symbol val="none"/>
          </c:marker>
          <c:cat>
            <c:multiLvlStrRef>
              <c:f>[Grafikon_2016.xlsx]jan!$A$4:$B$16</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5">
                    <c:v>2015</c:v>
                  </c:pt>
                  <c:pt idx="12">
                    <c:v>2016</c:v>
                  </c:pt>
                </c:lvl>
              </c:multiLvlStrCache>
            </c:multiLvlStrRef>
          </c:cat>
          <c:val>
            <c:numRef>
              <c:f>[Grafikon_2016.xlsx]jan!$D$4:$D$16</c:f>
              <c:numCache>
                <c:formatCode>General</c:formatCode>
                <c:ptCount val="13"/>
                <c:pt idx="0">
                  <c:v>-1.3</c:v>
                </c:pt>
                <c:pt idx="1">
                  <c:v>-1.3</c:v>
                </c:pt>
                <c:pt idx="2">
                  <c:v>-0.8</c:v>
                </c:pt>
                <c:pt idx="3">
                  <c:v>-0.9</c:v>
                </c:pt>
                <c:pt idx="4">
                  <c:v>-0.8</c:v>
                </c:pt>
                <c:pt idx="5">
                  <c:v>-0.9</c:v>
                </c:pt>
                <c:pt idx="6">
                  <c:v>-1.6</c:v>
                </c:pt>
                <c:pt idx="7">
                  <c:v>-1.6</c:v>
                </c:pt>
                <c:pt idx="8">
                  <c:v>-2.1</c:v>
                </c:pt>
                <c:pt idx="9">
                  <c:v>-2.1</c:v>
                </c:pt>
                <c:pt idx="10" formatCode="0.0">
                  <c:v>-2</c:v>
                </c:pt>
                <c:pt idx="11">
                  <c:v>-1.6</c:v>
                </c:pt>
                <c:pt idx="12">
                  <c:v>-0.9</c:v>
                </c:pt>
              </c:numCache>
            </c:numRef>
          </c:val>
          <c:smooth val="0"/>
        </c:ser>
        <c:dLbls>
          <c:showLegendKey val="0"/>
          <c:showVal val="0"/>
          <c:showCatName val="0"/>
          <c:showSerName val="0"/>
          <c:showPercent val="0"/>
          <c:showBubbleSize val="0"/>
        </c:dLbls>
        <c:smooth val="0"/>
        <c:axId val="205234712"/>
        <c:axId val="205235888"/>
      </c:lineChart>
      <c:catAx>
        <c:axId val="205234712"/>
        <c:scaling>
          <c:orientation val="minMax"/>
        </c:scaling>
        <c:delete val="0"/>
        <c:axPos val="b"/>
        <c:minorGridlines>
          <c:spPr>
            <a:ln w="3175">
              <a:solidFill>
                <a:schemeClr val="bg1">
                  <a:lumMod val="65000"/>
                </a:schemeClr>
              </a:solidFill>
            </a:ln>
          </c:spPr>
        </c:minorGridlines>
        <c:numFmt formatCode="General" sourceLinked="1"/>
        <c:majorTickMark val="none"/>
        <c:minorTickMark val="out"/>
        <c:tickLblPos val="nextTo"/>
        <c:spPr>
          <a:ln w="9525">
            <a:solidFill>
              <a:srgbClr val="808080"/>
            </a:solidFill>
            <a:prstDash val="solid"/>
          </a:ln>
        </c:spPr>
        <c:txPr>
          <a:bodyPr rot="0" vert="horz"/>
          <a:lstStyle/>
          <a:p>
            <a:pPr>
              <a:defRPr sz="800" b="0" i="0" u="none" strike="noStrike" baseline="0">
                <a:solidFill>
                  <a:srgbClr val="000000"/>
                </a:solidFill>
                <a:latin typeface="Arial Narrow" panose="020B0606020202030204" pitchFamily="34" charset="0"/>
                <a:ea typeface="Calibri"/>
                <a:cs typeface="Calibri"/>
              </a:defRPr>
            </a:pPr>
            <a:endParaRPr lang="en-US"/>
          </a:p>
        </c:txPr>
        <c:crossAx val="205235888"/>
        <c:crosses val="autoZero"/>
        <c:auto val="0"/>
        <c:lblAlgn val="ctr"/>
        <c:lblOffset val="100"/>
        <c:tickLblSkip val="1"/>
        <c:tickMarkSkip val="1"/>
        <c:noMultiLvlLbl val="0"/>
      </c:catAx>
      <c:valAx>
        <c:axId val="205235888"/>
        <c:scaling>
          <c:orientation val="minMax"/>
        </c:scaling>
        <c:delete val="0"/>
        <c:axPos val="l"/>
        <c:majorGridlines>
          <c:spPr>
            <a:ln w="3175">
              <a:solidFill>
                <a:schemeClr val="bg1">
                  <a:lumMod val="65000"/>
                </a:schemeClr>
              </a:solidFill>
            </a:ln>
          </c:spPr>
        </c:majorGridlines>
        <c:numFmt formatCode="General" sourceLinked="1"/>
        <c:majorTickMark val="out"/>
        <c:minorTickMark val="none"/>
        <c:tickLblPos val="nextTo"/>
        <c:spPr>
          <a:ln w="9525">
            <a:solidFill>
              <a:srgbClr val="808080"/>
            </a:solidFill>
            <a:prstDash val="solid"/>
          </a:ln>
        </c:spPr>
        <c:txPr>
          <a:bodyPr rot="0" vert="horz"/>
          <a:lstStyle/>
          <a:p>
            <a:pPr>
              <a:defRPr sz="800" b="0" i="0" u="none" strike="noStrike" baseline="0">
                <a:solidFill>
                  <a:srgbClr val="000000"/>
                </a:solidFill>
                <a:latin typeface="Arial Narrow" panose="020B0606020202030204" pitchFamily="34" charset="0"/>
                <a:ea typeface="Calibri"/>
                <a:cs typeface="Calibri"/>
              </a:defRPr>
            </a:pPr>
            <a:endParaRPr lang="en-US"/>
          </a:p>
        </c:txPr>
        <c:crossAx val="205234712"/>
        <c:crosses val="autoZero"/>
        <c:crossBetween val="between"/>
      </c:valAx>
      <c:spPr>
        <a:solidFill>
          <a:srgbClr val="FFFFFF"/>
        </a:solidFill>
        <a:ln w="3175">
          <a:solidFill>
            <a:schemeClr val="bg1">
              <a:lumMod val="65000"/>
            </a:schemeClr>
          </a:solidFill>
        </a:ln>
      </c:spPr>
    </c:plotArea>
    <c:legend>
      <c:legendPos val="r"/>
      <c:layout>
        <c:manualLayout>
          <c:xMode val="edge"/>
          <c:yMode val="edge"/>
          <c:x val="0.23228803716608604"/>
          <c:y val="0.87484060194481472"/>
          <c:w val="0.52264808362369386"/>
          <c:h val="8.3682008368200902E-2"/>
        </c:manualLayout>
      </c:layout>
      <c:overlay val="0"/>
      <c:spPr>
        <a:noFill/>
        <a:ln w="25400">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en-US"/>
        </a:p>
      </c:txPr>
    </c:legend>
    <c:plotVisOnly val="1"/>
    <c:dispBlanksAs val="gap"/>
    <c:showDLblsOverMax val="0"/>
  </c:chart>
  <c:spPr>
    <a:solidFill>
      <a:srgbClr val="FFFFFF"/>
    </a:solidFill>
    <a:ln w="12700">
      <a:no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7503223824943859"/>
          <c:h val="0.8326195683872849"/>
        </c:manualLayout>
      </c:layout>
      <c:lineChart>
        <c:grouping val="standard"/>
        <c:varyColors val="0"/>
        <c:ser>
          <c:idx val="0"/>
          <c:order val="0"/>
          <c:tx>
            <c:strRef>
              <c:f>zaDec2015!$A$2</c:f>
              <c:strCache>
                <c:ptCount val="1"/>
                <c:pt idx="0">
                  <c:v>увоз                   </c:v>
                </c:pt>
              </c:strCache>
            </c:strRef>
          </c:tx>
          <c:marker>
            <c:symbol val="none"/>
          </c:marker>
          <c:cat>
            <c:strRef>
              <c:f>zaDec2015!$B$1:$N$1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zaDec2015!$B$2:$N$2</c:f>
              <c:numCache>
                <c:formatCode>General</c:formatCode>
                <c:ptCount val="13"/>
                <c:pt idx="0">
                  <c:v>225106</c:v>
                </c:pt>
                <c:pt idx="1">
                  <c:v>345525</c:v>
                </c:pt>
                <c:pt idx="2">
                  <c:v>403648</c:v>
                </c:pt>
                <c:pt idx="3">
                  <c:v>355008</c:v>
                </c:pt>
                <c:pt idx="4">
                  <c:v>393112</c:v>
                </c:pt>
                <c:pt idx="5">
                  <c:v>372846</c:v>
                </c:pt>
                <c:pt idx="6">
                  <c:v>442035</c:v>
                </c:pt>
                <c:pt idx="7">
                  <c:v>336534</c:v>
                </c:pt>
                <c:pt idx="8">
                  <c:v>390519</c:v>
                </c:pt>
                <c:pt idx="9">
                  <c:v>397166</c:v>
                </c:pt>
                <c:pt idx="10">
                  <c:v>346318</c:v>
                </c:pt>
                <c:pt idx="11">
                  <c:v>288270</c:v>
                </c:pt>
                <c:pt idx="12">
                  <c:v>221081</c:v>
                </c:pt>
              </c:numCache>
            </c:numRef>
          </c:val>
          <c:smooth val="0"/>
        </c:ser>
        <c:ser>
          <c:idx val="1"/>
          <c:order val="1"/>
          <c:tx>
            <c:strRef>
              <c:f>zaDec2015!$A$3</c:f>
              <c:strCache>
                <c:ptCount val="1"/>
                <c:pt idx="0">
                  <c:v>извоз</c:v>
                </c:pt>
              </c:strCache>
            </c:strRef>
          </c:tx>
          <c:marker>
            <c:symbol val="none"/>
          </c:marker>
          <c:cat>
            <c:strRef>
              <c:f>zaDec2015!$B$1:$N$1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zaDec2015!$B$3:$N$3</c:f>
              <c:numCache>
                <c:formatCode>0</c:formatCode>
                <c:ptCount val="13"/>
                <c:pt idx="0">
                  <c:v>169816</c:v>
                </c:pt>
                <c:pt idx="1">
                  <c:v>201174</c:v>
                </c:pt>
                <c:pt idx="2">
                  <c:v>214811</c:v>
                </c:pt>
                <c:pt idx="3">
                  <c:v>209561</c:v>
                </c:pt>
                <c:pt idx="4">
                  <c:v>207541</c:v>
                </c:pt>
                <c:pt idx="5">
                  <c:v>238678</c:v>
                </c:pt>
                <c:pt idx="6">
                  <c:v>243048</c:v>
                </c:pt>
                <c:pt idx="7">
                  <c:v>201596</c:v>
                </c:pt>
                <c:pt idx="8">
                  <c:v>237628</c:v>
                </c:pt>
                <c:pt idx="9">
                  <c:v>240795</c:v>
                </c:pt>
                <c:pt idx="10">
                  <c:v>202399</c:v>
                </c:pt>
                <c:pt idx="11">
                  <c:v>146158</c:v>
                </c:pt>
                <c:pt idx="12">
                  <c:v>184071</c:v>
                </c:pt>
              </c:numCache>
            </c:numRef>
          </c:val>
          <c:smooth val="0"/>
        </c:ser>
        <c:dLbls>
          <c:showLegendKey val="0"/>
          <c:showVal val="0"/>
          <c:showCatName val="0"/>
          <c:showSerName val="0"/>
          <c:showPercent val="0"/>
          <c:showBubbleSize val="0"/>
        </c:dLbls>
        <c:smooth val="0"/>
        <c:axId val="198892432"/>
        <c:axId val="198894000"/>
      </c:lineChart>
      <c:catAx>
        <c:axId val="198892432"/>
        <c:scaling>
          <c:orientation val="minMax"/>
        </c:scaling>
        <c:delete val="0"/>
        <c:axPos val="b"/>
        <c:minorGridlines>
          <c:spPr>
            <a:ln w="3175">
              <a:solidFill>
                <a:schemeClr val="bg1">
                  <a:lumMod val="65000"/>
                </a:schemeClr>
              </a:solidFill>
            </a:ln>
          </c:spPr>
        </c:minorGridlines>
        <c:numFmt formatCode="General" sourceLinked="0"/>
        <c:majorTickMark val="out"/>
        <c:minorTickMark val="none"/>
        <c:tickLblPos val="nextTo"/>
        <c:crossAx val="198894000"/>
        <c:crosses val="autoZero"/>
        <c:auto val="1"/>
        <c:lblAlgn val="ctr"/>
        <c:lblOffset val="100"/>
        <c:noMultiLvlLbl val="0"/>
      </c:catAx>
      <c:valAx>
        <c:axId val="198894000"/>
        <c:scaling>
          <c:orientation val="minMax"/>
        </c:scaling>
        <c:delete val="0"/>
        <c:axPos val="l"/>
        <c:majorGridlines>
          <c:spPr>
            <a:ln w="3175">
              <a:solidFill>
                <a:schemeClr val="bg1">
                  <a:lumMod val="65000"/>
                </a:schemeClr>
              </a:solidFill>
            </a:ln>
          </c:spPr>
        </c:majorGridlines>
        <c:numFmt formatCode="#,##0" sourceLinked="0"/>
        <c:majorTickMark val="out"/>
        <c:minorTickMark val="none"/>
        <c:tickLblPos val="nextTo"/>
        <c:crossAx val="198892432"/>
        <c:crosses val="autoZero"/>
        <c:crossBetween val="between"/>
      </c:valAx>
    </c:plotArea>
    <c:legend>
      <c:legendPos val="r"/>
      <c:layout>
        <c:manualLayout>
          <c:xMode val="edge"/>
          <c:yMode val="edge"/>
          <c:x val="0.83345917376765877"/>
          <c:y val="0.34220861281228737"/>
          <c:w val="0.16230180131593139"/>
          <c:h val="0.1901782832701468"/>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1F68-AA96-4CA0-9941-CD270E54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6967</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Jelena Kadnic</cp:lastModifiedBy>
  <cp:revision>537</cp:revision>
  <cp:lastPrinted>2015-12-17T11:01:00Z</cp:lastPrinted>
  <dcterms:created xsi:type="dcterms:W3CDTF">2014-03-14T12:01:00Z</dcterms:created>
  <dcterms:modified xsi:type="dcterms:W3CDTF">2016-02-22T08:38:00Z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