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1B25E0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3228B3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72615B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3228B3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August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6</w:t>
            </w:r>
            <w:r w:rsidR="003228B3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,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</w:t>
            </w:r>
            <w:r w:rsidR="003228B3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No.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DC17C9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209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431915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6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F9130D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F9130D" w:rsidRDefault="00F9130D" w:rsidP="00DC2DCC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August 2016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7712D7" w:rsidRDefault="00D13210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Average net wage in July</w:t>
      </w:r>
      <w:r w:rsidR="00E33D13" w:rsidRPr="007712D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1A1E7A" w:rsidRPr="007712D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38</w:t>
      </w:r>
      <w:r w:rsidR="00E33D13" w:rsidRPr="007712D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7712D7" w:rsidRDefault="00D13210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A702EC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>
        <w:rPr>
          <w:rFonts w:ascii="Arial Narrow" w:hAnsi="Arial Narrow" w:cs="Tahoma"/>
          <w:b/>
          <w:sz w:val="28"/>
          <w:szCs w:val="28"/>
          <w:lang w:val="ru-RU"/>
        </w:rPr>
        <w:t xml:space="preserve"> 1,</w:t>
      </w:r>
      <w:r w:rsidR="00E33D13" w:rsidRPr="007712D7">
        <w:rPr>
          <w:rFonts w:ascii="Arial Narrow" w:hAnsi="Arial Narrow" w:cs="Tahoma"/>
          <w:b/>
          <w:sz w:val="28"/>
          <w:szCs w:val="28"/>
          <w:lang w:val="ru-RU"/>
        </w:rPr>
        <w:t>2</w:t>
      </w:r>
      <w:r w:rsidR="001A1E7A" w:rsidRPr="007712D7">
        <w:rPr>
          <w:rFonts w:ascii="Arial Narrow" w:hAnsi="Arial Narrow" w:cs="Tahoma"/>
          <w:b/>
          <w:sz w:val="28"/>
          <w:szCs w:val="28"/>
          <w:lang w:val="ru-RU"/>
        </w:rPr>
        <w:t>67</w:t>
      </w:r>
      <w:r w:rsidR="00E33D13" w:rsidRPr="007712D7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E33D13" w:rsidRPr="007712D7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Pr="009B5A57">
        <w:rPr>
          <w:rFonts w:ascii="Arial Narrow" w:hAnsi="Arial Narrow" w:cs="Tahoma"/>
          <w:b/>
          <w:sz w:val="28"/>
          <w:szCs w:val="28"/>
        </w:rPr>
        <w:t xml:space="preserve">while the lowest one was that in the section </w:t>
      </w:r>
      <w:r>
        <w:rPr>
          <w:rFonts w:ascii="Arial Narrow" w:hAnsi="Arial Narrow" w:cs="Tahoma"/>
          <w:b/>
          <w:i/>
          <w:sz w:val="28"/>
          <w:szCs w:val="28"/>
        </w:rPr>
        <w:t>Administrative and support services</w:t>
      </w:r>
      <w:r w:rsidR="00652176" w:rsidRPr="007712D7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E33D13" w:rsidRPr="007712D7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1A1E7A" w:rsidRPr="007712D7">
        <w:rPr>
          <w:rFonts w:ascii="Arial Narrow" w:hAnsi="Arial Narrow" w:cs="Tahoma"/>
          <w:b/>
          <w:sz w:val="28"/>
          <w:szCs w:val="28"/>
          <w:lang w:val="sr-Cyrl-BA"/>
        </w:rPr>
        <w:t>16</w:t>
      </w:r>
      <w:r w:rsidR="00E33D13" w:rsidRPr="007712D7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7712D7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7712D7">
        <w:rPr>
          <w:rFonts w:ascii="Tahoma" w:hAnsi="Tahoma" w:cs="Tahoma"/>
          <w:b/>
          <w:lang w:val="sr-Cyrl-CS"/>
        </w:rPr>
        <w:tab/>
      </w:r>
      <w:r w:rsidRPr="007712D7">
        <w:rPr>
          <w:rFonts w:ascii="Tahoma" w:hAnsi="Tahoma" w:cs="Tahoma"/>
          <w:b/>
          <w:lang w:val="sr-Cyrl-CS"/>
        </w:rPr>
        <w:tab/>
      </w:r>
    </w:p>
    <w:p w:rsidR="00D13210" w:rsidRDefault="00D1321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Average net wage of employed persons in Republika Srpska paid in July 2016 was 838 KM, while average monthly gross wage was 1,350 KM. </w:t>
      </w:r>
    </w:p>
    <w:p w:rsidR="00D13210" w:rsidRDefault="00D1321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D13210" w:rsidRDefault="00D1321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Compared to July 2015, average net wage paid in July 2016 was really 1.5% higher, while compared to June 2016 it was really 0.5% lower. </w:t>
      </w:r>
    </w:p>
    <w:p w:rsidR="00D13210" w:rsidRDefault="00D1321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D13210" w:rsidRDefault="00D1321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The decrease in average net wage in July 2016, compared to June 2016, occurred mainly due to a lower number of paid overtime hours of work and of hours of work on public holidays in the sections </w:t>
      </w:r>
      <w:r w:rsidRPr="00AE10B3">
        <w:rPr>
          <w:rFonts w:ascii="Arial Narrow" w:hAnsi="Arial Narrow" w:cs="Tahoma"/>
          <w:i/>
          <w:sz w:val="22"/>
        </w:rPr>
        <w:t>Information and communication</w:t>
      </w:r>
      <w:r>
        <w:rPr>
          <w:rFonts w:ascii="Arial Narrow" w:hAnsi="Arial Narrow" w:cs="Tahoma"/>
          <w:sz w:val="22"/>
        </w:rPr>
        <w:t xml:space="preserve">, </w:t>
      </w:r>
      <w:r w:rsidRPr="00D13210">
        <w:rPr>
          <w:rFonts w:ascii="Arial Narrow" w:hAnsi="Arial Narrow" w:cs="Tahoma"/>
          <w:i/>
          <w:sz w:val="22"/>
        </w:rPr>
        <w:t>Mining and quarrying,</w:t>
      </w:r>
      <w:r>
        <w:rPr>
          <w:rFonts w:ascii="Arial Narrow" w:hAnsi="Arial Narrow" w:cs="Tahoma"/>
          <w:sz w:val="22"/>
        </w:rPr>
        <w:t xml:space="preserve"> and </w:t>
      </w:r>
      <w:r w:rsidRPr="00D13210">
        <w:rPr>
          <w:rFonts w:ascii="Arial Narrow" w:hAnsi="Arial Narrow" w:cs="Tahoma"/>
          <w:i/>
          <w:sz w:val="22"/>
        </w:rPr>
        <w:t>Electricity, gas, steam and air-conditioning supply</w:t>
      </w:r>
      <w:r>
        <w:rPr>
          <w:rFonts w:ascii="Arial Narrow" w:hAnsi="Arial Narrow" w:cs="Tahoma"/>
          <w:sz w:val="22"/>
        </w:rPr>
        <w:t xml:space="preserve">, which employ a significant number of persons. </w:t>
      </w:r>
    </w:p>
    <w:p w:rsidR="00D13210" w:rsidRDefault="00D1321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D13210" w:rsidRPr="00D13210" w:rsidRDefault="00155FE4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>In July 2016, the highest</w:t>
      </w:r>
      <w:r w:rsidR="00D13210">
        <w:rPr>
          <w:rFonts w:ascii="Arial Narrow" w:hAnsi="Arial Narrow" w:cs="Tahoma"/>
          <w:sz w:val="22"/>
        </w:rPr>
        <w:t xml:space="preserve"> average net wage, by section of activities, was paid in the section </w:t>
      </w:r>
      <w:r w:rsidR="00D13210" w:rsidRPr="00D13210">
        <w:rPr>
          <w:rFonts w:ascii="Arial Narrow" w:hAnsi="Arial Narrow" w:cs="Tahoma"/>
          <w:i/>
          <w:sz w:val="22"/>
        </w:rPr>
        <w:t>Financial and insurance activities</w:t>
      </w:r>
      <w:r w:rsidR="00D13210">
        <w:rPr>
          <w:rFonts w:ascii="Arial Narrow" w:hAnsi="Arial Narrow" w:cs="Tahoma"/>
          <w:sz w:val="22"/>
        </w:rPr>
        <w:t xml:space="preserve"> and it amounted to 1,267 KM. On the other hand, the lowest average net wage in July 2016 was the one paid in the section </w:t>
      </w:r>
      <w:r w:rsidR="00D13210" w:rsidRPr="00D13210">
        <w:rPr>
          <w:rFonts w:ascii="Arial Narrow" w:hAnsi="Arial Narrow" w:cs="Tahoma"/>
          <w:i/>
          <w:sz w:val="22"/>
        </w:rPr>
        <w:t>Administrative and support service activities</w:t>
      </w:r>
      <w:r w:rsidR="00D13210">
        <w:rPr>
          <w:rFonts w:ascii="Arial Narrow" w:hAnsi="Arial Narrow" w:cs="Tahoma"/>
          <w:sz w:val="22"/>
        </w:rPr>
        <w:t xml:space="preserve"> 516 KM. </w:t>
      </w:r>
    </w:p>
    <w:p w:rsidR="00E33D13" w:rsidRPr="007712D7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D13210" w:rsidRPr="00D13210" w:rsidRDefault="00D13210" w:rsidP="00E33D13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In July 2016, compared to June 2016, a nominal increase in net wages was recorded in the sections </w:t>
      </w:r>
      <w:r w:rsidRPr="007501AA">
        <w:rPr>
          <w:rFonts w:ascii="Arial Narrow" w:hAnsi="Arial Narrow" w:cs="Tahoma"/>
          <w:i/>
          <w:sz w:val="22"/>
          <w:szCs w:val="22"/>
        </w:rPr>
        <w:t>Human health and social work activities</w:t>
      </w:r>
      <w:r>
        <w:rPr>
          <w:rFonts w:ascii="Arial Narrow" w:hAnsi="Arial Narrow" w:cs="Tahoma"/>
          <w:sz w:val="22"/>
          <w:szCs w:val="22"/>
        </w:rPr>
        <w:t xml:space="preserve"> 1.1%, </w:t>
      </w:r>
      <w:r w:rsidRPr="007501AA">
        <w:rPr>
          <w:rFonts w:ascii="Arial Narrow" w:hAnsi="Arial Narrow" w:cs="Tahoma"/>
          <w:i/>
          <w:sz w:val="22"/>
          <w:szCs w:val="22"/>
        </w:rPr>
        <w:t>Construction</w:t>
      </w:r>
      <w:r>
        <w:rPr>
          <w:rFonts w:ascii="Arial Narrow" w:hAnsi="Arial Narrow" w:cs="Tahoma"/>
          <w:sz w:val="22"/>
          <w:szCs w:val="22"/>
        </w:rPr>
        <w:t xml:space="preserve"> 1.0%, and </w:t>
      </w:r>
      <w:r w:rsidRPr="007501AA">
        <w:rPr>
          <w:rFonts w:ascii="Arial Narrow" w:hAnsi="Arial Narrow" w:cs="Tahoma"/>
          <w:i/>
          <w:sz w:val="22"/>
          <w:szCs w:val="22"/>
        </w:rPr>
        <w:t>Agriculture, forestry</w:t>
      </w:r>
      <w:r w:rsidR="007501AA" w:rsidRPr="007501AA">
        <w:rPr>
          <w:rFonts w:ascii="Arial Narrow" w:hAnsi="Arial Narrow" w:cs="Tahoma"/>
          <w:i/>
          <w:sz w:val="22"/>
          <w:szCs w:val="22"/>
        </w:rPr>
        <w:t xml:space="preserve"> and fishing</w:t>
      </w:r>
      <w:r w:rsidR="007501AA">
        <w:rPr>
          <w:rFonts w:ascii="Arial Narrow" w:hAnsi="Arial Narrow" w:cs="Tahoma"/>
          <w:sz w:val="22"/>
          <w:szCs w:val="22"/>
        </w:rPr>
        <w:t xml:space="preserve"> 0.7%. </w:t>
      </w:r>
    </w:p>
    <w:p w:rsidR="00FF3EA0" w:rsidRDefault="00FF3EA0" w:rsidP="00E33D13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7501AA" w:rsidRPr="007501AA" w:rsidRDefault="007501AA" w:rsidP="00E33D13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  <w:szCs w:val="22"/>
        </w:rPr>
        <w:t xml:space="preserve">A decrease in nominal wages was recorded in the sections </w:t>
      </w:r>
      <w:r w:rsidRPr="007501AA">
        <w:rPr>
          <w:rFonts w:ascii="Arial Narrow" w:hAnsi="Arial Narrow" w:cs="Tahoma"/>
          <w:i/>
          <w:sz w:val="22"/>
          <w:szCs w:val="22"/>
        </w:rPr>
        <w:t>Information and communication</w:t>
      </w:r>
      <w:r>
        <w:rPr>
          <w:rFonts w:ascii="Arial Narrow" w:hAnsi="Arial Narrow" w:cs="Tahoma"/>
          <w:sz w:val="22"/>
          <w:szCs w:val="22"/>
        </w:rPr>
        <w:t xml:space="preserve"> 7.0%, </w:t>
      </w:r>
      <w:r w:rsidRPr="007501AA">
        <w:rPr>
          <w:rFonts w:ascii="Arial Narrow" w:hAnsi="Arial Narrow" w:cs="Tahoma"/>
          <w:i/>
          <w:sz w:val="22"/>
          <w:szCs w:val="22"/>
        </w:rPr>
        <w:t>Professional, scientific and technical</w:t>
      </w:r>
      <w:r>
        <w:rPr>
          <w:rFonts w:ascii="Arial Narrow" w:hAnsi="Arial Narrow" w:cs="Tahoma"/>
          <w:sz w:val="22"/>
          <w:szCs w:val="22"/>
        </w:rPr>
        <w:t xml:space="preserve"> activities 6.2% and </w:t>
      </w:r>
      <w:r w:rsidRPr="00756192">
        <w:rPr>
          <w:rFonts w:ascii="Arial Narrow" w:hAnsi="Arial Narrow" w:cs="Tahoma"/>
          <w:i/>
          <w:sz w:val="22"/>
          <w:szCs w:val="22"/>
        </w:rPr>
        <w:t>Mining and quarrying</w:t>
      </w:r>
      <w:r>
        <w:rPr>
          <w:rFonts w:ascii="Arial Narrow" w:hAnsi="Arial Narrow" w:cs="Tahoma"/>
          <w:sz w:val="22"/>
          <w:szCs w:val="22"/>
        </w:rPr>
        <w:t xml:space="preserve"> 4.9%. </w:t>
      </w:r>
    </w:p>
    <w:p w:rsidR="00396802" w:rsidRPr="007712D7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7712D7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712D7">
        <w:rPr>
          <w:rFonts w:ascii="Tahoma" w:hAnsi="Tahoma" w:cs="Tahoma"/>
          <w:i/>
          <w:sz w:val="14"/>
          <w:lang w:val="sr-Cyrl-CS"/>
        </w:rPr>
        <w:t xml:space="preserve"> </w:t>
      </w:r>
      <w:r w:rsidRPr="007712D7">
        <w:rPr>
          <w:rFonts w:ascii="Tahoma" w:hAnsi="Tahoma" w:cs="Tahoma"/>
          <w:sz w:val="14"/>
          <w:lang w:val="sr-Cyrl-CS"/>
        </w:rPr>
        <w:t xml:space="preserve">   </w:t>
      </w:r>
      <w:r w:rsidRPr="007712D7">
        <w:rPr>
          <w:rFonts w:ascii="Tahoma" w:hAnsi="Tahoma" w:cs="Tahoma"/>
          <w:sz w:val="14"/>
          <w:lang w:val="sr-Latn-CS"/>
        </w:rPr>
        <w:tab/>
      </w:r>
      <w:r w:rsidRPr="007712D7">
        <w:rPr>
          <w:rFonts w:ascii="Tahoma" w:hAnsi="Tahoma" w:cs="Tahoma"/>
          <w:sz w:val="14"/>
          <w:lang w:val="sr-Latn-CS"/>
        </w:rPr>
        <w:tab/>
      </w:r>
      <w:r w:rsidRPr="007712D7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7712D7">
        <w:rPr>
          <w:rFonts w:ascii="Tahoma" w:hAnsi="Tahoma" w:cs="Tahoma"/>
          <w:sz w:val="14"/>
          <w:lang w:val="sr-Cyrl-BA"/>
        </w:rPr>
        <w:t xml:space="preserve">   </w:t>
      </w:r>
      <w:r w:rsidRPr="007712D7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7712D7" w:rsidRDefault="00AD485B" w:rsidP="00E33D13">
      <w:pPr>
        <w:jc w:val="center"/>
        <w:rPr>
          <w:rFonts w:ascii="Tahoma" w:hAnsi="Tahoma" w:cs="Tahoma"/>
          <w:lang w:val="sr-Cyrl-BA"/>
        </w:rPr>
      </w:pPr>
      <w:r w:rsidRPr="007712D7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2063750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7712D7">
        <w:rPr>
          <w:rFonts w:ascii="Tahoma" w:hAnsi="Tahoma" w:cs="Tahoma"/>
          <w:szCs w:val="18"/>
          <w:lang w:val="sr-Cyrl-BA"/>
        </w:rPr>
        <w:t xml:space="preserve">   </w:t>
      </w:r>
      <w:r w:rsidR="006F20BC" w:rsidRPr="007712D7">
        <w:rPr>
          <w:noProof/>
        </w:rPr>
        <w:drawing>
          <wp:inline distT="0" distB="0" distL="0" distR="0" wp14:anchorId="240C2808" wp14:editId="21F74DE4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7712D7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D13210" w:rsidRDefault="00D13210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E33D13" w:rsidRPr="007712D7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="0066022A" w:rsidRPr="007712D7">
        <w:rPr>
          <w:rFonts w:ascii="Arial Narrow" w:hAnsi="Arial Narrow" w:cs="Tahoma"/>
          <w:sz w:val="16"/>
          <w:szCs w:val="22"/>
          <w:lang w:val="sr-Latn-BA"/>
        </w:rPr>
        <w:t>1</w:t>
      </w:r>
      <w:r w:rsidR="00E33D13" w:rsidRPr="007712D7">
        <w:rPr>
          <w:rFonts w:ascii="Arial Narrow" w:hAnsi="Arial Narrow" w:cs="Tahoma"/>
          <w:sz w:val="16"/>
          <w:szCs w:val="22"/>
          <w:lang w:val="sr-Cyrl-CS"/>
        </w:rPr>
        <w:t>.</w:t>
      </w:r>
      <w:r w:rsidR="00E33D13" w:rsidRPr="007712D7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BE051D" w:rsidRPr="007712D7" w:rsidRDefault="00BE051D">
      <w:pPr>
        <w:rPr>
          <w:rFonts w:ascii="Arial Narrow" w:hAnsi="Arial Narrow" w:cs="Tahoma"/>
          <w:sz w:val="22"/>
          <w:lang w:val="sr-Latn-BA"/>
        </w:rPr>
      </w:pPr>
    </w:p>
    <w:p w:rsidR="004832EC" w:rsidRDefault="004832EC">
      <w:pPr>
        <w:rPr>
          <w:rFonts w:ascii="Arial Narrow" w:hAnsi="Arial Narrow" w:cs="Tahoma"/>
          <w:sz w:val="22"/>
          <w:lang w:val="sr-Latn-BA"/>
        </w:rPr>
      </w:pPr>
    </w:p>
    <w:p w:rsidR="008A57D5" w:rsidRPr="007712D7" w:rsidRDefault="008A57D5">
      <w:pPr>
        <w:rPr>
          <w:rFonts w:ascii="Arial Narrow" w:hAnsi="Arial Narrow" w:cs="Tahoma"/>
          <w:sz w:val="22"/>
          <w:lang w:val="sr-Latn-BA"/>
        </w:rPr>
      </w:pPr>
    </w:p>
    <w:p w:rsidR="004832EC" w:rsidRPr="007712D7" w:rsidRDefault="004832EC">
      <w:pPr>
        <w:rPr>
          <w:rFonts w:ascii="Arial Narrow" w:hAnsi="Arial Narrow" w:cs="Tahoma"/>
          <w:sz w:val="22"/>
          <w:lang w:val="sr-Latn-BA"/>
        </w:rPr>
      </w:pPr>
    </w:p>
    <w:p w:rsidR="00D05260" w:rsidRPr="008A57D5" w:rsidRDefault="008A57D5" w:rsidP="00D05260">
      <w:pPr>
        <w:jc w:val="both"/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lastRenderedPageBreak/>
        <w:t>Monthly inflation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-0.</w:t>
      </w:r>
      <w:r w:rsidR="00D05260" w:rsidRPr="007712D7">
        <w:rPr>
          <w:rFonts w:ascii="Arial Narrow" w:hAnsi="Arial Narrow" w:cs="Tahoma"/>
          <w:b/>
          <w:sz w:val="30"/>
          <w:szCs w:val="30"/>
          <w:lang w:val="sr-Cyrl-BA"/>
        </w:rPr>
        <w:t>3%</w:t>
      </w:r>
      <w:r>
        <w:rPr>
          <w:rFonts w:ascii="Arial Narrow" w:hAnsi="Arial Narrow" w:cs="Tahoma"/>
          <w:b/>
          <w:sz w:val="30"/>
          <w:szCs w:val="30"/>
        </w:rPr>
        <w:t xml:space="preserve"> in July 2016</w:t>
      </w:r>
    </w:p>
    <w:p w:rsidR="00D05260" w:rsidRPr="007712D7" w:rsidRDefault="008A57D5" w:rsidP="00D05260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sz w:val="30"/>
          <w:szCs w:val="30"/>
        </w:rPr>
        <w:t>Annual inflation</w:t>
      </w:r>
      <w:r w:rsidR="00D05260" w:rsidRPr="007712D7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b/>
          <w:sz w:val="30"/>
          <w:szCs w:val="30"/>
          <w:lang w:val="sr-Latn-BA"/>
        </w:rPr>
        <w:t>July</w:t>
      </w:r>
      <w:r w:rsidR="00D05260" w:rsidRPr="007712D7">
        <w:rPr>
          <w:rFonts w:ascii="Arial Narrow" w:hAnsi="Arial Narrow" w:cs="Tahoma"/>
          <w:b/>
          <w:sz w:val="30"/>
          <w:szCs w:val="30"/>
          <w:lang w:val="sr-Cyrl-BA"/>
        </w:rPr>
        <w:t xml:space="preserve"> 2016/</w:t>
      </w:r>
      <w:r>
        <w:rPr>
          <w:rFonts w:ascii="Arial Narrow" w:hAnsi="Arial Narrow" w:cs="Tahoma"/>
          <w:b/>
          <w:sz w:val="30"/>
          <w:szCs w:val="30"/>
          <w:lang w:val="sr-Latn-BA"/>
        </w:rPr>
        <w:t>July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2015) -1.</w:t>
      </w:r>
      <w:r w:rsidR="00D05260" w:rsidRPr="007712D7">
        <w:rPr>
          <w:rFonts w:ascii="Arial Narrow" w:hAnsi="Arial Narrow" w:cs="Tahoma"/>
          <w:b/>
          <w:sz w:val="30"/>
          <w:szCs w:val="30"/>
          <w:lang w:val="sr-Cyrl-BA"/>
        </w:rPr>
        <w:t>0%</w:t>
      </w:r>
    </w:p>
    <w:p w:rsidR="00D05260" w:rsidRPr="007712D7" w:rsidRDefault="00D05260" w:rsidP="00D05260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</w:p>
    <w:p w:rsidR="008A57D5" w:rsidRDefault="008A57D5" w:rsidP="00D05260">
      <w:pPr>
        <w:jc w:val="both"/>
        <w:rPr>
          <w:rFonts w:ascii="Arial Narrow" w:hAnsi="Arial Narrow" w:cs="Tahoma"/>
          <w:sz w:val="22"/>
          <w:lang w:val="sr-Cyrl-BA"/>
        </w:rPr>
      </w:pPr>
      <w:r w:rsidRPr="008A57D5">
        <w:rPr>
          <w:rFonts w:ascii="Arial Narrow" w:hAnsi="Arial Narrow" w:cs="Tahoma"/>
          <w:sz w:val="22"/>
          <w:lang w:val="sr-Cyrl-BA"/>
        </w:rPr>
        <w:t xml:space="preserve">Prices of products and services for personal consumption in Republika Srpska, measured with the consumer price index, in </w:t>
      </w:r>
      <w:r>
        <w:rPr>
          <w:rFonts w:ascii="Arial Narrow" w:hAnsi="Arial Narrow" w:cs="Tahoma"/>
          <w:sz w:val="22"/>
        </w:rPr>
        <w:t>July</w:t>
      </w:r>
      <w:r w:rsidRPr="008A57D5">
        <w:rPr>
          <w:rFonts w:ascii="Arial Narrow" w:hAnsi="Arial Narrow" w:cs="Tahoma"/>
          <w:sz w:val="22"/>
          <w:lang w:val="sr-Cyrl-BA"/>
        </w:rPr>
        <w:t xml:space="preserve"> 2016, compared to the previou</w:t>
      </w:r>
      <w:r>
        <w:rPr>
          <w:rFonts w:ascii="Arial Narrow" w:hAnsi="Arial Narrow" w:cs="Tahoma"/>
          <w:sz w:val="22"/>
          <w:lang w:val="sr-Cyrl-BA"/>
        </w:rPr>
        <w:t>s month, were on the average 0.3% lower, while they were 1.0</w:t>
      </w:r>
      <w:r w:rsidRPr="008A57D5">
        <w:rPr>
          <w:rFonts w:ascii="Arial Narrow" w:hAnsi="Arial Narrow" w:cs="Tahoma"/>
          <w:sz w:val="22"/>
          <w:lang w:val="sr-Cyrl-BA"/>
        </w:rPr>
        <w:t>% lower at the annual level</w:t>
      </w:r>
    </w:p>
    <w:p w:rsidR="00D05260" w:rsidRPr="007712D7" w:rsidRDefault="00D05260" w:rsidP="00D05260">
      <w:pPr>
        <w:jc w:val="both"/>
        <w:rPr>
          <w:rFonts w:ascii="Arial Narrow" w:hAnsi="Arial Narrow" w:cs="Tahoma"/>
          <w:sz w:val="22"/>
        </w:rPr>
      </w:pPr>
    </w:p>
    <w:p w:rsidR="00496AF5" w:rsidRDefault="00496AF5" w:rsidP="00D05260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Of the main 12 divisions of products and services, an increase in prices was recorded in five divisions, a decrease was recorded in four divisions, while prices in three divisions remained on the average at the same level. </w:t>
      </w:r>
    </w:p>
    <w:p w:rsidR="00496AF5" w:rsidRDefault="00496AF5" w:rsidP="00D05260">
      <w:pPr>
        <w:jc w:val="both"/>
        <w:rPr>
          <w:rFonts w:ascii="Arial Narrow" w:hAnsi="Arial Narrow" w:cs="Tahoma"/>
          <w:sz w:val="22"/>
        </w:rPr>
      </w:pPr>
    </w:p>
    <w:p w:rsidR="00496AF5" w:rsidRDefault="00496AF5" w:rsidP="00D05260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The highest increase in prices in July was recorded in the division </w:t>
      </w:r>
      <w:r w:rsidRPr="00496AF5">
        <w:rPr>
          <w:rFonts w:ascii="Arial Narrow" w:hAnsi="Arial Narrow" w:cs="Tahoma"/>
          <w:i/>
          <w:sz w:val="22"/>
        </w:rPr>
        <w:t>Furnishing and other equipment</w:t>
      </w:r>
      <w:r>
        <w:rPr>
          <w:rFonts w:ascii="Arial Narrow" w:hAnsi="Arial Narrow" w:cs="Tahoma"/>
          <w:sz w:val="22"/>
        </w:rPr>
        <w:t xml:space="preserve"> (0.6%), due to higher prices in the group household cleaning and maintenance products (1.0%) and in the group furnishing (0.7%). An increase was also recorded in the division </w:t>
      </w:r>
      <w:r w:rsidRPr="00496AF5">
        <w:rPr>
          <w:rFonts w:ascii="Arial Narrow" w:hAnsi="Arial Narrow" w:cs="Tahoma"/>
          <w:i/>
          <w:sz w:val="22"/>
        </w:rPr>
        <w:t>Transport</w:t>
      </w:r>
      <w:r>
        <w:rPr>
          <w:rFonts w:ascii="Arial Narrow" w:hAnsi="Arial Narrow" w:cs="Tahoma"/>
          <w:sz w:val="22"/>
        </w:rPr>
        <w:t xml:space="preserve"> (0.5%), mainly in the group fuels and lubricants (1.2%), due to higher purchase prices of gasoline. In the division </w:t>
      </w:r>
      <w:r w:rsidRPr="00496AF5">
        <w:rPr>
          <w:rFonts w:ascii="Arial Narrow" w:hAnsi="Arial Narrow" w:cs="Tahoma"/>
          <w:i/>
          <w:sz w:val="22"/>
        </w:rPr>
        <w:t>Recreation and culture</w:t>
      </w:r>
      <w:r>
        <w:rPr>
          <w:rFonts w:ascii="Arial Narrow" w:hAnsi="Arial Narrow" w:cs="Tahoma"/>
          <w:sz w:val="22"/>
        </w:rPr>
        <w:t xml:space="preserve"> (0.4%), an increase in prices was recorded in the group travel arrangements abroad, due to higher seasonal prices in the period July/August. </w:t>
      </w:r>
      <w:r w:rsidR="00260BAC">
        <w:rPr>
          <w:rFonts w:ascii="Arial Narrow" w:hAnsi="Arial Narrow" w:cs="Tahoma"/>
          <w:sz w:val="22"/>
        </w:rPr>
        <w:t xml:space="preserve">Higher prices were also recorded in the division </w:t>
      </w:r>
      <w:r w:rsidR="00260BAC" w:rsidRPr="00260BAC">
        <w:rPr>
          <w:rFonts w:ascii="Arial Narrow" w:hAnsi="Arial Narrow" w:cs="Tahoma"/>
          <w:i/>
          <w:sz w:val="22"/>
        </w:rPr>
        <w:t>Health care</w:t>
      </w:r>
      <w:r w:rsidR="00260BAC">
        <w:rPr>
          <w:rFonts w:ascii="Arial Narrow" w:hAnsi="Arial Narrow" w:cs="Tahoma"/>
          <w:sz w:val="22"/>
        </w:rPr>
        <w:t xml:space="preserve"> (0.3%), due to new purchase prices of few medicaments, and in the division </w:t>
      </w:r>
      <w:r w:rsidR="00260BAC" w:rsidRPr="00260BAC">
        <w:rPr>
          <w:rFonts w:ascii="Arial Narrow" w:hAnsi="Arial Narrow" w:cs="Tahoma"/>
          <w:i/>
          <w:sz w:val="22"/>
        </w:rPr>
        <w:t>Restaurants and hotels</w:t>
      </w:r>
      <w:r w:rsidR="00260BAC">
        <w:rPr>
          <w:rFonts w:ascii="Arial Narrow" w:hAnsi="Arial Narrow" w:cs="Tahoma"/>
          <w:sz w:val="22"/>
        </w:rPr>
        <w:t xml:space="preserve"> (0.1%), due to new prices in the group hotel accommodation.  </w:t>
      </w:r>
    </w:p>
    <w:p w:rsidR="00260BAC" w:rsidRDefault="00260BAC" w:rsidP="00D05260">
      <w:pPr>
        <w:jc w:val="both"/>
        <w:rPr>
          <w:rFonts w:ascii="Arial Narrow" w:hAnsi="Arial Narrow" w:cs="Tahoma"/>
          <w:sz w:val="22"/>
        </w:rPr>
      </w:pPr>
    </w:p>
    <w:p w:rsidR="00260BAC" w:rsidRDefault="00260BAC" w:rsidP="00D05260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divisions </w:t>
      </w:r>
      <w:r w:rsidRPr="00260BAC">
        <w:rPr>
          <w:rFonts w:ascii="Arial Narrow" w:hAnsi="Arial Narrow" w:cs="Tahoma"/>
          <w:i/>
          <w:sz w:val="22"/>
        </w:rPr>
        <w:t>Alcoholic beverages and tobacco</w:t>
      </w:r>
      <w:r>
        <w:rPr>
          <w:rFonts w:ascii="Arial Narrow" w:hAnsi="Arial Narrow" w:cs="Tahoma"/>
          <w:sz w:val="22"/>
        </w:rPr>
        <w:t xml:space="preserve">, </w:t>
      </w:r>
      <w:r w:rsidRPr="00260BAC">
        <w:rPr>
          <w:rFonts w:ascii="Arial Narrow" w:hAnsi="Arial Narrow" w:cs="Tahoma"/>
          <w:i/>
          <w:sz w:val="22"/>
        </w:rPr>
        <w:t>Communication</w:t>
      </w:r>
      <w:r>
        <w:rPr>
          <w:rFonts w:ascii="Arial Narrow" w:hAnsi="Arial Narrow" w:cs="Tahoma"/>
          <w:sz w:val="22"/>
        </w:rPr>
        <w:t xml:space="preserve">, and </w:t>
      </w:r>
      <w:r w:rsidR="00155FE4" w:rsidRPr="00260BAC">
        <w:rPr>
          <w:rFonts w:ascii="Arial Narrow" w:hAnsi="Arial Narrow" w:cs="Tahoma"/>
          <w:i/>
          <w:sz w:val="22"/>
        </w:rPr>
        <w:t>Education</w:t>
      </w:r>
      <w:r>
        <w:rPr>
          <w:rFonts w:ascii="Arial Narrow" w:hAnsi="Arial Narrow" w:cs="Tahoma"/>
          <w:i/>
          <w:sz w:val="22"/>
        </w:rPr>
        <w:t>,</w:t>
      </w:r>
      <w:r>
        <w:rPr>
          <w:rFonts w:ascii="Arial Narrow" w:hAnsi="Arial Narrow" w:cs="Tahoma"/>
          <w:sz w:val="22"/>
        </w:rPr>
        <w:t xml:space="preserve"> prices remained on the average at the same level. </w:t>
      </w:r>
    </w:p>
    <w:p w:rsidR="00260BAC" w:rsidRDefault="00260BAC" w:rsidP="00D05260">
      <w:pPr>
        <w:jc w:val="both"/>
        <w:rPr>
          <w:rFonts w:ascii="Arial Narrow" w:hAnsi="Arial Narrow" w:cs="Tahoma"/>
          <w:sz w:val="22"/>
        </w:rPr>
      </w:pPr>
    </w:p>
    <w:p w:rsidR="00260BAC" w:rsidRPr="00496AF5" w:rsidRDefault="00260BAC" w:rsidP="00D05260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The highest decrease in prices in July was recorded in the division </w:t>
      </w:r>
      <w:r w:rsidRPr="00260BAC">
        <w:rPr>
          <w:rFonts w:ascii="Arial Narrow" w:hAnsi="Arial Narrow" w:cs="Tahoma"/>
          <w:i/>
          <w:sz w:val="22"/>
        </w:rPr>
        <w:t>Clothing and footwear</w:t>
      </w:r>
      <w:r>
        <w:rPr>
          <w:rFonts w:ascii="Arial Narrow" w:hAnsi="Arial Narrow" w:cs="Tahoma"/>
          <w:sz w:val="22"/>
        </w:rPr>
        <w:t xml:space="preserve"> (3.7%)</w:t>
      </w:r>
      <w:r w:rsidR="00497BEE">
        <w:rPr>
          <w:rFonts w:ascii="Arial Narrow" w:hAnsi="Arial Narrow" w:cs="Tahoma"/>
          <w:sz w:val="22"/>
        </w:rPr>
        <w:t>, due to many seasonal discounts, mainl</w:t>
      </w:r>
      <w:r w:rsidR="003D678F">
        <w:rPr>
          <w:rFonts w:ascii="Arial Narrow" w:hAnsi="Arial Narrow" w:cs="Tahoma"/>
          <w:sz w:val="22"/>
        </w:rPr>
        <w:t xml:space="preserve">y in the group footwear (6.5%), followed by the division </w:t>
      </w:r>
      <w:r w:rsidR="003D678F" w:rsidRPr="003D678F">
        <w:rPr>
          <w:rFonts w:ascii="Arial Narrow" w:hAnsi="Arial Narrow" w:cs="Tahoma"/>
          <w:i/>
          <w:sz w:val="22"/>
        </w:rPr>
        <w:t>Other goods and services</w:t>
      </w:r>
      <w:r w:rsidR="003D678F">
        <w:rPr>
          <w:rFonts w:ascii="Arial Narrow" w:hAnsi="Arial Narrow" w:cs="Tahoma"/>
          <w:sz w:val="22"/>
        </w:rPr>
        <w:t xml:space="preserve"> (0.7%), as a result of discounts and permanently lower prices in the group personal care products (1.7%). </w:t>
      </w:r>
      <w:r w:rsidR="00475EAA">
        <w:rPr>
          <w:rFonts w:ascii="Arial Narrow" w:hAnsi="Arial Narrow" w:cs="Tahoma"/>
          <w:sz w:val="22"/>
        </w:rPr>
        <w:t xml:space="preserve">A decrease in prices was also recorded in the division </w:t>
      </w:r>
      <w:r w:rsidR="00475EAA" w:rsidRPr="00475EAA">
        <w:rPr>
          <w:rFonts w:ascii="Arial Narrow" w:hAnsi="Arial Narrow" w:cs="Tahoma"/>
          <w:i/>
          <w:sz w:val="22"/>
        </w:rPr>
        <w:t>Food and non-alcoholic beverages</w:t>
      </w:r>
      <w:r w:rsidR="00475EAA">
        <w:rPr>
          <w:rFonts w:ascii="Arial Narrow" w:hAnsi="Arial Narrow" w:cs="Tahoma"/>
          <w:sz w:val="22"/>
        </w:rPr>
        <w:t xml:space="preserve"> (0.5%), mainly in the group vegetables (11.0%), due to lower seasonal prices of certain products in this period, and in the division </w:t>
      </w:r>
      <w:r w:rsidR="00475EAA" w:rsidRPr="00475EAA">
        <w:rPr>
          <w:rFonts w:ascii="Arial Narrow" w:hAnsi="Arial Narrow" w:cs="Tahoma"/>
          <w:i/>
          <w:sz w:val="22"/>
        </w:rPr>
        <w:t>Housing</w:t>
      </w:r>
      <w:r w:rsidR="00475EAA">
        <w:rPr>
          <w:rFonts w:ascii="Arial Narrow" w:hAnsi="Arial Narrow" w:cs="Tahoma"/>
          <w:sz w:val="22"/>
        </w:rPr>
        <w:t xml:space="preserve"> (0.2%), due to lower purchase prices in the group bottled gas (1.8%). </w:t>
      </w:r>
    </w:p>
    <w:p w:rsidR="00D05260" w:rsidRPr="007712D7" w:rsidRDefault="00D05260" w:rsidP="00D05260">
      <w:pPr>
        <w:jc w:val="both"/>
        <w:rPr>
          <w:rFonts w:ascii="Arial Narrow" w:hAnsi="Arial Narrow" w:cs="Tahoma"/>
          <w:sz w:val="22"/>
          <w:lang w:val="sr-Cyrl-BA"/>
        </w:rPr>
      </w:pPr>
    </w:p>
    <w:p w:rsidR="007B3C79" w:rsidRPr="007712D7" w:rsidRDefault="007B3C79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856D8" w:rsidRPr="007712D7" w:rsidRDefault="00076631" w:rsidP="007712D7">
      <w:pPr>
        <w:jc w:val="center"/>
        <w:rPr>
          <w:rFonts w:ascii="Arial Narrow" w:hAnsi="Arial Narrow" w:cs="Tahoma"/>
          <w:sz w:val="22"/>
          <w:szCs w:val="22"/>
          <w:lang w:val="sr-Cyrl-BA"/>
        </w:rPr>
      </w:pPr>
      <w:r>
        <w:rPr>
          <w:rFonts w:ascii="Arial Narrow" w:hAnsi="Arial Narrow" w:cs="Tahoma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80.85pt;margin-top:213.3pt;width:69.2pt;height:20.45pt;z-index:251670528" fillcolor="white [3212]" stroked="f">
            <v:textbox>
              <w:txbxContent>
                <w:p w:rsidR="00E8761E" w:rsidRPr="0033544C" w:rsidRDefault="00E8761E" w:rsidP="00E8761E">
                  <w:pPr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  <w:r w:rsidRPr="0033544C">
                    <w:rPr>
                      <w:rFonts w:ascii="Arial Narrow" w:hAnsi="Arial Narrow"/>
                      <w:i/>
                      <w:sz w:val="16"/>
                      <w:szCs w:val="16"/>
                    </w:rPr>
                    <w:t>Monthly inflation</w:t>
                  </w:r>
                </w:p>
              </w:txbxContent>
            </v:textbox>
          </v:shape>
        </w:pict>
      </w:r>
      <w:r w:rsidR="00D05260" w:rsidRPr="007712D7">
        <w:rPr>
          <w:noProof/>
        </w:rPr>
        <w:drawing>
          <wp:inline distT="0" distB="0" distL="0" distR="0" wp14:anchorId="7C0282BB" wp14:editId="075E2F0E">
            <wp:extent cx="5467985" cy="3059430"/>
            <wp:effectExtent l="0" t="0" r="0" b="0"/>
            <wp:docPr id="8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56D8" w:rsidRPr="00310B8F" w:rsidRDefault="00D13210" w:rsidP="009856D8">
      <w:pPr>
        <w:jc w:val="center"/>
        <w:rPr>
          <w:rFonts w:ascii="Arial Narrow" w:hAnsi="Arial Narrow" w:cs="Tahoma"/>
          <w:sz w:val="16"/>
          <w:szCs w:val="16"/>
          <w:lang w:val="sr-Latn-BA"/>
        </w:rPr>
      </w:pPr>
      <w:r w:rsidRPr="00310B8F">
        <w:rPr>
          <w:rFonts w:ascii="Arial Narrow" w:hAnsi="Arial Narrow" w:cs="Tahoma"/>
          <w:sz w:val="16"/>
          <w:szCs w:val="16"/>
          <w:lang w:val="sr-Latn-BA"/>
        </w:rPr>
        <w:t>Graph 2</w:t>
      </w:r>
      <w:r w:rsidR="009856D8" w:rsidRPr="00310B8F">
        <w:rPr>
          <w:rFonts w:ascii="Arial Narrow" w:hAnsi="Arial Narrow" w:cs="Tahoma"/>
          <w:sz w:val="16"/>
          <w:szCs w:val="16"/>
          <w:lang w:val="sr-Latn-BA"/>
        </w:rPr>
        <w:t>. Monthly and annual inflation</w:t>
      </w:r>
    </w:p>
    <w:p w:rsidR="009856D8" w:rsidRPr="007712D7" w:rsidRDefault="009856D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856D8" w:rsidRPr="007712D7" w:rsidRDefault="009856D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D13210" w:rsidRPr="007712D7" w:rsidRDefault="00D13210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Pr="007712D7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Pr="007712D7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Pr="007712D7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Pr="007712D7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06D21" w:rsidRPr="007712D7" w:rsidRDefault="00006FA7" w:rsidP="00F06D2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>
        <w:rPr>
          <w:rFonts w:ascii="Arial Narrow" w:hAnsi="Arial Narrow" w:cs="Tahoma"/>
          <w:b/>
          <w:bCs/>
          <w:sz w:val="30"/>
          <w:szCs w:val="30"/>
        </w:rPr>
        <w:lastRenderedPageBreak/>
        <w:t>Working-day adjusted industrial production</w:t>
      </w:r>
      <w:r w:rsidR="00F06D21" w:rsidRPr="007712D7">
        <w:rPr>
          <w:rFonts w:ascii="Arial Narrow" w:hAnsi="Arial Narrow" w:cs="Tahoma"/>
          <w:b/>
          <w:sz w:val="30"/>
          <w:szCs w:val="30"/>
          <w:lang w:val="sr-Cyrl-CS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July</w:t>
      </w:r>
      <w:r w:rsidR="00F06D21" w:rsidRPr="007712D7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="00F06D21" w:rsidRPr="007712D7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F06D21" w:rsidRPr="007712D7">
        <w:rPr>
          <w:rFonts w:ascii="Arial Narrow" w:hAnsi="Arial Narrow" w:cs="Tahoma"/>
          <w:b/>
          <w:sz w:val="30"/>
          <w:szCs w:val="30"/>
        </w:rPr>
        <w:t>6</w:t>
      </w:r>
      <w:r w:rsidR="009034C3" w:rsidRPr="007712D7">
        <w:rPr>
          <w:rFonts w:ascii="Arial Narrow" w:hAnsi="Arial Narrow" w:cs="Tahoma"/>
          <w:b/>
          <w:sz w:val="30"/>
          <w:szCs w:val="30"/>
          <w:lang w:val="sr-Latn-BA"/>
        </w:rPr>
        <w:t>/</w:t>
      </w:r>
      <w:r>
        <w:rPr>
          <w:rFonts w:ascii="Arial Narrow" w:hAnsi="Arial Narrow" w:cs="Tahoma"/>
          <w:b/>
          <w:sz w:val="30"/>
          <w:szCs w:val="30"/>
          <w:lang w:val="sr-Latn-BA"/>
        </w:rPr>
        <w:t>July</w:t>
      </w:r>
      <w:r w:rsidR="00F06D21" w:rsidRPr="007712D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F06D21" w:rsidRPr="007712D7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>
        <w:rPr>
          <w:rFonts w:ascii="Arial Narrow" w:hAnsi="Arial Narrow" w:cs="Tahoma"/>
          <w:b/>
          <w:bCs/>
          <w:sz w:val="30"/>
          <w:szCs w:val="30"/>
        </w:rPr>
        <w:t>5</w:t>
      </w:r>
      <w:r w:rsidR="00F06D21" w:rsidRPr="007712D7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F06D21" w:rsidRPr="007712D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increased by</w:t>
      </w:r>
      <w:r w:rsidR="00F06D21" w:rsidRPr="007712D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1B25E0" w:rsidRPr="007712D7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>
        <w:rPr>
          <w:rFonts w:ascii="Arial Narrow" w:hAnsi="Arial Narrow" w:cs="Tahoma"/>
          <w:b/>
          <w:bCs/>
          <w:sz w:val="30"/>
          <w:szCs w:val="30"/>
          <w:lang w:val="sr-Cyrl-CS"/>
        </w:rPr>
        <w:t>.</w:t>
      </w:r>
      <w:r w:rsidR="001B25E0" w:rsidRPr="007712D7">
        <w:rPr>
          <w:rFonts w:ascii="Arial Narrow" w:hAnsi="Arial Narrow" w:cs="Tahoma"/>
          <w:b/>
          <w:bCs/>
          <w:sz w:val="30"/>
          <w:szCs w:val="30"/>
          <w:lang w:val="sr-Cyrl-CS"/>
        </w:rPr>
        <w:t>8</w:t>
      </w:r>
      <w:r w:rsidR="00F06D21" w:rsidRPr="007712D7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1B25E0" w:rsidRPr="007712D7" w:rsidRDefault="00006FA7" w:rsidP="001B25E0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>
        <w:rPr>
          <w:rFonts w:ascii="Arial Narrow" w:hAnsi="Arial Narrow" w:cs="Tahoma"/>
          <w:b/>
          <w:bCs/>
          <w:sz w:val="30"/>
          <w:szCs w:val="30"/>
        </w:rPr>
        <w:t>Seasonally adjusted industrial production</w:t>
      </w:r>
      <w:r w:rsidR="001B25E0" w:rsidRPr="007712D7">
        <w:rPr>
          <w:rFonts w:ascii="Arial Narrow" w:hAnsi="Arial Narrow" w:cs="Tahoma"/>
          <w:b/>
          <w:sz w:val="30"/>
          <w:szCs w:val="30"/>
          <w:lang w:val="sr-Cyrl-CS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July</w:t>
      </w:r>
      <w:r w:rsidR="001B25E0" w:rsidRPr="007712D7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="001B25E0" w:rsidRPr="007712D7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1B25E0" w:rsidRPr="007712D7">
        <w:rPr>
          <w:rFonts w:ascii="Arial Narrow" w:hAnsi="Arial Narrow" w:cs="Tahoma"/>
          <w:b/>
          <w:sz w:val="30"/>
          <w:szCs w:val="30"/>
        </w:rPr>
        <w:t>6</w:t>
      </w:r>
      <w:r>
        <w:rPr>
          <w:rFonts w:ascii="Arial Narrow" w:hAnsi="Arial Narrow" w:cs="Tahoma"/>
          <w:b/>
          <w:sz w:val="30"/>
          <w:szCs w:val="30"/>
          <w:lang w:val="sr-Latn-BA"/>
        </w:rPr>
        <w:t>/June 20</w:t>
      </w:r>
      <w:r w:rsidR="001B25E0" w:rsidRPr="007712D7">
        <w:rPr>
          <w:rFonts w:ascii="Arial Narrow" w:hAnsi="Arial Narrow" w:cs="Tahoma"/>
          <w:b/>
          <w:bCs/>
          <w:sz w:val="30"/>
          <w:szCs w:val="30"/>
          <w:lang w:val="ru-RU"/>
        </w:rPr>
        <w:t>16</w:t>
      </w:r>
      <w:r w:rsidR="001B25E0" w:rsidRPr="007712D7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1B25E0" w:rsidRPr="007712D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increased</w:t>
      </w:r>
      <w:r w:rsidR="001B25E0" w:rsidRPr="007712D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 xml:space="preserve">by </w:t>
      </w:r>
      <w:r w:rsidR="001B25E0" w:rsidRPr="007712D7">
        <w:rPr>
          <w:rFonts w:ascii="Arial Narrow" w:hAnsi="Arial Narrow" w:cs="Tahoma"/>
          <w:b/>
          <w:bCs/>
          <w:sz w:val="30"/>
          <w:szCs w:val="30"/>
          <w:lang w:val="sr-Cyrl-BA"/>
        </w:rPr>
        <w:t>1</w:t>
      </w:r>
      <w:r>
        <w:rPr>
          <w:rFonts w:ascii="Arial Narrow" w:hAnsi="Arial Narrow" w:cs="Tahoma"/>
          <w:b/>
          <w:bCs/>
          <w:sz w:val="30"/>
          <w:szCs w:val="30"/>
          <w:lang w:val="sr-Cyrl-CS"/>
        </w:rPr>
        <w:t>.</w:t>
      </w:r>
      <w:r w:rsidR="001B25E0" w:rsidRPr="007712D7">
        <w:rPr>
          <w:rFonts w:ascii="Arial Narrow" w:hAnsi="Arial Narrow" w:cs="Tahoma"/>
          <w:b/>
          <w:bCs/>
          <w:sz w:val="30"/>
          <w:szCs w:val="30"/>
          <w:lang w:val="sr-Cyrl-CS"/>
        </w:rPr>
        <w:t>2%</w:t>
      </w:r>
    </w:p>
    <w:p w:rsidR="00166F34" w:rsidRPr="007712D7" w:rsidRDefault="00006FA7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>
        <w:rPr>
          <w:rFonts w:ascii="Arial Narrow" w:hAnsi="Arial Narrow" w:cs="Tahoma"/>
          <w:b/>
          <w:sz w:val="28"/>
        </w:rPr>
        <w:t>Number of employees in industry</w:t>
      </w:r>
      <w:r w:rsidR="00166F34" w:rsidRPr="007712D7">
        <w:rPr>
          <w:rFonts w:ascii="Arial Narrow" w:hAnsi="Arial Narrow" w:cs="Tahoma"/>
          <w:b/>
          <w:sz w:val="28"/>
          <w:lang w:val="ru-RU"/>
        </w:rPr>
        <w:t xml:space="preserve"> (</w:t>
      </w:r>
      <w:r>
        <w:rPr>
          <w:rFonts w:ascii="Arial Narrow" w:hAnsi="Arial Narrow" w:cs="Tahoma"/>
          <w:b/>
          <w:sz w:val="28"/>
        </w:rPr>
        <w:t>July</w:t>
      </w:r>
      <w:r w:rsidR="00166F34" w:rsidRPr="007712D7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7712D7">
        <w:rPr>
          <w:rFonts w:ascii="Arial Narrow" w:hAnsi="Arial Narrow" w:cs="Tahoma"/>
          <w:b/>
          <w:sz w:val="28"/>
        </w:rPr>
        <w:t>6</w:t>
      </w:r>
      <w:r w:rsidR="00166F34" w:rsidRPr="007712D7">
        <w:rPr>
          <w:rFonts w:ascii="Arial Narrow" w:hAnsi="Arial Narrow" w:cs="Tahoma"/>
          <w:b/>
          <w:sz w:val="28"/>
          <w:lang w:val="ru-RU"/>
        </w:rPr>
        <w:t>/</w:t>
      </w:r>
      <w:r>
        <w:rPr>
          <w:rFonts w:ascii="Arial Narrow" w:hAnsi="Arial Narrow" w:cs="Tahoma"/>
          <w:b/>
          <w:sz w:val="28"/>
        </w:rPr>
        <w:t>July</w:t>
      </w:r>
      <w:r w:rsidR="00166F34" w:rsidRPr="007712D7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7712D7">
        <w:rPr>
          <w:rFonts w:ascii="Arial Narrow" w:hAnsi="Arial Narrow" w:cs="Tahoma"/>
          <w:b/>
          <w:sz w:val="28"/>
        </w:rPr>
        <w:t>5</w:t>
      </w:r>
      <w:r w:rsidR="00166F34" w:rsidRPr="007712D7">
        <w:rPr>
          <w:rFonts w:ascii="Arial Narrow" w:hAnsi="Arial Narrow" w:cs="Tahoma"/>
          <w:b/>
          <w:sz w:val="28"/>
          <w:lang w:val="ru-RU"/>
        </w:rPr>
        <w:t xml:space="preserve">) </w:t>
      </w:r>
      <w:r>
        <w:rPr>
          <w:rFonts w:ascii="Arial Narrow" w:hAnsi="Arial Narrow" w:cs="Tahoma"/>
          <w:b/>
          <w:sz w:val="28"/>
        </w:rPr>
        <w:t>increased by</w:t>
      </w:r>
      <w:r w:rsidR="00166F34" w:rsidRPr="007712D7">
        <w:rPr>
          <w:rFonts w:ascii="Arial Narrow" w:hAnsi="Arial Narrow" w:cs="Tahoma"/>
          <w:b/>
          <w:sz w:val="28"/>
          <w:lang w:val="ru-RU"/>
        </w:rPr>
        <w:t xml:space="preserve"> </w:t>
      </w:r>
      <w:r w:rsidR="001B25E0" w:rsidRPr="007712D7">
        <w:rPr>
          <w:rFonts w:ascii="Arial Narrow" w:hAnsi="Arial Narrow" w:cs="Tahoma"/>
          <w:b/>
          <w:sz w:val="28"/>
          <w:lang w:val="sr-Cyrl-CS"/>
        </w:rPr>
        <w:t>1</w:t>
      </w:r>
      <w:r>
        <w:rPr>
          <w:rFonts w:ascii="Arial Narrow" w:hAnsi="Arial Narrow" w:cs="Tahoma"/>
          <w:b/>
          <w:sz w:val="28"/>
          <w:lang w:val="ru-RU"/>
        </w:rPr>
        <w:t>.</w:t>
      </w:r>
      <w:r w:rsidR="001B25E0" w:rsidRPr="007712D7">
        <w:rPr>
          <w:rFonts w:ascii="Arial Narrow" w:hAnsi="Arial Narrow" w:cs="Tahoma"/>
          <w:b/>
          <w:sz w:val="28"/>
          <w:lang w:val="ru-RU"/>
        </w:rPr>
        <w:t>1</w:t>
      </w:r>
      <w:r w:rsidR="00166F34" w:rsidRPr="007712D7">
        <w:rPr>
          <w:rFonts w:ascii="Arial Narrow" w:hAnsi="Arial Narrow" w:cs="Tahoma"/>
          <w:b/>
          <w:sz w:val="28"/>
          <w:lang w:val="ru-RU"/>
        </w:rPr>
        <w:t>%</w:t>
      </w:r>
    </w:p>
    <w:p w:rsidR="00166F34" w:rsidRPr="007712D7" w:rsidRDefault="00166F34" w:rsidP="00166F34">
      <w:pPr>
        <w:jc w:val="both"/>
        <w:rPr>
          <w:rFonts w:ascii="Arial Narrow" w:hAnsi="Arial Narrow" w:cs="Tahoma"/>
          <w:sz w:val="22"/>
        </w:rPr>
      </w:pPr>
    </w:p>
    <w:p w:rsidR="00EC5A92" w:rsidRDefault="00EC5A92" w:rsidP="00166F34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b/>
          <w:sz w:val="22"/>
        </w:rPr>
        <w:t xml:space="preserve">Working-day adjusted industrial production </w:t>
      </w:r>
      <w:r>
        <w:rPr>
          <w:rFonts w:ascii="Arial Narrow" w:hAnsi="Arial Narrow" w:cs="Tahoma"/>
          <w:sz w:val="22"/>
        </w:rPr>
        <w:t xml:space="preserve">in July 2016, compared to July 2015, increased by 6.8%. In the section </w:t>
      </w:r>
      <w:r w:rsidRPr="00EC5A92">
        <w:rPr>
          <w:rFonts w:ascii="Arial Narrow" w:hAnsi="Arial Narrow" w:cs="Tahoma"/>
          <w:i/>
          <w:sz w:val="22"/>
        </w:rPr>
        <w:t>Electricity, gas, steam and air-conditioning supply</w:t>
      </w:r>
      <w:r>
        <w:rPr>
          <w:rFonts w:ascii="Arial Narrow" w:hAnsi="Arial Narrow" w:cs="Tahoma"/>
          <w:sz w:val="22"/>
        </w:rPr>
        <w:t xml:space="preserve"> an increase by 22.3% was recorded and in the section </w:t>
      </w:r>
      <w:r w:rsidRPr="00EC5A92">
        <w:rPr>
          <w:rFonts w:ascii="Arial Narrow" w:hAnsi="Arial Narrow" w:cs="Tahoma"/>
          <w:i/>
          <w:sz w:val="22"/>
        </w:rPr>
        <w:t>Manufacturing</w:t>
      </w:r>
      <w:r>
        <w:rPr>
          <w:rFonts w:ascii="Arial Narrow" w:hAnsi="Arial Narrow" w:cs="Tahoma"/>
          <w:sz w:val="22"/>
        </w:rPr>
        <w:t xml:space="preserve"> an increase by 5.2%, while in the section </w:t>
      </w:r>
      <w:r w:rsidRPr="00EC5A92"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sz w:val="22"/>
        </w:rPr>
        <w:t xml:space="preserve"> a decrease by 9.6% was recorded. </w:t>
      </w:r>
      <w:r w:rsidR="00E36710" w:rsidRPr="00650F89">
        <w:rPr>
          <w:rFonts w:ascii="Arial Narrow" w:hAnsi="Arial Narrow" w:cs="Tahoma"/>
          <w:sz w:val="22"/>
          <w:szCs w:val="22"/>
        </w:rPr>
        <w:t>By main industrial group, based on economic purpose of products, working day-adjusted production</w:t>
      </w:r>
      <w:r w:rsidR="00E36710">
        <w:rPr>
          <w:rFonts w:ascii="Arial Narrow" w:hAnsi="Arial Narrow" w:cs="Tahoma"/>
          <w:sz w:val="22"/>
          <w:szCs w:val="22"/>
        </w:rPr>
        <w:t xml:space="preserve"> of intermediate goods in July 2016, compared to July 2015, was 3.6% lower, production of consumer non-durables was 8.5% lower and production of consumer durables was 16.9% lower, while production of energy was 22.5% higher and production of capital goods was 7.9% higher. </w:t>
      </w:r>
    </w:p>
    <w:p w:rsidR="00E36710" w:rsidRDefault="00E36710" w:rsidP="00166F34">
      <w:pPr>
        <w:jc w:val="both"/>
        <w:rPr>
          <w:rFonts w:ascii="Arial Narrow" w:hAnsi="Arial Narrow" w:cs="Tahoma"/>
          <w:sz w:val="22"/>
          <w:szCs w:val="22"/>
        </w:rPr>
      </w:pPr>
    </w:p>
    <w:p w:rsidR="00E36710" w:rsidRPr="00E36710" w:rsidRDefault="00E36710" w:rsidP="00166F34">
      <w:pPr>
        <w:jc w:val="both"/>
        <w:rPr>
          <w:rFonts w:ascii="Arial Narrow" w:hAnsi="Arial Narrow" w:cs="Tahoma"/>
          <w:sz w:val="22"/>
        </w:rPr>
      </w:pPr>
      <w:r w:rsidRPr="00E36710">
        <w:rPr>
          <w:rFonts w:ascii="Arial Narrow" w:hAnsi="Arial Narrow" w:cs="Tahoma"/>
          <w:b/>
          <w:sz w:val="22"/>
          <w:szCs w:val="22"/>
        </w:rPr>
        <w:t>Seasonally adjusted industrial production</w:t>
      </w:r>
      <w:r>
        <w:rPr>
          <w:rFonts w:ascii="Arial Narrow" w:hAnsi="Arial Narrow" w:cs="Tahoma"/>
          <w:sz w:val="22"/>
          <w:szCs w:val="22"/>
        </w:rPr>
        <w:t xml:space="preserve"> in July 2016, compared to June 2016, increased by 1.2%. In the section </w:t>
      </w:r>
      <w:r w:rsidRPr="00B84671">
        <w:rPr>
          <w:rFonts w:ascii="Arial Narrow" w:hAnsi="Arial Narrow" w:cs="Tahoma"/>
          <w:i/>
          <w:sz w:val="22"/>
          <w:szCs w:val="22"/>
        </w:rPr>
        <w:t xml:space="preserve">Mining and quarrying </w:t>
      </w:r>
      <w:r>
        <w:rPr>
          <w:rFonts w:ascii="Arial Narrow" w:hAnsi="Arial Narrow" w:cs="Tahoma"/>
          <w:sz w:val="22"/>
          <w:szCs w:val="22"/>
        </w:rPr>
        <w:t xml:space="preserve">an increase by 6.9% was recorded and in the section Manufacturing an increase by 2.0%, while in the section </w:t>
      </w:r>
      <w:r w:rsidRPr="00EC5A92">
        <w:rPr>
          <w:rFonts w:ascii="Arial Narrow" w:hAnsi="Arial Narrow" w:cs="Tahoma"/>
          <w:i/>
          <w:sz w:val="22"/>
        </w:rPr>
        <w:t>Electricity, gas, steam and air-conditioning supply</w:t>
      </w:r>
      <w:r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 xml:space="preserve">a decrease by 4.7% was recorded. </w:t>
      </w:r>
      <w:r w:rsidR="00AA40A7" w:rsidRPr="00650F89">
        <w:rPr>
          <w:rFonts w:ascii="Arial Narrow" w:hAnsi="Arial Narrow" w:cs="Tahoma"/>
          <w:sz w:val="22"/>
          <w:szCs w:val="22"/>
        </w:rPr>
        <w:t xml:space="preserve">By main industrial group, based on economic purpose of products, </w:t>
      </w:r>
      <w:r w:rsidR="00AA40A7">
        <w:rPr>
          <w:rFonts w:ascii="Arial Narrow" w:hAnsi="Arial Narrow" w:cs="Tahoma"/>
          <w:sz w:val="22"/>
          <w:szCs w:val="22"/>
        </w:rPr>
        <w:t xml:space="preserve">seasonally </w:t>
      </w:r>
      <w:r w:rsidR="00AA40A7" w:rsidRPr="00650F89">
        <w:rPr>
          <w:rFonts w:ascii="Arial Narrow" w:hAnsi="Arial Narrow" w:cs="Tahoma"/>
          <w:sz w:val="22"/>
          <w:szCs w:val="22"/>
        </w:rPr>
        <w:t>adjusted production</w:t>
      </w:r>
      <w:r w:rsidR="00AA40A7">
        <w:rPr>
          <w:rFonts w:ascii="Arial Narrow" w:hAnsi="Arial Narrow" w:cs="Tahoma"/>
          <w:sz w:val="22"/>
          <w:szCs w:val="22"/>
        </w:rPr>
        <w:t xml:space="preserve"> of consumer durables in July 2016, compared to June 2016, was 0.8% lower, production of intermediate goods was 4.7% lower and production of consumer non-durables was 5.8% lower, while production of energy was 3.0% higher and production of capital goods was 1.8% higher. </w:t>
      </w:r>
    </w:p>
    <w:p w:rsidR="00F06D21" w:rsidRPr="007712D7" w:rsidRDefault="00F06D21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1B25E0" w:rsidRPr="00D71435" w:rsidRDefault="00D71435" w:rsidP="00166F34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b/>
          <w:sz w:val="22"/>
        </w:rPr>
        <w:t xml:space="preserve">Number of employees in industry </w:t>
      </w:r>
      <w:r>
        <w:rPr>
          <w:rFonts w:ascii="Arial Narrow" w:hAnsi="Arial Narrow" w:cs="Tahoma"/>
          <w:sz w:val="22"/>
        </w:rPr>
        <w:t xml:space="preserve">in July 2016, compared to the average monthly number of employed persons in 2015, was 1.6% higher. Compared to the same month of the previous year it was 1.1% higher and compared to June 2016 it was 1.0% higher. </w:t>
      </w:r>
      <w:r>
        <w:rPr>
          <w:rFonts w:ascii="Arial Narrow" w:hAnsi="Arial Narrow" w:cs="Tahoma"/>
          <w:sz w:val="22"/>
          <w:szCs w:val="22"/>
        </w:rPr>
        <w:t xml:space="preserve">Number of employees in industry in the period January – July 2016, compared to the same period of the previous year, was 0.8% higher. During the same period, in the section </w:t>
      </w:r>
      <w:r>
        <w:rPr>
          <w:rFonts w:ascii="Arial Narrow" w:hAnsi="Arial Narrow" w:cs="Tahoma"/>
          <w:i/>
          <w:sz w:val="22"/>
          <w:szCs w:val="22"/>
        </w:rPr>
        <w:t xml:space="preserve">Manufacturing </w:t>
      </w:r>
      <w:r>
        <w:rPr>
          <w:rFonts w:ascii="Arial Narrow" w:hAnsi="Arial Narrow" w:cs="Tahoma"/>
          <w:sz w:val="22"/>
          <w:szCs w:val="22"/>
        </w:rPr>
        <w:t xml:space="preserve">an increase by 1.0% was recorded and in the section Mining and quarrying an increase by 0.2%, while in the section </w:t>
      </w:r>
      <w:r w:rsidRPr="00EC5A92">
        <w:rPr>
          <w:rFonts w:ascii="Arial Narrow" w:hAnsi="Arial Narrow" w:cs="Tahoma"/>
          <w:i/>
          <w:sz w:val="22"/>
        </w:rPr>
        <w:t>Electricity, gas, steam and air-conditioning supply</w:t>
      </w:r>
      <w:r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 xml:space="preserve">a decrease by 0.5% was recorded. </w:t>
      </w:r>
    </w:p>
    <w:p w:rsidR="000213F8" w:rsidRPr="007712D7" w:rsidRDefault="001B25E0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 w:rsidRPr="007712D7">
        <w:rPr>
          <w:noProof/>
        </w:rPr>
        <w:drawing>
          <wp:inline distT="0" distB="0" distL="0" distR="0" wp14:anchorId="06360C40" wp14:editId="628094D1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5D9D" w:rsidRDefault="00914E9B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="00B85D9D" w:rsidRPr="007712D7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7A0558" w:rsidRPr="007712D7">
        <w:rPr>
          <w:rFonts w:ascii="Arial Narrow" w:hAnsi="Arial Narrow" w:cs="Tahoma"/>
          <w:sz w:val="16"/>
          <w:szCs w:val="16"/>
          <w:lang w:val="sr-Latn-CS"/>
        </w:rPr>
        <w:t>3</w:t>
      </w:r>
      <w:r w:rsidR="00B85D9D" w:rsidRPr="007712D7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r>
        <w:rPr>
          <w:rFonts w:ascii="Arial Narrow" w:hAnsi="Arial Narrow" w:cs="Tahoma"/>
          <w:sz w:val="16"/>
          <w:szCs w:val="16"/>
          <w:lang w:val="sr-Latn-CS"/>
        </w:rPr>
        <w:t>Indices of industrial production</w:t>
      </w:r>
      <w:r w:rsidR="00B85D9D" w:rsidRPr="007712D7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>
        <w:rPr>
          <w:rFonts w:ascii="Arial Narrow" w:hAnsi="Arial Narrow" w:cs="Tahoma"/>
          <w:sz w:val="16"/>
          <w:szCs w:val="16"/>
        </w:rPr>
        <w:t>July</w:t>
      </w:r>
      <w:r w:rsidR="00F06D21" w:rsidRPr="007712D7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B85D9D" w:rsidRPr="007712D7">
        <w:rPr>
          <w:rFonts w:ascii="Arial Narrow" w:hAnsi="Arial Narrow" w:cs="Tahoma"/>
          <w:sz w:val="16"/>
          <w:szCs w:val="16"/>
          <w:lang w:val="sr-Latn-CS"/>
        </w:rPr>
        <w:t>20</w:t>
      </w:r>
      <w:r w:rsidR="00B85D9D" w:rsidRPr="007712D7">
        <w:rPr>
          <w:rFonts w:ascii="Arial Narrow" w:hAnsi="Arial Narrow" w:cs="Tahoma"/>
          <w:sz w:val="16"/>
          <w:szCs w:val="16"/>
          <w:lang w:val="sr-Latn-BA"/>
        </w:rPr>
        <w:t>1</w:t>
      </w:r>
      <w:r w:rsidR="00BE098B" w:rsidRPr="007712D7">
        <w:rPr>
          <w:rFonts w:ascii="Arial Narrow" w:hAnsi="Arial Narrow" w:cs="Tahoma"/>
          <w:sz w:val="16"/>
          <w:szCs w:val="16"/>
          <w:lang w:val="sr-Cyrl-CS"/>
        </w:rPr>
        <w:t>2</w:t>
      </w:r>
      <w:r w:rsidR="00B85D9D" w:rsidRPr="007712D7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>
        <w:rPr>
          <w:rFonts w:ascii="Arial Narrow" w:hAnsi="Arial Narrow" w:cs="Tahoma"/>
          <w:sz w:val="16"/>
          <w:szCs w:val="16"/>
        </w:rPr>
        <w:t>July</w:t>
      </w:r>
      <w:r w:rsidR="00B85D9D" w:rsidRPr="007712D7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BE098B" w:rsidRPr="007712D7">
        <w:rPr>
          <w:rFonts w:ascii="Arial Narrow" w:hAnsi="Arial Narrow" w:cs="Tahoma"/>
          <w:sz w:val="16"/>
          <w:szCs w:val="16"/>
          <w:lang w:val="sr-Cyrl-CS"/>
        </w:rPr>
        <w:t>6</w:t>
      </w:r>
      <w:r w:rsidR="00B85D9D" w:rsidRPr="007712D7">
        <w:rPr>
          <w:rFonts w:ascii="Arial Narrow" w:hAnsi="Arial Narrow" w:cs="Tahoma"/>
          <w:sz w:val="16"/>
          <w:szCs w:val="16"/>
          <w:lang w:val="sr-Latn-CS"/>
        </w:rPr>
        <w:t xml:space="preserve"> (</w:t>
      </w:r>
      <w:r w:rsidR="00B85D9D" w:rsidRPr="007712D7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B85D9D" w:rsidRPr="007712D7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F16D34" w:rsidRPr="007712D7" w:rsidRDefault="00F16D34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</w:p>
    <w:p w:rsidR="000213F8" w:rsidRPr="007712D7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7712D7" w:rsidRDefault="00F16D34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C74CD8">
        <w:rPr>
          <w:rFonts w:ascii="Arial Narrow" w:hAnsi="Arial Narrow" w:cs="Tahoma"/>
          <w:b/>
          <w:sz w:val="30"/>
          <w:szCs w:val="30"/>
        </w:rPr>
        <w:t xml:space="preserve">Coverage of import with export (in the period </w:t>
      </w:r>
      <w:r>
        <w:rPr>
          <w:rFonts w:ascii="Arial Narrow" w:hAnsi="Arial Narrow" w:cs="Tahoma"/>
          <w:b/>
          <w:sz w:val="30"/>
          <w:szCs w:val="30"/>
          <w:lang w:val="sr-Latn-CS"/>
        </w:rPr>
        <w:t>January</w:t>
      </w:r>
      <w:r>
        <w:rPr>
          <w:rFonts w:ascii="Arial Narrow" w:hAnsi="Arial Narrow" w:cs="Tahoma"/>
          <w:b/>
          <w:sz w:val="30"/>
          <w:szCs w:val="30"/>
        </w:rPr>
        <w:t>-July</w:t>
      </w:r>
      <w:r w:rsidRPr="00920768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920768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Pr="00920768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="00F442FA" w:rsidRPr="007712D7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F442FA" w:rsidRPr="007712D7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82652" w:rsidRPr="007712D7">
        <w:rPr>
          <w:rFonts w:ascii="Arial Narrow" w:hAnsi="Arial Narrow" w:cs="Tahoma"/>
          <w:b/>
          <w:sz w:val="30"/>
          <w:szCs w:val="30"/>
        </w:rPr>
        <w:t>6</w:t>
      </w:r>
      <w:r w:rsidR="00466A69" w:rsidRPr="007712D7">
        <w:rPr>
          <w:rFonts w:ascii="Arial Narrow" w:hAnsi="Arial Narrow" w:cs="Tahoma"/>
          <w:b/>
          <w:sz w:val="30"/>
          <w:szCs w:val="30"/>
        </w:rPr>
        <w:t>4</w:t>
      </w:r>
      <w:r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="00466A69" w:rsidRPr="007712D7">
        <w:rPr>
          <w:rFonts w:ascii="Arial Narrow" w:hAnsi="Arial Narrow" w:cs="Tahoma"/>
          <w:b/>
          <w:sz w:val="30"/>
          <w:szCs w:val="30"/>
          <w:lang w:val="hr-HR"/>
        </w:rPr>
        <w:t>9</w:t>
      </w:r>
      <w:r w:rsidR="00F442FA" w:rsidRPr="007712D7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7712D7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601667" w:rsidRPr="00601667" w:rsidRDefault="00601667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July 2016, the value of export was 245 million KM and the value of import was 384 million KM. </w:t>
      </w:r>
    </w:p>
    <w:p w:rsidR="003A0849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601667" w:rsidRDefault="00601667" w:rsidP="00F442FA">
      <w:pPr>
        <w:jc w:val="both"/>
        <w:rPr>
          <w:rFonts w:ascii="Arial Narrow" w:hAnsi="Arial Narrow" w:cs="Tahoma"/>
          <w:sz w:val="22"/>
        </w:rPr>
      </w:pPr>
      <w:r w:rsidRPr="00C74CD8">
        <w:rPr>
          <w:rFonts w:ascii="Arial Narrow" w:hAnsi="Arial Narrow" w:cs="Tahoma"/>
          <w:sz w:val="22"/>
        </w:rPr>
        <w:t xml:space="preserve">In the total external trade of Republika Srpska in </w:t>
      </w:r>
      <w:r>
        <w:rPr>
          <w:rFonts w:ascii="Arial Narrow" w:hAnsi="Arial Narrow" w:cs="Tahoma"/>
          <w:sz w:val="22"/>
        </w:rPr>
        <w:t>July</w:t>
      </w:r>
      <w:r w:rsidRPr="00C74CD8">
        <w:rPr>
          <w:rFonts w:ascii="Arial Narrow" w:hAnsi="Arial Narrow" w:cs="Tahoma"/>
          <w:sz w:val="22"/>
        </w:rPr>
        <w:t xml:space="preserve"> of the current year, the percentage of coverag</w:t>
      </w:r>
      <w:r>
        <w:rPr>
          <w:rFonts w:ascii="Arial Narrow" w:hAnsi="Arial Narrow" w:cs="Tahoma"/>
          <w:sz w:val="22"/>
        </w:rPr>
        <w:t>e of import with export was 63.9</w:t>
      </w:r>
      <w:r w:rsidRPr="00C74CD8">
        <w:rPr>
          <w:rFonts w:ascii="Arial Narrow" w:hAnsi="Arial Narrow" w:cs="Tahoma"/>
          <w:sz w:val="22"/>
        </w:rPr>
        <w:t xml:space="preserve">%. The percentage of coverage of import with export in the first </w:t>
      </w:r>
      <w:r>
        <w:rPr>
          <w:rFonts w:ascii="Arial Narrow" w:hAnsi="Arial Narrow" w:cs="Tahoma"/>
          <w:sz w:val="22"/>
        </w:rPr>
        <w:t>seven</w:t>
      </w:r>
      <w:r w:rsidRPr="00C74CD8">
        <w:rPr>
          <w:rFonts w:ascii="Arial Narrow" w:hAnsi="Arial Narrow" w:cs="Tahoma"/>
          <w:sz w:val="22"/>
        </w:rPr>
        <w:t xml:space="preserve"> m</w:t>
      </w:r>
      <w:r>
        <w:rPr>
          <w:rFonts w:ascii="Arial Narrow" w:hAnsi="Arial Narrow" w:cs="Tahoma"/>
          <w:sz w:val="22"/>
        </w:rPr>
        <w:t>onths of the current year was 64.9</w:t>
      </w:r>
      <w:r w:rsidRPr="00C74CD8">
        <w:rPr>
          <w:rFonts w:ascii="Arial Narrow" w:hAnsi="Arial Narrow" w:cs="Tahoma"/>
          <w:sz w:val="22"/>
        </w:rPr>
        <w:t>%</w:t>
      </w:r>
      <w:r>
        <w:rPr>
          <w:rFonts w:ascii="Arial Narrow" w:hAnsi="Arial Narrow" w:cs="Tahoma"/>
          <w:sz w:val="22"/>
        </w:rPr>
        <w:t>.</w:t>
      </w:r>
    </w:p>
    <w:p w:rsidR="00601667" w:rsidRPr="007712D7" w:rsidRDefault="0060166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384927" w:rsidRPr="007712D7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601667" w:rsidRDefault="00601667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601667" w:rsidRDefault="00601667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601667" w:rsidRPr="00601667" w:rsidRDefault="00601667" w:rsidP="00601667">
      <w:pPr>
        <w:jc w:val="both"/>
        <w:rPr>
          <w:rFonts w:ascii="Arial Narrow" w:hAnsi="Arial Narrow" w:cs="Tahoma"/>
          <w:sz w:val="22"/>
          <w:lang w:val="ru-RU"/>
        </w:rPr>
      </w:pPr>
      <w:r w:rsidRPr="00601667">
        <w:rPr>
          <w:rFonts w:ascii="Arial Narrow" w:hAnsi="Arial Narrow" w:cs="Tahoma"/>
          <w:sz w:val="22"/>
        </w:rPr>
        <w:t xml:space="preserve">In the period January – </w:t>
      </w:r>
      <w:r>
        <w:rPr>
          <w:rFonts w:ascii="Arial Narrow" w:hAnsi="Arial Narrow" w:cs="Tahoma"/>
          <w:sz w:val="22"/>
        </w:rPr>
        <w:t>July</w:t>
      </w:r>
      <w:r w:rsidRPr="00601667">
        <w:rPr>
          <w:rFonts w:ascii="Arial Narrow" w:hAnsi="Arial Narrow" w:cs="Tahoma"/>
          <w:sz w:val="22"/>
        </w:rPr>
        <w:t xml:space="preserve"> 2016, the value of export was 1 billion and </w:t>
      </w:r>
      <w:r>
        <w:rPr>
          <w:rFonts w:ascii="Arial Narrow" w:hAnsi="Arial Narrow" w:cs="Tahoma"/>
          <w:sz w:val="22"/>
        </w:rPr>
        <w:t>591</w:t>
      </w:r>
      <w:r w:rsidRPr="00601667">
        <w:rPr>
          <w:rFonts w:ascii="Arial Narrow" w:hAnsi="Arial Narrow" w:cs="Tahoma"/>
          <w:sz w:val="22"/>
        </w:rPr>
        <w:t xml:space="preserve"> million KM, wh</w:t>
      </w:r>
      <w:r>
        <w:rPr>
          <w:rFonts w:ascii="Arial Narrow" w:hAnsi="Arial Narrow" w:cs="Tahoma"/>
          <w:sz w:val="22"/>
        </w:rPr>
        <w:t>ich represented an increase by 7.5</w:t>
      </w:r>
      <w:r w:rsidRPr="00601667">
        <w:rPr>
          <w:rFonts w:ascii="Arial Narrow" w:hAnsi="Arial Narrow" w:cs="Tahoma"/>
          <w:sz w:val="22"/>
        </w:rPr>
        <w:t xml:space="preserve">% compared to the same period of the previous year. During the same period, the value of import was 2 billion and </w:t>
      </w:r>
      <w:r>
        <w:rPr>
          <w:rFonts w:ascii="Arial Narrow" w:hAnsi="Arial Narrow" w:cs="Tahoma"/>
          <w:sz w:val="22"/>
        </w:rPr>
        <w:t>453</w:t>
      </w:r>
      <w:r w:rsidRPr="00601667">
        <w:rPr>
          <w:rFonts w:ascii="Arial Narrow" w:hAnsi="Arial Narrow" w:cs="Tahoma"/>
          <w:sz w:val="22"/>
        </w:rPr>
        <w:t xml:space="preserve"> million KM, which represented </w:t>
      </w:r>
      <w:r>
        <w:rPr>
          <w:rFonts w:ascii="Arial Narrow" w:hAnsi="Arial Narrow" w:cs="Tahoma"/>
          <w:sz w:val="22"/>
        </w:rPr>
        <w:t>a decrease by 3.3</w:t>
      </w:r>
      <w:r w:rsidRPr="00601667">
        <w:rPr>
          <w:rFonts w:ascii="Arial Narrow" w:hAnsi="Arial Narrow" w:cs="Tahoma"/>
          <w:sz w:val="22"/>
        </w:rPr>
        <w:t>% compared to the same period of the previous year</w:t>
      </w:r>
    </w:p>
    <w:p w:rsidR="00601667" w:rsidRDefault="00601667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7712D7" w:rsidRDefault="00601667" w:rsidP="00F442FA">
      <w:pPr>
        <w:jc w:val="both"/>
        <w:rPr>
          <w:rFonts w:ascii="Arial Narrow" w:hAnsi="Arial Narrow" w:cs="Tahoma"/>
          <w:sz w:val="22"/>
          <w:lang w:val="ru-RU"/>
        </w:rPr>
      </w:pPr>
      <w:r w:rsidRPr="00C74CD8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>
        <w:rPr>
          <w:rFonts w:ascii="Arial Narrow" w:hAnsi="Arial Narrow" w:cs="Tahoma"/>
          <w:sz w:val="22"/>
        </w:rPr>
        <w:t>July</w:t>
      </w:r>
      <w:r w:rsidRPr="00C74CD8">
        <w:rPr>
          <w:rFonts w:ascii="Arial Narrow" w:hAnsi="Arial Narrow" w:cs="Tahoma"/>
          <w:sz w:val="22"/>
        </w:rPr>
        <w:t xml:space="preserve"> 2016, the highest value of export was that of export to Italy, with </w:t>
      </w:r>
      <w:r>
        <w:rPr>
          <w:rFonts w:ascii="Arial Narrow" w:hAnsi="Arial Narrow" w:cs="Tahoma"/>
          <w:sz w:val="22"/>
        </w:rPr>
        <w:t>297</w:t>
      </w:r>
      <w:r w:rsidRPr="00C74CD8">
        <w:rPr>
          <w:rFonts w:ascii="Arial Narrow" w:hAnsi="Arial Narrow" w:cs="Tahoma"/>
          <w:sz w:val="22"/>
        </w:rPr>
        <w:t xml:space="preserve"> mil</w:t>
      </w:r>
      <w:r>
        <w:rPr>
          <w:rFonts w:ascii="Arial Narrow" w:hAnsi="Arial Narrow" w:cs="Tahoma"/>
          <w:sz w:val="22"/>
        </w:rPr>
        <w:t>lion KM or 18.7</w:t>
      </w:r>
      <w:r w:rsidRPr="00C74CD8">
        <w:rPr>
          <w:rFonts w:ascii="Arial Narrow" w:hAnsi="Arial Narrow" w:cs="Tahoma"/>
          <w:sz w:val="22"/>
        </w:rPr>
        <w:t xml:space="preserve">%, followed by </w:t>
      </w:r>
      <w:r>
        <w:rPr>
          <w:rFonts w:ascii="Arial Narrow" w:hAnsi="Arial Narrow" w:cs="Tahoma"/>
          <w:sz w:val="22"/>
        </w:rPr>
        <w:t>Serbia</w:t>
      </w:r>
      <w:r w:rsidRPr="00C74CD8">
        <w:rPr>
          <w:rFonts w:ascii="Arial Narrow" w:hAnsi="Arial Narrow" w:cs="Tahoma"/>
          <w:sz w:val="22"/>
        </w:rPr>
        <w:t xml:space="preserve">, with </w:t>
      </w:r>
      <w:r>
        <w:rPr>
          <w:rFonts w:ascii="Arial Narrow" w:hAnsi="Arial Narrow" w:cs="Tahoma"/>
          <w:sz w:val="22"/>
        </w:rPr>
        <w:t>187 million KM or 11.8</w:t>
      </w:r>
      <w:r w:rsidRPr="00C74CD8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from Serbia, with </w:t>
      </w:r>
      <w:r>
        <w:rPr>
          <w:rFonts w:ascii="Arial Narrow" w:hAnsi="Arial Narrow" w:cs="Tahoma"/>
          <w:sz w:val="22"/>
        </w:rPr>
        <w:t>436 million KM or 17.8</w:t>
      </w:r>
      <w:r w:rsidRPr="00C74CD8">
        <w:rPr>
          <w:rFonts w:ascii="Arial Narrow" w:hAnsi="Arial Narrow" w:cs="Tahoma"/>
          <w:sz w:val="22"/>
        </w:rPr>
        <w:t xml:space="preserve">%, followed by Italy, with </w:t>
      </w:r>
      <w:r>
        <w:rPr>
          <w:rFonts w:ascii="Arial Narrow" w:hAnsi="Arial Narrow" w:cs="Tahoma"/>
          <w:sz w:val="22"/>
        </w:rPr>
        <w:t>321 million KM or 13.1</w:t>
      </w:r>
      <w:r w:rsidRPr="00C74CD8">
        <w:rPr>
          <w:rFonts w:ascii="Arial Narrow" w:hAnsi="Arial Narrow" w:cs="Tahoma"/>
          <w:sz w:val="22"/>
        </w:rPr>
        <w:t>% of the total realised import</w:t>
      </w:r>
      <w:r>
        <w:rPr>
          <w:rFonts w:ascii="Arial Narrow" w:hAnsi="Arial Narrow" w:cs="Tahoma"/>
          <w:sz w:val="22"/>
        </w:rPr>
        <w:t xml:space="preserve">. </w:t>
      </w:r>
    </w:p>
    <w:p w:rsidR="00F442FA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601667" w:rsidRPr="007712D7" w:rsidRDefault="00601667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8E723C">
        <w:rPr>
          <w:rFonts w:ascii="Arial Narrow" w:hAnsi="Arial Narrow" w:cs="Tahoma"/>
          <w:sz w:val="22"/>
        </w:rPr>
        <w:t xml:space="preserve">By group of products, in the period January – </w:t>
      </w:r>
      <w:r>
        <w:rPr>
          <w:rFonts w:ascii="Arial Narrow" w:hAnsi="Arial Narrow" w:cs="Tahoma"/>
          <w:sz w:val="22"/>
        </w:rPr>
        <w:t>July</w:t>
      </w:r>
      <w:r w:rsidRPr="008E723C">
        <w:rPr>
          <w:rFonts w:ascii="Arial Narrow" w:hAnsi="Arial Narrow" w:cs="Tahoma"/>
          <w:sz w:val="22"/>
        </w:rPr>
        <w:t xml:space="preserve"> 2016, the highest share in export was that of processed wood, with the total value of </w:t>
      </w:r>
      <w:r>
        <w:rPr>
          <w:rFonts w:ascii="Arial Narrow" w:hAnsi="Arial Narrow" w:cs="Tahoma"/>
          <w:sz w:val="22"/>
        </w:rPr>
        <w:t>97</w:t>
      </w:r>
      <w:r w:rsidRPr="008E723C">
        <w:rPr>
          <w:rFonts w:ascii="Arial Narrow" w:hAnsi="Arial Narrow" w:cs="Tahoma"/>
          <w:sz w:val="22"/>
        </w:rPr>
        <w:t xml:space="preserve"> million KM, which was 6.1% of the total export, while the highest share in import was that of petroleum and oils obtained from bituminous minerals (crude), with the total value of </w:t>
      </w:r>
      <w:r>
        <w:rPr>
          <w:rFonts w:ascii="Arial Narrow" w:hAnsi="Arial Narrow" w:cs="Tahoma"/>
          <w:sz w:val="22"/>
        </w:rPr>
        <w:t>290</w:t>
      </w:r>
      <w:r w:rsidRPr="008E723C">
        <w:rPr>
          <w:rFonts w:ascii="Arial Narrow" w:hAnsi="Arial Narrow" w:cs="Tahoma"/>
          <w:sz w:val="22"/>
        </w:rPr>
        <w:t xml:space="preserve"> million KM, which was </w:t>
      </w:r>
      <w:r>
        <w:rPr>
          <w:rFonts w:ascii="Arial Narrow" w:hAnsi="Arial Narrow" w:cs="Tahoma"/>
          <w:sz w:val="22"/>
        </w:rPr>
        <w:t>11.8</w:t>
      </w:r>
      <w:r w:rsidRPr="008E723C">
        <w:rPr>
          <w:rFonts w:ascii="Arial Narrow" w:hAnsi="Arial Narrow" w:cs="Tahoma"/>
          <w:sz w:val="22"/>
        </w:rPr>
        <w:t>% of the total import</w:t>
      </w:r>
      <w:r>
        <w:rPr>
          <w:rFonts w:ascii="Arial Narrow" w:hAnsi="Arial Narrow" w:cs="Tahoma"/>
          <w:sz w:val="22"/>
        </w:rPr>
        <w:t xml:space="preserve">. </w:t>
      </w:r>
    </w:p>
    <w:p w:rsidR="00115CDB" w:rsidRPr="007712D7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7712D7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7712D7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DC17C9" w:rsidRDefault="0007663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8" type="#_x0000_t202" style="position:absolute;left:0;text-align:left;margin-left:295.05pt;margin-top:7.35pt;width:64.2pt;height:19.75pt;z-index:251664384;mso-width-relative:margin;mso-height-relative:margin" stroked="f">
            <v:textbox style="mso-next-textbox:#_x0000_s1068">
              <w:txbxContent>
                <w:p w:rsidR="005257A2" w:rsidRPr="000A1309" w:rsidRDefault="00FA2819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</w:rPr>
                    <w:t>thous</w:t>
                  </w:r>
                  <w:r w:rsidR="005257A2"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353834" w:rsidRPr="00DC17C9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DC17C9" w:rsidRDefault="00076631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noProof/>
          <w:sz w:val="16"/>
          <w:szCs w:val="16"/>
        </w:rPr>
        <w:pict>
          <v:shape id="_x0000_s1074" type="#_x0000_t202" style="position:absolute;left:0;text-align:left;margin-left:385.35pt;margin-top:90.25pt;width:48pt;height:21.25pt;z-index:25166950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" fillcolor="window" stroked="f">
            <v:textbox>
              <w:txbxContent>
                <w:p w:rsidR="00FA2819" w:rsidRDefault="00FA2819" w:rsidP="00FA281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 Narrow" w:hAnsi="Arial Narrow" w:cstheme="minorBidi"/>
                      <w:sz w:val="16"/>
                      <w:szCs w:val="16"/>
                    </w:rPr>
                    <w:t>export</w:t>
                  </w:r>
                </w:p>
              </w:txbxContent>
            </v:textbox>
          </v:shape>
        </w:pict>
      </w:r>
      <w:r>
        <w:rPr>
          <w:rFonts w:ascii="Tahoma" w:hAnsi="Tahoma" w:cs="Tahoma"/>
          <w:iCs/>
          <w:noProof/>
          <w:sz w:val="18"/>
          <w:szCs w:val="18"/>
        </w:rPr>
        <w:pict>
          <v:shape id="TextBox 1" o:spid="_x0000_s1073" type="#_x0000_t202" style="position:absolute;left:0;text-align:left;margin-left:385.35pt;margin-top:71.45pt;width:42.05pt;height:17.3pt;z-index:25166848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" fillcolor="window" stroked="f">
            <v:path arrowok="t"/>
            <v:textbox style="mso-next-textbox:#TextBox 1">
              <w:txbxContent>
                <w:p w:rsidR="00FA2819" w:rsidRDefault="00FA2819" w:rsidP="00FA281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 Narrow" w:hAnsi="Arial Narrow" w:cstheme="minorBidi"/>
                      <w:sz w:val="16"/>
                      <w:szCs w:val="16"/>
                    </w:rPr>
                    <w:t>import</w:t>
                  </w:r>
                </w:p>
              </w:txbxContent>
            </v:textbox>
          </v:shape>
        </w:pict>
      </w:r>
      <w:r w:rsidR="00CB7D70">
        <w:rPr>
          <w:noProof/>
        </w:rPr>
        <w:drawing>
          <wp:inline distT="0" distB="0" distL="0" distR="0" wp14:anchorId="3004B230" wp14:editId="0EEB196F">
            <wp:extent cx="4405746" cy="2604654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85.6pt;margin-top:202.8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5257A2" w:rsidRPr="000A1309" w:rsidRDefault="005257A2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</w:p>
    <w:p w:rsidR="003A0849" w:rsidRPr="00DC17C9" w:rsidRDefault="0007663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5.3pt;margin-top:2.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5257A2" w:rsidRPr="000A1309" w:rsidRDefault="005257A2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</w:p>
    <w:p w:rsidR="00101E3A" w:rsidRPr="00DC17C9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DC17C9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FA2819" w:rsidRDefault="00FA2819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777348" w:rsidRPr="007712D7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7712D7">
        <w:rPr>
          <w:rFonts w:ascii="Arial Narrow" w:hAnsi="Arial Narrow" w:cs="Tahoma"/>
          <w:sz w:val="16"/>
          <w:szCs w:val="22"/>
          <w:lang w:val="sr-Latn-BA"/>
        </w:rPr>
        <w:t>4</w:t>
      </w:r>
      <w:r w:rsidR="00777348" w:rsidRPr="007712D7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2E1D1D" w:rsidRPr="00DC17C9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DC17C9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DC2DC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AA0DF4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A0DF4" w:rsidRPr="00CD455D" w:rsidRDefault="00AA0DF4" w:rsidP="00AA0DF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AA0DF4" w:rsidRPr="00CD455D" w:rsidRDefault="00AA0DF4" w:rsidP="00AA0DF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CD455D">
              <w:rPr>
                <w:rFonts w:ascii="Arial Narrow" w:hAnsi="Arial Narrow" w:cs="Tahoma"/>
                <w:sz w:val="18"/>
                <w:szCs w:val="18"/>
              </w:rPr>
              <w:t xml:space="preserve">Biljana Glušac </w:t>
            </w:r>
          </w:p>
          <w:p w:rsidR="0066022A" w:rsidRPr="00DC2DCC" w:rsidRDefault="00076631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A0DF4" w:rsidRPr="00B84D4D" w:rsidRDefault="00AA0DF4" w:rsidP="00AA0DF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84D4D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AA0DF4" w:rsidRDefault="00AA0DF4" w:rsidP="00AA0DF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B84D4D">
              <w:rPr>
                <w:rFonts w:ascii="Arial Narrow" w:hAnsi="Arial Narrow" w:cs="Tahoma"/>
                <w:sz w:val="18"/>
                <w:szCs w:val="18"/>
              </w:rPr>
              <w:t xml:space="preserve">Biljana Tešić </w:t>
            </w:r>
          </w:p>
          <w:p w:rsidR="0066022A" w:rsidRPr="00DC2DCC" w:rsidRDefault="00076631" w:rsidP="00AA0DF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AA0DF4" w:rsidRPr="00326F75">
                <w:rPr>
                  <w:rStyle w:val="Hyperlink"/>
                  <w:rFonts w:ascii="Arial Narrow" w:hAnsi="Arial Narrow" w:cs="Tahoma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DC2DCC" w:rsidRPr="00DC2DCC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A0DF4" w:rsidRPr="007E517E" w:rsidRDefault="00AA0DF4" w:rsidP="00AA0DF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AA0DF4" w:rsidRDefault="00AA0DF4" w:rsidP="00AA0DF4">
            <w:pPr>
              <w:jc w:val="both"/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>Mirjana Bandur</w:t>
            </w:r>
            <w:r>
              <w:t xml:space="preserve"> </w:t>
            </w:r>
          </w:p>
          <w:p w:rsidR="0066022A" w:rsidRPr="00DC2DCC" w:rsidRDefault="00076631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66022A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A0DF4" w:rsidRPr="00700714" w:rsidRDefault="00AA0DF4" w:rsidP="00AA0DF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AA0DF4" w:rsidRPr="00252DE1" w:rsidRDefault="00AA0DF4" w:rsidP="00AA0DF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Sanja Stojčević Uvalić, MSc</w:t>
            </w:r>
          </w:p>
          <w:p w:rsidR="0066022A" w:rsidRPr="00DC2DCC" w:rsidRDefault="00076631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AA0DF4" w:rsidRDefault="00AA0DF4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AA0DF4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AA0DF4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AA0DF4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0766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AA0DF4" w:rsidRDefault="00AA0DF4" w:rsidP="00AA0DF4">
            <w:pPr>
              <w:jc w:val="center"/>
              <w:rPr>
                <w:rFonts w:ascii="Arial Narrow" w:hAnsi="Arial Narrow" w:cs="Tahoma"/>
                <w:sz w:val="18"/>
                <w:lang w:val="ru-RU"/>
              </w:rPr>
            </w:pPr>
            <w:r w:rsidRPr="00AA0DF4">
              <w:rPr>
                <w:rFonts w:ascii="Arial Narrow" w:hAnsi="Arial Narrow" w:cs="Tahoma"/>
                <w:sz w:val="18"/>
                <w:lang w:val="sr-Cyrl-CS"/>
              </w:rPr>
              <w:t>The Release prepared by the Publications Division</w:t>
            </w:r>
          </w:p>
        </w:tc>
      </w:tr>
      <w:tr w:rsidR="004C20B5" w:rsidRPr="009504BB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AA0DF4" w:rsidRPr="00076631" w:rsidRDefault="00AA0DF4" w:rsidP="00AA0D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AA0DF4">
              <w:rPr>
                <w:rFonts w:ascii="Arial Narrow" w:hAnsi="Arial Narrow" w:cs="Tahoma"/>
                <w:sz w:val="18"/>
                <w:szCs w:val="18"/>
                <w:lang w:val="ru-RU"/>
              </w:rPr>
              <w:t>Vladan Sibinović, Head of the Division</w:t>
            </w:r>
            <w:r w:rsidR="00076631">
              <w:rPr>
                <w:rFonts w:ascii="Arial Narrow" w:hAnsi="Arial Narrow" w:cs="Tahoma"/>
                <w:sz w:val="18"/>
                <w:szCs w:val="18"/>
              </w:rPr>
              <w:t xml:space="preserve"> and Editor in Chief</w:t>
            </w:r>
          </w:p>
          <w:p w:rsidR="00AA0DF4" w:rsidRPr="00AA0DF4" w:rsidRDefault="00AA0DF4" w:rsidP="00AA0D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AA0DF4">
              <w:rPr>
                <w:rFonts w:ascii="Arial Narrow" w:hAnsi="Arial Narrow" w:cs="Tahoma"/>
                <w:sz w:val="18"/>
                <w:szCs w:val="18"/>
                <w:lang w:val="ru-RU"/>
              </w:rPr>
              <w:t>Published by the Republika Srpska Institute of Statistics,</w:t>
            </w:r>
          </w:p>
          <w:p w:rsidR="00AA0DF4" w:rsidRPr="00AA0DF4" w:rsidRDefault="00AA0DF4" w:rsidP="00AA0D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AA0DF4">
              <w:rPr>
                <w:rFonts w:ascii="Arial Narrow" w:hAnsi="Arial Narrow" w:cs="Tahoma"/>
                <w:sz w:val="18"/>
                <w:szCs w:val="18"/>
                <w:lang w:val="ru-RU"/>
              </w:rPr>
              <w:t>Republika Srpska, Banja Luka, V</w:t>
            </w:r>
            <w:bookmarkStart w:id="0" w:name="_GoBack"/>
            <w:bookmarkEnd w:id="0"/>
            <w:r w:rsidRPr="00AA0DF4">
              <w:rPr>
                <w:rFonts w:ascii="Arial Narrow" w:hAnsi="Arial Narrow" w:cs="Tahoma"/>
                <w:sz w:val="18"/>
                <w:szCs w:val="18"/>
                <w:lang w:val="ru-RU"/>
              </w:rPr>
              <w:t>eljka Mlađenovića 12d</w:t>
            </w:r>
          </w:p>
          <w:p w:rsidR="00AA0DF4" w:rsidRPr="00AA0DF4" w:rsidRDefault="00AA0DF4" w:rsidP="00AA0D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AA0DF4">
              <w:rPr>
                <w:rFonts w:ascii="Arial Narrow" w:hAnsi="Arial Narrow" w:cs="Tahoma"/>
                <w:sz w:val="18"/>
                <w:szCs w:val="18"/>
                <w:lang w:val="ru-RU"/>
              </w:rPr>
              <w:t>Radmila Čičković, PhD, Director General of the Institute</w:t>
            </w:r>
          </w:p>
          <w:p w:rsidR="00AA0DF4" w:rsidRPr="00AA0DF4" w:rsidRDefault="00AA0DF4" w:rsidP="00AA0D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AA0DF4">
              <w:rPr>
                <w:rFonts w:ascii="Arial Narrow" w:hAnsi="Arial Narrow" w:cs="Tahoma"/>
                <w:sz w:val="18"/>
                <w:szCs w:val="18"/>
                <w:lang w:val="ru-RU"/>
              </w:rPr>
              <w:t>The Release is published online at: www.rzs.rs.ba</w:t>
            </w:r>
          </w:p>
          <w:p w:rsidR="009E2A9A" w:rsidRPr="00AA0DF4" w:rsidRDefault="00AA0DF4" w:rsidP="00AA0DF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AA0DF4">
              <w:rPr>
                <w:rFonts w:ascii="Arial Narrow" w:hAnsi="Arial Narrow" w:cs="Tahoma"/>
                <w:sz w:val="18"/>
                <w:szCs w:val="18"/>
                <w:lang w:val="ru-RU"/>
              </w:rPr>
              <w:t>telephone +387 51 332 700; e-mail: stat@rzs.rs.ba</w:t>
            </w:r>
          </w:p>
          <w:p w:rsidR="009E2A9A" w:rsidRPr="00CA19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A19B5" w:rsidRDefault="00AA0DF4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AA0DF4">
              <w:rPr>
                <w:rFonts w:ascii="Arial Narrow" w:hAnsi="Arial Narrow" w:cs="Tahoma"/>
                <w:b/>
                <w:bCs/>
                <w:sz w:val="18"/>
                <w:lang w:val="ru-RU"/>
              </w:rPr>
              <w:t>Data may be used provided the source is acknowledged</w:t>
            </w:r>
          </w:p>
        </w:tc>
      </w:tr>
    </w:tbl>
    <w:p w:rsidR="009E2A9A" w:rsidRPr="00CA19B5" w:rsidRDefault="00076631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7A2" w:rsidRDefault="005257A2">
      <w:r>
        <w:separator/>
      </w:r>
    </w:p>
  </w:endnote>
  <w:endnote w:type="continuationSeparator" w:id="0">
    <w:p w:rsidR="005257A2" w:rsidRDefault="0052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A2" w:rsidRDefault="00076631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5257A2" w:rsidRPr="00175687" w:rsidRDefault="005257A2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076631">
                    <w:rPr>
                      <w:rFonts w:ascii="Tahoma" w:hAnsi="Tahoma" w:cs="Tahoma"/>
                      <w:noProof/>
                      <w:color w:val="FFFFFF"/>
                    </w:rPr>
                    <w:t>5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A2" w:rsidRDefault="00076631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5257A2" w:rsidRPr="00175687" w:rsidRDefault="005257A2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076631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7A2" w:rsidRDefault="005257A2">
      <w:r>
        <w:separator/>
      </w:r>
    </w:p>
  </w:footnote>
  <w:footnote w:type="continuationSeparator" w:id="0">
    <w:p w:rsidR="005257A2" w:rsidRDefault="00525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5257A2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5257A2" w:rsidRPr="00F9130D" w:rsidRDefault="00F9130D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5257A2" w:rsidRPr="00F9130D" w:rsidRDefault="00F9130D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5257A2" w:rsidRPr="005D5311" w:rsidRDefault="005257A2" w:rsidP="00F9130D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>
            <w:rPr>
              <w:rFonts w:ascii="Arial Narrow" w:hAnsi="Arial Narrow" w:cs="Tahoma"/>
              <w:color w:val="1F497D" w:themeColor="text2"/>
              <w:sz w:val="16"/>
              <w:lang w:val="sr-Latn-BA"/>
            </w:rPr>
            <w:t>2</w:t>
          </w:r>
          <w:r w:rsidRPr="00431915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</w:t>
          </w:r>
          <w:r w:rsidR="00F9130D"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August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6</w:t>
          </w:r>
          <w:r w:rsidR="00F9130D">
            <w:rPr>
              <w:rFonts w:ascii="Arial Narrow" w:hAnsi="Arial Narrow" w:cs="Tahoma"/>
              <w:color w:val="1F497D" w:themeColor="text2"/>
              <w:sz w:val="16"/>
              <w:szCs w:val="16"/>
            </w:rPr>
            <w:t>,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</w:t>
          </w:r>
          <w:r w:rsidR="00F9130D">
            <w:rPr>
              <w:rFonts w:ascii="Arial Narrow" w:hAnsi="Arial Narrow" w:cs="Tahoma"/>
              <w:color w:val="1F497D" w:themeColor="text2"/>
              <w:sz w:val="16"/>
              <w:szCs w:val="16"/>
            </w:rPr>
            <w:t>No.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 w:rsidR="00DC17C9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BA"/>
            </w:rPr>
            <w:t>209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5257A2" w:rsidRDefault="00076631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6FA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31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5FE4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BAC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977"/>
    <w:rsid w:val="00310B8F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B3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78F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5EAA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AF5"/>
    <w:rsid w:val="00496FF8"/>
    <w:rsid w:val="00497620"/>
    <w:rsid w:val="004979AB"/>
    <w:rsid w:val="00497ABD"/>
    <w:rsid w:val="00497BEE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667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AA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192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2D7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7D5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E9B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DF4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A7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0B3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75B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671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B09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21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435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6710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61E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5A92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6D3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0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2819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A2765DCD-F321-492C-B1CE-DED69B38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  <w:style w:type="paragraph" w:styleId="NormalWeb">
    <w:name w:val="Normal (Web)"/>
    <w:basedOn w:val="Normal"/>
    <w:uiPriority w:val="99"/>
    <w:semiHidden/>
    <w:unhideWhenUsed/>
    <w:rsid w:val="00FA2819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krajina\Publikovanje\01%20Saopstenja\2016\Cijene\Indeksi%20potrosackih%20cijena\Grafikon_2016_jul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2015</c:v>
                  </c:pt>
                  <c:pt idx="6">
                    <c:v>2016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834</c:v>
                </c:pt>
                <c:pt idx="1">
                  <c:v>834</c:v>
                </c:pt>
                <c:pt idx="2">
                  <c:v>834</c:v>
                </c:pt>
                <c:pt idx="3">
                  <c:v>824</c:v>
                </c:pt>
                <c:pt idx="4">
                  <c:v>824</c:v>
                </c:pt>
                <c:pt idx="5">
                  <c:v>834</c:v>
                </c:pt>
                <c:pt idx="6">
                  <c:v>816</c:v>
                </c:pt>
                <c:pt idx="7">
                  <c:v>838</c:v>
                </c:pt>
                <c:pt idx="8">
                  <c:v>837</c:v>
                </c:pt>
                <c:pt idx="9">
                  <c:v>832</c:v>
                </c:pt>
                <c:pt idx="10">
                  <c:v>841</c:v>
                </c:pt>
                <c:pt idx="11">
                  <c:v>845</c:v>
                </c:pt>
                <c:pt idx="12">
                  <c:v>838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98648"/>
        <c:axId val="305555240"/>
      </c:lineChart>
      <c:catAx>
        <c:axId val="898648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305555240"/>
        <c:crosses val="autoZero"/>
        <c:auto val="1"/>
        <c:lblAlgn val="ctr"/>
        <c:lblOffset val="100"/>
        <c:noMultiLvlLbl val="0"/>
      </c:catAx>
      <c:valAx>
        <c:axId val="305555240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89864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739E-2"/>
          <c:w val="0.90069686411149863"/>
          <c:h val="0.76569037656904027"/>
        </c:manualLayout>
      </c:layout>
      <c:lineChart>
        <c:grouping val="standard"/>
        <c:varyColors val="0"/>
        <c:ser>
          <c:idx val="0"/>
          <c:order val="0"/>
          <c:tx>
            <c:strRef>
              <c:f>jul!$C$3</c:f>
              <c:strCache>
                <c:ptCount val="1"/>
                <c:pt idx="0">
                  <c:v>Мјесечна инфлација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jul!$A$4:$B$16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1">
                    <c:v>2015</c:v>
                  </c:pt>
                  <c:pt idx="6">
                    <c:v>2016</c:v>
                  </c:pt>
                </c:lvl>
              </c:multiLvlStrCache>
            </c:multiLvlStrRef>
          </c:cat>
          <c:val>
            <c:numRef>
              <c:f>jul!$C$4:$C$16</c:f>
              <c:numCache>
                <c:formatCode>0.0</c:formatCode>
                <c:ptCount val="13"/>
                <c:pt idx="0" formatCode="General">
                  <c:v>-0.8</c:v>
                </c:pt>
                <c:pt idx="1">
                  <c:v>0</c:v>
                </c:pt>
                <c:pt idx="2" formatCode="General">
                  <c:v>-0.1</c:v>
                </c:pt>
                <c:pt idx="3" formatCode="General">
                  <c:v>0.9</c:v>
                </c:pt>
                <c:pt idx="4" formatCode="General">
                  <c:v>-0.2</c:v>
                </c:pt>
                <c:pt idx="5" formatCode="General">
                  <c:v>-0.2</c:v>
                </c:pt>
                <c:pt idx="6" formatCode="General">
                  <c:v>0.2</c:v>
                </c:pt>
                <c:pt idx="7" formatCode="General">
                  <c:v>-0.2</c:v>
                </c:pt>
                <c:pt idx="8">
                  <c:v>0</c:v>
                </c:pt>
                <c:pt idx="9">
                  <c:v>-1</c:v>
                </c:pt>
                <c:pt idx="10" formatCode="General">
                  <c:v>0.1</c:v>
                </c:pt>
                <c:pt idx="11" formatCode="General">
                  <c:v>-0.2</c:v>
                </c:pt>
                <c:pt idx="12" formatCode="General">
                  <c:v>-0.3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jul!$D$3</c:f>
              <c:strCache>
                <c:ptCount val="1"/>
                <c:pt idx="0">
                  <c:v>Годишња инфлација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jul!$A$4:$B$16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1">
                    <c:v>2015</c:v>
                  </c:pt>
                  <c:pt idx="6">
                    <c:v>2016</c:v>
                  </c:pt>
                </c:lvl>
              </c:multiLvlStrCache>
            </c:multiLvlStrRef>
          </c:cat>
          <c:val>
            <c:numRef>
              <c:f>jul!$D$4:$D$16</c:f>
              <c:numCache>
                <c:formatCode>General</c:formatCode>
                <c:ptCount val="13"/>
                <c:pt idx="0">
                  <c:v>-1.6</c:v>
                </c:pt>
                <c:pt idx="1">
                  <c:v>-1.6</c:v>
                </c:pt>
                <c:pt idx="2">
                  <c:v>-2.1</c:v>
                </c:pt>
                <c:pt idx="3">
                  <c:v>-2.1</c:v>
                </c:pt>
                <c:pt idx="4" formatCode="0.0">
                  <c:v>-2</c:v>
                </c:pt>
                <c:pt idx="5">
                  <c:v>-1.6</c:v>
                </c:pt>
                <c:pt idx="6">
                  <c:v>-0.9</c:v>
                </c:pt>
                <c:pt idx="7">
                  <c:v>-1.3</c:v>
                </c:pt>
                <c:pt idx="8">
                  <c:v>-1.8</c:v>
                </c:pt>
                <c:pt idx="9">
                  <c:v>-1.7</c:v>
                </c:pt>
                <c:pt idx="10">
                  <c:v>-1.6</c:v>
                </c:pt>
                <c:pt idx="11">
                  <c:v>-1.6</c:v>
                </c:pt>
                <c:pt idx="12" formatCode="0.0">
                  <c:v>-1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5438792"/>
        <c:axId val="305187192"/>
      </c:lineChart>
      <c:catAx>
        <c:axId val="30543879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0518719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05187192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05438792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29"/>
          <c:y val="0.87484060194481583"/>
          <c:w val="0.5226480836236953"/>
          <c:h val="8.3682008368201069E-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2012</c:v>
                  </c:pt>
                  <c:pt idx="6">
                    <c:v>2013</c:v>
                  </c:pt>
                  <c:pt idx="18">
                    <c:v>2014</c:v>
                  </c:pt>
                  <c:pt idx="30">
                    <c:v>2015</c:v>
                  </c:pt>
                  <c:pt idx="42">
                    <c:v>2016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93.544622028709725</c:v>
                </c:pt>
                <c:pt idx="1">
                  <c:v>99.67418788514631</c:v>
                </c:pt>
                <c:pt idx="2">
                  <c:v>106.22555924897068</c:v>
                </c:pt>
                <c:pt idx="3">
                  <c:v>100.59871541117144</c:v>
                </c:pt>
                <c:pt idx="4">
                  <c:v>99.253665659613489</c:v>
                </c:pt>
                <c:pt idx="5">
                  <c:v>102.4550728891756</c:v>
                </c:pt>
                <c:pt idx="6">
                  <c:v>102.10329813048791</c:v>
                </c:pt>
                <c:pt idx="7">
                  <c:v>100.31116147717933</c:v>
                </c:pt>
                <c:pt idx="8">
                  <c:v>99.766254318683053</c:v>
                </c:pt>
                <c:pt idx="9">
                  <c:v>109.49463660142405</c:v>
                </c:pt>
                <c:pt idx="10">
                  <c:v>102.68973629280634</c:v>
                </c:pt>
                <c:pt idx="11">
                  <c:v>105.20664310956204</c:v>
                </c:pt>
                <c:pt idx="12">
                  <c:v>110.39740603499395</c:v>
                </c:pt>
                <c:pt idx="13">
                  <c:v>106.75633084893229</c:v>
                </c:pt>
                <c:pt idx="14">
                  <c:v>100.93726043376978</c:v>
                </c:pt>
                <c:pt idx="15">
                  <c:v>101.86533732147446</c:v>
                </c:pt>
                <c:pt idx="16">
                  <c:v>105.17268208203369</c:v>
                </c:pt>
                <c:pt idx="17">
                  <c:v>106.46180885761554</c:v>
                </c:pt>
                <c:pt idx="18">
                  <c:v>107.07832982581829</c:v>
                </c:pt>
                <c:pt idx="19">
                  <c:v>104.85087728774282</c:v>
                </c:pt>
                <c:pt idx="20">
                  <c:v>101.18101118421413</c:v>
                </c:pt>
                <c:pt idx="21">
                  <c:v>103.56942210743283</c:v>
                </c:pt>
                <c:pt idx="22">
                  <c:v>102.44336110817065</c:v>
                </c:pt>
                <c:pt idx="23">
                  <c:v>104.36782300252713</c:v>
                </c:pt>
                <c:pt idx="24">
                  <c:v>106.03402940229988</c:v>
                </c:pt>
                <c:pt idx="25">
                  <c:v>99.780027294340215</c:v>
                </c:pt>
                <c:pt idx="26">
                  <c:v>109.82475608150514</c:v>
                </c:pt>
                <c:pt idx="27">
                  <c:v>107.93341792488921</c:v>
                </c:pt>
                <c:pt idx="28">
                  <c:v>107.72317102744343</c:v>
                </c:pt>
                <c:pt idx="29">
                  <c:v>106.23941958241718</c:v>
                </c:pt>
                <c:pt idx="30">
                  <c:v>109.51035171713181</c:v>
                </c:pt>
                <c:pt idx="31">
                  <c:v>109.86024977904432</c:v>
                </c:pt>
                <c:pt idx="32">
                  <c:v>103.1565216322807</c:v>
                </c:pt>
                <c:pt idx="33">
                  <c:v>106.77277256032113</c:v>
                </c:pt>
                <c:pt idx="34">
                  <c:v>109.28067920838657</c:v>
                </c:pt>
                <c:pt idx="35">
                  <c:v>109.25253057817183</c:v>
                </c:pt>
                <c:pt idx="36">
                  <c:v>107.63622951337589</c:v>
                </c:pt>
                <c:pt idx="37">
                  <c:v>110.41622467283422</c:v>
                </c:pt>
                <c:pt idx="38">
                  <c:v>106.36104380893755</c:v>
                </c:pt>
                <c:pt idx="39">
                  <c:v>108.75979676779016</c:v>
                </c:pt>
                <c:pt idx="40">
                  <c:v>107.84538946917644</c:v>
                </c:pt>
                <c:pt idx="41">
                  <c:v>107.16370494924423</c:v>
                </c:pt>
                <c:pt idx="42">
                  <c:v>103.85581538493382</c:v>
                </c:pt>
                <c:pt idx="43">
                  <c:v>114.234666612287</c:v>
                </c:pt>
                <c:pt idx="44">
                  <c:v>120.90410652665216</c:v>
                </c:pt>
                <c:pt idx="45">
                  <c:v>111.63751100885663</c:v>
                </c:pt>
                <c:pt idx="46">
                  <c:v>115.87936483558657</c:v>
                </c:pt>
                <c:pt idx="47">
                  <c:v>113.73690000216548</c:v>
                </c:pt>
                <c:pt idx="48">
                  <c:v>115.09071590561776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2012</c:v>
                  </c:pt>
                  <c:pt idx="6">
                    <c:v>2013</c:v>
                  </c:pt>
                  <c:pt idx="18">
                    <c:v>2014</c:v>
                  </c:pt>
                  <c:pt idx="30">
                    <c:v>2015</c:v>
                  </c:pt>
                  <c:pt idx="42">
                    <c:v>2016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100.83430106144139</c:v>
                </c:pt>
                <c:pt idx="1">
                  <c:v>101.06115629882352</c:v>
                </c:pt>
                <c:pt idx="2">
                  <c:v>101.35092999718921</c:v>
                </c:pt>
                <c:pt idx="3">
                  <c:v>101.50940589270019</c:v>
                </c:pt>
                <c:pt idx="4">
                  <c:v>101.68668629323159</c:v>
                </c:pt>
                <c:pt idx="5">
                  <c:v>101.94847684567242</c:v>
                </c:pt>
                <c:pt idx="6">
                  <c:v>102.21481051991921</c:v>
                </c:pt>
                <c:pt idx="7">
                  <c:v>102.48002367308278</c:v>
                </c:pt>
                <c:pt idx="8">
                  <c:v>102.85481849822661</c:v>
                </c:pt>
                <c:pt idx="9">
                  <c:v>103.28377641770545</c:v>
                </c:pt>
                <c:pt idx="10">
                  <c:v>103.58461561658949</c:v>
                </c:pt>
                <c:pt idx="11">
                  <c:v>103.86440407970727</c:v>
                </c:pt>
                <c:pt idx="12">
                  <c:v>104.10746836734995</c:v>
                </c:pt>
                <c:pt idx="13">
                  <c:v>104.14817082824295</c:v>
                </c:pt>
                <c:pt idx="14">
                  <c:v>104.10581302779276</c:v>
                </c:pt>
                <c:pt idx="15">
                  <c:v>104.16537287275979</c:v>
                </c:pt>
                <c:pt idx="16">
                  <c:v>104.31333159606973</c:v>
                </c:pt>
                <c:pt idx="17">
                  <c:v>104.44206922060948</c:v>
                </c:pt>
                <c:pt idx="18">
                  <c:v>104.50171191968954</c:v>
                </c:pt>
                <c:pt idx="19">
                  <c:v>104.47789084439906</c:v>
                </c:pt>
                <c:pt idx="20">
                  <c:v>104.46068780894441</c:v>
                </c:pt>
                <c:pt idx="21">
                  <c:v>104.54339452075881</c:v>
                </c:pt>
                <c:pt idx="22">
                  <c:v>104.69385920873106</c:v>
                </c:pt>
                <c:pt idx="23">
                  <c:v>104.92570058621074</c:v>
                </c:pt>
                <c:pt idx="24">
                  <c:v>105.17044809036085</c:v>
                </c:pt>
                <c:pt idx="25">
                  <c:v>105.45386897322237</c:v>
                </c:pt>
                <c:pt idx="26">
                  <c:v>105.86691138896575</c:v>
                </c:pt>
                <c:pt idx="27">
                  <c:v>106.22844793116438</c:v>
                </c:pt>
                <c:pt idx="28">
                  <c:v>106.49576739654208</c:v>
                </c:pt>
                <c:pt idx="29">
                  <c:v>106.75491808653108</c:v>
                </c:pt>
                <c:pt idx="30">
                  <c:v>107.01963511844255</c:v>
                </c:pt>
                <c:pt idx="31">
                  <c:v>107.2083755422251</c:v>
                </c:pt>
                <c:pt idx="32">
                  <c:v>107.34647835222569</c:v>
                </c:pt>
                <c:pt idx="33">
                  <c:v>107.60362119903162</c:v>
                </c:pt>
                <c:pt idx="34">
                  <c:v>107.92672114867685</c:v>
                </c:pt>
                <c:pt idx="35">
                  <c:v>108.20451693848609</c:v>
                </c:pt>
                <c:pt idx="36">
                  <c:v>108.47674418609246</c:v>
                </c:pt>
                <c:pt idx="37">
                  <c:v>108.75776477454551</c:v>
                </c:pt>
                <c:pt idx="38">
                  <c:v>109.03941196124333</c:v>
                </c:pt>
                <c:pt idx="39">
                  <c:v>109.38853845198086</c:v>
                </c:pt>
                <c:pt idx="40">
                  <c:v>109.81014651157858</c:v>
                </c:pt>
                <c:pt idx="41">
                  <c:v>110.29528437319208</c:v>
                </c:pt>
                <c:pt idx="42">
                  <c:v>110.94819818374425</c:v>
                </c:pt>
                <c:pt idx="43">
                  <c:v>111.83640148411845</c:v>
                </c:pt>
                <c:pt idx="44">
                  <c:v>112.66450077158082</c:v>
                </c:pt>
                <c:pt idx="45">
                  <c:v>113.28597555686319</c:v>
                </c:pt>
                <c:pt idx="46">
                  <c:v>113.90518462726786</c:v>
                </c:pt>
                <c:pt idx="47">
                  <c:v>114.52619930228649</c:v>
                </c:pt>
                <c:pt idx="48">
                  <c:v>115.15755637196672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5897040"/>
        <c:axId val="398119480"/>
      </c:lineChart>
      <c:catAx>
        <c:axId val="30589704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398119480"/>
        <c:crosses val="autoZero"/>
        <c:auto val="1"/>
        <c:lblAlgn val="ctr"/>
        <c:lblOffset val="100"/>
        <c:noMultiLvlLbl val="0"/>
      </c:catAx>
      <c:valAx>
        <c:axId val="398119480"/>
        <c:scaling>
          <c:orientation val="minMax"/>
          <c:max val="125"/>
          <c:min val="9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30589704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zaJul2016!$A$2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zaJul2016!$B$1:$N$1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zaJul2016!$B$2:$N$2</c:f>
              <c:numCache>
                <c:formatCode>General</c:formatCode>
                <c:ptCount val="13"/>
                <c:pt idx="0">
                  <c:v>441833</c:v>
                </c:pt>
                <c:pt idx="1">
                  <c:v>336388</c:v>
                </c:pt>
                <c:pt idx="2">
                  <c:v>390273</c:v>
                </c:pt>
                <c:pt idx="3">
                  <c:v>396961</c:v>
                </c:pt>
                <c:pt idx="4">
                  <c:v>363606</c:v>
                </c:pt>
                <c:pt idx="5">
                  <c:v>346357</c:v>
                </c:pt>
                <c:pt idx="6">
                  <c:v>227697</c:v>
                </c:pt>
                <c:pt idx="7">
                  <c:v>330765</c:v>
                </c:pt>
                <c:pt idx="8">
                  <c:v>354491</c:v>
                </c:pt>
                <c:pt idx="9">
                  <c:v>421781</c:v>
                </c:pt>
                <c:pt idx="10">
                  <c:v>315411</c:v>
                </c:pt>
                <c:pt idx="11">
                  <c:v>418421</c:v>
                </c:pt>
                <c:pt idx="12">
                  <c:v>384376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zaJul2016!$A$3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zaJul2016!$B$1:$N$1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zaJul2016!$B$3:$N$3</c:f>
              <c:numCache>
                <c:formatCode>0</c:formatCode>
                <c:ptCount val="13"/>
                <c:pt idx="0">
                  <c:v>242225</c:v>
                </c:pt>
                <c:pt idx="1">
                  <c:v>201367</c:v>
                </c:pt>
                <c:pt idx="2">
                  <c:v>237597</c:v>
                </c:pt>
                <c:pt idx="3">
                  <c:v>240258</c:v>
                </c:pt>
                <c:pt idx="4">
                  <c:v>228539</c:v>
                </c:pt>
                <c:pt idx="5">
                  <c:v>226207</c:v>
                </c:pt>
                <c:pt idx="6">
                  <c:v>183779</c:v>
                </c:pt>
                <c:pt idx="7">
                  <c:v>211524</c:v>
                </c:pt>
                <c:pt idx="8">
                  <c:v>239782</c:v>
                </c:pt>
                <c:pt idx="9">
                  <c:v>228100</c:v>
                </c:pt>
                <c:pt idx="10">
                  <c:v>234236</c:v>
                </c:pt>
                <c:pt idx="11">
                  <c:v>248109</c:v>
                </c:pt>
                <c:pt idx="12">
                  <c:v>245480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4646976"/>
        <c:axId val="304647368"/>
      </c:lineChart>
      <c:catAx>
        <c:axId val="30464697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304647368"/>
        <c:crosses val="autoZero"/>
        <c:auto val="1"/>
        <c:lblAlgn val="ctr"/>
        <c:lblOffset val="100"/>
        <c:noMultiLvlLbl val="0"/>
      </c:catAx>
      <c:valAx>
        <c:axId val="304647368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304646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png"/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0.56794</cdr:x>
      <cdr:y>0.88536</cdr:y>
    </cdr:from>
    <cdr:to>
      <cdr:x>0.7247</cdr:x>
      <cdr:y>0.96941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105510" y="2708694"/>
          <a:ext cx="857143" cy="257143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0.38815</cdr:x>
      <cdr:y>0.87834</cdr:y>
    </cdr:from>
    <cdr:to>
      <cdr:x>0.5204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515498" y="2681651"/>
          <a:ext cx="857143" cy="37142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0.56704</cdr:x>
      <cdr:y>0.90698</cdr:y>
    </cdr:from>
    <cdr:to>
      <cdr:x>0.69929</cdr:x>
      <cdr:y>0.98184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674853" y="2769079"/>
          <a:ext cx="857143" cy="22857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4B66E-64F9-44FB-BCDE-C5880CF6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3770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9326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615</cp:revision>
  <cp:lastPrinted>2015-12-17T11:01:00Z</cp:lastPrinted>
  <dcterms:created xsi:type="dcterms:W3CDTF">2014-03-14T12:01:00Z</dcterms:created>
  <dcterms:modified xsi:type="dcterms:W3CDTF">2016-08-22T09:47:00Z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