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377E3D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377E3D">
              <w:rPr>
                <w:rFonts w:ascii="Arial Narrow" w:hAnsi="Arial Narrow" w:cs="Tahoma"/>
                <w:color w:val="1F497D" w:themeColor="text2"/>
                <w:sz w:val="18"/>
              </w:rPr>
              <w:t>2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377E3D">
              <w:rPr>
                <w:rFonts w:ascii="Arial Narrow" w:hAnsi="Arial Narrow" w:cs="Tahoma"/>
                <w:color w:val="1F497D" w:themeColor="text2"/>
                <w:sz w:val="18"/>
              </w:rPr>
              <w:t>октоб</w:t>
            </w:r>
            <w:r w:rsidR="001B4D8E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ар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377E3D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10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77E3D" w:rsidP="00377E3D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окто</w:t>
            </w:r>
            <w:r w:rsidR="001B4D8E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бар</w:t>
            </w:r>
            <w:r w:rsidR="007E158B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7D2CAE" w:rsidRPr="000057E1" w:rsidRDefault="007D2CAE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5A735F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63D11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33D13" w:rsidRPr="005A735F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5A735F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5A735F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5A735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5A735F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5A735F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675807" w:rsidRPr="005A735F">
        <w:rPr>
          <w:rFonts w:ascii="Arial Narrow" w:hAnsi="Arial Narrow" w:cs="Tahoma"/>
          <w:b/>
          <w:sz w:val="30"/>
          <w:szCs w:val="30"/>
          <w:lang w:val="sr-Cyrl-BA"/>
        </w:rPr>
        <w:t>септембру</w:t>
      </w:r>
      <w:r w:rsidR="00E33D13" w:rsidRPr="005A735F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5A735F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5A735F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625174" w:rsidRPr="005A735F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E33D13" w:rsidRPr="005A735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5A735F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5A735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A735F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5A735F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5A735F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5A735F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675807" w:rsidRPr="005A735F">
        <w:rPr>
          <w:rFonts w:ascii="Arial Narrow" w:hAnsi="Arial Narrow" w:cs="Tahoma"/>
          <w:b/>
          <w:sz w:val="28"/>
          <w:szCs w:val="28"/>
          <w:lang w:val="ru-RU"/>
        </w:rPr>
        <w:t>60</w:t>
      </w:r>
      <w:r w:rsidRPr="005A735F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5A735F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5A735F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5A735F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70221" w:rsidRPr="005A735F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48741A" w:rsidRPr="005A735F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5A735F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675807" w:rsidRPr="005A735F">
        <w:rPr>
          <w:rFonts w:ascii="Arial Narrow" w:hAnsi="Arial Narrow" w:cs="Tahoma"/>
          <w:b/>
          <w:sz w:val="28"/>
          <w:szCs w:val="28"/>
          <w:lang w:val="sr-Cyrl-BA"/>
        </w:rPr>
        <w:t>21</w:t>
      </w:r>
      <w:r w:rsidRPr="005A735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A735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5A735F">
        <w:rPr>
          <w:rFonts w:ascii="Tahoma" w:hAnsi="Tahoma" w:cs="Tahoma"/>
          <w:b/>
          <w:lang w:val="sr-Cyrl-CS"/>
        </w:rPr>
        <w:tab/>
      </w:r>
      <w:r w:rsidRPr="005A735F">
        <w:rPr>
          <w:rFonts w:ascii="Tahoma" w:hAnsi="Tahoma" w:cs="Tahoma"/>
          <w:b/>
          <w:lang w:val="sr-Cyrl-CS"/>
        </w:rPr>
        <w:tab/>
      </w:r>
    </w:p>
    <w:p w:rsidR="00B82005" w:rsidRPr="005A735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A735F">
        <w:rPr>
          <w:rFonts w:ascii="Arial Narrow" w:hAnsi="Arial Narrow" w:cs="Tahoma"/>
          <w:sz w:val="22"/>
          <w:lang w:val="sr-Cyrl-BA"/>
        </w:rPr>
        <w:t>П</w:t>
      </w:r>
      <w:r w:rsidRPr="005A735F">
        <w:rPr>
          <w:rFonts w:ascii="Arial Narrow" w:hAnsi="Arial Narrow" w:cs="Tahoma"/>
          <w:sz w:val="22"/>
          <w:lang w:val="sr-Cyrl-CS"/>
        </w:rPr>
        <w:t>росјечна</w:t>
      </w:r>
      <w:r w:rsidRPr="005A735F">
        <w:rPr>
          <w:rFonts w:ascii="Arial Narrow" w:hAnsi="Arial Narrow" w:cs="Tahoma"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>мјесечна нето плата</w:t>
      </w:r>
      <w:r w:rsidRPr="005A735F">
        <w:rPr>
          <w:rFonts w:ascii="Arial Narrow" w:hAnsi="Arial Narrow" w:cs="Tahoma"/>
          <w:b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5A735F">
        <w:rPr>
          <w:rFonts w:ascii="Arial Narrow" w:hAnsi="Arial Narrow" w:cs="Tahoma"/>
          <w:b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675807" w:rsidRPr="005A735F">
        <w:rPr>
          <w:rFonts w:ascii="Arial Narrow" w:hAnsi="Arial Narrow" w:cs="Tahoma"/>
          <w:sz w:val="22"/>
          <w:lang w:val="sr-Cyrl-CS"/>
        </w:rPr>
        <w:t>септембру</w:t>
      </w:r>
      <w:r w:rsidRPr="005A735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A735F">
        <w:rPr>
          <w:rFonts w:ascii="Arial Narrow" w:hAnsi="Arial Narrow" w:cs="Tahoma"/>
          <w:sz w:val="22"/>
          <w:lang w:val="sr-Cyrl-CS"/>
        </w:rPr>
        <w:t>5</w:t>
      </w:r>
      <w:r w:rsidRPr="005A735F">
        <w:rPr>
          <w:rFonts w:ascii="Arial Narrow" w:hAnsi="Arial Narrow" w:cs="Tahoma"/>
          <w:sz w:val="22"/>
          <w:lang w:val="sr-Cyrl-CS"/>
        </w:rPr>
        <w:t>.</w:t>
      </w:r>
      <w:r w:rsidRPr="005A735F">
        <w:rPr>
          <w:rFonts w:ascii="Arial Narrow" w:hAnsi="Arial Narrow" w:cs="Tahoma"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>године износи</w:t>
      </w:r>
      <w:r w:rsidRPr="005A735F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>8</w:t>
      </w:r>
      <w:r w:rsidR="00625174" w:rsidRPr="005A735F">
        <w:rPr>
          <w:rFonts w:ascii="Arial Narrow" w:hAnsi="Arial Narrow" w:cs="Tahoma"/>
          <w:sz w:val="22"/>
          <w:lang w:val="sr-Cyrl-CS"/>
        </w:rPr>
        <w:t>34</w:t>
      </w:r>
      <w:r w:rsidRPr="005A735F">
        <w:rPr>
          <w:rFonts w:ascii="Arial Narrow" w:hAnsi="Arial Narrow" w:cs="Tahoma"/>
          <w:sz w:val="22"/>
          <w:lang w:val="sr-Cyrl-CS"/>
        </w:rPr>
        <w:t xml:space="preserve"> КМ</w:t>
      </w:r>
      <w:r w:rsidRPr="005A735F">
        <w:rPr>
          <w:rFonts w:ascii="Arial Narrow" w:hAnsi="Arial Narrow" w:cs="Tahoma"/>
          <w:sz w:val="22"/>
          <w:lang w:val="hr-HR"/>
        </w:rPr>
        <w:t>,</w:t>
      </w:r>
      <w:r w:rsidRPr="005A735F">
        <w:rPr>
          <w:rFonts w:ascii="Arial Narrow" w:hAnsi="Arial Narrow" w:cs="Tahoma"/>
          <w:sz w:val="22"/>
          <w:lang w:val="ru-RU"/>
        </w:rPr>
        <w:t xml:space="preserve"> а п</w:t>
      </w:r>
      <w:r w:rsidRPr="005A735F">
        <w:rPr>
          <w:rFonts w:ascii="Arial Narrow" w:hAnsi="Arial Narrow" w:cs="Tahoma"/>
          <w:sz w:val="22"/>
          <w:lang w:val="sr-Cyrl-CS"/>
        </w:rPr>
        <w:t>росјечна</w:t>
      </w:r>
      <w:r w:rsidRPr="005A735F">
        <w:rPr>
          <w:rFonts w:ascii="Arial Narrow" w:hAnsi="Arial Narrow" w:cs="Tahoma"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5A735F">
        <w:rPr>
          <w:rFonts w:ascii="Arial Narrow" w:hAnsi="Arial Narrow" w:cs="Tahoma"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>1 3</w:t>
      </w:r>
      <w:r w:rsidR="00625174" w:rsidRPr="005A735F">
        <w:rPr>
          <w:rFonts w:ascii="Arial Narrow" w:hAnsi="Arial Narrow" w:cs="Tahoma"/>
          <w:sz w:val="22"/>
          <w:lang w:val="sr-Cyrl-CS"/>
        </w:rPr>
        <w:t>4</w:t>
      </w:r>
      <w:r w:rsidR="00AF6800" w:rsidRPr="005A735F">
        <w:rPr>
          <w:rFonts w:ascii="Arial Narrow" w:hAnsi="Arial Narrow" w:cs="Tahoma"/>
          <w:sz w:val="22"/>
          <w:lang w:val="sr-Cyrl-CS"/>
        </w:rPr>
        <w:t>5</w:t>
      </w:r>
      <w:r w:rsidRPr="005A735F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5A735F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5A735F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5A735F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A735F">
        <w:rPr>
          <w:rFonts w:ascii="Arial Narrow" w:hAnsi="Arial Narrow" w:cs="Tahoma"/>
          <w:sz w:val="22"/>
          <w:lang w:val="sr-Latn-CS"/>
        </w:rPr>
        <w:t xml:space="preserve">У </w:t>
      </w:r>
      <w:r w:rsidRPr="005A735F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675807" w:rsidRPr="005A735F">
        <w:rPr>
          <w:rFonts w:ascii="Arial Narrow" w:hAnsi="Arial Narrow" w:cs="Tahoma"/>
          <w:sz w:val="22"/>
          <w:lang w:val="sr-Cyrl-CS"/>
        </w:rPr>
        <w:t>септембар</w:t>
      </w:r>
      <w:r w:rsidRPr="005A735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A735F">
        <w:rPr>
          <w:rFonts w:ascii="Arial Narrow" w:hAnsi="Arial Narrow" w:cs="Tahoma"/>
          <w:sz w:val="22"/>
          <w:lang w:val="sr-Cyrl-CS"/>
        </w:rPr>
        <w:t>4</w:t>
      </w:r>
      <w:r w:rsidRPr="005A735F">
        <w:rPr>
          <w:rFonts w:ascii="Arial Narrow" w:hAnsi="Arial Narrow" w:cs="Tahoma"/>
          <w:sz w:val="22"/>
          <w:lang w:val="sr-Cyrl-CS"/>
        </w:rPr>
        <w:t xml:space="preserve">. </w:t>
      </w:r>
      <w:r w:rsidRPr="005A735F">
        <w:rPr>
          <w:rFonts w:ascii="Arial Narrow" w:hAnsi="Arial Narrow" w:cs="Tahoma"/>
          <w:sz w:val="22"/>
          <w:lang w:val="sr-Cyrl-BA"/>
        </w:rPr>
        <w:t>г</w:t>
      </w:r>
      <w:r w:rsidRPr="005A735F">
        <w:rPr>
          <w:rFonts w:ascii="Arial Narrow" w:hAnsi="Arial Narrow" w:cs="Tahoma"/>
          <w:sz w:val="22"/>
          <w:lang w:val="sr-Cyrl-CS"/>
        </w:rPr>
        <w:t>одине</w:t>
      </w:r>
      <w:r w:rsidRPr="005A735F">
        <w:rPr>
          <w:rFonts w:ascii="Arial Narrow" w:hAnsi="Arial Narrow" w:cs="Tahoma"/>
          <w:sz w:val="22"/>
          <w:lang w:val="sr-Latn-BA"/>
        </w:rPr>
        <w:t>,</w:t>
      </w:r>
      <w:r w:rsidRPr="005A735F">
        <w:rPr>
          <w:rFonts w:ascii="Arial Narrow" w:hAnsi="Arial Narrow" w:cs="Tahoma"/>
          <w:sz w:val="22"/>
          <w:lang w:val="sr-Cyrl-BA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675807" w:rsidRPr="005A735F">
        <w:rPr>
          <w:rFonts w:ascii="Arial Narrow" w:hAnsi="Arial Narrow" w:cs="Tahoma"/>
          <w:sz w:val="22"/>
          <w:lang w:val="sr-Cyrl-CS"/>
        </w:rPr>
        <w:t>септембру</w:t>
      </w:r>
      <w:r w:rsidRPr="005A735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A735F">
        <w:rPr>
          <w:rFonts w:ascii="Arial Narrow" w:hAnsi="Arial Narrow" w:cs="Tahoma"/>
          <w:sz w:val="22"/>
          <w:lang w:val="sr-Cyrl-CS"/>
        </w:rPr>
        <w:t>5</w:t>
      </w:r>
      <w:r w:rsidRPr="005A735F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625174" w:rsidRPr="005A735F">
        <w:rPr>
          <w:rFonts w:ascii="Arial Narrow" w:hAnsi="Arial Narrow" w:cs="Tahoma"/>
          <w:sz w:val="22"/>
          <w:lang w:val="sr-Cyrl-CS"/>
        </w:rPr>
        <w:t>2</w:t>
      </w:r>
      <w:r w:rsidRPr="005A735F">
        <w:rPr>
          <w:rFonts w:ascii="Arial Narrow" w:hAnsi="Arial Narrow" w:cs="Tahoma"/>
          <w:sz w:val="22"/>
          <w:lang w:val="sr-Cyrl-CS"/>
        </w:rPr>
        <w:t>,</w:t>
      </w:r>
      <w:r w:rsidR="00675807" w:rsidRPr="005A735F">
        <w:rPr>
          <w:rFonts w:ascii="Arial Narrow" w:hAnsi="Arial Narrow" w:cs="Tahoma"/>
          <w:sz w:val="22"/>
          <w:lang w:val="sr-Cyrl-CS"/>
        </w:rPr>
        <w:t>5</w:t>
      </w:r>
      <w:r w:rsidRPr="005A735F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675807" w:rsidRPr="005A735F">
        <w:rPr>
          <w:rFonts w:ascii="Arial Narrow" w:hAnsi="Arial Narrow" w:cs="Tahoma"/>
          <w:sz w:val="22"/>
          <w:lang w:val="sr-Cyrl-CS"/>
        </w:rPr>
        <w:t>август</w:t>
      </w:r>
      <w:r w:rsidRPr="005A735F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5A735F">
        <w:rPr>
          <w:rFonts w:ascii="Arial Narrow" w:hAnsi="Arial Narrow" w:cs="Tahoma"/>
          <w:sz w:val="22"/>
          <w:lang w:val="sr-Cyrl-CS"/>
        </w:rPr>
        <w:t>5</w:t>
      </w:r>
      <w:r w:rsidRPr="005A735F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675807" w:rsidRPr="005A735F">
        <w:rPr>
          <w:rFonts w:ascii="Arial Narrow" w:hAnsi="Arial Narrow" w:cs="Tahoma"/>
          <w:sz w:val="22"/>
          <w:lang w:val="sr-Cyrl-CS"/>
        </w:rPr>
        <w:t>већа за 0,1%</w:t>
      </w:r>
      <w:r w:rsidRPr="005A735F">
        <w:rPr>
          <w:rFonts w:ascii="Arial Narrow" w:hAnsi="Arial Narrow" w:cs="Tahoma"/>
          <w:sz w:val="22"/>
          <w:lang w:val="sr-Cyrl-CS"/>
        </w:rPr>
        <w:t>.</w:t>
      </w:r>
    </w:p>
    <w:p w:rsidR="00B82005" w:rsidRPr="005A735F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5A735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A735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A735F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675807" w:rsidRPr="005A735F">
        <w:rPr>
          <w:rFonts w:ascii="Arial Narrow" w:hAnsi="Arial Narrow" w:cs="Tahoma"/>
          <w:sz w:val="22"/>
          <w:lang w:val="sr-Cyrl-CS"/>
        </w:rPr>
        <w:t>септембру</w:t>
      </w:r>
      <w:r w:rsidRPr="005A735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A735F">
        <w:rPr>
          <w:rFonts w:ascii="Arial Narrow" w:hAnsi="Arial Narrow" w:cs="Tahoma"/>
          <w:sz w:val="22"/>
          <w:lang w:val="sr-Cyrl-CS"/>
        </w:rPr>
        <w:t>5</w:t>
      </w:r>
      <w:r w:rsidRPr="005A735F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5A735F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5A735F">
        <w:rPr>
          <w:rFonts w:ascii="Arial Narrow" w:hAnsi="Arial Narrow" w:cs="Tahoma"/>
          <w:sz w:val="22"/>
          <w:lang w:val="sr-Cyrl-CS"/>
        </w:rPr>
        <w:t xml:space="preserve">и износи 1 </w:t>
      </w:r>
      <w:r w:rsidR="00675807" w:rsidRPr="005A735F">
        <w:rPr>
          <w:rFonts w:ascii="Arial Narrow" w:hAnsi="Arial Narrow" w:cs="Tahoma"/>
          <w:sz w:val="22"/>
          <w:lang w:val="sr-Cyrl-CS"/>
        </w:rPr>
        <w:t>260</w:t>
      </w:r>
      <w:r w:rsidRPr="005A735F">
        <w:rPr>
          <w:rFonts w:ascii="Arial Narrow" w:hAnsi="Arial Narrow" w:cs="Tahoma"/>
          <w:sz w:val="22"/>
          <w:lang w:val="sr-Cyrl-CS"/>
        </w:rPr>
        <w:t xml:space="preserve"> КМ</w:t>
      </w:r>
      <w:r w:rsidRPr="005A735F">
        <w:rPr>
          <w:rFonts w:ascii="Arial Narrow" w:hAnsi="Arial Narrow" w:cs="Tahoma"/>
          <w:sz w:val="22"/>
          <w:lang w:val="sr-Latn-CS"/>
        </w:rPr>
        <w:t>. Са друге стране,</w:t>
      </w:r>
      <w:r w:rsidRPr="005A735F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A735F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5A735F">
        <w:rPr>
          <w:rFonts w:ascii="Arial Narrow" w:hAnsi="Arial Narrow" w:cs="Tahoma"/>
          <w:sz w:val="22"/>
          <w:lang w:val="sr-Cyrl-BA"/>
        </w:rPr>
        <w:t>нето</w:t>
      </w:r>
      <w:r w:rsidR="00F54DF7" w:rsidRPr="005A735F">
        <w:rPr>
          <w:rFonts w:ascii="Arial Narrow" w:hAnsi="Arial Narrow" w:cs="Tahoma"/>
          <w:sz w:val="22"/>
          <w:lang w:val="sr-Latn-BA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 xml:space="preserve">плата у </w:t>
      </w:r>
      <w:r w:rsidR="00675807" w:rsidRPr="005A735F">
        <w:rPr>
          <w:rFonts w:ascii="Arial Narrow" w:hAnsi="Arial Narrow" w:cs="Tahoma"/>
          <w:sz w:val="22"/>
          <w:lang w:val="sr-Cyrl-CS"/>
        </w:rPr>
        <w:t>септембру</w:t>
      </w:r>
      <w:r w:rsidRPr="005A735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A735F">
        <w:rPr>
          <w:rFonts w:ascii="Arial Narrow" w:hAnsi="Arial Narrow" w:cs="Tahoma"/>
          <w:sz w:val="22"/>
          <w:lang w:val="sr-Cyrl-CS"/>
        </w:rPr>
        <w:t>5</w:t>
      </w:r>
      <w:r w:rsidRPr="005A735F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A735F">
        <w:rPr>
          <w:rFonts w:ascii="Arial Narrow" w:hAnsi="Arial Narrow" w:cs="Tahoma"/>
          <w:sz w:val="22"/>
          <w:lang w:val="sr-Cyrl-CS"/>
        </w:rPr>
        <w:t>у</w:t>
      </w:r>
      <w:r w:rsidRPr="005A735F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470221" w:rsidRPr="005A735F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Pr="005A735F">
        <w:rPr>
          <w:rFonts w:ascii="Arial Narrow" w:hAnsi="Arial Narrow" w:cs="Tahoma"/>
          <w:sz w:val="22"/>
        </w:rPr>
        <w:t xml:space="preserve"> </w:t>
      </w:r>
      <w:r w:rsidRPr="005A735F">
        <w:rPr>
          <w:rFonts w:ascii="Arial Narrow" w:hAnsi="Arial Narrow" w:cs="Tahoma"/>
          <w:sz w:val="22"/>
          <w:lang w:val="sr-Cyrl-BA"/>
        </w:rPr>
        <w:t>5</w:t>
      </w:r>
      <w:r w:rsidR="00675807" w:rsidRPr="005A735F">
        <w:rPr>
          <w:rFonts w:ascii="Arial Narrow" w:hAnsi="Arial Narrow" w:cs="Tahoma"/>
          <w:sz w:val="22"/>
          <w:lang w:val="sr-Cyrl-BA"/>
        </w:rPr>
        <w:t>21</w:t>
      </w:r>
      <w:r w:rsidRPr="005A735F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A735F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5A735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675807" w:rsidRPr="005A735F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5A735F">
        <w:rPr>
          <w:rFonts w:ascii="Arial Narrow" w:hAnsi="Arial Narrow" w:cs="Tahoma"/>
          <w:sz w:val="22"/>
          <w:szCs w:val="22"/>
          <w:lang w:val="ru-RU"/>
        </w:rPr>
        <w:t>5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75807" w:rsidRPr="005A735F">
        <w:rPr>
          <w:rFonts w:ascii="Arial Narrow" w:hAnsi="Arial Narrow" w:cs="Tahoma"/>
          <w:sz w:val="22"/>
          <w:szCs w:val="22"/>
          <w:lang w:val="ru-RU"/>
        </w:rPr>
        <w:t>август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5A735F">
        <w:rPr>
          <w:rFonts w:ascii="Arial Narrow" w:hAnsi="Arial Narrow" w:cs="Tahoma"/>
          <w:sz w:val="22"/>
          <w:szCs w:val="22"/>
          <w:lang w:val="ru-RU"/>
        </w:rPr>
        <w:t>5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32724B" w:rsidRPr="005A735F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5A735F">
        <w:rPr>
          <w:rFonts w:ascii="Arial Narrow" w:hAnsi="Arial Narrow" w:cs="Tahoma"/>
          <w:sz w:val="22"/>
          <w:szCs w:val="22"/>
          <w:lang w:val="sr-Latn-CS"/>
        </w:rPr>
        <w:t>р</w:t>
      </w:r>
      <w:r w:rsidRPr="005A735F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5A735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75807" w:rsidRPr="005A735F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675807" w:rsidRPr="005A735F">
        <w:rPr>
          <w:rFonts w:ascii="Arial Narrow" w:hAnsi="Arial Narrow" w:cs="Tahoma"/>
          <w:sz w:val="22"/>
          <w:szCs w:val="22"/>
          <w:lang w:val="sr-Cyrl-BA"/>
        </w:rPr>
        <w:t xml:space="preserve">4,8%, </w:t>
      </w:r>
      <w:r w:rsidR="00675807" w:rsidRPr="005A735F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675807" w:rsidRPr="005A735F">
        <w:rPr>
          <w:rFonts w:ascii="Arial Narrow" w:hAnsi="Arial Narrow" w:cs="Tahoma"/>
          <w:sz w:val="22"/>
        </w:rPr>
        <w:t xml:space="preserve"> </w:t>
      </w:r>
      <w:r w:rsidR="00675807" w:rsidRPr="005A735F">
        <w:rPr>
          <w:rFonts w:ascii="Arial Narrow" w:hAnsi="Arial Narrow" w:cs="Tahoma"/>
          <w:sz w:val="22"/>
          <w:lang w:val="sr-Cyrl-BA"/>
        </w:rPr>
        <w:t xml:space="preserve">1,6% и </w:t>
      </w:r>
      <w:r w:rsidR="00675807" w:rsidRPr="005A735F">
        <w:rPr>
          <w:rFonts w:ascii="Arial Narrow" w:hAnsi="Arial Narrow" w:cs="Tahoma"/>
          <w:i/>
          <w:sz w:val="22"/>
          <w:lang w:val="sr-Cyrl-BA"/>
        </w:rPr>
        <w:t>Производња и с</w:t>
      </w:r>
      <w:r w:rsidR="00AF6800" w:rsidRPr="005A735F">
        <w:rPr>
          <w:rFonts w:ascii="Arial Narrow" w:hAnsi="Arial Narrow" w:cs="Tahoma"/>
          <w:i/>
          <w:sz w:val="22"/>
          <w:szCs w:val="22"/>
          <w:lang w:val="sr-Cyrl-BA"/>
        </w:rPr>
        <w:t xml:space="preserve">набдијевање </w:t>
      </w:r>
      <w:r w:rsidR="00675807" w:rsidRPr="005A735F">
        <w:rPr>
          <w:rFonts w:ascii="Arial Narrow" w:hAnsi="Arial Narrow" w:cs="Tahoma"/>
          <w:i/>
          <w:sz w:val="22"/>
          <w:szCs w:val="22"/>
          <w:lang w:val="sr-Cyrl-BA"/>
        </w:rPr>
        <w:t>електричном енергијом, гасом, паром и климатизација</w:t>
      </w:r>
      <w:r w:rsidR="00AF6800" w:rsidRPr="005A735F">
        <w:rPr>
          <w:rFonts w:ascii="Arial Narrow" w:hAnsi="Arial Narrow" w:cs="Tahoma"/>
          <w:sz w:val="22"/>
          <w:szCs w:val="22"/>
          <w:lang w:val="sr-Cyrl-BA"/>
        </w:rPr>
        <w:t xml:space="preserve"> 1,</w:t>
      </w:r>
      <w:r w:rsidR="00675807" w:rsidRPr="005A735F">
        <w:rPr>
          <w:rFonts w:ascii="Arial Narrow" w:hAnsi="Arial Narrow" w:cs="Tahoma"/>
          <w:sz w:val="22"/>
          <w:szCs w:val="22"/>
          <w:lang w:val="sr-Cyrl-BA"/>
        </w:rPr>
        <w:t>5</w:t>
      </w:r>
      <w:r w:rsidR="00AF6800" w:rsidRPr="005A735F">
        <w:rPr>
          <w:rFonts w:ascii="Arial Narrow" w:hAnsi="Arial Narrow" w:cs="Tahoma"/>
          <w:sz w:val="22"/>
          <w:szCs w:val="22"/>
          <w:lang w:val="sr-Cyrl-BA"/>
        </w:rPr>
        <w:t>%</w:t>
      </w:r>
      <w:r w:rsidR="00675807" w:rsidRPr="005A735F">
        <w:rPr>
          <w:rFonts w:ascii="Arial Narrow" w:hAnsi="Arial Narrow" w:cs="Tahoma"/>
          <w:sz w:val="22"/>
          <w:szCs w:val="22"/>
          <w:lang w:val="sr-Cyrl-BA"/>
        </w:rPr>
        <w:t>.</w:t>
      </w:r>
      <w:r w:rsidR="002812C3" w:rsidRPr="005A735F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C804D3" w:rsidRPr="005A735F" w:rsidRDefault="00C804D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5A735F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A735F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5A735F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5A735F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7073F3" w:rsidRPr="005A735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75807" w:rsidRPr="005A735F">
        <w:rPr>
          <w:rFonts w:ascii="Arial Narrow" w:hAnsi="Arial Narrow" w:cs="Tahoma"/>
          <w:i/>
          <w:sz w:val="22"/>
          <w:szCs w:val="22"/>
          <w:lang w:val="sr-Cyrl-BA"/>
        </w:rPr>
        <w:t xml:space="preserve">Прерађивачка индустрија </w:t>
      </w:r>
      <w:r w:rsidR="00675807" w:rsidRPr="005A735F">
        <w:rPr>
          <w:rFonts w:ascii="Arial Narrow" w:hAnsi="Arial Narrow" w:cs="Tahoma"/>
          <w:sz w:val="22"/>
          <w:szCs w:val="22"/>
          <w:lang w:val="sr-Cyrl-BA"/>
        </w:rPr>
        <w:t xml:space="preserve">3,5%, </w:t>
      </w:r>
      <w:r w:rsidR="00675807" w:rsidRPr="005A735F">
        <w:rPr>
          <w:rFonts w:ascii="Arial Narrow" w:hAnsi="Arial Narrow" w:cs="Tahoma"/>
          <w:i/>
          <w:sz w:val="22"/>
          <w:szCs w:val="22"/>
          <w:lang w:val="sr-Cyrl-BA"/>
        </w:rPr>
        <w:t xml:space="preserve">Информације и комуникације </w:t>
      </w:r>
      <w:r w:rsidR="00675807" w:rsidRPr="005A735F">
        <w:rPr>
          <w:rFonts w:ascii="Arial Narrow" w:hAnsi="Arial Narrow" w:cs="Tahoma"/>
          <w:sz w:val="22"/>
          <w:szCs w:val="22"/>
          <w:lang w:val="sr-Cyrl-BA"/>
        </w:rPr>
        <w:t xml:space="preserve">1,8% </w:t>
      </w:r>
      <w:r w:rsidR="00470221" w:rsidRPr="005A735F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675807" w:rsidRPr="005A735F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675807" w:rsidRPr="005A735F">
        <w:rPr>
          <w:rFonts w:ascii="Arial Narrow" w:hAnsi="Arial Narrow" w:cs="Tahoma"/>
          <w:sz w:val="22"/>
          <w:szCs w:val="22"/>
          <w:lang w:val="sr-Cyrl-BA"/>
        </w:rPr>
        <w:t xml:space="preserve"> 1,4%.</w:t>
      </w:r>
      <w:r w:rsidR="002812C3" w:rsidRPr="005A735F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96802" w:rsidRPr="005A735F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A735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A735F">
        <w:rPr>
          <w:rFonts w:ascii="Tahoma" w:hAnsi="Tahoma" w:cs="Tahoma"/>
          <w:i/>
          <w:sz w:val="14"/>
          <w:lang w:val="sr-Cyrl-CS"/>
        </w:rPr>
        <w:t xml:space="preserve"> </w:t>
      </w:r>
      <w:r w:rsidRPr="005A735F">
        <w:rPr>
          <w:rFonts w:ascii="Tahoma" w:hAnsi="Tahoma" w:cs="Tahoma"/>
          <w:sz w:val="14"/>
          <w:lang w:val="sr-Cyrl-CS"/>
        </w:rPr>
        <w:t xml:space="preserve">   </w:t>
      </w:r>
      <w:r w:rsidRPr="005A735F">
        <w:rPr>
          <w:rFonts w:ascii="Tahoma" w:hAnsi="Tahoma" w:cs="Tahoma"/>
          <w:sz w:val="14"/>
          <w:lang w:val="sr-Latn-CS"/>
        </w:rPr>
        <w:tab/>
      </w:r>
      <w:r w:rsidRPr="005A735F">
        <w:rPr>
          <w:rFonts w:ascii="Tahoma" w:hAnsi="Tahoma" w:cs="Tahoma"/>
          <w:sz w:val="14"/>
          <w:lang w:val="sr-Latn-CS"/>
        </w:rPr>
        <w:tab/>
      </w:r>
      <w:r w:rsidRPr="005A735F">
        <w:rPr>
          <w:rFonts w:ascii="Tahoma" w:hAnsi="Tahoma" w:cs="Tahoma"/>
          <w:sz w:val="14"/>
        </w:rPr>
        <w:t xml:space="preserve">            </w:t>
      </w:r>
      <w:r w:rsidR="00F85AAC" w:rsidRPr="005A735F">
        <w:rPr>
          <w:rFonts w:ascii="Tahoma" w:hAnsi="Tahoma" w:cs="Tahoma"/>
          <w:sz w:val="14"/>
          <w:lang w:val="sr-Cyrl-BA"/>
        </w:rPr>
        <w:t xml:space="preserve">  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A735F" w:rsidRDefault="007D2CAE" w:rsidP="00E33D13">
      <w:pPr>
        <w:jc w:val="center"/>
        <w:rPr>
          <w:rFonts w:ascii="Tahoma" w:hAnsi="Tahoma" w:cs="Tahoma"/>
        </w:rPr>
      </w:pPr>
      <w:r w:rsidRPr="005A735F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2062480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5A735F">
        <w:rPr>
          <w:rFonts w:ascii="Tahoma" w:hAnsi="Tahoma" w:cs="Tahoma"/>
          <w:szCs w:val="18"/>
        </w:rPr>
        <w:t xml:space="preserve"> </w:t>
      </w:r>
      <w:r w:rsidR="00675807" w:rsidRPr="005A735F">
        <w:rPr>
          <w:noProof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5A735F">
        <w:rPr>
          <w:rFonts w:ascii="Tahoma" w:hAnsi="Tahoma" w:cs="Tahoma"/>
          <w:szCs w:val="18"/>
        </w:rPr>
        <w:t xml:space="preserve">  </w:t>
      </w:r>
      <w:bookmarkStart w:id="0" w:name="_GoBack"/>
      <w:bookmarkEnd w:id="0"/>
    </w:p>
    <w:p w:rsidR="00E33D13" w:rsidRPr="005A735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A735F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A735F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A735F">
        <w:rPr>
          <w:rFonts w:ascii="Arial Narrow" w:hAnsi="Arial Narrow" w:cs="Tahoma"/>
          <w:sz w:val="16"/>
          <w:szCs w:val="22"/>
          <w:lang w:val="sr-Latn-BA"/>
        </w:rPr>
        <w:t>1</w:t>
      </w:r>
      <w:r w:rsidRPr="005A735F">
        <w:rPr>
          <w:rFonts w:ascii="Arial Narrow" w:hAnsi="Arial Narrow" w:cs="Tahoma"/>
          <w:sz w:val="16"/>
          <w:szCs w:val="22"/>
          <w:lang w:val="sr-Cyrl-CS"/>
        </w:rPr>
        <w:t>.</w:t>
      </w:r>
      <w:r w:rsidRPr="005A735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A735F">
        <w:rPr>
          <w:rFonts w:ascii="Arial Narrow" w:hAnsi="Arial Narrow" w:cs="Tahoma"/>
          <w:sz w:val="16"/>
          <w:szCs w:val="22"/>
          <w:lang w:val="sr-Cyrl-CS"/>
        </w:rPr>
        <w:t>П</w:t>
      </w:r>
      <w:r w:rsidRPr="005A735F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A735F">
        <w:rPr>
          <w:rFonts w:ascii="Arial Narrow" w:hAnsi="Arial Narrow" w:cs="Tahoma"/>
          <w:sz w:val="16"/>
          <w:szCs w:val="22"/>
        </w:rPr>
        <w:t>e</w:t>
      </w:r>
      <w:r w:rsidRPr="005A735F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5A735F">
        <w:rPr>
          <w:rFonts w:ascii="Arial Narrow" w:hAnsi="Arial Narrow" w:cs="Tahoma"/>
          <w:sz w:val="16"/>
          <w:szCs w:val="22"/>
        </w:rPr>
        <w:t>e</w:t>
      </w:r>
      <w:r w:rsidRPr="005A735F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5A735F" w:rsidRDefault="00BE051D">
      <w:pPr>
        <w:rPr>
          <w:rFonts w:ascii="Arial Narrow" w:hAnsi="Arial Narrow" w:cs="Tahoma"/>
          <w:sz w:val="22"/>
          <w:lang w:val="sr-Latn-BA"/>
        </w:rPr>
      </w:pPr>
    </w:p>
    <w:p w:rsidR="00EB2F3C" w:rsidRPr="005A735F" w:rsidRDefault="00EB2F3C">
      <w:pPr>
        <w:rPr>
          <w:rFonts w:ascii="Arial Narrow" w:hAnsi="Arial Narrow" w:cs="Tahoma"/>
          <w:sz w:val="22"/>
          <w:lang w:val="sr-Latn-BA"/>
        </w:rPr>
      </w:pPr>
    </w:p>
    <w:p w:rsidR="007D2CAE" w:rsidRPr="005A735F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5A735F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5A735F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5A735F" w:rsidRDefault="007D2CAE">
      <w:pPr>
        <w:rPr>
          <w:rFonts w:ascii="Arial Narrow" w:hAnsi="Arial Narrow" w:cs="Tahoma"/>
          <w:sz w:val="22"/>
          <w:lang w:val="sr-Latn-BA"/>
        </w:rPr>
      </w:pPr>
    </w:p>
    <w:p w:rsidR="00F555E7" w:rsidRPr="005A735F" w:rsidRDefault="00F555E7" w:rsidP="00F555E7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5A735F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септембру 2015. године -0,1%</w:t>
      </w:r>
    </w:p>
    <w:p w:rsidR="00F555E7" w:rsidRPr="005A735F" w:rsidRDefault="00F555E7" w:rsidP="00F555E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A735F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AF3111" w:rsidRPr="005A735F">
        <w:rPr>
          <w:rFonts w:ascii="Arial Narrow" w:hAnsi="Arial Narrow" w:cs="Tahoma"/>
          <w:b/>
          <w:sz w:val="30"/>
          <w:szCs w:val="30"/>
          <w:lang w:val="sr-Latn-BA"/>
        </w:rPr>
        <w:t>IX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="00AF3111" w:rsidRPr="005A735F">
        <w:rPr>
          <w:rFonts w:ascii="Arial Narrow" w:hAnsi="Arial Narrow" w:cs="Tahoma"/>
          <w:b/>
          <w:sz w:val="30"/>
          <w:szCs w:val="30"/>
          <w:lang w:val="sr-Latn-BA"/>
        </w:rPr>
        <w:t>IX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 xml:space="preserve"> 2014</w:t>
      </w:r>
      <w:r w:rsidR="001A1711">
        <w:rPr>
          <w:rFonts w:ascii="Arial Narrow" w:hAnsi="Arial Narrow" w:cs="Tahoma"/>
          <w:b/>
          <w:sz w:val="30"/>
          <w:szCs w:val="30"/>
        </w:rPr>
        <w:t>.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>) -2,1%</w:t>
      </w:r>
    </w:p>
    <w:p w:rsidR="00F555E7" w:rsidRPr="005A735F" w:rsidRDefault="00F555E7" w:rsidP="00F555E7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F555E7" w:rsidRPr="005A735F" w:rsidRDefault="00F555E7" w:rsidP="00F555E7">
      <w:pPr>
        <w:spacing w:after="120"/>
        <w:jc w:val="both"/>
        <w:rPr>
          <w:rFonts w:ascii="Arial Narrow" w:hAnsi="Arial Narrow" w:cs="Tahoma"/>
          <w:lang w:val="sr-Cyrl-BA"/>
        </w:rPr>
      </w:pPr>
      <w:r w:rsidRPr="005A735F">
        <w:rPr>
          <w:rFonts w:ascii="Arial Narrow" w:hAnsi="Arial Narrow" w:cs="Tahoma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5A735F">
        <w:rPr>
          <w:rFonts w:ascii="Arial Narrow" w:hAnsi="Arial Narrow" w:cs="Tahoma"/>
          <w:lang w:val="sr-Cyrl-CS"/>
        </w:rPr>
        <w:t>септембр</w:t>
      </w:r>
      <w:r w:rsidRPr="005A735F">
        <w:rPr>
          <w:rFonts w:ascii="Arial Narrow" w:hAnsi="Arial Narrow" w:cs="Tahoma"/>
          <w:lang w:val="sr-Cyrl-BA"/>
        </w:rPr>
        <w:t>у 2015. године у односу на претходни мјесец, у просјеку су ниже за 0,1%, док су на годишњем нивоу ниже за 2,1%.</w:t>
      </w:r>
    </w:p>
    <w:p w:rsidR="00F555E7" w:rsidRPr="005A735F" w:rsidRDefault="00F555E7" w:rsidP="00F555E7">
      <w:pPr>
        <w:spacing w:after="120"/>
        <w:jc w:val="both"/>
        <w:rPr>
          <w:rFonts w:ascii="Arial Narrow" w:hAnsi="Arial Narrow" w:cs="Tahoma"/>
          <w:lang w:val="sr-Cyrl-BA"/>
        </w:rPr>
      </w:pPr>
      <w:r w:rsidRPr="005A735F">
        <w:rPr>
          <w:rFonts w:ascii="Arial Narrow" w:hAnsi="Arial Narrow" w:cs="Tahoma"/>
          <w:lang w:val="sr-Cyrl-BA"/>
        </w:rPr>
        <w:t>Од 12 главних одјељака производа и услуга, више цијене забиљежене су у четири, ниже цијене у три, док су у пет одјељака цијене, у просјеку, остале непромијењене.</w:t>
      </w:r>
    </w:p>
    <w:p w:rsidR="00F555E7" w:rsidRPr="005A735F" w:rsidRDefault="00F555E7" w:rsidP="00F555E7">
      <w:pPr>
        <w:jc w:val="both"/>
        <w:rPr>
          <w:rFonts w:ascii="Arial Narrow" w:hAnsi="Arial Narrow" w:cs="Tahoma"/>
          <w:lang w:val="sr-Cyrl-BA"/>
        </w:rPr>
      </w:pPr>
      <w:r w:rsidRPr="005A735F">
        <w:rPr>
          <w:rFonts w:ascii="Arial Narrow" w:hAnsi="Arial Narrow" w:cs="Tahoma"/>
          <w:lang w:val="sr-Cyrl-BA"/>
        </w:rPr>
        <w:t>Највећи раст забиљежен је у одјељку</w:t>
      </w:r>
      <w:r w:rsidRPr="005A735F">
        <w:rPr>
          <w:rFonts w:ascii="Arial Narrow" w:hAnsi="Arial Narrow" w:cs="Tahoma"/>
          <w:i/>
          <w:lang w:val="sr-Cyrl-BA"/>
        </w:rPr>
        <w:t xml:space="preserve"> Одјећа и обућа </w:t>
      </w:r>
      <w:r w:rsidRPr="005A735F">
        <w:rPr>
          <w:rFonts w:ascii="Arial Narrow" w:hAnsi="Arial Narrow" w:cs="Tahoma"/>
          <w:lang w:val="sr-Cyrl-BA"/>
        </w:rPr>
        <w:t>(2,1%) усљед виших, сезонских цијена одјеће и обуће, затим у одјељку</w:t>
      </w:r>
      <w:r w:rsidRPr="005A735F">
        <w:rPr>
          <w:rFonts w:ascii="Arial Narrow" w:hAnsi="Arial Narrow" w:cs="Tahoma"/>
          <w:i/>
          <w:lang w:val="sr-Cyrl-BA"/>
        </w:rPr>
        <w:t xml:space="preserve"> Храна и безалкохолна пића </w:t>
      </w:r>
      <w:r w:rsidRPr="005A735F">
        <w:rPr>
          <w:rFonts w:ascii="Arial Narrow" w:hAnsi="Arial Narrow" w:cs="Tahoma"/>
          <w:lang w:val="sr-Cyrl-BA"/>
        </w:rPr>
        <w:t>(0,3%) усљед виших цијена у групи поврће (4,4%) које су такође, сезонског карактера, затим у групи шећер, џем, мед и други производи (0,6%) због виших набавних цијена као и завршетка периода акцијских попуста на поједине артикле из ове групе, затим у групи уља и масноће (0,4%) и у групи месо (0,4%) усљед нових набавки. Више цијене забиљежене су и у одјељ</w:t>
      </w:r>
      <w:r w:rsidR="00AF3111" w:rsidRPr="005A735F">
        <w:rPr>
          <w:rFonts w:ascii="Arial Narrow" w:hAnsi="Arial Narrow" w:cs="Tahoma"/>
          <w:lang w:val="sr-Cyrl-BA"/>
        </w:rPr>
        <w:t>цима</w:t>
      </w:r>
      <w:r w:rsidRPr="005A735F">
        <w:rPr>
          <w:rFonts w:ascii="Arial Narrow" w:hAnsi="Arial Narrow" w:cs="Tahoma"/>
          <w:lang w:val="sr-Cyrl-BA"/>
        </w:rPr>
        <w:t xml:space="preserve"> </w:t>
      </w:r>
      <w:r w:rsidRPr="005A735F">
        <w:rPr>
          <w:rFonts w:ascii="Arial Narrow" w:hAnsi="Arial Narrow" w:cs="Tahoma"/>
          <w:i/>
          <w:lang w:val="sr-Cyrl-BA"/>
        </w:rPr>
        <w:t xml:space="preserve">Здравство </w:t>
      </w:r>
      <w:r w:rsidR="00AF3111" w:rsidRPr="005A735F">
        <w:rPr>
          <w:rFonts w:ascii="Arial Narrow" w:hAnsi="Arial Narrow" w:cs="Tahoma"/>
          <w:lang w:val="sr-Cyrl-BA"/>
        </w:rPr>
        <w:t xml:space="preserve">и </w:t>
      </w:r>
      <w:r w:rsidR="00AF3111" w:rsidRPr="005A735F">
        <w:rPr>
          <w:rFonts w:ascii="Arial Narrow" w:hAnsi="Arial Narrow" w:cs="Tahoma"/>
          <w:i/>
          <w:lang w:val="sr-Cyrl-BA"/>
        </w:rPr>
        <w:t>Намјештај и покућство</w:t>
      </w:r>
      <w:r w:rsidR="00AF3111" w:rsidRPr="005A735F">
        <w:rPr>
          <w:rFonts w:ascii="Arial Narrow" w:hAnsi="Arial Narrow" w:cs="Tahoma"/>
          <w:lang w:val="sr-Cyrl-BA"/>
        </w:rPr>
        <w:t xml:space="preserve"> </w:t>
      </w:r>
      <w:r w:rsidRPr="005A735F">
        <w:rPr>
          <w:rFonts w:ascii="Arial Narrow" w:hAnsi="Arial Narrow" w:cs="Tahoma"/>
          <w:lang w:val="sr-Cyrl-BA"/>
        </w:rPr>
        <w:t>(0,2%).</w:t>
      </w:r>
    </w:p>
    <w:p w:rsidR="00AF3111" w:rsidRPr="005A735F" w:rsidRDefault="00AF3111" w:rsidP="00F555E7">
      <w:pPr>
        <w:jc w:val="both"/>
        <w:rPr>
          <w:rFonts w:ascii="Arial Narrow" w:hAnsi="Arial Narrow" w:cs="Tahoma"/>
          <w:lang w:val="sr-Cyrl-BA"/>
        </w:rPr>
      </w:pPr>
    </w:p>
    <w:p w:rsidR="00F555E7" w:rsidRPr="005A735F" w:rsidRDefault="00F555E7" w:rsidP="00F555E7">
      <w:pPr>
        <w:spacing w:after="120"/>
        <w:jc w:val="both"/>
        <w:rPr>
          <w:rFonts w:ascii="Arial Narrow" w:hAnsi="Arial Narrow" w:cs="Tahoma"/>
          <w:lang w:val="sr-Cyrl-BA"/>
        </w:rPr>
      </w:pPr>
      <w:r w:rsidRPr="005A735F">
        <w:rPr>
          <w:rFonts w:ascii="Arial Narrow" w:hAnsi="Arial Narrow" w:cs="Tahoma"/>
          <w:lang w:val="sr-Cyrl-BA"/>
        </w:rPr>
        <w:t>У одјељцима</w:t>
      </w:r>
      <w:r w:rsidRPr="005A735F">
        <w:rPr>
          <w:rFonts w:ascii="Arial Narrow" w:hAnsi="Arial Narrow" w:cs="Tahoma"/>
          <w:i/>
          <w:lang w:val="sr-Cyrl-BA"/>
        </w:rPr>
        <w:t xml:space="preserve"> Алкохолна пића и дуван, Становање,</w:t>
      </w:r>
      <w:r w:rsidRPr="005A735F">
        <w:rPr>
          <w:rFonts w:ascii="Arial Narrow" w:hAnsi="Arial Narrow" w:cs="Tahoma"/>
          <w:lang w:val="sr-Cyrl-BA"/>
        </w:rPr>
        <w:t xml:space="preserve"> </w:t>
      </w:r>
      <w:r w:rsidRPr="005A735F">
        <w:rPr>
          <w:rFonts w:ascii="Arial Narrow" w:hAnsi="Arial Narrow" w:cs="Tahoma"/>
          <w:i/>
          <w:lang w:val="sr-Cyrl-BA"/>
        </w:rPr>
        <w:t xml:space="preserve">Комуникације, Образовање </w:t>
      </w:r>
      <w:r w:rsidRPr="005A735F">
        <w:rPr>
          <w:rFonts w:ascii="Arial Narrow" w:hAnsi="Arial Narrow" w:cs="Tahoma"/>
          <w:lang w:val="sr-Cyrl-BA"/>
        </w:rPr>
        <w:t xml:space="preserve">и </w:t>
      </w:r>
      <w:r w:rsidRPr="005A735F">
        <w:rPr>
          <w:rFonts w:ascii="Arial Narrow" w:hAnsi="Arial Narrow" w:cs="Tahoma"/>
          <w:i/>
          <w:lang w:val="sr-Cyrl-BA"/>
        </w:rPr>
        <w:t xml:space="preserve">Ресторани и хотели </w:t>
      </w:r>
      <w:r w:rsidRPr="005A735F">
        <w:rPr>
          <w:rFonts w:ascii="Arial Narrow" w:hAnsi="Arial Narrow" w:cs="Tahoma"/>
          <w:lang w:val="sr-Cyrl-BA"/>
        </w:rPr>
        <w:t>цијене су, у просјеку, остале непромијењене.</w:t>
      </w:r>
    </w:p>
    <w:p w:rsidR="00F555E7" w:rsidRPr="005A735F" w:rsidRDefault="00F555E7" w:rsidP="00F555E7">
      <w:pPr>
        <w:jc w:val="both"/>
        <w:rPr>
          <w:rFonts w:ascii="Arial Narrow" w:hAnsi="Arial Narrow" w:cs="Tahoma"/>
          <w:lang w:val="sr-Cyrl-BA"/>
        </w:rPr>
      </w:pPr>
      <w:r w:rsidRPr="005A735F">
        <w:rPr>
          <w:rFonts w:ascii="Arial Narrow" w:hAnsi="Arial Narrow" w:cs="Tahoma"/>
          <w:lang w:val="sr-Cyrl-BA"/>
        </w:rPr>
        <w:t>Нај</w:t>
      </w:r>
      <w:r w:rsidR="00AF3111" w:rsidRPr="005A735F">
        <w:rPr>
          <w:rFonts w:ascii="Arial Narrow" w:hAnsi="Arial Narrow" w:cs="Tahoma"/>
          <w:lang w:val="sr-Cyrl-BA"/>
        </w:rPr>
        <w:t>већи пад</w:t>
      </w:r>
      <w:r w:rsidRPr="005A735F">
        <w:rPr>
          <w:rFonts w:ascii="Arial Narrow" w:hAnsi="Arial Narrow" w:cs="Tahoma"/>
          <w:lang w:val="sr-Cyrl-BA"/>
        </w:rPr>
        <w:t xml:space="preserve"> цијен</w:t>
      </w:r>
      <w:r w:rsidR="00AF3111" w:rsidRPr="005A735F">
        <w:rPr>
          <w:rFonts w:ascii="Arial Narrow" w:hAnsi="Arial Narrow" w:cs="Tahoma"/>
          <w:lang w:val="sr-Cyrl-BA"/>
        </w:rPr>
        <w:t>а</w:t>
      </w:r>
      <w:r w:rsidRPr="005A735F">
        <w:rPr>
          <w:rFonts w:ascii="Arial Narrow" w:hAnsi="Arial Narrow" w:cs="Tahoma"/>
          <w:lang w:val="sr-Cyrl-BA"/>
        </w:rPr>
        <w:t xml:space="preserve"> у </w:t>
      </w:r>
      <w:r w:rsidRPr="005A735F">
        <w:rPr>
          <w:rFonts w:ascii="Arial Narrow" w:hAnsi="Arial Narrow" w:cs="Tahoma"/>
          <w:lang w:val="sr-Cyrl-CS"/>
        </w:rPr>
        <w:t>септембр</w:t>
      </w:r>
      <w:r w:rsidRPr="005A735F">
        <w:rPr>
          <w:rFonts w:ascii="Arial Narrow" w:hAnsi="Arial Narrow" w:cs="Tahoma"/>
          <w:lang w:val="sr-Cyrl-BA"/>
        </w:rPr>
        <w:t xml:space="preserve">у забиљежен </w:t>
      </w:r>
      <w:r w:rsidR="00AF3111" w:rsidRPr="005A735F">
        <w:rPr>
          <w:rFonts w:ascii="Arial Narrow" w:hAnsi="Arial Narrow" w:cs="Tahoma"/>
          <w:lang w:val="sr-Cyrl-BA"/>
        </w:rPr>
        <w:t>је</w:t>
      </w:r>
      <w:r w:rsidRPr="005A735F">
        <w:rPr>
          <w:rFonts w:ascii="Arial Narrow" w:hAnsi="Arial Narrow" w:cs="Tahoma"/>
          <w:lang w:val="sr-Cyrl-BA"/>
        </w:rPr>
        <w:t xml:space="preserve"> у одјељку</w:t>
      </w:r>
      <w:r w:rsidRPr="005A735F">
        <w:rPr>
          <w:rFonts w:ascii="Arial Narrow" w:hAnsi="Arial Narrow" w:cs="Tahoma"/>
          <w:i/>
          <w:lang w:val="sr-Cyrl-BA"/>
        </w:rPr>
        <w:t xml:space="preserve"> Превоз</w:t>
      </w:r>
      <w:r w:rsidRPr="005A735F">
        <w:rPr>
          <w:rFonts w:ascii="Arial Narrow" w:hAnsi="Arial Narrow" w:cs="Tahoma"/>
          <w:lang w:val="sr-Cyrl-BA"/>
        </w:rPr>
        <w:t xml:space="preserve"> (1,9%) усљед и даље присутног тренда нижих набавних цијена у групи горива и мазива (3,8%). Нешто мањи пад цијена забиљежен је у одјељку </w:t>
      </w:r>
      <w:r w:rsidRPr="005A735F">
        <w:rPr>
          <w:rFonts w:ascii="Arial Narrow" w:hAnsi="Arial Narrow" w:cs="Tahoma"/>
          <w:i/>
          <w:lang w:val="sr-Cyrl-BA"/>
        </w:rPr>
        <w:t>Рекреација и култура</w:t>
      </w:r>
      <w:r w:rsidRPr="005A735F">
        <w:rPr>
          <w:rFonts w:ascii="Arial Narrow" w:hAnsi="Arial Narrow" w:cs="Tahoma"/>
          <w:lang w:val="sr-Cyrl-BA"/>
        </w:rPr>
        <w:t xml:space="preserve"> (0,4%) те у одјељку </w:t>
      </w:r>
      <w:r w:rsidRPr="005A735F">
        <w:rPr>
          <w:rFonts w:ascii="Arial Narrow" w:hAnsi="Arial Narrow" w:cs="Tahoma"/>
          <w:i/>
          <w:lang w:val="sr-Cyrl-BA"/>
        </w:rPr>
        <w:t>Остала добра и услуге</w:t>
      </w:r>
      <w:r w:rsidRPr="005A735F">
        <w:rPr>
          <w:rFonts w:ascii="Arial Narrow" w:hAnsi="Arial Narrow" w:cs="Tahoma"/>
          <w:lang w:val="sr-Cyrl-BA"/>
        </w:rPr>
        <w:t xml:space="preserve"> (0,1%) због нижих, акцијских цијена у групи производи за личну хигијену (0,8%).</w:t>
      </w:r>
    </w:p>
    <w:p w:rsidR="007B3C79" w:rsidRPr="005A735F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2F3C" w:rsidRPr="005A735F" w:rsidRDefault="00EB2F3C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5A735F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5A735F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Календарски прилагођена 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="00B069C6">
        <w:rPr>
          <w:rFonts w:ascii="Arial Narrow" w:hAnsi="Arial Narrow" w:cs="Tahoma"/>
          <w:b/>
          <w:sz w:val="28"/>
          <w:szCs w:val="28"/>
          <w:lang w:val="sr-Latn-BA"/>
        </w:rPr>
        <w:t>I-</w:t>
      </w:r>
      <w:r w:rsidR="00F50BA9" w:rsidRPr="005A735F">
        <w:rPr>
          <w:rFonts w:ascii="Arial Narrow" w:hAnsi="Arial Narrow" w:cs="Tahoma"/>
          <w:b/>
          <w:sz w:val="28"/>
          <w:szCs w:val="28"/>
        </w:rPr>
        <w:t>I</w:t>
      </w:r>
      <w:r w:rsidR="003A1FD7" w:rsidRPr="005A735F">
        <w:rPr>
          <w:rFonts w:ascii="Arial Narrow" w:hAnsi="Arial Narrow" w:cs="Tahoma"/>
          <w:b/>
          <w:sz w:val="28"/>
          <w:szCs w:val="28"/>
        </w:rPr>
        <w:t>X</w:t>
      </w:r>
      <w:r w:rsidRPr="005A735F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284295" w:rsidRPr="005A735F">
        <w:rPr>
          <w:rFonts w:ascii="Arial Narrow" w:hAnsi="Arial Narrow" w:cs="Tahoma"/>
          <w:b/>
          <w:sz w:val="28"/>
          <w:szCs w:val="28"/>
        </w:rPr>
        <w:t>5</w:t>
      </w:r>
      <w:r w:rsidRPr="005A735F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="00B069C6">
        <w:rPr>
          <w:rFonts w:ascii="Arial Narrow" w:hAnsi="Arial Narrow" w:cs="Tahoma"/>
          <w:b/>
          <w:sz w:val="28"/>
          <w:szCs w:val="28"/>
          <w:lang w:val="sr-Latn-BA"/>
        </w:rPr>
        <w:t>I-</w:t>
      </w:r>
      <w:r w:rsidR="003E0D24" w:rsidRPr="005A735F">
        <w:rPr>
          <w:rFonts w:ascii="Arial Narrow" w:hAnsi="Arial Narrow" w:cs="Tahoma"/>
          <w:b/>
          <w:sz w:val="28"/>
          <w:szCs w:val="28"/>
        </w:rPr>
        <w:t>I</w:t>
      </w:r>
      <w:r w:rsidR="003A1FD7" w:rsidRPr="005A735F">
        <w:rPr>
          <w:rFonts w:ascii="Arial Narrow" w:hAnsi="Arial Narrow" w:cs="Tahoma"/>
          <w:b/>
          <w:sz w:val="28"/>
          <w:szCs w:val="28"/>
        </w:rPr>
        <w:t>X</w:t>
      </w:r>
      <w:r w:rsidR="003E0D24" w:rsidRPr="005A735F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5A735F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284295" w:rsidRPr="005A735F">
        <w:rPr>
          <w:rFonts w:ascii="Arial Narrow" w:hAnsi="Arial Narrow" w:cs="Tahoma"/>
          <w:b/>
          <w:bCs/>
          <w:sz w:val="28"/>
          <w:szCs w:val="28"/>
        </w:rPr>
        <w:t>4</w:t>
      </w:r>
      <w:r w:rsidRPr="005A735F">
        <w:rPr>
          <w:rFonts w:ascii="Arial Narrow" w:hAnsi="Arial Narrow" w:cs="Tahoma"/>
          <w:b/>
          <w:bCs/>
          <w:sz w:val="28"/>
          <w:szCs w:val="28"/>
        </w:rPr>
        <w:t>.</w:t>
      </w:r>
      <w:r w:rsidRPr="005A735F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5A735F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B069C6" w:rsidRPr="00B069C6">
        <w:rPr>
          <w:rFonts w:ascii="Arial Narrow" w:hAnsi="Arial Narrow" w:cs="Tahoma"/>
          <w:b/>
          <w:sz w:val="28"/>
          <w:szCs w:val="28"/>
          <w:lang w:val="sr-Cyrl-CS"/>
        </w:rPr>
        <w:t>већа</w:t>
      </w:r>
      <w:r w:rsidRPr="005A735F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50771F" w:rsidRPr="005A735F">
        <w:rPr>
          <w:rFonts w:ascii="Arial Narrow" w:hAnsi="Arial Narrow" w:cs="Tahoma"/>
          <w:b/>
          <w:bCs/>
          <w:sz w:val="28"/>
          <w:szCs w:val="28"/>
          <w:lang w:val="sr-Cyrl-CS"/>
        </w:rPr>
        <w:t>3</w:t>
      </w:r>
      <w:r w:rsidRPr="005A735F">
        <w:rPr>
          <w:rFonts w:ascii="Arial Narrow" w:hAnsi="Arial Narrow" w:cs="Tahoma"/>
          <w:b/>
          <w:bCs/>
          <w:sz w:val="28"/>
          <w:szCs w:val="28"/>
          <w:lang w:val="sr-Cyrl-CS"/>
        </w:rPr>
        <w:t>,</w:t>
      </w:r>
      <w:r w:rsidR="00B069C6">
        <w:rPr>
          <w:rFonts w:ascii="Arial Narrow" w:hAnsi="Arial Narrow" w:cs="Tahoma"/>
          <w:b/>
          <w:bCs/>
          <w:sz w:val="28"/>
          <w:szCs w:val="28"/>
          <w:lang w:val="sr-Latn-BA"/>
        </w:rPr>
        <w:t>8</w:t>
      </w:r>
      <w:r w:rsidRPr="005A735F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</w:p>
    <w:p w:rsidR="000213F8" w:rsidRPr="005A735F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8"/>
          <w:szCs w:val="28"/>
          <w:lang w:val="sr-Cyrl-CS"/>
        </w:rPr>
      </w:pPr>
      <w:r w:rsidRPr="005A735F">
        <w:rPr>
          <w:rFonts w:ascii="Arial Narrow" w:hAnsi="Arial Narrow" w:cs="Tahoma"/>
          <w:b/>
          <w:sz w:val="28"/>
          <w:szCs w:val="28"/>
          <w:lang w:val="ru-RU"/>
        </w:rPr>
        <w:t xml:space="preserve">Број запослених у индустрији </w:t>
      </w:r>
      <w:r w:rsidR="00F50BA9" w:rsidRPr="005A735F">
        <w:rPr>
          <w:rFonts w:ascii="Arial Narrow" w:hAnsi="Arial Narrow" w:cs="Tahoma"/>
          <w:b/>
          <w:sz w:val="28"/>
          <w:szCs w:val="28"/>
          <w:lang w:val="sr-Cyrl-CS"/>
        </w:rPr>
        <w:t>(</w:t>
      </w:r>
      <w:r w:rsidR="00A403F5" w:rsidRPr="005A735F">
        <w:rPr>
          <w:rFonts w:ascii="Arial Narrow" w:hAnsi="Arial Narrow" w:cs="Tahoma"/>
          <w:b/>
          <w:sz w:val="28"/>
          <w:szCs w:val="28"/>
        </w:rPr>
        <w:t>I</w:t>
      </w:r>
      <w:r w:rsidR="003A1FD7" w:rsidRPr="005A735F">
        <w:rPr>
          <w:rFonts w:ascii="Arial Narrow" w:hAnsi="Arial Narrow" w:cs="Tahoma"/>
          <w:b/>
          <w:sz w:val="28"/>
          <w:szCs w:val="28"/>
        </w:rPr>
        <w:t>X</w:t>
      </w:r>
      <w:r w:rsidR="00F50BA9" w:rsidRPr="005A735F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F50BA9" w:rsidRPr="005A735F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F50BA9" w:rsidRPr="005A735F">
        <w:rPr>
          <w:rFonts w:ascii="Arial Narrow" w:hAnsi="Arial Narrow" w:cs="Tahoma"/>
          <w:b/>
          <w:sz w:val="28"/>
          <w:szCs w:val="28"/>
        </w:rPr>
        <w:t>5</w:t>
      </w:r>
      <w:r w:rsidR="00F50BA9" w:rsidRPr="005A735F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="00A403F5" w:rsidRPr="005A735F">
        <w:rPr>
          <w:rFonts w:ascii="Arial Narrow" w:hAnsi="Arial Narrow" w:cs="Tahoma"/>
          <w:b/>
          <w:sz w:val="28"/>
          <w:szCs w:val="28"/>
        </w:rPr>
        <w:t>I</w:t>
      </w:r>
      <w:r w:rsidR="003A1FD7" w:rsidRPr="005A735F">
        <w:rPr>
          <w:rFonts w:ascii="Arial Narrow" w:hAnsi="Arial Narrow" w:cs="Tahoma"/>
          <w:b/>
          <w:sz w:val="28"/>
          <w:szCs w:val="28"/>
        </w:rPr>
        <w:t>X</w:t>
      </w:r>
      <w:r w:rsidR="00F50BA9" w:rsidRPr="005A735F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F50BA9" w:rsidRPr="005A735F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F50BA9" w:rsidRPr="005A735F">
        <w:rPr>
          <w:rFonts w:ascii="Arial Narrow" w:hAnsi="Arial Narrow" w:cs="Tahoma"/>
          <w:b/>
          <w:bCs/>
          <w:sz w:val="28"/>
          <w:szCs w:val="28"/>
        </w:rPr>
        <w:t>4.</w:t>
      </w:r>
      <w:r w:rsidR="00F50BA9" w:rsidRPr="005A735F">
        <w:rPr>
          <w:rFonts w:ascii="Arial Narrow" w:hAnsi="Arial Narrow" w:cs="Tahoma"/>
          <w:b/>
          <w:sz w:val="28"/>
          <w:szCs w:val="28"/>
          <w:lang w:val="ru-RU"/>
        </w:rPr>
        <w:t>)</w:t>
      </w:r>
      <w:r w:rsidRPr="005A735F">
        <w:rPr>
          <w:rFonts w:ascii="Arial Narrow" w:hAnsi="Arial Narrow" w:cs="Tahoma"/>
          <w:b/>
          <w:sz w:val="28"/>
          <w:szCs w:val="28"/>
          <w:lang w:val="ru-RU"/>
        </w:rPr>
        <w:t xml:space="preserve"> већи </w:t>
      </w:r>
      <w:r w:rsidR="00CF171D" w:rsidRPr="005A735F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Pr="005A735F">
        <w:rPr>
          <w:rFonts w:ascii="Arial Narrow" w:hAnsi="Arial Narrow" w:cs="Tahoma"/>
          <w:b/>
          <w:sz w:val="28"/>
          <w:szCs w:val="28"/>
          <w:lang w:val="ru-RU"/>
        </w:rPr>
        <w:t>,</w:t>
      </w:r>
      <w:r w:rsidR="0050771F" w:rsidRPr="005A735F">
        <w:rPr>
          <w:rFonts w:ascii="Arial Narrow" w:hAnsi="Arial Narrow" w:cs="Tahoma"/>
          <w:b/>
          <w:sz w:val="28"/>
          <w:szCs w:val="28"/>
          <w:lang w:val="ru-RU"/>
        </w:rPr>
        <w:t>6</w:t>
      </w:r>
      <w:r w:rsidRPr="005A735F">
        <w:rPr>
          <w:rFonts w:ascii="Arial Narrow" w:hAnsi="Arial Narrow" w:cs="Tahoma"/>
          <w:b/>
          <w:sz w:val="28"/>
          <w:szCs w:val="28"/>
          <w:lang w:val="ru-RU"/>
        </w:rPr>
        <w:t>%</w:t>
      </w:r>
    </w:p>
    <w:p w:rsidR="000213F8" w:rsidRPr="005A735F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2A1571" w:rsidRDefault="000213F8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5A735F">
        <w:rPr>
          <w:rFonts w:ascii="Arial Narrow" w:hAnsi="Arial Narrow" w:cs="Tahoma"/>
          <w:b/>
          <w:sz w:val="22"/>
          <w:szCs w:val="22"/>
          <w:lang w:val="sr-Cyrl-CS"/>
        </w:rPr>
        <w:t>Календарски прилагођена</w:t>
      </w:r>
      <w:r w:rsidRPr="005A735F">
        <w:rPr>
          <w:rFonts w:ascii="Arial Narrow" w:hAnsi="Arial Narrow" w:cs="Tahoma"/>
          <w:b/>
          <w:sz w:val="22"/>
          <w:szCs w:val="22"/>
        </w:rPr>
        <w:t xml:space="preserve"> индустријска производња</w:t>
      </w:r>
      <w:r w:rsidRPr="005A735F">
        <w:rPr>
          <w:rFonts w:ascii="Arial Narrow" w:hAnsi="Arial Narrow" w:cs="Tahoma"/>
          <w:sz w:val="22"/>
          <w:szCs w:val="22"/>
        </w:rPr>
        <w:t xml:space="preserve"> у</w:t>
      </w:r>
      <w:r w:rsidR="00E24E54">
        <w:rPr>
          <w:rFonts w:ascii="Arial Narrow" w:hAnsi="Arial Narrow" w:cs="Tahoma"/>
          <w:sz w:val="22"/>
          <w:szCs w:val="22"/>
          <w:lang w:val="sr-Cyrl-BA"/>
        </w:rPr>
        <w:t xml:space="preserve"> периду јануар-септембар</w:t>
      </w:r>
      <w:r w:rsidRPr="005A735F">
        <w:rPr>
          <w:rFonts w:ascii="Arial Narrow" w:hAnsi="Arial Narrow" w:cs="Tahoma"/>
          <w:sz w:val="22"/>
          <w:szCs w:val="22"/>
        </w:rPr>
        <w:t xml:space="preserve"> 201</w:t>
      </w:r>
      <w:r w:rsidR="00284295" w:rsidRPr="005A735F">
        <w:rPr>
          <w:rFonts w:ascii="Arial Narrow" w:hAnsi="Arial Narrow" w:cs="Tahoma"/>
          <w:sz w:val="22"/>
          <w:szCs w:val="22"/>
          <w:lang w:val="sr-Cyrl-CS"/>
        </w:rPr>
        <w:t>5</w:t>
      </w:r>
      <w:r w:rsidRPr="005A735F">
        <w:rPr>
          <w:rFonts w:ascii="Arial Narrow" w:hAnsi="Arial Narrow" w:cs="Tahoma"/>
          <w:sz w:val="22"/>
          <w:szCs w:val="22"/>
        </w:rPr>
        <w:t xml:space="preserve">. </w:t>
      </w:r>
      <w:r w:rsidRPr="005A735F">
        <w:rPr>
          <w:rFonts w:ascii="Arial Narrow" w:hAnsi="Arial Narrow" w:cs="Tahoma"/>
          <w:sz w:val="22"/>
          <w:szCs w:val="22"/>
          <w:lang w:val="sr-Cyrl-BA"/>
        </w:rPr>
        <w:t>г</w:t>
      </w:r>
      <w:r w:rsidRPr="005A735F">
        <w:rPr>
          <w:rFonts w:ascii="Arial Narrow" w:hAnsi="Arial Narrow" w:cs="Tahoma"/>
          <w:sz w:val="22"/>
          <w:szCs w:val="22"/>
        </w:rPr>
        <w:t>одине</w:t>
      </w:r>
      <w:r w:rsidRPr="005A735F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5A735F">
        <w:rPr>
          <w:rFonts w:ascii="Arial Narrow" w:hAnsi="Arial Narrow" w:cs="Tahoma"/>
          <w:sz w:val="22"/>
          <w:szCs w:val="22"/>
        </w:rPr>
        <w:t xml:space="preserve">у поређењу </w:t>
      </w:r>
      <w:r w:rsidRPr="005A735F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E24E54">
        <w:rPr>
          <w:rFonts w:ascii="Arial Narrow" w:hAnsi="Arial Narrow" w:cs="Tahoma"/>
          <w:spacing w:val="-2"/>
          <w:sz w:val="22"/>
          <w:szCs w:val="22"/>
          <w:lang w:val="sr-Cyrl-CS"/>
        </w:rPr>
        <w:t>истим периодом прошле године</w:t>
      </w:r>
      <w:r w:rsidRPr="005A735F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ru-RU"/>
        </w:rPr>
        <w:t>већа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sr-Cyrl-CS"/>
        </w:rPr>
        <w:t xml:space="preserve">је за </w:t>
      </w:r>
      <w:r w:rsidR="0019784E" w:rsidRPr="005A735F">
        <w:rPr>
          <w:rFonts w:ascii="Arial Narrow" w:hAnsi="Arial Narrow" w:cs="Tahoma"/>
          <w:sz w:val="22"/>
          <w:szCs w:val="22"/>
          <w:lang w:val="sr-Cyrl-CS"/>
        </w:rPr>
        <w:t>3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="00E24E54">
        <w:rPr>
          <w:rFonts w:ascii="Arial Narrow" w:hAnsi="Arial Narrow" w:cs="Tahoma"/>
          <w:sz w:val="22"/>
          <w:szCs w:val="22"/>
          <w:lang w:val="sr-Cyrl-CS"/>
        </w:rPr>
        <w:t>8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%.</w:t>
      </w:r>
      <w:r w:rsidRPr="005A735F">
        <w:rPr>
          <w:rFonts w:ascii="Arial Narrow" w:hAnsi="Arial Narrow" w:cs="Tahoma"/>
          <w:sz w:val="22"/>
          <w:szCs w:val="22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У</w:t>
      </w:r>
      <w:r w:rsidR="00E24E54">
        <w:rPr>
          <w:rFonts w:ascii="Arial Narrow" w:hAnsi="Arial Narrow" w:cs="Tahoma"/>
          <w:sz w:val="22"/>
          <w:szCs w:val="22"/>
          <w:lang w:val="sr-Cyrl-CS"/>
        </w:rPr>
        <w:t xml:space="preserve"> истом периоду у подручју </w:t>
      </w:r>
      <w:r w:rsidR="00E24E54" w:rsidRPr="005A735F">
        <w:rPr>
          <w:rFonts w:ascii="Arial Narrow" w:hAnsi="Arial Narrow" w:cs="Tahoma"/>
          <w:i/>
          <w:sz w:val="22"/>
          <w:szCs w:val="22"/>
        </w:rPr>
        <w:t>Вађењ</w:t>
      </w:r>
      <w:r w:rsidR="00E24E54" w:rsidRPr="005A735F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="00E24E54" w:rsidRPr="005A735F">
        <w:rPr>
          <w:rFonts w:ascii="Arial Narrow" w:hAnsi="Arial Narrow" w:cs="Tahoma"/>
          <w:i/>
          <w:sz w:val="22"/>
          <w:szCs w:val="22"/>
        </w:rPr>
        <w:t xml:space="preserve"> руд</w:t>
      </w:r>
      <w:r w:rsidR="00E24E54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="00E24E54" w:rsidRPr="005A735F">
        <w:rPr>
          <w:rFonts w:ascii="Arial Narrow" w:hAnsi="Arial Narrow" w:cs="Tahoma"/>
          <w:i/>
          <w:sz w:val="22"/>
          <w:szCs w:val="22"/>
        </w:rPr>
        <w:t xml:space="preserve"> и камена</w:t>
      </w:r>
      <w:r w:rsidR="00E24E54" w:rsidRPr="005A735F">
        <w:rPr>
          <w:rFonts w:ascii="Arial Narrow" w:hAnsi="Arial Narrow" w:cs="Tahoma"/>
          <w:i/>
          <w:sz w:val="22"/>
          <w:szCs w:val="22"/>
          <w:lang w:val="ru-RU"/>
        </w:rPr>
        <w:t xml:space="preserve"> остварен</w:t>
      </w:r>
      <w:r w:rsidRPr="005A735F">
        <w:rPr>
          <w:rFonts w:ascii="Arial Narrow" w:hAnsi="Arial Narrow" w:cs="Tahoma"/>
          <w:sz w:val="22"/>
          <w:szCs w:val="22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sr-Cyrl-BA"/>
        </w:rPr>
        <w:t xml:space="preserve">је раст од 13,9%, у </w:t>
      </w:r>
      <w:r w:rsidR="0019784E" w:rsidRPr="00E24E54">
        <w:rPr>
          <w:rFonts w:ascii="Arial Narrow" w:hAnsi="Arial Narrow" w:cs="Tahoma"/>
          <w:i/>
          <w:sz w:val="22"/>
          <w:szCs w:val="22"/>
        </w:rPr>
        <w:t>Производњи и снабдијевању електричном енергијом, гасом, паром и климатизацији</w:t>
      </w:r>
      <w:r w:rsidR="0019784E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sr-Cyrl-CS"/>
        </w:rPr>
        <w:t>раст</w:t>
      </w:r>
      <w:r w:rsidRPr="005A735F">
        <w:rPr>
          <w:rFonts w:ascii="Arial Narrow" w:hAnsi="Arial Narrow" w:cs="Tahoma"/>
          <w:sz w:val="22"/>
          <w:szCs w:val="22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sr-Cyrl-BA"/>
        </w:rPr>
        <w:t>од</w:t>
      </w:r>
      <w:r w:rsidRPr="005A735F">
        <w:rPr>
          <w:rFonts w:ascii="Arial Narrow" w:hAnsi="Arial Narrow" w:cs="Tahoma"/>
          <w:sz w:val="22"/>
          <w:szCs w:val="22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sr-Cyrl-BA"/>
        </w:rPr>
        <w:t xml:space="preserve">2,9% и у </w:t>
      </w:r>
      <w:r w:rsidR="00E24E54" w:rsidRPr="00E24E54">
        <w:rPr>
          <w:rFonts w:ascii="Arial Narrow" w:hAnsi="Arial Narrow" w:cs="Tahoma"/>
          <w:i/>
          <w:sz w:val="22"/>
          <w:szCs w:val="22"/>
        </w:rPr>
        <w:t>Прерађивачкој индустрији</w:t>
      </w:r>
      <w:r w:rsidR="00E24E54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sr-Cyrl-CS"/>
        </w:rPr>
        <w:t>раст од 2</w:t>
      </w:r>
      <w:r w:rsidR="00E24E54" w:rsidRPr="005A735F">
        <w:rPr>
          <w:rFonts w:ascii="Arial Narrow" w:hAnsi="Arial Narrow" w:cs="Tahoma"/>
          <w:sz w:val="22"/>
          <w:szCs w:val="22"/>
        </w:rPr>
        <w:t>,</w:t>
      </w:r>
      <w:r w:rsidR="00E24E54" w:rsidRPr="005A735F">
        <w:rPr>
          <w:rFonts w:ascii="Arial Narrow" w:hAnsi="Arial Narrow" w:cs="Tahoma"/>
          <w:sz w:val="22"/>
          <w:szCs w:val="22"/>
          <w:lang w:val="sr-Cyrl-CS"/>
        </w:rPr>
        <w:t>2</w:t>
      </w:r>
      <w:r w:rsidR="00E24E54" w:rsidRPr="005A735F">
        <w:rPr>
          <w:rFonts w:ascii="Arial Narrow" w:hAnsi="Arial Narrow" w:cs="Tahoma"/>
          <w:sz w:val="22"/>
          <w:szCs w:val="22"/>
        </w:rPr>
        <w:t>%</w:t>
      </w:r>
      <w:r w:rsidR="007C0B34" w:rsidRPr="005A735F">
        <w:rPr>
          <w:rFonts w:ascii="Arial Narrow" w:hAnsi="Arial Narrow" w:cs="Tahoma"/>
          <w:sz w:val="22"/>
          <w:szCs w:val="22"/>
          <w:lang w:val="sr-Cyrl-CS"/>
        </w:rPr>
        <w:t>.</w:t>
      </w:r>
      <w:r w:rsidR="002A1571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</w:p>
    <w:p w:rsidR="00E24E54" w:rsidRPr="005A735F" w:rsidRDefault="00E24E54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2A1571" w:rsidRPr="00E24E54" w:rsidRDefault="007C0B34" w:rsidP="000213F8">
      <w:pPr>
        <w:jc w:val="both"/>
        <w:rPr>
          <w:rFonts w:ascii="Arial Narrow" w:hAnsi="Arial Narrow" w:cs="Tahoma"/>
          <w:spacing w:val="-2"/>
          <w:sz w:val="22"/>
          <w:szCs w:val="22"/>
          <w:lang w:val="sr-Cyrl-CS"/>
        </w:rPr>
      </w:pPr>
      <w:r w:rsidRPr="005A735F">
        <w:rPr>
          <w:rFonts w:ascii="Arial Narrow" w:hAnsi="Arial Narrow" w:cs="Tahoma"/>
          <w:spacing w:val="-2"/>
          <w:sz w:val="22"/>
          <w:szCs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5A735F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 w:rsidRPr="005A735F">
        <w:rPr>
          <w:rFonts w:ascii="Arial Narrow" w:hAnsi="Arial Narrow" w:cs="Tahoma"/>
          <w:sz w:val="22"/>
          <w:szCs w:val="22"/>
        </w:rPr>
        <w:t xml:space="preserve">у </w:t>
      </w:r>
      <w:r w:rsidR="00E24E54">
        <w:rPr>
          <w:rFonts w:ascii="Arial Narrow" w:hAnsi="Arial Narrow" w:cs="Tahoma"/>
          <w:sz w:val="22"/>
          <w:szCs w:val="22"/>
          <w:lang w:val="sr-Cyrl-BA"/>
        </w:rPr>
        <w:t>периоду јануар-септембар</w:t>
      </w:r>
      <w:r w:rsidR="00E24E54" w:rsidRPr="005A735F">
        <w:rPr>
          <w:rFonts w:ascii="Arial Narrow" w:hAnsi="Arial Narrow" w:cs="Tahoma"/>
          <w:sz w:val="22"/>
          <w:szCs w:val="22"/>
        </w:rPr>
        <w:t xml:space="preserve"> 201</w:t>
      </w:r>
      <w:r w:rsidR="00E24E54" w:rsidRPr="005A735F">
        <w:rPr>
          <w:rFonts w:ascii="Arial Narrow" w:hAnsi="Arial Narrow" w:cs="Tahoma"/>
          <w:sz w:val="22"/>
          <w:szCs w:val="22"/>
          <w:lang w:val="sr-Cyrl-CS"/>
        </w:rPr>
        <w:t>5</w:t>
      </w:r>
      <w:r w:rsidR="00E24E54" w:rsidRPr="005A735F">
        <w:rPr>
          <w:rFonts w:ascii="Arial Narrow" w:hAnsi="Arial Narrow" w:cs="Tahoma"/>
          <w:sz w:val="22"/>
          <w:szCs w:val="22"/>
        </w:rPr>
        <w:t xml:space="preserve">. </w:t>
      </w:r>
      <w:r w:rsidR="00E24E54" w:rsidRPr="005A735F">
        <w:rPr>
          <w:rFonts w:ascii="Arial Narrow" w:hAnsi="Arial Narrow" w:cs="Tahoma"/>
          <w:sz w:val="22"/>
          <w:szCs w:val="22"/>
          <w:lang w:val="sr-Cyrl-BA"/>
        </w:rPr>
        <w:t>г</w:t>
      </w:r>
      <w:r w:rsidR="00E24E54" w:rsidRPr="005A735F">
        <w:rPr>
          <w:rFonts w:ascii="Arial Narrow" w:hAnsi="Arial Narrow" w:cs="Tahoma"/>
          <w:sz w:val="22"/>
          <w:szCs w:val="22"/>
        </w:rPr>
        <w:t>одине</w:t>
      </w:r>
      <w:r w:rsidR="00E24E54" w:rsidRPr="005A735F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="00E24E54" w:rsidRPr="005A735F">
        <w:rPr>
          <w:rFonts w:ascii="Arial Narrow" w:hAnsi="Arial Narrow" w:cs="Tahoma"/>
          <w:sz w:val="22"/>
          <w:szCs w:val="22"/>
        </w:rPr>
        <w:t xml:space="preserve">у поређењу </w:t>
      </w:r>
      <w:r w:rsidR="00E24E54" w:rsidRPr="005A735F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E24E54">
        <w:rPr>
          <w:rFonts w:ascii="Arial Narrow" w:hAnsi="Arial Narrow" w:cs="Tahoma"/>
          <w:spacing w:val="-2"/>
          <w:sz w:val="22"/>
          <w:szCs w:val="22"/>
          <w:lang w:val="sr-Cyrl-CS"/>
        </w:rPr>
        <w:t>истим периодом прошле године</w:t>
      </w:r>
      <w:r w:rsidR="007F237E">
        <w:rPr>
          <w:rFonts w:ascii="Arial Narrow" w:hAnsi="Arial Narrow" w:cs="Tahoma"/>
          <w:spacing w:val="-2"/>
          <w:sz w:val="22"/>
          <w:szCs w:val="22"/>
          <w:lang w:val="sr-Latn-BA"/>
        </w:rPr>
        <w:t>,</w:t>
      </w:r>
      <w:r w:rsidR="00E24E54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</w:t>
      </w:r>
      <w:r w:rsidRPr="005A735F">
        <w:rPr>
          <w:rFonts w:ascii="Arial Narrow" w:hAnsi="Arial Narrow" w:cs="Tahoma"/>
          <w:spacing w:val="-2"/>
          <w:sz w:val="22"/>
          <w:szCs w:val="22"/>
          <w:lang w:val="sr-Cyrl-BA"/>
        </w:rPr>
        <w:t>производња</w:t>
      </w:r>
      <w:r w:rsidR="0091158C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трајн</w:t>
      </w:r>
      <w:r w:rsidR="00E24E54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их производа за широку потрошњу већа је за 6,9%, </w:t>
      </w:r>
      <w:r w:rsidR="00E24E54" w:rsidRPr="005A735F">
        <w:rPr>
          <w:rFonts w:ascii="Arial Narrow" w:hAnsi="Arial Narrow" w:cs="Tahoma"/>
          <w:sz w:val="22"/>
          <w:szCs w:val="22"/>
          <w:lang w:val="sr-Cyrl-CS"/>
        </w:rPr>
        <w:t xml:space="preserve">интермедијарних производа </w:t>
      </w:r>
      <w:r w:rsidR="00F06BFD" w:rsidRPr="005A735F">
        <w:rPr>
          <w:rFonts w:ascii="Arial Narrow" w:hAnsi="Arial Narrow" w:cs="Tahoma"/>
          <w:sz w:val="22"/>
          <w:szCs w:val="22"/>
          <w:lang w:val="sr-Cyrl-BA"/>
        </w:rPr>
        <w:t>за</w:t>
      </w:r>
      <w:r w:rsidR="00F06BFD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sr-Cyrl-CS"/>
        </w:rPr>
        <w:t>6</w:t>
      </w:r>
      <w:r w:rsidR="00F06BFD"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="00E24E54">
        <w:rPr>
          <w:rFonts w:ascii="Arial Narrow" w:hAnsi="Arial Narrow" w:cs="Tahoma"/>
          <w:sz w:val="22"/>
          <w:szCs w:val="22"/>
          <w:lang w:val="sr-Cyrl-CS"/>
        </w:rPr>
        <w:t>8</w:t>
      </w:r>
      <w:r w:rsidR="00F06BFD" w:rsidRPr="005A735F">
        <w:rPr>
          <w:rFonts w:ascii="Arial Narrow" w:hAnsi="Arial Narrow" w:cs="Tahoma"/>
          <w:sz w:val="22"/>
          <w:szCs w:val="22"/>
          <w:lang w:val="sr-Cyrl-CS"/>
        </w:rPr>
        <w:t>%</w:t>
      </w:r>
      <w:r w:rsidR="00F65A39" w:rsidRPr="005A735F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r w:rsidR="00E24E54" w:rsidRPr="005A735F">
        <w:rPr>
          <w:rFonts w:ascii="Arial Narrow" w:hAnsi="Arial Narrow" w:cs="Tahoma"/>
          <w:sz w:val="22"/>
          <w:szCs w:val="22"/>
          <w:lang w:val="sr-Cyrl-CS"/>
        </w:rPr>
        <w:t xml:space="preserve">нетрајних производа за широку потрошњу </w:t>
      </w:r>
      <w:r w:rsidR="00F65A39" w:rsidRPr="005A735F">
        <w:rPr>
          <w:rFonts w:ascii="Arial Narrow" w:hAnsi="Arial Narrow" w:cs="Tahoma"/>
          <w:sz w:val="22"/>
          <w:szCs w:val="22"/>
          <w:lang w:val="sr-Cyrl-CS"/>
        </w:rPr>
        <w:t>за</w:t>
      </w:r>
      <w:r w:rsidR="00F65A39" w:rsidRPr="005A735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24E54">
        <w:rPr>
          <w:rFonts w:ascii="Arial Narrow" w:hAnsi="Arial Narrow" w:cs="Tahoma"/>
          <w:sz w:val="22"/>
          <w:szCs w:val="22"/>
          <w:lang w:val="sr-Cyrl-BA"/>
        </w:rPr>
        <w:t>4</w:t>
      </w:r>
      <w:r w:rsidR="00F65A39" w:rsidRPr="005A735F">
        <w:rPr>
          <w:rFonts w:ascii="Arial Narrow" w:hAnsi="Arial Narrow" w:cs="Tahoma"/>
          <w:sz w:val="22"/>
          <w:szCs w:val="22"/>
          <w:lang w:val="sr-Cyrl-BA"/>
        </w:rPr>
        <w:t>,</w:t>
      </w:r>
      <w:r w:rsidR="00E24E54">
        <w:rPr>
          <w:rFonts w:ascii="Arial Narrow" w:hAnsi="Arial Narrow" w:cs="Tahoma"/>
          <w:sz w:val="22"/>
          <w:szCs w:val="22"/>
          <w:lang w:val="sr-Cyrl-BA"/>
        </w:rPr>
        <w:t>5</w:t>
      </w:r>
      <w:r w:rsidR="00F65A39" w:rsidRPr="005A735F">
        <w:rPr>
          <w:rFonts w:ascii="Arial Narrow" w:hAnsi="Arial Narrow" w:cs="Tahoma"/>
          <w:sz w:val="22"/>
          <w:szCs w:val="22"/>
          <w:lang w:val="sr-Cyrl-BA"/>
        </w:rPr>
        <w:t>%</w:t>
      </w:r>
      <w:r w:rsidR="0019784E" w:rsidRPr="005A735F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67267B" w:rsidRPr="005A735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9784E" w:rsidRPr="005A735F">
        <w:rPr>
          <w:rFonts w:ascii="Arial Narrow" w:hAnsi="Arial Narrow" w:cs="Tahoma"/>
          <w:sz w:val="22"/>
          <w:szCs w:val="22"/>
          <w:lang w:val="sr-Cyrl-CS"/>
        </w:rPr>
        <w:t xml:space="preserve">енергије </w:t>
      </w:r>
      <w:r w:rsidR="0067267B" w:rsidRPr="005A735F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E24E54">
        <w:rPr>
          <w:rFonts w:ascii="Arial Narrow" w:hAnsi="Arial Narrow" w:cs="Tahoma"/>
          <w:sz w:val="22"/>
          <w:szCs w:val="22"/>
          <w:lang w:val="sr-Cyrl-CS"/>
        </w:rPr>
        <w:t>4</w:t>
      </w:r>
      <w:r w:rsidR="0067267B"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="00E24E54">
        <w:rPr>
          <w:rFonts w:ascii="Arial Narrow" w:hAnsi="Arial Narrow" w:cs="Tahoma"/>
          <w:sz w:val="22"/>
          <w:szCs w:val="22"/>
          <w:lang w:val="sr-Cyrl-CS"/>
        </w:rPr>
        <w:t>1</w:t>
      </w:r>
      <w:r w:rsidR="0067267B" w:rsidRPr="005A735F">
        <w:rPr>
          <w:rFonts w:ascii="Arial Narrow" w:hAnsi="Arial Narrow" w:cs="Tahoma"/>
          <w:sz w:val="22"/>
          <w:szCs w:val="22"/>
          <w:lang w:val="sr-Cyrl-CS"/>
        </w:rPr>
        <w:t>%</w:t>
      </w:r>
      <w:r w:rsidR="0019784E" w:rsidRPr="005A735F">
        <w:rPr>
          <w:rFonts w:ascii="Arial Narrow" w:hAnsi="Arial Narrow" w:cs="Tahoma"/>
          <w:sz w:val="22"/>
          <w:szCs w:val="22"/>
          <w:lang w:val="sr-Cyrl-CS"/>
        </w:rPr>
        <w:t>, док је производња</w:t>
      </w:r>
      <w:r w:rsidR="00A63067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24E54" w:rsidRPr="005A735F">
        <w:rPr>
          <w:rFonts w:ascii="Arial Narrow" w:hAnsi="Arial Narrow" w:cs="Tahoma"/>
          <w:sz w:val="22"/>
          <w:szCs w:val="22"/>
          <w:lang w:val="sr-Cyrl-CS"/>
        </w:rPr>
        <w:t xml:space="preserve">капиталних производа </w:t>
      </w:r>
      <w:r w:rsidR="00E24E54">
        <w:rPr>
          <w:rFonts w:ascii="Arial Narrow" w:hAnsi="Arial Narrow" w:cs="Tahoma"/>
          <w:sz w:val="22"/>
          <w:szCs w:val="22"/>
          <w:lang w:val="sr-Cyrl-CS"/>
        </w:rPr>
        <w:t>мања</w:t>
      </w:r>
      <w:r w:rsidR="0019784E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63067" w:rsidRPr="005A735F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E24E54">
        <w:rPr>
          <w:rFonts w:ascii="Arial Narrow" w:hAnsi="Arial Narrow" w:cs="Tahoma"/>
          <w:sz w:val="22"/>
          <w:szCs w:val="22"/>
          <w:lang w:val="sr-Cyrl-CS"/>
        </w:rPr>
        <w:t>9</w:t>
      </w:r>
      <w:r w:rsidR="00A63067"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="00E24E54">
        <w:rPr>
          <w:rFonts w:ascii="Arial Narrow" w:hAnsi="Arial Narrow" w:cs="Tahoma"/>
          <w:sz w:val="22"/>
          <w:szCs w:val="22"/>
          <w:lang w:val="sr-Cyrl-CS"/>
        </w:rPr>
        <w:t>2</w:t>
      </w:r>
      <w:r w:rsidR="00A63067" w:rsidRPr="005A735F">
        <w:rPr>
          <w:rFonts w:ascii="Arial Narrow" w:hAnsi="Arial Narrow" w:cs="Tahoma"/>
          <w:sz w:val="22"/>
          <w:szCs w:val="22"/>
          <w:lang w:val="sr-Cyrl-CS"/>
        </w:rPr>
        <w:t>%</w:t>
      </w:r>
      <w:r w:rsidR="00E24E54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7B2F2F" w:rsidRPr="005A735F" w:rsidRDefault="007B2F2F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0213F8" w:rsidRPr="005A735F" w:rsidRDefault="000213F8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5A735F">
        <w:rPr>
          <w:rFonts w:ascii="Arial Narrow" w:hAnsi="Arial Narrow" w:cs="Tahoma"/>
          <w:b/>
          <w:sz w:val="22"/>
          <w:szCs w:val="22"/>
          <w:lang w:val="ru-RU"/>
        </w:rPr>
        <w:t>Број запослених у индустрији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="002859AA" w:rsidRPr="005A735F">
        <w:rPr>
          <w:rFonts w:ascii="Arial Narrow" w:hAnsi="Arial Narrow" w:cs="Tahoma"/>
          <w:spacing w:val="-2"/>
          <w:sz w:val="22"/>
          <w:szCs w:val="22"/>
          <w:lang w:val="sr-Cyrl-CS"/>
        </w:rPr>
        <w:t>септембру</w:t>
      </w:r>
      <w:r w:rsidR="002859AA" w:rsidRPr="005A735F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ru-RU"/>
        </w:rPr>
        <w:t>201</w:t>
      </w:r>
      <w:r w:rsidR="00B85D9D" w:rsidRPr="005A735F">
        <w:rPr>
          <w:rFonts w:ascii="Arial Narrow" w:hAnsi="Arial Narrow" w:cs="Tahoma"/>
          <w:sz w:val="22"/>
          <w:szCs w:val="22"/>
          <w:lang w:val="ru-RU"/>
        </w:rPr>
        <w:t>5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. године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односу на </w:t>
      </w:r>
      <w:r w:rsidR="002859AA" w:rsidRPr="005A735F">
        <w:rPr>
          <w:rFonts w:ascii="Arial Narrow" w:hAnsi="Arial Narrow" w:cs="Tahoma"/>
          <w:sz w:val="22"/>
          <w:szCs w:val="22"/>
          <w:lang w:val="sr-Latn-CS"/>
        </w:rPr>
        <w:t>просјечан мјесечни број запослених у 201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4</w:t>
      </w:r>
      <w:r w:rsidR="002859AA" w:rsidRPr="005A735F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г</w:t>
      </w:r>
      <w:r w:rsidR="002859AA" w:rsidRPr="005A735F">
        <w:rPr>
          <w:rFonts w:ascii="Arial Narrow" w:hAnsi="Arial Narrow" w:cs="Tahoma"/>
          <w:sz w:val="22"/>
          <w:szCs w:val="22"/>
          <w:lang w:val="sr-Latn-CS"/>
        </w:rPr>
        <w:t xml:space="preserve">одини </w:t>
      </w:r>
      <w:r w:rsidR="00AC4206" w:rsidRPr="005A735F">
        <w:rPr>
          <w:rFonts w:ascii="Arial Narrow" w:hAnsi="Arial Narrow" w:cs="Tahoma"/>
          <w:sz w:val="22"/>
          <w:szCs w:val="22"/>
          <w:lang w:val="sr-Cyrl-CS"/>
        </w:rPr>
        <w:t>већи</w:t>
      </w:r>
      <w:r w:rsidRPr="005A735F">
        <w:rPr>
          <w:rFonts w:ascii="Arial Narrow" w:hAnsi="Arial Narrow" w:cs="Tahoma"/>
          <w:sz w:val="22"/>
          <w:szCs w:val="22"/>
          <w:lang w:val="sr-Latn-CS"/>
        </w:rPr>
        <w:t xml:space="preserve"> је за 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2</w:t>
      </w:r>
      <w:r w:rsidRPr="005A735F">
        <w:rPr>
          <w:rFonts w:ascii="Arial Narrow" w:hAnsi="Arial Narrow" w:cs="Tahoma"/>
          <w:sz w:val="22"/>
          <w:szCs w:val="22"/>
          <w:lang w:val="sr-Latn-CS"/>
        </w:rPr>
        <w:t>,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5</w:t>
      </w:r>
      <w:r w:rsidRPr="005A735F">
        <w:rPr>
          <w:rFonts w:ascii="Arial Narrow" w:hAnsi="Arial Narrow" w:cs="Tahoma"/>
          <w:sz w:val="22"/>
          <w:szCs w:val="22"/>
          <w:lang w:val="sr-Latn-CS"/>
        </w:rPr>
        <w:t>%</w:t>
      </w:r>
      <w:r w:rsidR="00AC4206"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Pr="005A735F">
        <w:rPr>
          <w:rFonts w:ascii="Arial Narrow" w:hAnsi="Arial Narrow" w:cs="Tahoma"/>
          <w:sz w:val="22"/>
          <w:szCs w:val="22"/>
          <w:lang w:val="sr-Latn-CS"/>
        </w:rPr>
        <w:t xml:space="preserve"> у односу на </w:t>
      </w:r>
      <w:r w:rsidR="002859AA" w:rsidRPr="005A735F">
        <w:rPr>
          <w:rFonts w:ascii="Arial Narrow" w:hAnsi="Arial Narrow" w:cs="Tahoma"/>
          <w:sz w:val="22"/>
          <w:szCs w:val="22"/>
          <w:lang w:val="sr-Latn-CS"/>
        </w:rPr>
        <w:t>исти мјесец прошле године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A0F96" w:rsidRPr="005A735F">
        <w:rPr>
          <w:rFonts w:ascii="Arial Narrow" w:hAnsi="Arial Narrow" w:cs="Tahoma"/>
          <w:sz w:val="22"/>
          <w:szCs w:val="22"/>
          <w:lang w:val="sr-Cyrl-BA"/>
        </w:rPr>
        <w:t>већи</w:t>
      </w:r>
      <w:r w:rsidR="00DC2009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1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6</w:t>
      </w:r>
      <w:r w:rsidR="00AC4206" w:rsidRPr="005A735F">
        <w:rPr>
          <w:rFonts w:ascii="Arial Narrow" w:hAnsi="Arial Narrow" w:cs="Tahoma"/>
          <w:sz w:val="22"/>
          <w:szCs w:val="22"/>
          <w:lang w:val="sr-Cyrl-CS"/>
        </w:rPr>
        <w:t>%</w:t>
      </w:r>
      <w:r w:rsidR="000F4C35" w:rsidRPr="005A735F">
        <w:rPr>
          <w:rFonts w:ascii="Arial Narrow" w:hAnsi="Arial Narrow" w:cs="Tahoma"/>
          <w:sz w:val="22"/>
          <w:szCs w:val="22"/>
          <w:lang w:val="sr-Cyrl-CS"/>
        </w:rPr>
        <w:t xml:space="preserve"> и у</w:t>
      </w:r>
      <w:r w:rsidRPr="005A735F">
        <w:rPr>
          <w:rFonts w:ascii="Arial Narrow" w:hAnsi="Arial Narrow" w:cs="Tahoma"/>
          <w:sz w:val="22"/>
          <w:szCs w:val="22"/>
          <w:lang w:val="sr-Latn-CS"/>
        </w:rPr>
        <w:t xml:space="preserve"> односу на 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август</w:t>
      </w:r>
      <w:r w:rsidR="00DC2009" w:rsidRPr="005A735F">
        <w:rPr>
          <w:rFonts w:ascii="Arial Narrow" w:hAnsi="Arial Narrow" w:cs="Tahoma"/>
          <w:sz w:val="22"/>
          <w:szCs w:val="22"/>
          <w:lang w:val="sr-Cyrl-CS"/>
        </w:rPr>
        <w:t xml:space="preserve"> 2015.</w:t>
      </w:r>
      <w:r w:rsidR="00DC2009" w:rsidRPr="005A735F">
        <w:rPr>
          <w:rFonts w:ascii="Arial Narrow" w:hAnsi="Arial Narrow" w:cs="Tahoma"/>
          <w:sz w:val="22"/>
          <w:szCs w:val="22"/>
          <w:lang w:val="ru-RU"/>
        </w:rPr>
        <w:t xml:space="preserve"> године</w:t>
      </w:r>
      <w:r w:rsidR="007D064A" w:rsidRPr="005A735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ru-RU"/>
        </w:rPr>
        <w:t>за</w:t>
      </w:r>
      <w:r w:rsidRPr="005A735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B85D9D" w:rsidRPr="005A735F">
        <w:rPr>
          <w:rFonts w:ascii="Arial Narrow" w:hAnsi="Arial Narrow" w:cs="Tahoma"/>
          <w:sz w:val="22"/>
          <w:szCs w:val="22"/>
          <w:lang w:val="sr-Cyrl-CS"/>
        </w:rPr>
        <w:t>0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="00337405" w:rsidRPr="005A735F">
        <w:rPr>
          <w:rFonts w:ascii="Arial Narrow" w:hAnsi="Arial Narrow" w:cs="Tahoma"/>
          <w:sz w:val="22"/>
          <w:szCs w:val="22"/>
          <w:lang w:val="sr-Cyrl-CS"/>
        </w:rPr>
        <w:t>4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%.</w:t>
      </w:r>
      <w:r w:rsidRPr="005A735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Број запослених у индустрији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периоду јануар - </w:t>
      </w:r>
      <w:r w:rsidR="002859AA" w:rsidRPr="005A735F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 201</w:t>
      </w:r>
      <w:r w:rsidR="00B85D9D" w:rsidRPr="005A735F">
        <w:rPr>
          <w:rFonts w:ascii="Arial Narrow" w:hAnsi="Arial Narrow" w:cs="Tahoma"/>
          <w:sz w:val="22"/>
          <w:szCs w:val="22"/>
          <w:lang w:val="sr-Cyrl-CS"/>
        </w:rPr>
        <w:t>5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. године, у односу на исти период прошле године,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2859AA" w:rsidRPr="005A735F">
        <w:rPr>
          <w:rFonts w:ascii="Arial Narrow" w:hAnsi="Arial Narrow" w:cs="Tahoma"/>
          <w:sz w:val="22"/>
          <w:szCs w:val="22"/>
          <w:lang w:val="ru-RU"/>
        </w:rPr>
        <w:t>5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у</w:t>
      </w:r>
      <w:r w:rsidRPr="005A735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85D9D" w:rsidRPr="005A735F">
        <w:rPr>
          <w:rFonts w:ascii="Arial Narrow" w:hAnsi="Arial Narrow" w:cs="Tahoma"/>
          <w:sz w:val="22"/>
          <w:szCs w:val="22"/>
          <w:lang w:val="ru-RU"/>
        </w:rPr>
        <w:t xml:space="preserve">подручју </w:t>
      </w:r>
      <w:r w:rsidR="00B85D9D" w:rsidRPr="005A735F">
        <w:rPr>
          <w:rFonts w:ascii="Arial Narrow" w:hAnsi="Arial Narrow" w:cs="Tahoma"/>
          <w:i/>
          <w:sz w:val="22"/>
          <w:szCs w:val="22"/>
          <w:lang w:val="ru-RU"/>
        </w:rPr>
        <w:t>Производња и снабдијевање електричном енергијом, гасом, паром и климатизацији</w:t>
      </w:r>
      <w:r w:rsidR="00B85D9D" w:rsidRPr="005A73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остварен је раст од 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3</w:t>
      </w:r>
      <w:r w:rsidRPr="005A735F">
        <w:rPr>
          <w:rFonts w:ascii="Arial Narrow" w:hAnsi="Arial Narrow" w:cs="Tahoma"/>
          <w:sz w:val="22"/>
          <w:szCs w:val="22"/>
          <w:lang w:val="ru-RU"/>
        </w:rPr>
        <w:t>,</w:t>
      </w:r>
      <w:r w:rsidR="002859AA" w:rsidRPr="005A735F">
        <w:rPr>
          <w:rFonts w:ascii="Arial Narrow" w:hAnsi="Arial Narrow" w:cs="Tahoma"/>
          <w:sz w:val="22"/>
          <w:szCs w:val="22"/>
          <w:lang w:val="ru-RU"/>
        </w:rPr>
        <w:t>8</w:t>
      </w:r>
      <w:r w:rsidRPr="005A735F">
        <w:rPr>
          <w:rFonts w:ascii="Arial Narrow" w:hAnsi="Arial Narrow" w:cs="Tahoma"/>
          <w:sz w:val="22"/>
          <w:szCs w:val="22"/>
          <w:lang w:val="ru-RU"/>
        </w:rPr>
        <w:t>%,</w:t>
      </w:r>
      <w:r w:rsidRPr="005A735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B85D9D" w:rsidRPr="005A735F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="00B85D9D" w:rsidRPr="005A735F">
        <w:rPr>
          <w:rFonts w:ascii="Arial Narrow" w:hAnsi="Arial Narrow" w:cs="Tahoma"/>
          <w:i/>
          <w:sz w:val="22"/>
          <w:szCs w:val="22"/>
          <w:lang w:val="sr-Cyrl-CS"/>
        </w:rPr>
        <w:t>Вађење руда и камена</w:t>
      </w:r>
      <w:r w:rsidR="00B85D9D" w:rsidRPr="005A735F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раст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872B6D" w:rsidRPr="005A735F">
        <w:rPr>
          <w:rFonts w:ascii="Arial Narrow" w:hAnsi="Arial Narrow" w:cs="Tahoma"/>
          <w:sz w:val="22"/>
          <w:szCs w:val="22"/>
          <w:lang w:val="sr-Cyrl-CS"/>
        </w:rPr>
        <w:t>2</w:t>
      </w:r>
      <w:r w:rsidRPr="005A735F">
        <w:rPr>
          <w:rFonts w:ascii="Arial Narrow" w:hAnsi="Arial Narrow" w:cs="Tahoma"/>
          <w:sz w:val="22"/>
          <w:szCs w:val="22"/>
          <w:lang w:val="sr-Cyrl-CS"/>
        </w:rPr>
        <w:t>,</w:t>
      </w:r>
      <w:r w:rsidR="002859AA" w:rsidRPr="005A735F">
        <w:rPr>
          <w:rFonts w:ascii="Arial Narrow" w:hAnsi="Arial Narrow" w:cs="Tahoma"/>
          <w:sz w:val="22"/>
          <w:szCs w:val="22"/>
          <w:lang w:val="sr-Cyrl-CS"/>
        </w:rPr>
        <w:t>3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% и у подручју </w:t>
      </w:r>
      <w:r w:rsidRPr="005A735F">
        <w:rPr>
          <w:rFonts w:ascii="Arial Narrow" w:hAnsi="Arial Narrow" w:cs="Tahoma"/>
          <w:i/>
          <w:sz w:val="22"/>
          <w:szCs w:val="22"/>
          <w:lang w:val="ru-RU"/>
        </w:rPr>
        <w:t>Прерађивачка индустрија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раст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од </w:t>
      </w:r>
      <w:r w:rsidR="002859AA" w:rsidRPr="005A735F">
        <w:rPr>
          <w:rFonts w:ascii="Arial Narrow" w:hAnsi="Arial Narrow" w:cs="Tahoma"/>
          <w:sz w:val="22"/>
          <w:szCs w:val="22"/>
          <w:lang w:val="ru-RU"/>
        </w:rPr>
        <w:t>1</w:t>
      </w:r>
      <w:r w:rsidRPr="005A735F">
        <w:rPr>
          <w:rFonts w:ascii="Arial Narrow" w:hAnsi="Arial Narrow" w:cs="Tahoma"/>
          <w:sz w:val="22"/>
          <w:szCs w:val="22"/>
          <w:lang w:val="ru-RU"/>
        </w:rPr>
        <w:t>,</w:t>
      </w:r>
      <w:r w:rsidR="002859AA" w:rsidRPr="005A735F">
        <w:rPr>
          <w:rFonts w:ascii="Arial Narrow" w:hAnsi="Arial Narrow" w:cs="Tahoma"/>
          <w:sz w:val="22"/>
          <w:szCs w:val="22"/>
          <w:lang w:val="ru-RU"/>
        </w:rPr>
        <w:t>0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%. </w:t>
      </w:r>
    </w:p>
    <w:p w:rsidR="000213F8" w:rsidRPr="005A735F" w:rsidRDefault="002859AA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5A735F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5A735F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5A735F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66022A" w:rsidRPr="005A735F">
        <w:rPr>
          <w:rFonts w:ascii="Arial Narrow" w:hAnsi="Arial Narrow" w:cs="Tahoma"/>
          <w:sz w:val="16"/>
          <w:szCs w:val="16"/>
          <w:lang w:val="sr-Latn-CS"/>
        </w:rPr>
        <w:t>2</w:t>
      </w:r>
      <w:r w:rsidRPr="005A735F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2859AA" w:rsidRPr="005A735F">
        <w:rPr>
          <w:rFonts w:ascii="Arial Narrow" w:hAnsi="Arial Narrow" w:cs="Tahoma"/>
          <w:sz w:val="16"/>
          <w:szCs w:val="16"/>
          <w:lang w:val="sr-Cyrl-CS"/>
        </w:rPr>
        <w:t>септембар</w:t>
      </w:r>
      <w:r w:rsidRPr="005A735F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5A735F">
        <w:rPr>
          <w:rFonts w:ascii="Arial Narrow" w:hAnsi="Arial Narrow" w:cs="Tahoma"/>
          <w:sz w:val="16"/>
          <w:szCs w:val="16"/>
        </w:rPr>
        <w:t>1</w:t>
      </w:r>
      <w:r w:rsidRPr="005A735F">
        <w:rPr>
          <w:rFonts w:ascii="Arial Narrow" w:hAnsi="Arial Narrow" w:cs="Tahoma"/>
          <w:sz w:val="16"/>
          <w:szCs w:val="16"/>
          <w:lang w:val="sr-Cyrl-CS"/>
        </w:rPr>
        <w:t>1</w:t>
      </w:r>
      <w:r w:rsidRPr="005A735F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859AA" w:rsidRPr="005A735F">
        <w:rPr>
          <w:rFonts w:ascii="Arial Narrow" w:hAnsi="Arial Narrow" w:cs="Tahoma"/>
          <w:sz w:val="16"/>
          <w:szCs w:val="16"/>
          <w:lang w:val="sr-Cyrl-CS"/>
        </w:rPr>
        <w:t>септембар</w:t>
      </w:r>
      <w:r w:rsidRPr="005A735F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5A735F">
        <w:rPr>
          <w:rFonts w:ascii="Arial Narrow" w:hAnsi="Arial Narrow" w:cs="Tahoma"/>
          <w:sz w:val="16"/>
          <w:szCs w:val="16"/>
          <w:lang w:val="sr-Cyrl-CS"/>
        </w:rPr>
        <w:t>5</w:t>
      </w:r>
      <w:r w:rsidRPr="005A735F">
        <w:rPr>
          <w:rFonts w:ascii="Arial Narrow" w:hAnsi="Arial Narrow" w:cs="Tahoma"/>
          <w:sz w:val="16"/>
          <w:szCs w:val="16"/>
          <w:lang w:val="sr-Latn-CS"/>
        </w:rPr>
        <w:t>. (</w:t>
      </w:r>
      <w:r w:rsidRPr="005A735F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A735F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5A735F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5A735F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5A735F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5A735F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5A735F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5A735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5A735F">
        <w:rPr>
          <w:rFonts w:ascii="Arial Narrow" w:hAnsi="Arial Narrow" w:cs="Tahoma"/>
          <w:b/>
          <w:sz w:val="30"/>
          <w:szCs w:val="30"/>
        </w:rPr>
        <w:t>I</w:t>
      </w:r>
      <w:r w:rsidR="008F10AE" w:rsidRPr="005A735F">
        <w:rPr>
          <w:rFonts w:ascii="Arial Narrow" w:hAnsi="Arial Narrow" w:cs="Tahoma"/>
          <w:b/>
          <w:sz w:val="30"/>
          <w:szCs w:val="30"/>
        </w:rPr>
        <w:t>X</w:t>
      </w:r>
      <w:r w:rsidRPr="005A735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5A735F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5A735F">
        <w:rPr>
          <w:rFonts w:ascii="Arial Narrow" w:hAnsi="Arial Narrow" w:cs="Tahoma"/>
          <w:b/>
          <w:sz w:val="30"/>
          <w:szCs w:val="30"/>
        </w:rPr>
        <w:t>5.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5A735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8F10AE" w:rsidRPr="005A735F">
        <w:rPr>
          <w:rFonts w:ascii="Arial Narrow" w:hAnsi="Arial Narrow" w:cs="Tahoma"/>
          <w:b/>
          <w:sz w:val="30"/>
          <w:szCs w:val="30"/>
          <w:lang w:val="hr-HR"/>
        </w:rPr>
        <w:t>58,9</w:t>
      </w:r>
      <w:r w:rsidRPr="005A735F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5A735F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F442FA" w:rsidRPr="005A735F" w:rsidRDefault="00F442FA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5A735F">
        <w:rPr>
          <w:rFonts w:ascii="Arial Narrow" w:hAnsi="Arial Narrow" w:cs="Tahoma"/>
          <w:sz w:val="22"/>
          <w:lang w:val="sr-Cyrl-BA"/>
        </w:rPr>
        <w:t xml:space="preserve">У </w:t>
      </w:r>
      <w:r w:rsidR="008F10AE" w:rsidRPr="005A735F">
        <w:rPr>
          <w:rFonts w:ascii="Arial Narrow" w:hAnsi="Arial Narrow" w:cs="Tahoma"/>
          <w:sz w:val="22"/>
          <w:lang w:val="sr-Cyrl-BA"/>
        </w:rPr>
        <w:t>септембру</w:t>
      </w:r>
      <w:r w:rsidRPr="005A735F">
        <w:rPr>
          <w:rFonts w:ascii="Arial Narrow" w:hAnsi="Arial Narrow" w:cs="Tahoma"/>
          <w:sz w:val="22"/>
          <w:lang w:val="sr-Cyrl-BA"/>
        </w:rPr>
        <w:t xml:space="preserve"> 201</w:t>
      </w:r>
      <w:r w:rsidRPr="005A735F">
        <w:rPr>
          <w:rFonts w:ascii="Arial Narrow" w:hAnsi="Arial Narrow" w:cs="Tahoma"/>
          <w:sz w:val="22"/>
          <w:lang w:val="sr-Latn-CS"/>
        </w:rPr>
        <w:t>5</w:t>
      </w:r>
      <w:r w:rsidRPr="005A735F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8F10AE" w:rsidRPr="005A735F">
        <w:rPr>
          <w:rFonts w:ascii="Arial Narrow" w:hAnsi="Arial Narrow" w:cs="Tahoma"/>
          <w:sz w:val="22"/>
          <w:lang w:val="sr-Cyrl-BA"/>
        </w:rPr>
        <w:t>237</w:t>
      </w:r>
      <w:r w:rsidRPr="005A735F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8F10AE" w:rsidRPr="005A735F">
        <w:rPr>
          <w:rFonts w:ascii="Arial Narrow" w:hAnsi="Arial Narrow" w:cs="Tahoma"/>
          <w:sz w:val="22"/>
          <w:lang w:val="sr-Cyrl-BA"/>
        </w:rPr>
        <w:t>389</w:t>
      </w:r>
      <w:r w:rsidRPr="005A735F">
        <w:rPr>
          <w:rFonts w:ascii="Arial Narrow" w:hAnsi="Arial Narrow" w:cs="Tahoma"/>
          <w:sz w:val="22"/>
          <w:lang w:val="sr-Cyrl-BA"/>
        </w:rPr>
        <w:t xml:space="preserve"> милион</w:t>
      </w:r>
      <w:r w:rsidR="008F10AE" w:rsidRPr="005A735F">
        <w:rPr>
          <w:rFonts w:ascii="Arial Narrow" w:hAnsi="Arial Narrow" w:cs="Tahoma"/>
          <w:sz w:val="22"/>
          <w:lang w:val="sr-Cyrl-BA"/>
        </w:rPr>
        <w:t>а</w:t>
      </w:r>
      <w:r w:rsidRPr="005A735F">
        <w:rPr>
          <w:rFonts w:ascii="Arial Narrow" w:hAnsi="Arial Narrow" w:cs="Tahoma"/>
          <w:sz w:val="22"/>
          <w:lang w:val="sr-Cyrl-BA"/>
        </w:rPr>
        <w:t xml:space="preserve"> КМ.</w:t>
      </w:r>
    </w:p>
    <w:p w:rsidR="00F442FA" w:rsidRPr="005A735F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F442FA" w:rsidRPr="005A735F" w:rsidRDefault="00F442FA" w:rsidP="00F442FA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5A735F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5A735F">
        <w:rPr>
          <w:rFonts w:ascii="Arial Narrow" w:hAnsi="Arial Narrow" w:cs="Tahoma"/>
          <w:sz w:val="22"/>
          <w:lang w:val="bs-Cyrl-BA"/>
        </w:rPr>
        <w:t>е</w:t>
      </w:r>
      <w:r w:rsidRPr="005A735F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5A735F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5A735F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8F10AE" w:rsidRPr="005A735F">
        <w:rPr>
          <w:rFonts w:ascii="Arial Narrow" w:hAnsi="Arial Narrow" w:cs="Tahoma"/>
          <w:sz w:val="22"/>
          <w:lang w:val="sr-Cyrl-BA"/>
        </w:rPr>
        <w:t>септембру</w:t>
      </w:r>
      <w:r w:rsidRPr="005A735F">
        <w:rPr>
          <w:rFonts w:ascii="Arial Narrow" w:hAnsi="Arial Narrow" w:cs="Tahoma"/>
          <w:sz w:val="22"/>
          <w:lang w:val="sr-Cyrl-BA"/>
        </w:rPr>
        <w:t xml:space="preserve"> ове године, проценат покривености увоза извозом износио је 6</w:t>
      </w:r>
      <w:r w:rsidR="008F10AE" w:rsidRPr="005A735F">
        <w:rPr>
          <w:rFonts w:ascii="Arial Narrow" w:hAnsi="Arial Narrow" w:cs="Tahoma"/>
          <w:sz w:val="22"/>
          <w:lang w:val="sr-Cyrl-BA"/>
        </w:rPr>
        <w:t>1</w:t>
      </w:r>
      <w:r w:rsidRPr="005A735F">
        <w:rPr>
          <w:rFonts w:ascii="Arial Narrow" w:hAnsi="Arial Narrow" w:cs="Tahoma"/>
          <w:sz w:val="22"/>
          <w:lang w:val="sr-Cyrl-BA"/>
        </w:rPr>
        <w:t>,</w:t>
      </w:r>
      <w:r w:rsidR="008F10AE" w:rsidRPr="005A735F">
        <w:rPr>
          <w:rFonts w:ascii="Arial Narrow" w:hAnsi="Arial Narrow" w:cs="Tahoma"/>
          <w:sz w:val="22"/>
          <w:lang w:val="sr-Cyrl-BA"/>
        </w:rPr>
        <w:t>1</w:t>
      </w:r>
      <w:r w:rsidRPr="005A735F">
        <w:rPr>
          <w:rFonts w:ascii="Arial Narrow" w:hAnsi="Arial Narrow" w:cs="Tahoma"/>
          <w:sz w:val="22"/>
          <w:lang w:val="sr-Cyrl-BA"/>
        </w:rPr>
        <w:t xml:space="preserve">%.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првих </w:t>
      </w:r>
      <w:r w:rsidR="008F10AE" w:rsidRPr="005A735F">
        <w:rPr>
          <w:rFonts w:ascii="Arial Narrow" w:hAnsi="Arial Narrow" w:cs="Tahoma"/>
          <w:sz w:val="22"/>
          <w:szCs w:val="22"/>
          <w:lang w:val="ru-RU"/>
        </w:rPr>
        <w:t>осам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 мјесе</w:t>
      </w:r>
      <w:r w:rsidR="008F10AE" w:rsidRPr="005A735F">
        <w:rPr>
          <w:rFonts w:ascii="Arial Narrow" w:hAnsi="Arial Narrow" w:cs="Tahoma"/>
          <w:sz w:val="22"/>
          <w:szCs w:val="22"/>
          <w:lang w:val="ru-RU"/>
        </w:rPr>
        <w:t>ци текуће године износио је 58,9</w:t>
      </w:r>
      <w:r w:rsidRPr="005A735F">
        <w:rPr>
          <w:rFonts w:ascii="Arial Narrow" w:hAnsi="Arial Narrow" w:cs="Tahoma"/>
          <w:sz w:val="22"/>
          <w:szCs w:val="22"/>
          <w:lang w:val="ru-RU"/>
        </w:rPr>
        <w:t>%.</w:t>
      </w:r>
    </w:p>
    <w:p w:rsidR="00F442FA" w:rsidRPr="005A735F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F442FA" w:rsidRPr="005A735F" w:rsidRDefault="00F442FA" w:rsidP="00F442FA">
      <w:pPr>
        <w:jc w:val="both"/>
        <w:rPr>
          <w:rFonts w:ascii="Tahoma" w:hAnsi="Tahoma" w:cs="Tahoma"/>
          <w:lang w:val="ru-RU"/>
        </w:rPr>
      </w:pPr>
      <w:r w:rsidRPr="005A735F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8F10AE" w:rsidRPr="005A735F">
        <w:rPr>
          <w:rFonts w:ascii="Arial Narrow" w:hAnsi="Arial Narrow" w:cs="Tahoma"/>
          <w:sz w:val="22"/>
          <w:lang w:val="ru-RU"/>
        </w:rPr>
        <w:t>септембар</w:t>
      </w:r>
      <w:r w:rsidRPr="005A735F">
        <w:rPr>
          <w:rFonts w:ascii="Arial Narrow" w:hAnsi="Arial Narrow" w:cs="Tahoma"/>
          <w:sz w:val="22"/>
          <w:lang w:val="ru-RU"/>
        </w:rPr>
        <w:t xml:space="preserve"> 2015. остварен је извоз у вриједности од милијарду и </w:t>
      </w:r>
      <w:r w:rsidR="008F10AE" w:rsidRPr="005A735F">
        <w:rPr>
          <w:rFonts w:ascii="Arial Narrow" w:hAnsi="Arial Narrow" w:cs="Tahoma"/>
          <w:sz w:val="22"/>
          <w:lang w:val="ru-RU"/>
        </w:rPr>
        <w:t>919</w:t>
      </w:r>
      <w:r w:rsidRPr="005A735F">
        <w:rPr>
          <w:rFonts w:ascii="Arial Narrow" w:hAnsi="Arial Narrow" w:cs="Tahoma"/>
          <w:sz w:val="22"/>
          <w:lang w:val="ru-RU"/>
        </w:rPr>
        <w:t xml:space="preserve"> милион</w:t>
      </w:r>
      <w:r w:rsidR="008F10AE" w:rsidRPr="005A735F">
        <w:rPr>
          <w:rFonts w:ascii="Arial Narrow" w:hAnsi="Arial Narrow" w:cs="Tahoma"/>
          <w:sz w:val="22"/>
          <w:lang w:val="ru-RU"/>
        </w:rPr>
        <w:t>а КМ, што је за 4,1</w:t>
      </w:r>
      <w:r w:rsidRPr="005A735F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="008F10AE" w:rsidRPr="005A735F">
        <w:rPr>
          <w:rFonts w:ascii="Arial Narrow" w:hAnsi="Arial Narrow" w:cs="Tahoma"/>
          <w:sz w:val="22"/>
          <w:lang w:val="ru-RU"/>
        </w:rPr>
        <w:t>3</w:t>
      </w:r>
      <w:r w:rsidRPr="005A735F">
        <w:rPr>
          <w:rFonts w:ascii="Arial Narrow" w:hAnsi="Arial Narrow" w:cs="Tahoma"/>
          <w:sz w:val="22"/>
          <w:lang w:val="ru-RU"/>
        </w:rPr>
        <w:t xml:space="preserve"> милијарде </w:t>
      </w:r>
      <w:r w:rsidR="008F10AE" w:rsidRPr="005A735F">
        <w:rPr>
          <w:rFonts w:ascii="Arial Narrow" w:hAnsi="Arial Narrow" w:cs="Tahoma"/>
          <w:sz w:val="22"/>
          <w:lang w:val="ru-RU"/>
        </w:rPr>
        <w:t>259</w:t>
      </w:r>
      <w:r w:rsidRPr="005A735F">
        <w:rPr>
          <w:rFonts w:ascii="Arial Narrow" w:hAnsi="Arial Narrow" w:cs="Tahoma"/>
          <w:sz w:val="22"/>
          <w:lang w:val="ru-RU"/>
        </w:rPr>
        <w:t xml:space="preserve"> милиона КМ, што је за</w:t>
      </w:r>
      <w:r w:rsidRPr="005A735F">
        <w:rPr>
          <w:rFonts w:ascii="Arial Narrow" w:hAnsi="Arial Narrow" w:cs="Tahoma"/>
          <w:sz w:val="22"/>
        </w:rPr>
        <w:t xml:space="preserve"> </w:t>
      </w:r>
      <w:r w:rsidR="008F10AE" w:rsidRPr="005A735F">
        <w:rPr>
          <w:rFonts w:ascii="Arial Narrow" w:hAnsi="Arial Narrow" w:cs="Tahoma"/>
          <w:sz w:val="22"/>
          <w:lang w:val="sr-Cyrl-BA"/>
        </w:rPr>
        <w:t>8</w:t>
      </w:r>
      <w:r w:rsidRPr="005A735F">
        <w:rPr>
          <w:rFonts w:ascii="Arial Narrow" w:hAnsi="Arial Narrow" w:cs="Tahoma"/>
          <w:sz w:val="22"/>
          <w:lang w:val="sr-Latn-CS"/>
        </w:rPr>
        <w:t>,</w:t>
      </w:r>
      <w:r w:rsidR="008F10AE" w:rsidRPr="005A735F">
        <w:rPr>
          <w:rFonts w:ascii="Arial Narrow" w:hAnsi="Arial Narrow" w:cs="Tahoma"/>
          <w:sz w:val="22"/>
          <w:lang w:val="sr-Cyrl-BA"/>
        </w:rPr>
        <w:t>7</w:t>
      </w:r>
      <w:r w:rsidRPr="005A735F">
        <w:rPr>
          <w:rFonts w:ascii="Arial Narrow" w:hAnsi="Arial Narrow" w:cs="Tahoma"/>
          <w:sz w:val="22"/>
          <w:lang w:val="ru-RU"/>
        </w:rPr>
        <w:t xml:space="preserve">% </w:t>
      </w:r>
      <w:r w:rsidRPr="005A735F">
        <w:rPr>
          <w:rFonts w:ascii="Arial Narrow" w:hAnsi="Arial Narrow" w:cs="Tahoma"/>
          <w:sz w:val="22"/>
          <w:lang w:val="sr-Latn-CS"/>
        </w:rPr>
        <w:t>мање</w:t>
      </w:r>
      <w:r w:rsidRPr="005A735F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F442FA" w:rsidRPr="005A735F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5A735F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A735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A735F">
        <w:rPr>
          <w:rFonts w:ascii="Arial Narrow" w:hAnsi="Arial Narrow" w:cs="Tahoma"/>
          <w:sz w:val="22"/>
        </w:rPr>
        <w:t>e</w:t>
      </w:r>
      <w:r w:rsidRPr="005A735F">
        <w:rPr>
          <w:rFonts w:ascii="Arial Narrow" w:hAnsi="Arial Narrow" w:cs="Tahoma"/>
          <w:sz w:val="22"/>
          <w:lang w:val="ru-RU"/>
        </w:rPr>
        <w:t xml:space="preserve"> Српск</w:t>
      </w:r>
      <w:r w:rsidRPr="005A735F">
        <w:rPr>
          <w:rFonts w:ascii="Arial Narrow" w:hAnsi="Arial Narrow" w:cs="Tahoma"/>
          <w:sz w:val="22"/>
        </w:rPr>
        <w:t>e</w:t>
      </w:r>
      <w:r w:rsidRPr="005A735F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8F10AE" w:rsidRPr="005A735F">
        <w:rPr>
          <w:rFonts w:ascii="Arial Narrow" w:hAnsi="Arial Narrow" w:cs="Tahoma"/>
          <w:sz w:val="22"/>
          <w:lang w:val="ru-RU"/>
        </w:rPr>
        <w:t>септембар</w:t>
      </w:r>
      <w:r w:rsidRPr="005A735F">
        <w:rPr>
          <w:rFonts w:ascii="Arial Narrow" w:hAnsi="Arial Narrow" w:cs="Tahoma"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 xml:space="preserve">2015. године, највише се извозило у Италију и то у вриједности од </w:t>
      </w:r>
      <w:r w:rsidR="008F10AE" w:rsidRPr="005A735F">
        <w:rPr>
          <w:rFonts w:ascii="Arial Narrow" w:hAnsi="Arial Narrow" w:cs="Tahoma"/>
          <w:sz w:val="22"/>
          <w:lang w:val="sr-Cyrl-BA"/>
        </w:rPr>
        <w:t>356</w:t>
      </w:r>
      <w:r w:rsidR="007D2CAE" w:rsidRPr="005A735F">
        <w:rPr>
          <w:rFonts w:ascii="Arial Narrow" w:hAnsi="Arial Narrow" w:cs="Tahoma"/>
          <w:sz w:val="22"/>
          <w:lang w:val="sr-Latn-BA"/>
        </w:rPr>
        <w:t xml:space="preserve"> </w:t>
      </w:r>
      <w:r w:rsidRPr="005A735F">
        <w:rPr>
          <w:rFonts w:ascii="Arial Narrow" w:hAnsi="Arial Narrow" w:cs="Tahoma"/>
          <w:sz w:val="22"/>
          <w:lang w:val="sr-Cyrl-CS"/>
        </w:rPr>
        <w:t>милиона КМ, односно 18,</w:t>
      </w:r>
      <w:r w:rsidR="008F10AE" w:rsidRPr="005A735F">
        <w:rPr>
          <w:rFonts w:ascii="Arial Narrow" w:hAnsi="Arial Narrow" w:cs="Tahoma"/>
          <w:sz w:val="22"/>
          <w:lang w:val="sr-Cyrl-CS"/>
        </w:rPr>
        <w:t>6</w:t>
      </w:r>
      <w:r w:rsidRPr="005A735F">
        <w:rPr>
          <w:rFonts w:ascii="Arial Narrow" w:hAnsi="Arial Narrow" w:cs="Tahoma"/>
          <w:sz w:val="22"/>
          <w:lang w:val="sr-Cyrl-CS"/>
        </w:rPr>
        <w:t>%</w:t>
      </w:r>
      <w:r w:rsidRPr="005A735F">
        <w:rPr>
          <w:rFonts w:ascii="Arial Narrow" w:hAnsi="Arial Narrow" w:cs="Tahoma"/>
          <w:sz w:val="22"/>
          <w:lang w:val="ru-RU"/>
        </w:rPr>
        <w:t xml:space="preserve">, </w:t>
      </w:r>
      <w:r w:rsidRPr="005A735F">
        <w:rPr>
          <w:rFonts w:ascii="Arial Narrow" w:hAnsi="Arial Narrow" w:cs="Tahoma"/>
          <w:sz w:val="22"/>
          <w:lang w:val="sr-Cyrl-CS"/>
        </w:rPr>
        <w:t xml:space="preserve">те у Србију </w:t>
      </w:r>
      <w:r w:rsidRPr="005A735F">
        <w:rPr>
          <w:rFonts w:ascii="Arial Narrow" w:hAnsi="Arial Narrow" w:cs="Tahoma"/>
          <w:sz w:val="22"/>
          <w:lang w:val="sr-Cyrl-BA"/>
        </w:rPr>
        <w:t>2</w:t>
      </w:r>
      <w:r w:rsidR="008F10AE" w:rsidRPr="005A735F">
        <w:rPr>
          <w:rFonts w:ascii="Arial Narrow" w:hAnsi="Arial Narrow" w:cs="Tahoma"/>
          <w:sz w:val="22"/>
          <w:lang w:val="sr-Cyrl-BA"/>
        </w:rPr>
        <w:t>55</w:t>
      </w:r>
      <w:r w:rsidRPr="005A735F">
        <w:rPr>
          <w:rFonts w:ascii="Arial Narrow" w:hAnsi="Arial Narrow" w:cs="Tahoma"/>
          <w:sz w:val="22"/>
          <w:lang w:val="sr-Cyrl-CS"/>
        </w:rPr>
        <w:t xml:space="preserve"> милиона КМ, односно 13,3% од укупног оствареног извоза. У истом периоду, </w:t>
      </w:r>
      <w:r w:rsidRPr="005A735F">
        <w:rPr>
          <w:rFonts w:ascii="Arial Narrow" w:hAnsi="Arial Narrow" w:cs="Tahoma"/>
          <w:sz w:val="22"/>
          <w:lang w:val="sr-Cyrl-BA"/>
        </w:rPr>
        <w:t>н</w:t>
      </w:r>
      <w:r w:rsidRPr="005A735F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8F10AE" w:rsidRPr="005A735F">
        <w:rPr>
          <w:rFonts w:ascii="Arial Narrow" w:hAnsi="Arial Narrow" w:cs="Tahoma"/>
          <w:sz w:val="22"/>
          <w:lang w:val="sr-Cyrl-BA"/>
        </w:rPr>
        <w:t>565</w:t>
      </w:r>
      <w:r w:rsidRPr="005A735F">
        <w:rPr>
          <w:rFonts w:ascii="Arial Narrow" w:hAnsi="Arial Narrow" w:cs="Tahoma"/>
          <w:sz w:val="22"/>
          <w:lang w:val="sr-Cyrl-CS"/>
        </w:rPr>
        <w:t xml:space="preserve"> милиона КМ, односно 17,3% и из Русије, у вриједности од </w:t>
      </w:r>
      <w:r w:rsidR="008F10AE" w:rsidRPr="005A735F">
        <w:rPr>
          <w:rFonts w:ascii="Arial Narrow" w:hAnsi="Arial Narrow" w:cs="Tahoma"/>
          <w:sz w:val="22"/>
          <w:lang w:val="sr-Cyrl-BA"/>
        </w:rPr>
        <w:t>529</w:t>
      </w:r>
      <w:r w:rsidR="008F10AE" w:rsidRPr="005A735F">
        <w:rPr>
          <w:rFonts w:ascii="Arial Narrow" w:hAnsi="Arial Narrow" w:cs="Tahoma"/>
          <w:sz w:val="22"/>
          <w:lang w:val="sr-Cyrl-CS"/>
        </w:rPr>
        <w:t xml:space="preserve"> милиона КМ, односно 16,2</w:t>
      </w:r>
      <w:r w:rsidRPr="005A735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5A735F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5A735F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A735F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5A735F">
        <w:rPr>
          <w:rFonts w:ascii="Arial Narrow" w:hAnsi="Arial Narrow" w:cs="Tahoma"/>
          <w:sz w:val="22"/>
          <w:szCs w:val="22"/>
          <w:lang w:val="ru-RU"/>
        </w:rPr>
        <w:t xml:space="preserve">јануар - </w:t>
      </w:r>
      <w:r w:rsidR="008F10AE" w:rsidRPr="005A735F">
        <w:rPr>
          <w:rFonts w:ascii="Arial Narrow" w:hAnsi="Arial Narrow" w:cs="Tahoma"/>
          <w:sz w:val="22"/>
          <w:lang w:val="ru-RU"/>
        </w:rPr>
        <w:t>септембар</w:t>
      </w:r>
      <w:r w:rsidRPr="005A735F">
        <w:rPr>
          <w:rFonts w:ascii="Arial Narrow" w:hAnsi="Arial Narrow" w:cs="Tahoma"/>
          <w:sz w:val="22"/>
          <w:lang w:val="ru-RU"/>
        </w:rPr>
        <w:t xml:space="preserve"> 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2015. године, највеће учешће у извозу остварују обрађено дрво са укупном вриједношћу од </w:t>
      </w:r>
      <w:r w:rsidR="008F10AE" w:rsidRPr="005A735F">
        <w:rPr>
          <w:rFonts w:ascii="Arial Narrow" w:hAnsi="Arial Narrow" w:cs="Tahoma"/>
          <w:sz w:val="22"/>
          <w:szCs w:val="22"/>
          <w:lang w:val="sr-Cyrl-CS"/>
        </w:rPr>
        <w:t>122 милиона КМ, што износи 6,3</w:t>
      </w:r>
      <w:r w:rsidRPr="005A735F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5A735F">
        <w:rPr>
          <w:rFonts w:ascii="Arial Narrow" w:hAnsi="Arial Narrow" w:cs="Tahoma"/>
          <w:sz w:val="22"/>
          <w:szCs w:val="22"/>
          <w:lang w:val="sr-Cyrl-BA"/>
        </w:rPr>
        <w:t>н</w:t>
      </w:r>
      <w:r w:rsidRPr="005A735F">
        <w:rPr>
          <w:rFonts w:ascii="Arial Narrow" w:hAnsi="Arial Narrow" w:cs="Tahoma"/>
          <w:sz w:val="22"/>
          <w:szCs w:val="22"/>
          <w:lang w:val="ru-RU"/>
        </w:rPr>
        <w:t>афт</w:t>
      </w:r>
      <w:r w:rsidRPr="005A735F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5A735F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5A735F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5A735F">
        <w:rPr>
          <w:rFonts w:ascii="Arial Narrow" w:hAnsi="Arial Narrow" w:cs="Tahoma"/>
          <w:sz w:val="22"/>
          <w:szCs w:val="22"/>
          <w:lang w:val="ru-RU"/>
        </w:rPr>
        <w:t>сиров</w:t>
      </w:r>
      <w:r w:rsidRPr="005A735F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8F10AE" w:rsidRPr="005A735F">
        <w:rPr>
          <w:rFonts w:ascii="Arial Narrow" w:hAnsi="Arial Narrow" w:cs="Tahoma"/>
          <w:sz w:val="22"/>
          <w:szCs w:val="22"/>
          <w:lang w:val="sr-Cyrl-BA"/>
        </w:rPr>
        <w:t>492 милиона КМ, што износи 15,1</w:t>
      </w:r>
      <w:r w:rsidRPr="005A735F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A735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5A735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5A735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5A735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5A735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5A735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5A73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5A735F" w:rsidRDefault="001A17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8.3pt;margin-top:8.95pt;width:64.2pt;height:19.75pt;z-index:251664384;mso-width-relative:margin;mso-height-relative:margin" stroked="f">
            <v:textbox style="mso-next-textbox:#_x0000_s1068">
              <w:txbxContent>
                <w:p w:rsidR="00E34C15" w:rsidRPr="000A1309" w:rsidRDefault="00E34C1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252DE1" w:rsidRPr="005A735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5A735F" w:rsidRDefault="008F10A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5A735F">
        <w:rPr>
          <w:noProof/>
        </w:rPr>
        <w:drawing>
          <wp:inline distT="0" distB="0" distL="0" distR="0">
            <wp:extent cx="4404360" cy="2438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A1711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0pt;margin-top:192.4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E34C15" w:rsidRPr="000A1309" w:rsidRDefault="00E34C15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="001A1711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93.9pt;margin-top:192.4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E34C15" w:rsidRPr="000A1309" w:rsidRDefault="00E34C1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4E6814" w:rsidRPr="005A735F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4E6814" w:rsidRPr="005A735F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5A735F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A735F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6022A" w:rsidRPr="005A735F">
        <w:rPr>
          <w:rFonts w:ascii="Arial Narrow" w:hAnsi="Arial Narrow" w:cs="Tahoma"/>
          <w:sz w:val="16"/>
          <w:szCs w:val="22"/>
          <w:lang w:val="sr-Latn-BA"/>
        </w:rPr>
        <w:t>3</w:t>
      </w:r>
      <w:r w:rsidRPr="005A735F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A735F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A735F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A735F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A735F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15CDB" w:rsidRPr="005A735F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5A735F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A735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A735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A735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A735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A735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A735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377E3D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377E3D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377E3D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86C13" w:rsidRPr="00377E3D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377E3D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377E3D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377E3D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377E3D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377E3D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377E3D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377E3D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377E3D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377E3D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377E3D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377E3D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377E3D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763D11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252DE1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252DE1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0D1CED" w:rsidRPr="00252DE1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52DE1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252DE1" w:rsidRDefault="001A1711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252DE1" w:rsidRDefault="001A1711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252DE1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252DE1" w:rsidRDefault="001A1711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252DE1" w:rsidRDefault="001A1711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CA19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Pr="00CA19B5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Pr="0066022A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586BCB" w:rsidRP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A19B5" w:rsidRDefault="001A171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1A1711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A19B5" w:rsidRDefault="009E2A9A" w:rsidP="009E2A9A">
      <w:pPr>
        <w:rPr>
          <w:rFonts w:ascii="Tahoma" w:hAnsi="Tahoma" w:cs="Tahoma"/>
          <w:lang w:val="sr-Latn-CS"/>
        </w:rPr>
      </w:pP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15" w:rsidRDefault="00E34C15">
      <w:r>
        <w:separator/>
      </w:r>
    </w:p>
  </w:endnote>
  <w:endnote w:type="continuationSeparator" w:id="0">
    <w:p w:rsidR="00E34C15" w:rsidRDefault="00E3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15" w:rsidRDefault="001A1711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E34C15" w:rsidRPr="00175687" w:rsidRDefault="00E34C15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A1711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15" w:rsidRDefault="001A1711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E34C15" w:rsidRPr="00175687" w:rsidRDefault="00E34C15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A1711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15" w:rsidRDefault="00E34C15">
      <w:r>
        <w:separator/>
      </w:r>
    </w:p>
  </w:footnote>
  <w:footnote w:type="continuationSeparator" w:id="0">
    <w:p w:rsidR="00E34C15" w:rsidRDefault="00E3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E34C1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E34C15" w:rsidRPr="00DB5870" w:rsidRDefault="00E34C1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E34C15" w:rsidRPr="00DB5870" w:rsidRDefault="00E34C1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E34C15" w:rsidRPr="005D5311" w:rsidRDefault="00E34C15" w:rsidP="00377E3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2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октобар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10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E34C15" w:rsidRDefault="001A171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711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35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A52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37E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58C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2A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9C6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D794D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4E54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0A9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A3D1492-3A1F-4CA9-9EF3-771540BD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831</c:v>
                </c:pt>
                <c:pt idx="1">
                  <c:v>826</c:v>
                </c:pt>
                <c:pt idx="2">
                  <c:v>827</c:v>
                </c:pt>
                <c:pt idx="3">
                  <c:v>836</c:v>
                </c:pt>
                <c:pt idx="4">
                  <c:v>812</c:v>
                </c:pt>
                <c:pt idx="5">
                  <c:v>834</c:v>
                </c:pt>
                <c:pt idx="6">
                  <c:v>831</c:v>
                </c:pt>
                <c:pt idx="7">
                  <c:v>835</c:v>
                </c:pt>
                <c:pt idx="8">
                  <c:v>832</c:v>
                </c:pt>
                <c:pt idx="9">
                  <c:v>843</c:v>
                </c:pt>
                <c:pt idx="10">
                  <c:v>834</c:v>
                </c:pt>
                <c:pt idx="11">
                  <c:v>834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231752"/>
        <c:axId val="141232136"/>
      </c:lineChart>
      <c:catAx>
        <c:axId val="14123175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1232136"/>
        <c:crosses val="autoZero"/>
        <c:auto val="1"/>
        <c:lblAlgn val="ctr"/>
        <c:lblOffset val="100"/>
        <c:noMultiLvlLbl val="0"/>
      </c:catAx>
      <c:valAx>
        <c:axId val="14123213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123175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16">
                    <c:v>2013</c:v>
                  </c:pt>
                  <c:pt idx="28">
                    <c:v>2014</c:v>
                  </c:pt>
                  <c:pt idx="40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0.0</c:formatCode>
                <c:ptCount val="48"/>
                <c:pt idx="0">
                  <c:v>104.52365557387601</c:v>
                </c:pt>
                <c:pt idx="1">
                  <c:v>103.46275759700453</c:v>
                </c:pt>
                <c:pt idx="2">
                  <c:v>100.27717265817881</c:v>
                </c:pt>
                <c:pt idx="3">
                  <c:v>102.5482007642406</c:v>
                </c:pt>
                <c:pt idx="4">
                  <c:v>97.477204525090897</c:v>
                </c:pt>
                <c:pt idx="5">
                  <c:v>101.27141241986421</c:v>
                </c:pt>
                <c:pt idx="6">
                  <c:v>101.60886919788342</c:v>
                </c:pt>
                <c:pt idx="7">
                  <c:v>99.415859813417413</c:v>
                </c:pt>
                <c:pt idx="8">
                  <c:v>99.71395802946671</c:v>
                </c:pt>
                <c:pt idx="9">
                  <c:v>93.510643785965627</c:v>
                </c:pt>
                <c:pt idx="10">
                  <c:v>99.723749739521764</c:v>
                </c:pt>
                <c:pt idx="11">
                  <c:v>106.1004429354043</c:v>
                </c:pt>
                <c:pt idx="12">
                  <c:v>100.71378162914642</c:v>
                </c:pt>
                <c:pt idx="13">
                  <c:v>99.024997069641415</c:v>
                </c:pt>
                <c:pt idx="14">
                  <c:v>101.98039165052657</c:v>
                </c:pt>
                <c:pt idx="15">
                  <c:v>101.25543901716725</c:v>
                </c:pt>
                <c:pt idx="16">
                  <c:v>100.42837526785704</c:v>
                </c:pt>
                <c:pt idx="17">
                  <c:v>100.66606508936876</c:v>
                </c:pt>
                <c:pt idx="18">
                  <c:v>109.33763306485406</c:v>
                </c:pt>
                <c:pt idx="19">
                  <c:v>102.96765610557867</c:v>
                </c:pt>
                <c:pt idx="20">
                  <c:v>105.00457217124357</c:v>
                </c:pt>
                <c:pt idx="21">
                  <c:v>110.40711222108312</c:v>
                </c:pt>
                <c:pt idx="22">
                  <c:v>106.77880157422116</c:v>
                </c:pt>
                <c:pt idx="23">
                  <c:v>100.8588256367044</c:v>
                </c:pt>
                <c:pt idx="24">
                  <c:v>102.05773572353972</c:v>
                </c:pt>
                <c:pt idx="25">
                  <c:v>104.66054961751293</c:v>
                </c:pt>
                <c:pt idx="26">
                  <c:v>105.65091066267634</c:v>
                </c:pt>
                <c:pt idx="27">
                  <c:v>105.30255460032477</c:v>
                </c:pt>
                <c:pt idx="28">
                  <c:v>105.31342199195613</c:v>
                </c:pt>
                <c:pt idx="29">
                  <c:v>103.04371471080168</c:v>
                </c:pt>
                <c:pt idx="30">
                  <c:v>103.34488242489783</c:v>
                </c:pt>
                <c:pt idx="31">
                  <c:v>102.88199326451162</c:v>
                </c:pt>
                <c:pt idx="32">
                  <c:v>104.24181367610358</c:v>
                </c:pt>
                <c:pt idx="33">
                  <c:v>106.04865309537956</c:v>
                </c:pt>
                <c:pt idx="34">
                  <c:v>99.817088376932489</c:v>
                </c:pt>
                <c:pt idx="35">
                  <c:v>109.77521765437326</c:v>
                </c:pt>
                <c:pt idx="36">
                  <c:v>108.34656379793466</c:v>
                </c:pt>
                <c:pt idx="37">
                  <c:v>106.71327807506903</c:v>
                </c:pt>
                <c:pt idx="38">
                  <c:v>104.7750056839003</c:v>
                </c:pt>
                <c:pt idx="39">
                  <c:v>106.00147897430658</c:v>
                </c:pt>
                <c:pt idx="40">
                  <c:v>111.10824272667546</c:v>
                </c:pt>
                <c:pt idx="41">
                  <c:v>107.04047267943645</c:v>
                </c:pt>
                <c:pt idx="42">
                  <c:v>106.23674410610325</c:v>
                </c:pt>
                <c:pt idx="43">
                  <c:v>110.40061393139237</c:v>
                </c:pt>
                <c:pt idx="44">
                  <c:v>109.08243360362825</c:v>
                </c:pt>
                <c:pt idx="45">
                  <c:v>107.70615319079819</c:v>
                </c:pt>
                <c:pt idx="46">
                  <c:v>110.56459380282018</c:v>
                </c:pt>
                <c:pt idx="47">
                  <c:v>106.34495980393471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16">
                    <c:v>2013</c:v>
                  </c:pt>
                  <c:pt idx="28">
                    <c:v>2014</c:v>
                  </c:pt>
                  <c:pt idx="40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102.70742943687092</c:v>
                </c:pt>
                <c:pt idx="1">
                  <c:v>102.48949254086287</c:v>
                </c:pt>
                <c:pt idx="2">
                  <c:v>102.23250633750354</c:v>
                </c:pt>
                <c:pt idx="3">
                  <c:v>101.9334446926302</c:v>
                </c:pt>
                <c:pt idx="4">
                  <c:v>101.66120397427966</c:v>
                </c:pt>
                <c:pt idx="5">
                  <c:v>101.4065331222986</c:v>
                </c:pt>
                <c:pt idx="6">
                  <c:v>101.24933758079044</c:v>
                </c:pt>
                <c:pt idx="7">
                  <c:v>101.11774725271408</c:v>
                </c:pt>
                <c:pt idx="8">
                  <c:v>100.97787917181374</c:v>
                </c:pt>
                <c:pt idx="9">
                  <c:v>100.87331080160934</c:v>
                </c:pt>
                <c:pt idx="10">
                  <c:v>100.86097878927197</c:v>
                </c:pt>
                <c:pt idx="11">
                  <c:v>101.07831821081487</c:v>
                </c:pt>
                <c:pt idx="12">
                  <c:v>101.35767513797171</c:v>
                </c:pt>
                <c:pt idx="13">
                  <c:v>101.50575678957955</c:v>
                </c:pt>
                <c:pt idx="14">
                  <c:v>101.67012710654517</c:v>
                </c:pt>
                <c:pt idx="15">
                  <c:v>101.92275895471791</c:v>
                </c:pt>
                <c:pt idx="16">
                  <c:v>102.19726315935186</c:v>
                </c:pt>
                <c:pt idx="17">
                  <c:v>102.49530548949309</c:v>
                </c:pt>
                <c:pt idx="18">
                  <c:v>102.89608197127799</c:v>
                </c:pt>
                <c:pt idx="19">
                  <c:v>103.32565773540176</c:v>
                </c:pt>
                <c:pt idx="20">
                  <c:v>103.62176233083117</c:v>
                </c:pt>
                <c:pt idx="21">
                  <c:v>103.89334602437103</c:v>
                </c:pt>
                <c:pt idx="22">
                  <c:v>104.12860605864225</c:v>
                </c:pt>
                <c:pt idx="23">
                  <c:v>104.16144106770058</c:v>
                </c:pt>
                <c:pt idx="24">
                  <c:v>104.10889113054843</c:v>
                </c:pt>
                <c:pt idx="25">
                  <c:v>104.15511784811028</c:v>
                </c:pt>
                <c:pt idx="26">
                  <c:v>104.28513394003222</c:v>
                </c:pt>
                <c:pt idx="27">
                  <c:v>104.40435975193822</c:v>
                </c:pt>
                <c:pt idx="28">
                  <c:v>104.48698009623051</c:v>
                </c:pt>
                <c:pt idx="29">
                  <c:v>104.53456549782749</c:v>
                </c:pt>
                <c:pt idx="30">
                  <c:v>104.57084817103083</c:v>
                </c:pt>
                <c:pt idx="31">
                  <c:v>104.65266633670586</c:v>
                </c:pt>
                <c:pt idx="32">
                  <c:v>104.79313430083819</c:v>
                </c:pt>
                <c:pt idx="33">
                  <c:v>105.0094848073998</c:v>
                </c:pt>
                <c:pt idx="34">
                  <c:v>105.23471119373956</c:v>
                </c:pt>
                <c:pt idx="35">
                  <c:v>105.49748914464919</c:v>
                </c:pt>
                <c:pt idx="36">
                  <c:v>105.88644466827652</c:v>
                </c:pt>
                <c:pt idx="37">
                  <c:v>106.21453310231892</c:v>
                </c:pt>
                <c:pt idx="38">
                  <c:v>106.43885263959405</c:v>
                </c:pt>
                <c:pt idx="39">
                  <c:v>106.67070492135174</c:v>
                </c:pt>
                <c:pt idx="40">
                  <c:v>106.97032980584626</c:v>
                </c:pt>
                <c:pt idx="41">
                  <c:v>107.2881938184247</c:v>
                </c:pt>
                <c:pt idx="42">
                  <c:v>107.51011859424446</c:v>
                </c:pt>
                <c:pt idx="43">
                  <c:v>107.73555152923782</c:v>
                </c:pt>
                <c:pt idx="44">
                  <c:v>108.00617510803868</c:v>
                </c:pt>
                <c:pt idx="45">
                  <c:v>108.21197026634822</c:v>
                </c:pt>
                <c:pt idx="46">
                  <c:v>108.39261443994764</c:v>
                </c:pt>
                <c:pt idx="47">
                  <c:v>108.5758525293239</c:v>
                </c:pt>
                <c:pt idx="48">
                  <c:v>108.73039533255668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749272"/>
        <c:axId val="140751704"/>
      </c:lineChart>
      <c:catAx>
        <c:axId val="14074927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0751704"/>
        <c:crosses val="autoZero"/>
        <c:auto val="1"/>
        <c:lblAlgn val="ctr"/>
        <c:lblOffset val="100"/>
        <c:noMultiLvlLbl val="0"/>
      </c:catAx>
      <c:valAx>
        <c:axId val="140751704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074927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92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zaSep2015!$A$2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zaSep2015!$B$1:$N$1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zaSep2015!$B$2:$N$2</c:f>
              <c:numCache>
                <c:formatCode>General</c:formatCode>
                <c:ptCount val="13"/>
                <c:pt idx="0">
                  <c:v>421218</c:v>
                </c:pt>
                <c:pt idx="1">
                  <c:v>508654</c:v>
                </c:pt>
                <c:pt idx="2">
                  <c:v>432236</c:v>
                </c:pt>
                <c:pt idx="3">
                  <c:v>434262</c:v>
                </c:pt>
                <c:pt idx="4">
                  <c:v>223487</c:v>
                </c:pt>
                <c:pt idx="5">
                  <c:v>345476</c:v>
                </c:pt>
                <c:pt idx="6">
                  <c:v>403130</c:v>
                </c:pt>
                <c:pt idx="7">
                  <c:v>354876</c:v>
                </c:pt>
                <c:pt idx="8">
                  <c:v>392249</c:v>
                </c:pt>
                <c:pt idx="9">
                  <c:v>372531</c:v>
                </c:pt>
                <c:pt idx="10">
                  <c:v>442007</c:v>
                </c:pt>
                <c:pt idx="11">
                  <c:v>336742</c:v>
                </c:pt>
                <c:pt idx="12">
                  <c:v>388796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zaSep2015!$A$3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zaSep2015!$B$1:$N$1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zaSep2015!$B$3:$N$3</c:f>
              <c:numCache>
                <c:formatCode>General</c:formatCode>
                <c:ptCount val="13"/>
                <c:pt idx="0">
                  <c:v>248813</c:v>
                </c:pt>
                <c:pt idx="1">
                  <c:v>254767</c:v>
                </c:pt>
                <c:pt idx="2" formatCode="0">
                  <c:v>229828</c:v>
                </c:pt>
                <c:pt idx="3" formatCode="0">
                  <c:v>206415</c:v>
                </c:pt>
                <c:pt idx="4" formatCode="0">
                  <c:v>169568</c:v>
                </c:pt>
                <c:pt idx="5" formatCode="0">
                  <c:v>201039</c:v>
                </c:pt>
                <c:pt idx="6" formatCode="0">
                  <c:v>213208</c:v>
                </c:pt>
                <c:pt idx="7" formatCode="0">
                  <c:v>208576</c:v>
                </c:pt>
                <c:pt idx="8" formatCode="0">
                  <c:v>206720</c:v>
                </c:pt>
                <c:pt idx="9" formatCode="0">
                  <c:v>238696</c:v>
                </c:pt>
                <c:pt idx="10" formatCode="0">
                  <c:v>242240</c:v>
                </c:pt>
                <c:pt idx="11" formatCode="0">
                  <c:v>201362</c:v>
                </c:pt>
                <c:pt idx="12" formatCode="0">
                  <c:v>237427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91336"/>
        <c:axId val="141345264"/>
      </c:lineChart>
      <c:catAx>
        <c:axId val="649133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1345264"/>
        <c:crosses val="autoZero"/>
        <c:auto val="1"/>
        <c:lblAlgn val="ctr"/>
        <c:lblOffset val="100"/>
        <c:noMultiLvlLbl val="0"/>
      </c:catAx>
      <c:valAx>
        <c:axId val="14134526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6491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55"/>
          <c:y val="0.34220861281228737"/>
          <c:w val="0.162301801315931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D5F4-FBA9-413F-BB3F-7AE420AE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8083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475</cp:revision>
  <cp:lastPrinted>2015-10-21T12:23:00Z</cp:lastPrinted>
  <dcterms:created xsi:type="dcterms:W3CDTF">2014-03-14T12:01:00Z</dcterms:created>
  <dcterms:modified xsi:type="dcterms:W3CDTF">2015-10-22T07:12:00Z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