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F83A97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082DA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3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.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 </w:t>
            </w:r>
            <w:r w:rsidR="00F83A97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март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F83A9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3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4006D1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март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B5870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DB587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P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553FE9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B1F2F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553FE9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553FE9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553FE9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C70C0F" w:rsidRPr="00553FE9">
        <w:rPr>
          <w:rFonts w:ascii="Arial Narrow" w:hAnsi="Arial Narrow" w:cs="Tahoma"/>
          <w:b/>
          <w:sz w:val="30"/>
          <w:szCs w:val="30"/>
          <w:lang w:val="sr-Cyrl-BA"/>
        </w:rPr>
        <w:t>фебр</w:t>
      </w:r>
      <w:r w:rsidR="00DC1345" w:rsidRPr="00553FE9">
        <w:rPr>
          <w:rFonts w:ascii="Arial Narrow" w:hAnsi="Arial Narrow" w:cs="Tahoma"/>
          <w:b/>
          <w:sz w:val="30"/>
          <w:szCs w:val="30"/>
          <w:lang w:val="sr-Cyrl-BA"/>
        </w:rPr>
        <w:t>уару</w:t>
      </w:r>
      <w:r w:rsidR="00E33D13" w:rsidRPr="00553FE9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553FE9">
        <w:rPr>
          <w:rFonts w:ascii="Arial Narrow" w:hAnsi="Arial Narrow" w:cs="Tahoma"/>
          <w:b/>
          <w:sz w:val="30"/>
          <w:szCs w:val="30"/>
          <w:lang w:val="sr-Cyrl-CS"/>
        </w:rPr>
        <w:t>34</w:t>
      </w:r>
      <w:r w:rsidR="00E33D13" w:rsidRPr="00553FE9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553FE9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553FE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53FE9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553FE9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553FE9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553FE9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553FE9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C70C0F" w:rsidRPr="00553FE9">
        <w:rPr>
          <w:rFonts w:ascii="Arial Narrow" w:hAnsi="Arial Narrow" w:cs="Tahoma"/>
          <w:b/>
          <w:sz w:val="28"/>
          <w:szCs w:val="28"/>
          <w:lang w:val="sr-Cyrl-BA"/>
        </w:rPr>
        <w:t>72</w:t>
      </w:r>
      <w:r w:rsidRPr="00553FE9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553FE9">
        <w:rPr>
          <w:rFonts w:ascii="Arial Narrow" w:hAnsi="Arial Narrow" w:cs="Tahoma"/>
          <w:b/>
          <w:sz w:val="28"/>
          <w:szCs w:val="28"/>
          <w:lang w:val="sr-Cyrl-CS"/>
        </w:rPr>
        <w:t xml:space="preserve">, најнижа у подручју </w:t>
      </w:r>
      <w:r w:rsidRPr="00553FE9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Pr="00553FE9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Pr="00553FE9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553FE9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C70C0F" w:rsidRPr="00553FE9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Pr="00553FE9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553FE9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B82005" w:rsidRPr="00553FE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553FE9">
        <w:rPr>
          <w:rFonts w:ascii="Arial Narrow" w:hAnsi="Arial Narrow" w:cs="Tahoma"/>
          <w:sz w:val="22"/>
          <w:lang w:val="sr-Cyrl-BA"/>
        </w:rPr>
        <w:t>П</w:t>
      </w:r>
      <w:r w:rsidRPr="00553FE9">
        <w:rPr>
          <w:rFonts w:ascii="Arial Narrow" w:hAnsi="Arial Narrow" w:cs="Tahoma"/>
          <w:sz w:val="22"/>
          <w:lang w:val="sr-Cyrl-CS"/>
        </w:rPr>
        <w:t>росјечна</w:t>
      </w:r>
      <w:r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мјесечна нето плата</w:t>
      </w:r>
      <w:r w:rsidRPr="00553FE9">
        <w:rPr>
          <w:rFonts w:ascii="Arial Narrow" w:hAnsi="Arial Narrow" w:cs="Tahoma"/>
          <w:b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553FE9">
        <w:rPr>
          <w:rFonts w:ascii="Arial Narrow" w:hAnsi="Arial Narrow" w:cs="Tahoma"/>
          <w:b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70C0F" w:rsidRPr="00553FE9">
        <w:rPr>
          <w:rFonts w:ascii="Arial Narrow" w:hAnsi="Arial Narrow" w:cs="Tahoma"/>
          <w:sz w:val="22"/>
          <w:lang w:val="sr-Cyrl-CS"/>
        </w:rPr>
        <w:t>фебр</w:t>
      </w:r>
      <w:r w:rsidR="0032724B" w:rsidRPr="00553FE9">
        <w:rPr>
          <w:rFonts w:ascii="Arial Narrow" w:hAnsi="Arial Narrow" w:cs="Tahoma"/>
          <w:sz w:val="22"/>
          <w:lang w:val="sr-Cyrl-CS"/>
        </w:rPr>
        <w:t>уару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>.</w:t>
      </w:r>
      <w:r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године износи</w:t>
      </w:r>
      <w:r w:rsidRPr="00553FE9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8</w:t>
      </w:r>
      <w:r w:rsidR="00C70C0F" w:rsidRPr="00553FE9">
        <w:rPr>
          <w:rFonts w:ascii="Arial Narrow" w:hAnsi="Arial Narrow" w:cs="Tahoma"/>
          <w:sz w:val="22"/>
          <w:lang w:val="sr-Cyrl-CS"/>
        </w:rPr>
        <w:t>34</w:t>
      </w:r>
      <w:r w:rsidRPr="00553FE9">
        <w:rPr>
          <w:rFonts w:ascii="Arial Narrow" w:hAnsi="Arial Narrow" w:cs="Tahoma"/>
          <w:sz w:val="22"/>
          <w:lang w:val="sr-Cyrl-CS"/>
        </w:rPr>
        <w:t xml:space="preserve"> КМ</w:t>
      </w:r>
      <w:r w:rsidRPr="00553FE9">
        <w:rPr>
          <w:rFonts w:ascii="Arial Narrow" w:hAnsi="Arial Narrow" w:cs="Tahoma"/>
          <w:sz w:val="22"/>
          <w:lang w:val="hr-HR"/>
        </w:rPr>
        <w:t>,</w:t>
      </w:r>
      <w:r w:rsidRPr="00553FE9">
        <w:rPr>
          <w:rFonts w:ascii="Arial Narrow" w:hAnsi="Arial Narrow" w:cs="Tahoma"/>
          <w:sz w:val="22"/>
          <w:lang w:val="ru-RU"/>
        </w:rPr>
        <w:t xml:space="preserve"> а п</w:t>
      </w:r>
      <w:r w:rsidRPr="00553FE9">
        <w:rPr>
          <w:rFonts w:ascii="Arial Narrow" w:hAnsi="Arial Narrow" w:cs="Tahoma"/>
          <w:sz w:val="22"/>
          <w:lang w:val="sr-Cyrl-CS"/>
        </w:rPr>
        <w:t>росјечна</w:t>
      </w:r>
      <w:r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1 3</w:t>
      </w:r>
      <w:r w:rsidR="00C70C0F" w:rsidRPr="00553FE9">
        <w:rPr>
          <w:rFonts w:ascii="Arial Narrow" w:hAnsi="Arial Narrow" w:cs="Tahoma"/>
          <w:sz w:val="22"/>
          <w:lang w:val="sr-Cyrl-CS"/>
        </w:rPr>
        <w:t>44</w:t>
      </w:r>
      <w:r w:rsidRPr="00553FE9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553FE9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553FE9" w:rsidRDefault="00B8200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553FE9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553FE9">
        <w:rPr>
          <w:rFonts w:ascii="Arial Narrow" w:hAnsi="Arial Narrow" w:cs="Tahoma"/>
          <w:sz w:val="22"/>
          <w:lang w:val="sr-Latn-CS"/>
        </w:rPr>
        <w:t xml:space="preserve">У </w:t>
      </w:r>
      <w:r w:rsidRPr="00553FE9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C70C0F" w:rsidRPr="00553FE9">
        <w:rPr>
          <w:rFonts w:ascii="Arial Narrow" w:hAnsi="Arial Narrow" w:cs="Tahoma"/>
          <w:sz w:val="22"/>
          <w:lang w:val="sr-Cyrl-CS"/>
        </w:rPr>
        <w:t>фебр</w:t>
      </w:r>
      <w:r w:rsidR="0032724B" w:rsidRPr="00553FE9">
        <w:rPr>
          <w:rFonts w:ascii="Arial Narrow" w:hAnsi="Arial Narrow" w:cs="Tahoma"/>
          <w:sz w:val="22"/>
          <w:lang w:val="sr-Cyrl-CS"/>
        </w:rPr>
        <w:t>уар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53FE9">
        <w:rPr>
          <w:rFonts w:ascii="Arial Narrow" w:hAnsi="Arial Narrow" w:cs="Tahoma"/>
          <w:sz w:val="22"/>
          <w:lang w:val="sr-Cyrl-CS"/>
        </w:rPr>
        <w:t>4</w:t>
      </w:r>
      <w:r w:rsidRPr="00553FE9">
        <w:rPr>
          <w:rFonts w:ascii="Arial Narrow" w:hAnsi="Arial Narrow" w:cs="Tahoma"/>
          <w:sz w:val="22"/>
          <w:lang w:val="sr-Cyrl-CS"/>
        </w:rPr>
        <w:t xml:space="preserve">. </w:t>
      </w:r>
      <w:r w:rsidRPr="00553FE9">
        <w:rPr>
          <w:rFonts w:ascii="Arial Narrow" w:hAnsi="Arial Narrow" w:cs="Tahoma"/>
          <w:sz w:val="22"/>
          <w:lang w:val="sr-Cyrl-BA"/>
        </w:rPr>
        <w:t>г</w:t>
      </w:r>
      <w:r w:rsidRPr="00553FE9">
        <w:rPr>
          <w:rFonts w:ascii="Arial Narrow" w:hAnsi="Arial Narrow" w:cs="Tahoma"/>
          <w:sz w:val="22"/>
          <w:lang w:val="sr-Cyrl-CS"/>
        </w:rPr>
        <w:t>одине</w:t>
      </w:r>
      <w:r w:rsidRPr="00553FE9">
        <w:rPr>
          <w:rFonts w:ascii="Arial Narrow" w:hAnsi="Arial Narrow" w:cs="Tahoma"/>
          <w:sz w:val="22"/>
          <w:lang w:val="sr-Latn-BA"/>
        </w:rPr>
        <w:t>,</w:t>
      </w:r>
      <w:r w:rsidRPr="00553FE9">
        <w:rPr>
          <w:rFonts w:ascii="Arial Narrow" w:hAnsi="Arial Narrow" w:cs="Tahoma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C70C0F" w:rsidRPr="00553FE9">
        <w:rPr>
          <w:rFonts w:ascii="Arial Narrow" w:hAnsi="Arial Narrow" w:cs="Tahoma"/>
          <w:sz w:val="22"/>
          <w:lang w:val="sr-Cyrl-CS"/>
        </w:rPr>
        <w:t>фебр</w:t>
      </w:r>
      <w:r w:rsidR="0032724B" w:rsidRPr="00553FE9">
        <w:rPr>
          <w:rFonts w:ascii="Arial Narrow" w:hAnsi="Arial Narrow" w:cs="Tahoma"/>
          <w:sz w:val="22"/>
          <w:lang w:val="sr-Cyrl-CS"/>
        </w:rPr>
        <w:t>уару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C70C0F" w:rsidRPr="00553FE9">
        <w:rPr>
          <w:rFonts w:ascii="Arial Narrow" w:hAnsi="Arial Narrow" w:cs="Tahoma"/>
          <w:sz w:val="22"/>
          <w:lang w:val="sr-Cyrl-CS"/>
        </w:rPr>
        <w:t>2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C70C0F" w:rsidRPr="00553FE9">
        <w:rPr>
          <w:rFonts w:ascii="Arial Narrow" w:hAnsi="Arial Narrow" w:cs="Tahoma"/>
          <w:sz w:val="22"/>
          <w:lang w:val="sr-Cyrl-CS"/>
        </w:rPr>
        <w:t>8</w:t>
      </w:r>
      <w:r w:rsidRPr="00553FE9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C70C0F" w:rsidRPr="00553FE9">
        <w:rPr>
          <w:rFonts w:ascii="Arial Narrow" w:hAnsi="Arial Narrow" w:cs="Tahoma"/>
          <w:sz w:val="22"/>
          <w:lang w:val="sr-Cyrl-CS"/>
        </w:rPr>
        <w:t>јануар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 xml:space="preserve">. године </w:t>
      </w:r>
      <w:r w:rsidR="00C70C0F" w:rsidRPr="00553FE9">
        <w:rPr>
          <w:rFonts w:ascii="Arial Narrow" w:hAnsi="Arial Narrow" w:cs="Tahoma"/>
          <w:sz w:val="22"/>
          <w:lang w:val="sr-Cyrl-BA"/>
        </w:rPr>
        <w:t>већа</w:t>
      </w:r>
      <w:r w:rsidRPr="00553FE9">
        <w:rPr>
          <w:rFonts w:ascii="Arial Narrow" w:hAnsi="Arial Narrow" w:cs="Tahoma"/>
          <w:sz w:val="22"/>
          <w:lang w:val="sr-Cyrl-CS"/>
        </w:rPr>
        <w:t xml:space="preserve"> реално за </w:t>
      </w:r>
      <w:r w:rsidR="009E015A" w:rsidRPr="00553FE9">
        <w:rPr>
          <w:rFonts w:ascii="Arial Narrow" w:hAnsi="Arial Narrow" w:cs="Tahoma"/>
          <w:sz w:val="22"/>
          <w:lang w:val="sr-Cyrl-CS"/>
        </w:rPr>
        <w:t>2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9E015A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>%.</w:t>
      </w:r>
    </w:p>
    <w:p w:rsidR="00B82005" w:rsidRPr="00553FE9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70C0F" w:rsidRPr="00553FE9" w:rsidRDefault="00C70C0F" w:rsidP="00C70C0F">
      <w:pPr>
        <w:jc w:val="both"/>
        <w:rPr>
          <w:rFonts w:ascii="Arial Narrow" w:hAnsi="Arial Narrow" w:cs="Tahoma"/>
          <w:sz w:val="22"/>
          <w:lang w:val="sr-Cyrl-BA"/>
        </w:rPr>
      </w:pPr>
      <w:r w:rsidRPr="00553FE9">
        <w:rPr>
          <w:rFonts w:ascii="Arial Narrow" w:hAnsi="Arial Narrow" w:cs="Tahoma"/>
          <w:sz w:val="22"/>
          <w:lang w:val="sr-Cyrl-BA"/>
        </w:rPr>
        <w:t>До повећања просјечне нето плате у фебруару 2015. у односу на јануар 2015. дошло је углавном због великог броја субјеката који у јануару нису имали исплату</w:t>
      </w:r>
      <w:r w:rsidR="00B2374C" w:rsidRPr="00553FE9">
        <w:rPr>
          <w:rFonts w:ascii="Arial Narrow" w:hAnsi="Arial Narrow" w:cs="Tahoma"/>
          <w:sz w:val="22"/>
          <w:lang w:val="sr-Latn-BA"/>
        </w:rPr>
        <w:t>,</w:t>
      </w:r>
      <w:r w:rsidRPr="00553FE9">
        <w:rPr>
          <w:rFonts w:ascii="Arial Narrow" w:hAnsi="Arial Narrow" w:cs="Tahoma"/>
          <w:sz w:val="22"/>
          <w:lang w:val="sr-Cyrl-BA"/>
        </w:rPr>
        <w:t xml:space="preserve"> а сада имају и притом имају висок просјек плате и запошљавају значајан број радника. </w:t>
      </w:r>
    </w:p>
    <w:p w:rsidR="00E33D13" w:rsidRPr="00553FE9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553FE9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553FE9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553FE9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073F3" w:rsidRPr="00553FE9">
        <w:rPr>
          <w:rFonts w:ascii="Arial Narrow" w:hAnsi="Arial Narrow" w:cs="Tahoma"/>
          <w:sz w:val="22"/>
          <w:lang w:val="sr-Cyrl-CS"/>
        </w:rPr>
        <w:t>фебр</w:t>
      </w:r>
      <w:r w:rsidR="0032724B" w:rsidRPr="00553FE9">
        <w:rPr>
          <w:rFonts w:ascii="Arial Narrow" w:hAnsi="Arial Narrow" w:cs="Tahoma"/>
          <w:sz w:val="22"/>
          <w:lang w:val="sr-Cyrl-CS"/>
        </w:rPr>
        <w:t>уару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553FE9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553FE9">
        <w:rPr>
          <w:rFonts w:ascii="Arial Narrow" w:hAnsi="Arial Narrow" w:cs="Tahoma"/>
          <w:sz w:val="22"/>
          <w:lang w:val="sr-Cyrl-CS"/>
        </w:rPr>
        <w:t>и износи 1 2</w:t>
      </w:r>
      <w:r w:rsidR="007073F3" w:rsidRPr="00553FE9">
        <w:rPr>
          <w:rFonts w:ascii="Arial Narrow" w:hAnsi="Arial Narrow" w:cs="Tahoma"/>
          <w:sz w:val="22"/>
          <w:lang w:val="sr-Cyrl-CS"/>
        </w:rPr>
        <w:t>72</w:t>
      </w:r>
      <w:r w:rsidRPr="00553FE9">
        <w:rPr>
          <w:rFonts w:ascii="Arial Narrow" w:hAnsi="Arial Narrow" w:cs="Tahoma"/>
          <w:sz w:val="22"/>
          <w:lang w:val="sr-Cyrl-CS"/>
        </w:rPr>
        <w:t xml:space="preserve"> КМ</w:t>
      </w:r>
      <w:r w:rsidRPr="00553FE9">
        <w:rPr>
          <w:rFonts w:ascii="Arial Narrow" w:hAnsi="Arial Narrow" w:cs="Tahoma"/>
          <w:sz w:val="22"/>
          <w:lang w:val="sr-Latn-CS"/>
        </w:rPr>
        <w:t>. Са друге стране,</w:t>
      </w:r>
      <w:r w:rsidRPr="00553FE9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553FE9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553FE9">
        <w:rPr>
          <w:rFonts w:ascii="Arial Narrow" w:hAnsi="Arial Narrow" w:cs="Tahoma"/>
          <w:sz w:val="22"/>
          <w:lang w:val="sr-Cyrl-CS"/>
        </w:rPr>
        <w:t xml:space="preserve">плата у </w:t>
      </w:r>
      <w:r w:rsidR="007073F3" w:rsidRPr="00553FE9">
        <w:rPr>
          <w:rFonts w:ascii="Arial Narrow" w:hAnsi="Arial Narrow" w:cs="Tahoma"/>
          <w:sz w:val="22"/>
          <w:lang w:val="sr-Cyrl-CS"/>
        </w:rPr>
        <w:t>фебр</w:t>
      </w:r>
      <w:r w:rsidR="0032724B" w:rsidRPr="00553FE9">
        <w:rPr>
          <w:rFonts w:ascii="Arial Narrow" w:hAnsi="Arial Narrow" w:cs="Tahoma"/>
          <w:sz w:val="22"/>
          <w:lang w:val="sr-Cyrl-CS"/>
        </w:rPr>
        <w:t>уару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>. исплаћена је у подручју</w:t>
      </w:r>
      <w:r w:rsidRPr="00553FE9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553FE9">
        <w:rPr>
          <w:rFonts w:ascii="Arial Narrow" w:hAnsi="Arial Narrow" w:cs="Tahoma"/>
          <w:i/>
          <w:sz w:val="22"/>
          <w:lang w:val="sr-Cyrl-CS"/>
        </w:rPr>
        <w:t>Административне и помоћне услужне дјелатности</w:t>
      </w:r>
      <w:r w:rsidRPr="00553FE9">
        <w:rPr>
          <w:rFonts w:ascii="Arial Narrow" w:hAnsi="Arial Narrow" w:cs="Tahoma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BA"/>
        </w:rPr>
        <w:t>5</w:t>
      </w:r>
      <w:r w:rsidR="0032724B" w:rsidRPr="00553FE9">
        <w:rPr>
          <w:rFonts w:ascii="Arial Narrow" w:hAnsi="Arial Narrow" w:cs="Tahoma"/>
          <w:sz w:val="22"/>
          <w:lang w:val="sr-Cyrl-BA"/>
        </w:rPr>
        <w:t>1</w:t>
      </w:r>
      <w:r w:rsidR="007073F3" w:rsidRPr="00553FE9">
        <w:rPr>
          <w:rFonts w:ascii="Arial Narrow" w:hAnsi="Arial Narrow" w:cs="Tahoma"/>
          <w:sz w:val="22"/>
          <w:lang w:val="sr-Cyrl-BA"/>
        </w:rPr>
        <w:t>5</w:t>
      </w:r>
      <w:r w:rsidRPr="00553FE9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553FE9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553FE9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7073F3" w:rsidRPr="00553FE9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32724B" w:rsidRPr="00553FE9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553FE9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553FE9">
        <w:rPr>
          <w:rFonts w:ascii="Arial Narrow" w:hAnsi="Arial Narrow" w:cs="Tahoma"/>
          <w:sz w:val="22"/>
          <w:szCs w:val="22"/>
          <w:lang w:val="ru-RU"/>
        </w:rPr>
        <w:t>5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073F3" w:rsidRPr="00553FE9">
        <w:rPr>
          <w:rFonts w:ascii="Arial Narrow" w:hAnsi="Arial Narrow" w:cs="Tahoma"/>
          <w:sz w:val="22"/>
          <w:szCs w:val="22"/>
          <w:lang w:val="ru-RU"/>
        </w:rPr>
        <w:t>јануар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553FE9">
        <w:rPr>
          <w:rFonts w:ascii="Arial Narrow" w:hAnsi="Arial Narrow" w:cs="Tahoma"/>
          <w:sz w:val="22"/>
          <w:szCs w:val="22"/>
          <w:lang w:val="ru-RU"/>
        </w:rPr>
        <w:t>5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2724B" w:rsidRPr="00553FE9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553FE9">
        <w:rPr>
          <w:rFonts w:ascii="Arial Narrow" w:hAnsi="Arial Narrow" w:cs="Tahoma"/>
          <w:sz w:val="22"/>
          <w:szCs w:val="22"/>
          <w:lang w:val="sr-Latn-CS"/>
        </w:rPr>
        <w:t>р</w:t>
      </w:r>
      <w:r w:rsidRPr="00553FE9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32724B"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073F3" w:rsidRPr="00553FE9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7073F3" w:rsidRPr="00553FE9">
        <w:rPr>
          <w:rFonts w:ascii="Arial Narrow" w:hAnsi="Arial Narrow" w:cs="Tahoma"/>
          <w:sz w:val="22"/>
          <w:szCs w:val="22"/>
          <w:lang w:val="sr-Cyrl-BA"/>
        </w:rPr>
        <w:t xml:space="preserve"> 48,4%, </w:t>
      </w:r>
      <w:r w:rsidR="007073F3"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7073F3" w:rsidRPr="00553FE9">
        <w:rPr>
          <w:rFonts w:ascii="Arial Narrow" w:hAnsi="Arial Narrow" w:cs="Tahoma"/>
          <w:sz w:val="22"/>
          <w:szCs w:val="22"/>
          <w:lang w:val="sr-Cyrl-BA"/>
        </w:rPr>
        <w:t xml:space="preserve">13,5% и </w:t>
      </w:r>
      <w:r w:rsidR="007073F3"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7073F3" w:rsidRPr="00553FE9">
        <w:rPr>
          <w:rFonts w:ascii="Arial Narrow" w:hAnsi="Arial Narrow" w:cs="Tahoma"/>
          <w:sz w:val="22"/>
          <w:szCs w:val="22"/>
          <w:lang w:val="sr-Cyrl-BA"/>
        </w:rPr>
        <w:t>7,3%.</w:t>
      </w:r>
    </w:p>
    <w:p w:rsidR="00E33D13" w:rsidRPr="00553FE9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553FE9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553FE9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553FE9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7073F3"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</w:t>
      </w:r>
      <w:r w:rsidR="007073F3" w:rsidRPr="00553FE9">
        <w:rPr>
          <w:rFonts w:ascii="Arial Narrow" w:hAnsi="Arial Narrow" w:cs="Tahoma"/>
          <w:sz w:val="22"/>
          <w:szCs w:val="22"/>
          <w:lang w:val="sr-Cyrl-BA"/>
        </w:rPr>
        <w:t xml:space="preserve"> 8,3%, </w:t>
      </w:r>
      <w:r w:rsidR="007073F3" w:rsidRPr="00553FE9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7073F3" w:rsidRPr="00553FE9">
        <w:rPr>
          <w:rFonts w:ascii="Arial Narrow" w:hAnsi="Arial Narrow" w:cs="Tahoma"/>
          <w:sz w:val="22"/>
          <w:szCs w:val="22"/>
          <w:lang w:val="sr-Cyrl-BA"/>
        </w:rPr>
        <w:t xml:space="preserve"> 5,5% и </w:t>
      </w:r>
      <w:r w:rsidR="007073F3" w:rsidRPr="00553FE9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 2</w:t>
      </w:r>
      <w:r w:rsidR="007073F3" w:rsidRPr="00553FE9">
        <w:rPr>
          <w:rFonts w:ascii="Arial Narrow" w:hAnsi="Arial Narrow" w:cs="Tahoma"/>
          <w:sz w:val="22"/>
          <w:szCs w:val="22"/>
          <w:lang w:val="sr-Cyrl-BA"/>
        </w:rPr>
        <w:t>,6%</w:t>
      </w:r>
      <w:r w:rsidR="007073F3" w:rsidRPr="00553FE9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396802" w:rsidRPr="00553FE9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553FE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553FE9">
        <w:rPr>
          <w:rFonts w:ascii="Tahoma" w:hAnsi="Tahoma" w:cs="Tahoma"/>
          <w:i/>
          <w:sz w:val="14"/>
          <w:lang w:val="sr-Cyrl-CS"/>
        </w:rPr>
        <w:t xml:space="preserve"> </w:t>
      </w:r>
      <w:r w:rsidRPr="00553FE9">
        <w:rPr>
          <w:rFonts w:ascii="Tahoma" w:hAnsi="Tahoma" w:cs="Tahoma"/>
          <w:sz w:val="14"/>
          <w:lang w:val="sr-Cyrl-CS"/>
        </w:rPr>
        <w:t xml:space="preserve">   </w:t>
      </w:r>
      <w:r w:rsidRPr="00553FE9">
        <w:rPr>
          <w:rFonts w:ascii="Tahoma" w:hAnsi="Tahoma" w:cs="Tahoma"/>
          <w:sz w:val="14"/>
          <w:lang w:val="sr-Latn-CS"/>
        </w:rPr>
        <w:tab/>
      </w:r>
      <w:r w:rsidRPr="00553FE9">
        <w:rPr>
          <w:rFonts w:ascii="Tahoma" w:hAnsi="Tahoma" w:cs="Tahoma"/>
          <w:sz w:val="14"/>
          <w:lang w:val="sr-Latn-CS"/>
        </w:rPr>
        <w:tab/>
      </w:r>
      <w:r w:rsidRPr="00553FE9">
        <w:rPr>
          <w:rFonts w:ascii="Tahoma" w:hAnsi="Tahoma" w:cs="Tahoma"/>
          <w:sz w:val="14"/>
        </w:rPr>
        <w:t xml:space="preserve">            </w:t>
      </w:r>
      <w:r w:rsidR="00F85AAC" w:rsidRPr="00553FE9">
        <w:rPr>
          <w:rFonts w:ascii="Tahoma" w:hAnsi="Tahoma" w:cs="Tahoma"/>
          <w:sz w:val="14"/>
          <w:lang w:val="sr-Cyrl-BA"/>
        </w:rPr>
        <w:t xml:space="preserve">   </w:t>
      </w:r>
      <w:r w:rsidRPr="00553FE9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553FE9" w:rsidRDefault="00F85AAC" w:rsidP="00E33D13">
      <w:pPr>
        <w:jc w:val="center"/>
        <w:rPr>
          <w:rFonts w:ascii="Tahoma" w:hAnsi="Tahoma" w:cs="Tahoma"/>
        </w:rPr>
      </w:pPr>
      <w:r w:rsidRPr="00553FE9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973510</wp:posOffset>
            </wp:positionH>
            <wp:positionV relativeFrom="paragraph">
              <wp:posOffset>2061348</wp:posOffset>
            </wp:positionV>
            <wp:extent cx="4505242" cy="461175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553FE9">
        <w:rPr>
          <w:rFonts w:ascii="Tahoma" w:hAnsi="Tahoma" w:cs="Tahoma"/>
          <w:szCs w:val="18"/>
        </w:rPr>
        <w:t xml:space="preserve"> </w:t>
      </w:r>
      <w:r w:rsidR="007073F3" w:rsidRPr="00553FE9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553FE9">
        <w:rPr>
          <w:rFonts w:ascii="Tahoma" w:hAnsi="Tahoma" w:cs="Tahoma"/>
          <w:szCs w:val="18"/>
        </w:rPr>
        <w:t xml:space="preserve">  </w:t>
      </w:r>
    </w:p>
    <w:p w:rsidR="00E33D13" w:rsidRPr="00553FE9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553FE9" w:rsidRDefault="00E33D13" w:rsidP="00E33D13">
      <w:pPr>
        <w:jc w:val="center"/>
        <w:outlineLvl w:val="0"/>
        <w:rPr>
          <w:rFonts w:ascii="Arial Narrow" w:hAnsi="Arial Narrow" w:cs="Tahoma"/>
          <w:sz w:val="22"/>
          <w:szCs w:val="22"/>
          <w:lang w:val="sr-Cyrl-CS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>Графикон 1</w:t>
      </w:r>
      <w:r w:rsidRPr="00553FE9">
        <w:rPr>
          <w:rFonts w:ascii="Arial Narrow" w:hAnsi="Arial Narrow" w:cs="Tahoma"/>
          <w:sz w:val="22"/>
          <w:szCs w:val="22"/>
          <w:lang w:val="sr-Cyrl-CS"/>
        </w:rPr>
        <w:t>.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  <w:szCs w:val="22"/>
          <w:lang w:val="sr-Cyrl-CS"/>
        </w:rPr>
        <w:t>П</w:t>
      </w:r>
      <w:r w:rsidRPr="00553FE9">
        <w:rPr>
          <w:rFonts w:ascii="Arial Narrow" w:hAnsi="Arial Narrow" w:cs="Tahoma"/>
          <w:sz w:val="22"/>
          <w:szCs w:val="22"/>
          <w:lang w:val="ru-RU"/>
        </w:rPr>
        <w:t>росјечн</w:t>
      </w:r>
      <w:r w:rsidRPr="00553FE9">
        <w:rPr>
          <w:rFonts w:ascii="Arial Narrow" w:hAnsi="Arial Narrow" w:cs="Tahoma"/>
          <w:sz w:val="22"/>
          <w:szCs w:val="22"/>
        </w:rPr>
        <w:t>e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 нето плат</w:t>
      </w:r>
      <w:r w:rsidRPr="00553FE9">
        <w:rPr>
          <w:rFonts w:ascii="Arial Narrow" w:hAnsi="Arial Narrow" w:cs="Tahoma"/>
          <w:sz w:val="22"/>
          <w:szCs w:val="22"/>
        </w:rPr>
        <w:t>e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 запослених по мјесецима</w:t>
      </w:r>
    </w:p>
    <w:p w:rsidR="00BE051D" w:rsidRPr="00553FE9" w:rsidRDefault="00BE051D">
      <w:pPr>
        <w:rPr>
          <w:rFonts w:ascii="Tahoma" w:hAnsi="Tahoma" w:cs="Tahoma"/>
          <w:lang w:val="sr-Cyrl-BA"/>
        </w:rPr>
      </w:pPr>
    </w:p>
    <w:p w:rsidR="00943369" w:rsidRPr="00553FE9" w:rsidRDefault="00943369">
      <w:pPr>
        <w:rPr>
          <w:rFonts w:ascii="Arial Narrow" w:hAnsi="Arial Narrow" w:cs="Tahoma"/>
          <w:lang w:val="sr-Cyrl-BA"/>
        </w:rPr>
      </w:pPr>
    </w:p>
    <w:p w:rsidR="00082DA2" w:rsidRPr="00553FE9" w:rsidRDefault="00082DA2">
      <w:pPr>
        <w:rPr>
          <w:rFonts w:ascii="Arial Narrow" w:hAnsi="Arial Narrow" w:cs="Tahoma"/>
          <w:lang w:val="sr-Latn-BA"/>
        </w:rPr>
      </w:pPr>
    </w:p>
    <w:p w:rsidR="000134F3" w:rsidRPr="00553FE9" w:rsidRDefault="000134F3">
      <w:pPr>
        <w:rPr>
          <w:rFonts w:ascii="Arial Narrow" w:hAnsi="Arial Narrow" w:cs="Tahoma"/>
          <w:lang w:val="sr-Latn-BA"/>
        </w:rPr>
      </w:pPr>
    </w:p>
    <w:p w:rsidR="000134F3" w:rsidRPr="00553FE9" w:rsidRDefault="000134F3">
      <w:pPr>
        <w:rPr>
          <w:rFonts w:ascii="Arial Narrow" w:hAnsi="Arial Narrow" w:cs="Tahoma"/>
          <w:lang w:val="sr-Latn-BA"/>
        </w:rPr>
      </w:pPr>
    </w:p>
    <w:p w:rsidR="009A0B74" w:rsidRPr="00553FE9" w:rsidRDefault="009A0B74" w:rsidP="009A0B74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553FE9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фебруару 2015. године 0,2%</w:t>
      </w:r>
    </w:p>
    <w:p w:rsidR="009A0B74" w:rsidRPr="00553FE9" w:rsidRDefault="009A0B74" w:rsidP="009A0B74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553FE9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553FE9">
        <w:rPr>
          <w:rFonts w:ascii="Arial Narrow" w:hAnsi="Arial Narrow" w:cs="Tahoma"/>
          <w:b/>
          <w:sz w:val="30"/>
          <w:szCs w:val="30"/>
          <w:lang w:val="sr-Latn-BA"/>
        </w:rPr>
        <w:t>II</w:t>
      </w:r>
      <w:r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Pr="00553FE9">
        <w:rPr>
          <w:rFonts w:ascii="Arial Narrow" w:hAnsi="Arial Narrow" w:cs="Tahoma"/>
          <w:b/>
          <w:sz w:val="30"/>
          <w:szCs w:val="30"/>
          <w:lang w:val="sr-Latn-BA"/>
        </w:rPr>
        <w:t>II</w:t>
      </w:r>
      <w:r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 2014) -1,3%</w:t>
      </w:r>
    </w:p>
    <w:p w:rsidR="009A0B74" w:rsidRPr="00553FE9" w:rsidRDefault="009A0B74" w:rsidP="009A0B74">
      <w:pPr>
        <w:spacing w:after="120"/>
        <w:jc w:val="both"/>
        <w:rPr>
          <w:rFonts w:ascii="Tahoma" w:hAnsi="Tahoma" w:cs="Tahoma"/>
          <w:lang w:val="sr-Cyrl-BA"/>
        </w:rPr>
      </w:pPr>
    </w:p>
    <w:p w:rsidR="009A0B74" w:rsidRPr="00553FE9" w:rsidRDefault="009A0B74" w:rsidP="009A0B74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фебруару 2015. године у односу на претходни мјесец, у просјеку су више за 0,2%</w:t>
      </w:r>
      <w:r w:rsidRPr="00553FE9">
        <w:rPr>
          <w:rFonts w:ascii="Arial Narrow" w:hAnsi="Arial Narrow" w:cs="Tahoma"/>
          <w:sz w:val="22"/>
          <w:szCs w:val="22"/>
          <w:lang w:val="sr-Latn-BA"/>
        </w:rPr>
        <w:t>,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док су на годишњем нивоу ниже за 1,3%.</w:t>
      </w:r>
    </w:p>
    <w:p w:rsidR="009A0B74" w:rsidRPr="00553FE9" w:rsidRDefault="009A0B74" w:rsidP="009A0B74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три, ниже цијене у пет</w:t>
      </w:r>
      <w:r w:rsidRPr="00553FE9">
        <w:rPr>
          <w:rFonts w:ascii="Arial Narrow" w:hAnsi="Arial Narrow" w:cs="Tahoma"/>
          <w:sz w:val="22"/>
          <w:szCs w:val="22"/>
          <w:lang w:val="sr-Latn-BA"/>
        </w:rPr>
        <w:t>,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док су цијене у четири одјељка, у просјеку, остале на истом нивоу.</w:t>
      </w:r>
    </w:p>
    <w:p w:rsidR="009A0B74" w:rsidRPr="00553FE9" w:rsidRDefault="009A0B74" w:rsidP="009A0B7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Више цијене у фебруару забиљежене су у одјељцима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553FE9">
        <w:rPr>
          <w:rFonts w:ascii="Arial Narrow" w:hAnsi="Arial Narrow" w:cs="Tahoma"/>
          <w:sz w:val="22"/>
          <w:szCs w:val="22"/>
          <w:lang w:val="sr-Cyrl-BA"/>
        </w:rPr>
        <w:t>и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(0,7%) и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(0,1%). У оквиру одјељка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нај</w:t>
      </w:r>
      <w:r w:rsidR="00177EC1">
        <w:rPr>
          <w:rFonts w:ascii="Arial Narrow" w:hAnsi="Arial Narrow" w:cs="Tahoma"/>
          <w:sz w:val="22"/>
          <w:szCs w:val="22"/>
          <w:lang w:val="sr-Cyrl-BA"/>
        </w:rPr>
        <w:t>в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ећи утицај на раст су имале цијене воћа (8,6%) и поврћа (3,2%) због сезонских промјена, као и честе нивелације цијена код многих индустријских прехрамбених производа. Више цијене, забиљежене у одјељку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>Здравство,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проузроковане су вишим набавним цијенама појединих група лијекова (1,0%).</w:t>
      </w:r>
    </w:p>
    <w:p w:rsidR="009A0B74" w:rsidRPr="00553FE9" w:rsidRDefault="009A0B74" w:rsidP="009A0B7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A0B74" w:rsidRPr="00553FE9" w:rsidRDefault="009A0B74" w:rsidP="009A0B74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>У одјељцима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 Комуникације, </w:t>
      </w:r>
      <w:r w:rsidRPr="00553FE9">
        <w:rPr>
          <w:rFonts w:ascii="Arial Narrow" w:eastAsia="Calibri" w:hAnsi="Arial Narrow" w:cs="Tahoma"/>
          <w:sz w:val="22"/>
          <w:szCs w:val="22"/>
          <w:lang w:val="sr-Cyrl-BA"/>
        </w:rPr>
        <w:t xml:space="preserve">Образовање и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просјеку, остале исте.</w:t>
      </w:r>
    </w:p>
    <w:p w:rsidR="009A0B74" w:rsidRPr="00553FE9" w:rsidRDefault="009A0B74" w:rsidP="009A0B74">
      <w:pPr>
        <w:jc w:val="both"/>
        <w:rPr>
          <w:rFonts w:ascii="Arial Narrow" w:hAnsi="Arial Narrow" w:cs="Tahoma"/>
          <w:i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Најниже цијене у фебруару забиљежене су у одјељку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Одјећа и обућа 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(0,7%) с тим да је број фебруарских снижења одјеће и обуће знатно мањи него у претходним мјесецима. 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9A0B74" w:rsidRPr="00553FE9" w:rsidRDefault="009A0B74" w:rsidP="009A0B7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Ниже цијене забиљежене су у одјељку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553FE9">
        <w:rPr>
          <w:rFonts w:ascii="Arial Narrow" w:hAnsi="Arial Narrow" w:cs="Tahoma"/>
          <w:sz w:val="22"/>
          <w:szCs w:val="22"/>
          <w:lang w:val="sr-Cyrl-BA"/>
        </w:rPr>
        <w:t>(0,3%) усљед мањег броја акцијских цијена намјештаја (0,5%), апарата за домаћинство (0,2%), текстила за домаћинство и производа за чишћење и одржавање домаћинства (0,3%).</w:t>
      </w:r>
    </w:p>
    <w:p w:rsidR="009A0B74" w:rsidRPr="00553FE9" w:rsidRDefault="009A0B74" w:rsidP="009A0B7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У оквиру одјељка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ниже цијене су посљедица снижених цијена у групи аудио-визуелна опрема (0,5%), затим у групи опрема за спорт, камповање и рекреацију (0,9%)</w:t>
      </w:r>
      <w:r w:rsidRPr="00553FE9">
        <w:rPr>
          <w:rFonts w:ascii="Arial Narrow" w:hAnsi="Arial Narrow" w:cs="Tahoma"/>
          <w:sz w:val="22"/>
          <w:szCs w:val="22"/>
          <w:lang w:val="sr-Latn-BA"/>
        </w:rPr>
        <w:t>,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а највећи проценат снижења забиљежен је у групи пакет аранжмани (10,5%).</w:t>
      </w:r>
    </w:p>
    <w:p w:rsidR="009A0B74" w:rsidRPr="00553FE9" w:rsidRDefault="009A0B74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53FE9">
        <w:rPr>
          <w:rFonts w:ascii="Arial Narrow" w:hAnsi="Arial Narrow" w:cs="Tahoma"/>
          <w:sz w:val="22"/>
          <w:szCs w:val="22"/>
          <w:lang w:val="sr-Cyrl-BA"/>
        </w:rPr>
        <w:t>Најмањи пад цијена (0,1%) забиљежен је у оквиру одјељака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553FE9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услуге.</w:t>
      </w: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53FE9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553FE9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284295" w:rsidRPr="00553FE9">
        <w:rPr>
          <w:rFonts w:ascii="Arial Narrow" w:hAnsi="Arial Narrow" w:cs="Tahoma"/>
          <w:b/>
          <w:sz w:val="30"/>
          <w:szCs w:val="30"/>
        </w:rPr>
        <w:t>I</w:t>
      </w:r>
      <w:r w:rsidRPr="00553FE9">
        <w:rPr>
          <w:rFonts w:ascii="Arial Narrow" w:hAnsi="Arial Narrow" w:cs="Tahoma"/>
          <w:b/>
          <w:sz w:val="30"/>
          <w:szCs w:val="30"/>
        </w:rPr>
        <w:t>I</w:t>
      </w:r>
      <w:r w:rsidRPr="00553FE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553FE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553FE9">
        <w:rPr>
          <w:rFonts w:ascii="Arial Narrow" w:hAnsi="Arial Narrow" w:cs="Tahoma"/>
          <w:b/>
          <w:sz w:val="30"/>
          <w:szCs w:val="30"/>
        </w:rPr>
        <w:t>5</w:t>
      </w:r>
      <w:r w:rsidRPr="00553FE9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284295" w:rsidRPr="00553FE9">
        <w:rPr>
          <w:rFonts w:ascii="Arial Narrow" w:hAnsi="Arial Narrow" w:cs="Tahoma"/>
          <w:b/>
          <w:sz w:val="30"/>
          <w:szCs w:val="30"/>
        </w:rPr>
        <w:t>I</w:t>
      </w:r>
      <w:r w:rsidRPr="00553FE9">
        <w:rPr>
          <w:rFonts w:ascii="Arial Narrow" w:hAnsi="Arial Narrow" w:cs="Tahoma"/>
          <w:b/>
          <w:sz w:val="30"/>
          <w:szCs w:val="30"/>
        </w:rPr>
        <w:t>I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53FE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553FE9">
        <w:rPr>
          <w:rFonts w:ascii="Arial Narrow" w:hAnsi="Arial Narrow" w:cs="Tahoma"/>
          <w:b/>
          <w:bCs/>
          <w:sz w:val="30"/>
          <w:szCs w:val="30"/>
        </w:rPr>
        <w:t>4</w:t>
      </w:r>
      <w:r w:rsidRPr="00553FE9">
        <w:rPr>
          <w:rFonts w:ascii="Arial Narrow" w:hAnsi="Arial Narrow" w:cs="Tahoma"/>
          <w:b/>
          <w:bCs/>
          <w:sz w:val="30"/>
          <w:szCs w:val="30"/>
        </w:rPr>
        <w:t>.</w:t>
      </w:r>
      <w:r w:rsidRPr="00553FE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7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0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553FE9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553FE9">
        <w:rPr>
          <w:rFonts w:ascii="Arial Narrow" w:hAnsi="Arial Narrow" w:cs="Tahoma"/>
          <w:b/>
          <w:sz w:val="30"/>
          <w:szCs w:val="30"/>
          <w:lang w:val="sr-Cyrl-CS"/>
        </w:rPr>
        <w:t>Десезонирана индустријска производња (</w:t>
      </w:r>
      <w:r w:rsidR="00284295" w:rsidRPr="00553FE9">
        <w:rPr>
          <w:rFonts w:ascii="Arial Narrow" w:hAnsi="Arial Narrow" w:cs="Tahoma"/>
          <w:b/>
          <w:sz w:val="30"/>
          <w:szCs w:val="30"/>
        </w:rPr>
        <w:t>I</w:t>
      </w:r>
      <w:r w:rsidRPr="00553FE9">
        <w:rPr>
          <w:rFonts w:ascii="Arial Narrow" w:hAnsi="Arial Narrow" w:cs="Tahoma"/>
          <w:b/>
          <w:sz w:val="30"/>
          <w:szCs w:val="30"/>
        </w:rPr>
        <w:t>I</w:t>
      </w:r>
      <w:r w:rsidRPr="00553FE9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553FE9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553FE9">
        <w:rPr>
          <w:rFonts w:ascii="Arial Narrow" w:hAnsi="Arial Narrow" w:cs="Tahoma"/>
          <w:b/>
          <w:sz w:val="30"/>
          <w:szCs w:val="30"/>
        </w:rPr>
        <w:t>5</w:t>
      </w:r>
      <w:r w:rsidRPr="00553FE9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284295" w:rsidRPr="00553FE9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553FE9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553FE9">
        <w:rPr>
          <w:rFonts w:ascii="Arial Narrow" w:hAnsi="Arial Narrow" w:cs="Tahoma"/>
          <w:b/>
          <w:bCs/>
          <w:sz w:val="30"/>
          <w:szCs w:val="30"/>
        </w:rPr>
        <w:t>5</w:t>
      </w:r>
      <w:r w:rsidRPr="00553FE9">
        <w:rPr>
          <w:rFonts w:ascii="Arial Narrow" w:hAnsi="Arial Narrow" w:cs="Tahoma"/>
          <w:b/>
          <w:bCs/>
          <w:sz w:val="30"/>
          <w:szCs w:val="30"/>
        </w:rPr>
        <w:t>.</w:t>
      </w:r>
      <w:r w:rsidRPr="00553FE9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већа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284295"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9</w:t>
      </w:r>
      <w:r w:rsidRPr="00553FE9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553FE9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553FE9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284295" w:rsidRPr="00553FE9">
        <w:rPr>
          <w:rFonts w:ascii="Arial Narrow" w:hAnsi="Arial Narrow" w:cs="Tahoma"/>
          <w:b/>
          <w:sz w:val="28"/>
        </w:rPr>
        <w:t>I</w:t>
      </w:r>
      <w:r w:rsidRPr="00553FE9">
        <w:rPr>
          <w:rFonts w:ascii="Arial Narrow" w:hAnsi="Arial Narrow" w:cs="Tahoma"/>
          <w:b/>
          <w:sz w:val="28"/>
        </w:rPr>
        <w:t>I</w:t>
      </w:r>
      <w:r w:rsidRPr="00553FE9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553FE9">
        <w:rPr>
          <w:rFonts w:ascii="Arial Narrow" w:hAnsi="Arial Narrow" w:cs="Tahoma"/>
          <w:b/>
          <w:sz w:val="28"/>
        </w:rPr>
        <w:t>5</w:t>
      </w:r>
      <w:r w:rsidRPr="00553FE9">
        <w:rPr>
          <w:rFonts w:ascii="Arial Narrow" w:hAnsi="Arial Narrow" w:cs="Tahoma"/>
          <w:b/>
          <w:sz w:val="28"/>
          <w:lang w:val="ru-RU"/>
        </w:rPr>
        <w:t>/</w:t>
      </w:r>
      <w:r w:rsidR="00284295" w:rsidRPr="00553FE9">
        <w:rPr>
          <w:rFonts w:ascii="Arial Narrow" w:hAnsi="Arial Narrow" w:cs="Tahoma"/>
          <w:b/>
          <w:sz w:val="28"/>
        </w:rPr>
        <w:t>I</w:t>
      </w:r>
      <w:r w:rsidRPr="00553FE9">
        <w:rPr>
          <w:rFonts w:ascii="Arial Narrow" w:hAnsi="Arial Narrow" w:cs="Tahoma"/>
          <w:b/>
          <w:sz w:val="28"/>
        </w:rPr>
        <w:t>I</w:t>
      </w:r>
      <w:r w:rsidRPr="00553FE9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553FE9">
        <w:rPr>
          <w:rFonts w:ascii="Arial Narrow" w:hAnsi="Arial Narrow" w:cs="Tahoma"/>
          <w:b/>
          <w:sz w:val="28"/>
        </w:rPr>
        <w:t>4</w:t>
      </w:r>
      <w:r w:rsidRPr="00553FE9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B85D9D" w:rsidRPr="00553FE9">
        <w:rPr>
          <w:rFonts w:ascii="Arial Narrow" w:hAnsi="Arial Narrow" w:cs="Tahoma"/>
          <w:b/>
          <w:sz w:val="28"/>
          <w:lang w:val="sr-Cyrl-CS"/>
        </w:rPr>
        <w:t>0</w:t>
      </w:r>
      <w:r w:rsidRPr="00553FE9">
        <w:rPr>
          <w:rFonts w:ascii="Arial Narrow" w:hAnsi="Arial Narrow" w:cs="Tahoma"/>
          <w:b/>
          <w:sz w:val="28"/>
          <w:lang w:val="ru-RU"/>
        </w:rPr>
        <w:t>,</w:t>
      </w:r>
      <w:r w:rsidR="00B85D9D" w:rsidRPr="00553FE9">
        <w:rPr>
          <w:rFonts w:ascii="Arial Narrow" w:hAnsi="Arial Narrow" w:cs="Tahoma"/>
          <w:b/>
          <w:sz w:val="28"/>
          <w:lang w:val="ru-RU"/>
        </w:rPr>
        <w:t>7</w:t>
      </w:r>
      <w:r w:rsidRPr="00553FE9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553FE9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0213F8" w:rsidRPr="00553FE9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  <w:r w:rsidRPr="00553FE9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553FE9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553FE9">
        <w:rPr>
          <w:rFonts w:ascii="Arial Narrow" w:hAnsi="Arial Narrow" w:cs="Tahoma"/>
          <w:sz w:val="22"/>
        </w:rPr>
        <w:t xml:space="preserve"> у 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</w:rPr>
        <w:t>201</w:t>
      </w:r>
      <w:r w:rsidR="00284295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</w:rPr>
        <w:t xml:space="preserve">. </w:t>
      </w:r>
      <w:r w:rsidRPr="00553FE9">
        <w:rPr>
          <w:rFonts w:ascii="Arial Narrow" w:hAnsi="Arial Narrow" w:cs="Tahoma"/>
          <w:sz w:val="22"/>
          <w:lang w:val="sr-Cyrl-BA"/>
        </w:rPr>
        <w:t>г</w:t>
      </w:r>
      <w:r w:rsidRPr="00553FE9">
        <w:rPr>
          <w:rFonts w:ascii="Arial Narrow" w:hAnsi="Arial Narrow" w:cs="Tahoma"/>
          <w:sz w:val="22"/>
        </w:rPr>
        <w:t>одине</w:t>
      </w:r>
      <w:r w:rsidRPr="00553FE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</w:rPr>
        <w:t xml:space="preserve">у поређењу </w:t>
      </w:r>
      <w:r w:rsidRPr="00553FE9">
        <w:rPr>
          <w:rFonts w:ascii="Arial Narrow" w:hAnsi="Arial Narrow" w:cs="Tahoma"/>
          <w:sz w:val="22"/>
          <w:lang w:val="sr-Cyrl-BA"/>
        </w:rPr>
        <w:t xml:space="preserve">са 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>фебруаром</w:t>
      </w:r>
      <w:r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>201</w:t>
      </w:r>
      <w:r w:rsidR="00284295" w:rsidRPr="00553FE9">
        <w:rPr>
          <w:rFonts w:ascii="Arial Narrow" w:hAnsi="Arial Narrow" w:cs="Tahoma"/>
          <w:sz w:val="22"/>
          <w:lang w:val="ru-RU"/>
        </w:rPr>
        <w:t>4</w:t>
      </w:r>
      <w:r w:rsidRPr="00553FE9">
        <w:rPr>
          <w:rFonts w:ascii="Arial Narrow" w:hAnsi="Arial Narrow" w:cs="Tahoma"/>
          <w:sz w:val="22"/>
          <w:lang w:val="ru-RU"/>
        </w:rPr>
        <w:t>.</w:t>
      </w:r>
      <w:r w:rsidRPr="00553FE9">
        <w:rPr>
          <w:rFonts w:ascii="Arial Narrow" w:hAnsi="Arial Narrow" w:cs="Tahoma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284295" w:rsidRPr="00553FE9">
        <w:rPr>
          <w:rFonts w:ascii="Arial Narrow" w:hAnsi="Arial Narrow" w:cs="Tahoma"/>
          <w:sz w:val="22"/>
          <w:lang w:val="sr-Cyrl-CS"/>
        </w:rPr>
        <w:t>7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0</w:t>
      </w:r>
      <w:r w:rsidRPr="00553FE9">
        <w:rPr>
          <w:rFonts w:ascii="Arial Narrow" w:hAnsi="Arial Narrow" w:cs="Tahoma"/>
          <w:sz w:val="22"/>
          <w:lang w:val="sr-Cyrl-CS"/>
        </w:rPr>
        <w:t>%.</w:t>
      </w:r>
      <w:r w:rsidRPr="00553FE9">
        <w:rPr>
          <w:rFonts w:ascii="Arial Narrow" w:hAnsi="Arial Narrow" w:cs="Tahoma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У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BA"/>
        </w:rPr>
        <w:t xml:space="preserve">подручју </w:t>
      </w:r>
      <w:r w:rsidR="00284295" w:rsidRPr="00553FE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284295" w:rsidRPr="00553FE9">
        <w:rPr>
          <w:rFonts w:ascii="Arial Narrow" w:hAnsi="Arial Narrow" w:cs="Tahoma"/>
          <w:i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остварен је раст</w:t>
      </w:r>
      <w:r w:rsidRPr="00553FE9">
        <w:rPr>
          <w:rFonts w:ascii="Arial Narrow" w:hAnsi="Arial Narrow" w:cs="Tahoma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BA"/>
        </w:rPr>
        <w:t>од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10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4</w:t>
      </w:r>
      <w:r w:rsidRPr="00553FE9">
        <w:rPr>
          <w:rFonts w:ascii="Arial Narrow" w:hAnsi="Arial Narrow" w:cs="Tahoma"/>
          <w:sz w:val="22"/>
        </w:rPr>
        <w:t>%</w:t>
      </w:r>
      <w:r w:rsidR="00284295" w:rsidRPr="00553FE9">
        <w:rPr>
          <w:rFonts w:ascii="Arial Narrow" w:hAnsi="Arial Narrow" w:cs="Tahoma"/>
          <w:sz w:val="22"/>
          <w:lang w:val="sr-Cyrl-CS"/>
        </w:rPr>
        <w:t>,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lang w:val="sr-Cyrl-BA"/>
        </w:rPr>
        <w:t xml:space="preserve">у </w:t>
      </w:r>
      <w:r w:rsidRPr="00553FE9">
        <w:rPr>
          <w:rFonts w:ascii="Arial Narrow" w:hAnsi="Arial Narrow" w:cs="Tahoma"/>
          <w:i/>
          <w:sz w:val="22"/>
        </w:rPr>
        <w:t>Прерађивачкој индустрији</w:t>
      </w:r>
      <w:r w:rsidRPr="00553FE9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раст</w:t>
      </w:r>
      <w:r w:rsidRPr="00553FE9">
        <w:rPr>
          <w:rFonts w:ascii="Arial Narrow" w:hAnsi="Arial Narrow" w:cs="Tahoma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од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4</w:t>
      </w:r>
      <w:r w:rsidRPr="00553FE9">
        <w:rPr>
          <w:rFonts w:ascii="Arial Narrow" w:hAnsi="Arial Narrow" w:cs="Tahoma"/>
          <w:sz w:val="22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9</w:t>
      </w:r>
      <w:r w:rsidRPr="00553FE9">
        <w:rPr>
          <w:rFonts w:ascii="Arial Narrow" w:hAnsi="Arial Narrow" w:cs="Tahoma"/>
          <w:sz w:val="22"/>
        </w:rPr>
        <w:t>%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 и</w:t>
      </w:r>
      <w:r w:rsidRPr="00553FE9">
        <w:rPr>
          <w:rFonts w:ascii="Arial Narrow" w:hAnsi="Arial Narrow" w:cs="Tahoma"/>
          <w:sz w:val="22"/>
          <w:lang w:val="sr-Cyrl-CS"/>
        </w:rPr>
        <w:t xml:space="preserve"> у 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284295" w:rsidRPr="00553FE9">
        <w:rPr>
          <w:rFonts w:ascii="Arial Narrow" w:hAnsi="Arial Narrow" w:cs="Tahoma"/>
          <w:i/>
          <w:sz w:val="22"/>
        </w:rPr>
        <w:t>Вађењ</w:t>
      </w:r>
      <w:r w:rsidR="00284295" w:rsidRPr="00553FE9">
        <w:rPr>
          <w:rFonts w:ascii="Arial Narrow" w:hAnsi="Arial Narrow" w:cs="Tahoma"/>
          <w:i/>
          <w:sz w:val="22"/>
          <w:lang w:val="sr-Cyrl-BA"/>
        </w:rPr>
        <w:t>а</w:t>
      </w:r>
      <w:r w:rsidR="00284295" w:rsidRPr="00553FE9">
        <w:rPr>
          <w:rFonts w:ascii="Arial Narrow" w:hAnsi="Arial Narrow" w:cs="Tahoma"/>
          <w:i/>
          <w:sz w:val="22"/>
        </w:rPr>
        <w:t xml:space="preserve"> руда и камена</w:t>
      </w:r>
      <w:r w:rsidR="00284295"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раст</w:t>
      </w:r>
      <w:r w:rsidRPr="00553FE9">
        <w:rPr>
          <w:rFonts w:ascii="Arial Narrow" w:hAnsi="Arial Narrow" w:cs="Tahoma"/>
          <w:sz w:val="22"/>
          <w:lang w:val="sr-Cyrl-CS"/>
        </w:rPr>
        <w:t xml:space="preserve"> од </w:t>
      </w:r>
      <w:r w:rsidR="00284295" w:rsidRPr="00553FE9">
        <w:rPr>
          <w:rFonts w:ascii="Arial Narrow" w:hAnsi="Arial Narrow" w:cs="Tahoma"/>
          <w:sz w:val="22"/>
          <w:lang w:val="sr-Cyrl-CS"/>
        </w:rPr>
        <w:t>2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9</w:t>
      </w:r>
      <w:r w:rsidRPr="00553FE9">
        <w:rPr>
          <w:rFonts w:ascii="Arial Narrow" w:hAnsi="Arial Narrow" w:cs="Tahoma"/>
          <w:sz w:val="22"/>
          <w:lang w:val="sr-Cyrl-CS"/>
        </w:rPr>
        <w:t>%</w:t>
      </w:r>
      <w:r w:rsidRPr="00553FE9">
        <w:rPr>
          <w:rFonts w:ascii="Arial Narrow" w:hAnsi="Arial Narrow" w:cs="Tahoma"/>
          <w:sz w:val="22"/>
        </w:rPr>
        <w:t xml:space="preserve">. </w:t>
      </w:r>
      <w:r w:rsidRPr="00553FE9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553FE9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553FE9">
        <w:rPr>
          <w:rFonts w:ascii="Arial Narrow" w:hAnsi="Arial Narrow" w:cs="Tahoma"/>
          <w:sz w:val="22"/>
        </w:rPr>
        <w:t xml:space="preserve">у 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</w:rPr>
        <w:t>201</w:t>
      </w:r>
      <w:r w:rsidR="00284295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</w:rPr>
        <w:t xml:space="preserve">. </w:t>
      </w:r>
      <w:r w:rsidRPr="00553FE9">
        <w:rPr>
          <w:rFonts w:ascii="Arial Narrow" w:hAnsi="Arial Narrow" w:cs="Tahoma"/>
          <w:sz w:val="22"/>
          <w:lang w:val="sr-Cyrl-BA"/>
        </w:rPr>
        <w:t>г</w:t>
      </w:r>
      <w:r w:rsidRPr="00553FE9">
        <w:rPr>
          <w:rFonts w:ascii="Arial Narrow" w:hAnsi="Arial Narrow" w:cs="Tahoma"/>
          <w:sz w:val="22"/>
        </w:rPr>
        <w:t>одине</w:t>
      </w:r>
      <w:r w:rsidRPr="00553FE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</w:rPr>
        <w:t xml:space="preserve">у поређењу </w:t>
      </w:r>
      <w:r w:rsidRPr="00553FE9">
        <w:rPr>
          <w:rFonts w:ascii="Arial Narrow" w:hAnsi="Arial Narrow" w:cs="Tahoma"/>
          <w:sz w:val="22"/>
          <w:lang w:val="sr-Cyrl-BA"/>
        </w:rPr>
        <w:t xml:space="preserve">са 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>фебруаром</w:t>
      </w:r>
      <w:r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>201</w:t>
      </w:r>
      <w:r w:rsidR="00284295" w:rsidRPr="00553FE9">
        <w:rPr>
          <w:rFonts w:ascii="Arial Narrow" w:hAnsi="Arial Narrow" w:cs="Tahoma"/>
          <w:sz w:val="22"/>
          <w:lang w:val="ru-RU"/>
        </w:rPr>
        <w:t>4</w:t>
      </w:r>
      <w:r w:rsidRPr="00553FE9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284295" w:rsidRPr="00553FE9">
        <w:rPr>
          <w:rFonts w:ascii="Arial Narrow" w:hAnsi="Arial Narrow" w:cs="Tahoma"/>
          <w:sz w:val="22"/>
          <w:lang w:val="sr-Cyrl-CS"/>
        </w:rPr>
        <w:t>13</w:t>
      </w:r>
      <w:r w:rsidRPr="00553FE9">
        <w:rPr>
          <w:rFonts w:ascii="Arial Narrow" w:hAnsi="Arial Narrow" w:cs="Tahoma"/>
          <w:sz w:val="22"/>
          <w:lang w:val="bs-Latn-BA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1</w:t>
      </w:r>
      <w:r w:rsidRPr="00553FE9">
        <w:rPr>
          <w:rFonts w:ascii="Arial Narrow" w:hAnsi="Arial Narrow" w:cs="Tahoma"/>
          <w:sz w:val="22"/>
          <w:lang w:val="sr-Cyrl-CS"/>
        </w:rPr>
        <w:t xml:space="preserve">%, 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553FE9">
        <w:rPr>
          <w:rFonts w:ascii="Arial Narrow" w:hAnsi="Arial Narrow" w:cs="Tahoma"/>
          <w:sz w:val="22"/>
          <w:lang w:val="sr-Cyrl-CS"/>
        </w:rPr>
        <w:t xml:space="preserve">за </w:t>
      </w:r>
      <w:r w:rsidR="00284295" w:rsidRPr="00553FE9">
        <w:rPr>
          <w:rFonts w:ascii="Arial Narrow" w:hAnsi="Arial Narrow" w:cs="Tahoma"/>
          <w:sz w:val="22"/>
          <w:lang w:val="sr-Cyrl-CS"/>
        </w:rPr>
        <w:t>10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9</w:t>
      </w:r>
      <w:r w:rsidRPr="00553FE9">
        <w:rPr>
          <w:rFonts w:ascii="Arial Narrow" w:hAnsi="Arial Narrow" w:cs="Tahoma"/>
          <w:sz w:val="22"/>
          <w:lang w:val="sr-Cyrl-CS"/>
        </w:rPr>
        <w:t>%</w:t>
      </w:r>
      <w:r w:rsidR="00284295" w:rsidRPr="00553FE9">
        <w:rPr>
          <w:rFonts w:ascii="Arial Narrow" w:hAnsi="Arial Narrow" w:cs="Tahoma"/>
          <w:sz w:val="22"/>
          <w:lang w:val="sr-Cyrl-CS"/>
        </w:rPr>
        <w:t>,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за </w:t>
      </w:r>
      <w:r w:rsidR="00284295" w:rsidRPr="00553FE9">
        <w:rPr>
          <w:rFonts w:ascii="Arial Narrow" w:hAnsi="Arial Narrow" w:cs="Tahoma"/>
          <w:sz w:val="22"/>
          <w:lang w:val="sr-Cyrl-CS"/>
        </w:rPr>
        <w:t>8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3</w:t>
      </w:r>
      <w:r w:rsidRPr="00553FE9">
        <w:rPr>
          <w:rFonts w:ascii="Arial Narrow" w:hAnsi="Arial Narrow" w:cs="Tahoma"/>
          <w:sz w:val="22"/>
          <w:lang w:val="sr-Cyrl-CS"/>
        </w:rPr>
        <w:t>%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 и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553FE9">
        <w:rPr>
          <w:rFonts w:ascii="Arial Narrow" w:hAnsi="Arial Narrow" w:cs="Tahoma"/>
          <w:sz w:val="22"/>
          <w:lang w:val="sr-Cyrl-CS"/>
        </w:rPr>
        <w:t xml:space="preserve">за </w:t>
      </w:r>
      <w:r w:rsidR="00284295" w:rsidRPr="00553FE9">
        <w:rPr>
          <w:rFonts w:ascii="Arial Narrow" w:hAnsi="Arial Narrow" w:cs="Tahoma"/>
          <w:sz w:val="22"/>
          <w:lang w:val="sr-Cyrl-CS"/>
        </w:rPr>
        <w:t>1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2</w:t>
      </w:r>
      <w:r w:rsidRPr="00553FE9">
        <w:rPr>
          <w:rFonts w:ascii="Arial Narrow" w:hAnsi="Arial Narrow" w:cs="Tahoma"/>
          <w:sz w:val="22"/>
          <w:lang w:val="sr-Cyrl-CS"/>
        </w:rPr>
        <w:t>%</w:t>
      </w:r>
      <w:r w:rsidR="00284295" w:rsidRPr="00553FE9">
        <w:rPr>
          <w:rFonts w:ascii="Arial Narrow" w:hAnsi="Arial Narrow" w:cs="Tahoma"/>
          <w:sz w:val="22"/>
          <w:lang w:val="sr-Cyrl-CS"/>
        </w:rPr>
        <w:t>,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док је производња интермедијарних производа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 xml:space="preserve"> мања </w:t>
      </w:r>
      <w:r w:rsidRPr="00553FE9">
        <w:rPr>
          <w:rFonts w:ascii="Arial Narrow" w:hAnsi="Arial Narrow" w:cs="Tahoma"/>
          <w:sz w:val="22"/>
          <w:lang w:val="sr-Cyrl-CS"/>
        </w:rPr>
        <w:t xml:space="preserve">за </w:t>
      </w:r>
      <w:r w:rsidR="00284295" w:rsidRPr="00553FE9">
        <w:rPr>
          <w:rFonts w:ascii="Arial Narrow" w:hAnsi="Arial Narrow" w:cs="Tahoma"/>
          <w:sz w:val="22"/>
          <w:lang w:val="sr-Cyrl-CS"/>
        </w:rPr>
        <w:t>0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7</w:t>
      </w:r>
      <w:r w:rsidRPr="00553FE9">
        <w:rPr>
          <w:rFonts w:ascii="Arial Narrow" w:hAnsi="Arial Narrow" w:cs="Tahoma"/>
          <w:sz w:val="22"/>
          <w:lang w:val="sr-Cyrl-CS"/>
        </w:rPr>
        <w:t>%.</w:t>
      </w:r>
    </w:p>
    <w:p w:rsidR="000213F8" w:rsidRPr="00553FE9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</w:p>
    <w:p w:rsidR="000213F8" w:rsidRPr="00553FE9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  <w:r w:rsidRPr="00553FE9">
        <w:rPr>
          <w:rFonts w:ascii="Arial Narrow" w:hAnsi="Arial Narrow" w:cs="Tahoma"/>
          <w:b/>
          <w:sz w:val="22"/>
          <w:lang w:val="sr-Cyrl-CS"/>
        </w:rPr>
        <w:t>Д</w:t>
      </w:r>
      <w:r w:rsidRPr="00553FE9">
        <w:rPr>
          <w:rFonts w:ascii="Arial Narrow" w:hAnsi="Arial Narrow" w:cs="Tahoma"/>
          <w:b/>
          <w:sz w:val="22"/>
        </w:rPr>
        <w:t>есезонирана индустријска производња</w:t>
      </w:r>
      <w:r w:rsidRPr="00553FE9">
        <w:rPr>
          <w:rFonts w:ascii="Arial Narrow" w:hAnsi="Arial Narrow" w:cs="Tahoma"/>
          <w:sz w:val="22"/>
        </w:rPr>
        <w:t xml:space="preserve"> у </w:t>
      </w:r>
      <w:r w:rsidR="00284295" w:rsidRPr="00553FE9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</w:rPr>
        <w:t>201</w:t>
      </w:r>
      <w:r w:rsidR="00284295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</w:rPr>
        <w:t xml:space="preserve">. </w:t>
      </w:r>
      <w:r w:rsidRPr="00553FE9">
        <w:rPr>
          <w:rFonts w:ascii="Arial Narrow" w:hAnsi="Arial Narrow" w:cs="Tahoma"/>
          <w:sz w:val="22"/>
          <w:lang w:val="sr-Cyrl-BA"/>
        </w:rPr>
        <w:t>г</w:t>
      </w:r>
      <w:r w:rsidRPr="00553FE9">
        <w:rPr>
          <w:rFonts w:ascii="Arial Narrow" w:hAnsi="Arial Narrow" w:cs="Tahoma"/>
          <w:sz w:val="22"/>
        </w:rPr>
        <w:t>одине</w:t>
      </w:r>
      <w:r w:rsidRPr="00553FE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</w:rPr>
        <w:t xml:space="preserve">у поређењу </w:t>
      </w:r>
      <w:r w:rsidRPr="00553FE9">
        <w:rPr>
          <w:rFonts w:ascii="Arial Narrow" w:hAnsi="Arial Narrow" w:cs="Tahoma"/>
          <w:sz w:val="22"/>
          <w:lang w:val="sr-Cyrl-BA"/>
        </w:rPr>
        <w:t xml:space="preserve">са </w:t>
      </w:r>
      <w:r w:rsidR="00284295" w:rsidRPr="00553FE9">
        <w:rPr>
          <w:rFonts w:ascii="Arial Narrow" w:hAnsi="Arial Narrow" w:cs="Tahoma"/>
          <w:sz w:val="22"/>
          <w:lang w:val="sr-Cyrl-BA"/>
        </w:rPr>
        <w:t>јануаром</w:t>
      </w:r>
      <w:r w:rsidRPr="00553FE9">
        <w:rPr>
          <w:rFonts w:ascii="Arial Narrow" w:hAnsi="Arial Narrow" w:cs="Tahoma"/>
          <w:sz w:val="22"/>
          <w:lang w:val="ru-RU"/>
        </w:rPr>
        <w:t xml:space="preserve"> 201</w:t>
      </w:r>
      <w:r w:rsidR="00284295" w:rsidRPr="00553FE9">
        <w:rPr>
          <w:rFonts w:ascii="Arial Narrow" w:hAnsi="Arial Narrow" w:cs="Tahoma"/>
          <w:sz w:val="22"/>
          <w:lang w:val="ru-RU"/>
        </w:rPr>
        <w:t>5</w:t>
      </w:r>
      <w:r w:rsidRPr="00553FE9">
        <w:rPr>
          <w:rFonts w:ascii="Arial Narrow" w:hAnsi="Arial Narrow" w:cs="Tahoma"/>
          <w:sz w:val="22"/>
          <w:lang w:val="ru-RU"/>
        </w:rPr>
        <w:t>.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већа</w:t>
      </w:r>
      <w:r w:rsidRPr="00553FE9">
        <w:rPr>
          <w:rFonts w:ascii="Arial Narrow" w:hAnsi="Arial Narrow" w:cs="Tahoma"/>
          <w:sz w:val="22"/>
          <w:lang w:val="sr-Cyrl-CS"/>
        </w:rPr>
        <w:t xml:space="preserve"> је за </w:t>
      </w:r>
      <w:r w:rsidR="00284295" w:rsidRPr="00553FE9">
        <w:rPr>
          <w:rFonts w:ascii="Arial Narrow" w:hAnsi="Arial Narrow" w:cs="Tahoma"/>
          <w:sz w:val="22"/>
          <w:lang w:val="sr-Cyrl-CS"/>
        </w:rPr>
        <w:t>4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9</w:t>
      </w:r>
      <w:r w:rsidRPr="00553FE9">
        <w:rPr>
          <w:rFonts w:ascii="Arial Narrow" w:hAnsi="Arial Narrow" w:cs="Tahoma"/>
          <w:sz w:val="22"/>
          <w:lang w:val="sr-Cyrl-CS"/>
        </w:rPr>
        <w:t>%.</w:t>
      </w:r>
      <w:r w:rsidRPr="00553FE9">
        <w:rPr>
          <w:rFonts w:ascii="Arial Narrow" w:hAnsi="Arial Narrow" w:cs="Tahoma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У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284295" w:rsidRPr="00553FE9">
        <w:rPr>
          <w:rFonts w:ascii="Arial Narrow" w:hAnsi="Arial Narrow" w:cs="Tahoma"/>
          <w:i/>
          <w:sz w:val="22"/>
        </w:rPr>
        <w:t>Вађењ</w:t>
      </w:r>
      <w:r w:rsidR="00284295" w:rsidRPr="00553FE9">
        <w:rPr>
          <w:rFonts w:ascii="Arial Narrow" w:hAnsi="Arial Narrow" w:cs="Tahoma"/>
          <w:i/>
          <w:sz w:val="22"/>
          <w:lang w:val="sr-Cyrl-BA"/>
        </w:rPr>
        <w:t>а</w:t>
      </w:r>
      <w:r w:rsidR="00284295" w:rsidRPr="00553FE9">
        <w:rPr>
          <w:rFonts w:ascii="Arial Narrow" w:hAnsi="Arial Narrow" w:cs="Tahoma"/>
          <w:i/>
          <w:sz w:val="22"/>
        </w:rPr>
        <w:t xml:space="preserve"> руда и камена</w:t>
      </w:r>
      <w:r w:rsidR="00284295"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остварен је раст</w:t>
      </w:r>
      <w:r w:rsidR="00284295" w:rsidRPr="00553FE9">
        <w:rPr>
          <w:rFonts w:ascii="Arial Narrow" w:hAnsi="Arial Narrow" w:cs="Tahoma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од </w:t>
      </w:r>
      <w:r w:rsidR="00284295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6</w:t>
      </w:r>
      <w:r w:rsidRPr="00553FE9">
        <w:rPr>
          <w:rFonts w:ascii="Arial Narrow" w:hAnsi="Arial Narrow" w:cs="Tahoma"/>
          <w:sz w:val="22"/>
          <w:lang w:val="sr-Cyrl-CS"/>
        </w:rPr>
        <w:t>% и у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i/>
          <w:sz w:val="22"/>
        </w:rPr>
        <w:t>Прерађивачкој индустрији</w:t>
      </w:r>
      <w:r w:rsidR="00284295" w:rsidRPr="00553FE9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раст</w:t>
      </w:r>
      <w:r w:rsidRPr="00553FE9">
        <w:rPr>
          <w:rFonts w:ascii="Arial Narrow" w:hAnsi="Arial Narrow" w:cs="Tahoma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sr-Cyrl-BA"/>
        </w:rPr>
        <w:t>од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4</w:t>
      </w:r>
      <w:r w:rsidRPr="00553FE9">
        <w:rPr>
          <w:rFonts w:ascii="Arial Narrow" w:hAnsi="Arial Narrow" w:cs="Tahoma"/>
          <w:sz w:val="22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3</w:t>
      </w:r>
      <w:r w:rsidRPr="00553FE9">
        <w:rPr>
          <w:rFonts w:ascii="Arial Narrow" w:hAnsi="Arial Narrow" w:cs="Tahoma"/>
          <w:sz w:val="22"/>
        </w:rPr>
        <w:t>%</w:t>
      </w:r>
      <w:r w:rsidRPr="00553FE9">
        <w:rPr>
          <w:rFonts w:ascii="Arial Narrow" w:hAnsi="Arial Narrow" w:cs="Tahoma"/>
          <w:sz w:val="22"/>
          <w:lang w:val="sr-Cyrl-CS"/>
        </w:rPr>
        <w:t xml:space="preserve">, док је у 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284295" w:rsidRPr="00553FE9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284295" w:rsidRPr="00553FE9">
        <w:rPr>
          <w:rFonts w:ascii="Arial Narrow" w:hAnsi="Arial Narrow" w:cs="Tahoma"/>
          <w:i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BA"/>
        </w:rPr>
        <w:t>за</w:t>
      </w:r>
      <w:r w:rsidR="00284295" w:rsidRPr="00553FE9">
        <w:rPr>
          <w:rFonts w:ascii="Arial Narrow" w:hAnsi="Arial Narrow" w:cs="Tahoma"/>
          <w:sz w:val="22"/>
          <w:lang w:val="sr-Cyrl-CS"/>
        </w:rPr>
        <w:t xml:space="preserve">биљежен пад </w:t>
      </w:r>
      <w:r w:rsidRPr="00553FE9">
        <w:rPr>
          <w:rFonts w:ascii="Arial Narrow" w:hAnsi="Arial Narrow" w:cs="Tahoma"/>
          <w:sz w:val="22"/>
          <w:lang w:val="sr-Cyrl-CS"/>
        </w:rPr>
        <w:t>од</w:t>
      </w:r>
      <w:r w:rsidRPr="00553FE9">
        <w:rPr>
          <w:rFonts w:ascii="Arial Narrow" w:hAnsi="Arial Narrow" w:cs="Tahoma"/>
          <w:sz w:val="22"/>
        </w:rPr>
        <w:t xml:space="preserve"> </w:t>
      </w:r>
      <w:r w:rsidR="00284295" w:rsidRPr="00553FE9">
        <w:rPr>
          <w:rFonts w:ascii="Arial Narrow" w:hAnsi="Arial Narrow" w:cs="Tahoma"/>
          <w:sz w:val="22"/>
          <w:lang w:val="sr-Cyrl-CS"/>
        </w:rPr>
        <w:t>1</w:t>
      </w:r>
      <w:r w:rsidRPr="00553FE9">
        <w:rPr>
          <w:rFonts w:ascii="Arial Narrow" w:hAnsi="Arial Narrow" w:cs="Tahoma"/>
          <w:sz w:val="22"/>
        </w:rPr>
        <w:t>,</w:t>
      </w:r>
      <w:r w:rsidR="00284295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</w:rPr>
        <w:t>%</w:t>
      </w:r>
      <w:r w:rsidRPr="00553FE9">
        <w:rPr>
          <w:rFonts w:ascii="Arial Narrow" w:hAnsi="Arial Narrow" w:cs="Tahoma"/>
          <w:sz w:val="22"/>
          <w:lang w:val="sr-Cyrl-CS"/>
        </w:rPr>
        <w:t>.</w:t>
      </w:r>
      <w:r w:rsidRPr="00553FE9">
        <w:rPr>
          <w:rFonts w:ascii="Arial Narrow" w:hAnsi="Arial Narrow" w:cs="Tahoma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553FE9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</w:rPr>
        <w:t xml:space="preserve">у </w:t>
      </w:r>
      <w:r w:rsidR="00B85D9D" w:rsidRPr="00553FE9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B85D9D"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</w:rPr>
        <w:t>201</w:t>
      </w:r>
      <w:r w:rsidR="00B85D9D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</w:rPr>
        <w:t xml:space="preserve">. </w:t>
      </w:r>
      <w:r w:rsidRPr="00553FE9">
        <w:rPr>
          <w:rFonts w:ascii="Arial Narrow" w:hAnsi="Arial Narrow" w:cs="Tahoma"/>
          <w:sz w:val="22"/>
          <w:lang w:val="sr-Cyrl-BA"/>
        </w:rPr>
        <w:t>г</w:t>
      </w:r>
      <w:r w:rsidRPr="00553FE9">
        <w:rPr>
          <w:rFonts w:ascii="Arial Narrow" w:hAnsi="Arial Narrow" w:cs="Tahoma"/>
          <w:sz w:val="22"/>
        </w:rPr>
        <w:t>одине</w:t>
      </w:r>
      <w:r w:rsidRPr="00553FE9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</w:rPr>
        <w:t xml:space="preserve">у поређењу </w:t>
      </w:r>
      <w:r w:rsidRPr="00553FE9">
        <w:rPr>
          <w:rFonts w:ascii="Arial Narrow" w:hAnsi="Arial Narrow" w:cs="Tahoma"/>
          <w:sz w:val="22"/>
          <w:lang w:val="sr-Cyrl-BA"/>
        </w:rPr>
        <w:t xml:space="preserve">са </w:t>
      </w:r>
      <w:r w:rsidR="00B85D9D" w:rsidRPr="00553FE9">
        <w:rPr>
          <w:rFonts w:ascii="Arial Narrow" w:hAnsi="Arial Narrow" w:cs="Tahoma"/>
          <w:sz w:val="22"/>
          <w:lang w:val="sr-Cyrl-BA"/>
        </w:rPr>
        <w:t>јануаром</w:t>
      </w:r>
      <w:r w:rsidR="00B85D9D"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>201</w:t>
      </w:r>
      <w:r w:rsidR="00B85D9D" w:rsidRPr="00553FE9">
        <w:rPr>
          <w:rFonts w:ascii="Arial Narrow" w:hAnsi="Arial Narrow" w:cs="Tahoma"/>
          <w:sz w:val="22"/>
          <w:lang w:val="ru-RU"/>
        </w:rPr>
        <w:t>5</w:t>
      </w:r>
      <w:r w:rsidRPr="00553FE9">
        <w:rPr>
          <w:rFonts w:ascii="Arial Narrow" w:hAnsi="Arial Narrow" w:cs="Tahoma"/>
          <w:sz w:val="22"/>
          <w:lang w:val="ru-RU"/>
        </w:rPr>
        <w:t xml:space="preserve">. </w:t>
      </w:r>
      <w:r w:rsidRPr="00553FE9">
        <w:rPr>
          <w:rFonts w:ascii="Arial Narrow" w:hAnsi="Arial Narrow" w:cs="Tahoma"/>
          <w:spacing w:val="-2"/>
          <w:sz w:val="22"/>
          <w:lang w:val="sr-Cyrl-BA"/>
        </w:rPr>
        <w:t>десезонирана производња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Pr="00553FE9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B85D9D" w:rsidRPr="00553FE9">
        <w:rPr>
          <w:rFonts w:ascii="Arial Narrow" w:hAnsi="Arial Narrow" w:cs="Tahoma"/>
          <w:sz w:val="22"/>
          <w:lang w:val="sr-Cyrl-CS"/>
        </w:rPr>
        <w:t>13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B85D9D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 xml:space="preserve">%, </w:t>
      </w:r>
      <w:r w:rsidR="00B85D9D" w:rsidRPr="00553FE9">
        <w:rPr>
          <w:rFonts w:ascii="Arial Narrow" w:hAnsi="Arial Narrow" w:cs="Tahoma"/>
          <w:sz w:val="22"/>
          <w:lang w:val="sr-Cyrl-CS"/>
        </w:rPr>
        <w:t>енергије</w:t>
      </w:r>
      <w:r w:rsidR="00B85D9D"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pacing w:val="-2"/>
          <w:sz w:val="22"/>
          <w:lang w:val="sr-Cyrl-CS"/>
        </w:rPr>
        <w:t xml:space="preserve">за </w:t>
      </w:r>
      <w:r w:rsidR="00B85D9D" w:rsidRPr="00553FE9">
        <w:rPr>
          <w:rFonts w:ascii="Arial Narrow" w:hAnsi="Arial Narrow" w:cs="Tahoma"/>
          <w:spacing w:val="-2"/>
          <w:sz w:val="22"/>
          <w:lang w:val="sr-Cyrl-CS"/>
        </w:rPr>
        <w:t>11</w:t>
      </w:r>
      <w:r w:rsidRPr="00553FE9">
        <w:rPr>
          <w:rFonts w:ascii="Arial Narrow" w:hAnsi="Arial Narrow" w:cs="Tahoma"/>
          <w:spacing w:val="-2"/>
          <w:sz w:val="22"/>
          <w:lang w:val="sr-Cyrl-CS"/>
        </w:rPr>
        <w:t>,</w:t>
      </w:r>
      <w:r w:rsidR="00B85D9D" w:rsidRPr="00553FE9">
        <w:rPr>
          <w:rFonts w:ascii="Arial Narrow" w:hAnsi="Arial Narrow" w:cs="Tahoma"/>
          <w:spacing w:val="-2"/>
          <w:sz w:val="22"/>
          <w:lang w:val="sr-Cyrl-CS"/>
        </w:rPr>
        <w:t>8</w:t>
      </w:r>
      <w:r w:rsidRPr="00553FE9">
        <w:rPr>
          <w:rFonts w:ascii="Arial Narrow" w:hAnsi="Arial Narrow" w:cs="Tahoma"/>
          <w:spacing w:val="-2"/>
          <w:sz w:val="22"/>
          <w:lang w:val="sr-Cyrl-CS"/>
        </w:rPr>
        <w:t>%</w:t>
      </w:r>
      <w:r w:rsidR="00B85D9D" w:rsidRPr="00553FE9">
        <w:rPr>
          <w:rFonts w:ascii="Arial Narrow" w:hAnsi="Arial Narrow" w:cs="Tahoma"/>
          <w:spacing w:val="-2"/>
          <w:sz w:val="22"/>
          <w:lang w:val="sr-Cyrl-CS"/>
        </w:rPr>
        <w:t>,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B85D9D" w:rsidRPr="00553FE9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553FE9">
        <w:rPr>
          <w:rFonts w:ascii="Arial Narrow" w:hAnsi="Arial Narrow" w:cs="Tahoma"/>
          <w:sz w:val="22"/>
          <w:lang w:val="sr-Cyrl-CS"/>
        </w:rPr>
        <w:t xml:space="preserve">за </w:t>
      </w:r>
      <w:r w:rsidR="00B85D9D" w:rsidRPr="00553FE9">
        <w:rPr>
          <w:rFonts w:ascii="Arial Narrow" w:hAnsi="Arial Narrow" w:cs="Tahoma"/>
          <w:sz w:val="22"/>
          <w:lang w:val="sr-Cyrl-CS"/>
        </w:rPr>
        <w:t>9</w:t>
      </w:r>
      <w:r w:rsidRPr="00553FE9">
        <w:rPr>
          <w:rFonts w:ascii="Arial Narrow" w:hAnsi="Arial Narrow" w:cs="Tahoma"/>
          <w:sz w:val="22"/>
          <w:lang w:val="bs-Latn-BA"/>
        </w:rPr>
        <w:t>,</w:t>
      </w:r>
      <w:r w:rsidR="00B85D9D" w:rsidRPr="00553FE9">
        <w:rPr>
          <w:rFonts w:ascii="Arial Narrow" w:hAnsi="Arial Narrow" w:cs="Tahoma"/>
          <w:sz w:val="22"/>
          <w:lang w:val="sr-Cyrl-CS"/>
        </w:rPr>
        <w:t>1%</w:t>
      </w:r>
      <w:r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B85D9D" w:rsidRPr="00553FE9">
        <w:rPr>
          <w:rFonts w:ascii="Arial Narrow" w:hAnsi="Arial Narrow" w:cs="Tahoma"/>
          <w:sz w:val="22"/>
          <w:lang w:val="sr-Cyrl-CS"/>
        </w:rPr>
        <w:t>и интермедијарних</w:t>
      </w:r>
      <w:r w:rsidR="00B85D9D" w:rsidRPr="00553FE9">
        <w:rPr>
          <w:rFonts w:ascii="Arial Narrow" w:hAnsi="Arial Narrow" w:cs="Tahoma"/>
          <w:spacing w:val="-2"/>
          <w:sz w:val="22"/>
          <w:lang w:val="sr-Cyrl-CS"/>
        </w:rPr>
        <w:t xml:space="preserve"> производа</w:t>
      </w:r>
      <w:r w:rsidR="00B85D9D" w:rsidRPr="00553FE9">
        <w:rPr>
          <w:rFonts w:ascii="Arial Narrow" w:hAnsi="Arial Narrow" w:cs="Tahoma"/>
          <w:sz w:val="22"/>
          <w:lang w:val="sr-Cyrl-CS"/>
        </w:rPr>
        <w:t xml:space="preserve"> за 0,1%, </w:t>
      </w:r>
      <w:r w:rsidRPr="00553FE9">
        <w:rPr>
          <w:rFonts w:ascii="Arial Narrow" w:hAnsi="Arial Narrow" w:cs="Tahoma"/>
          <w:sz w:val="22"/>
          <w:lang w:val="sr-Cyrl-CS"/>
        </w:rPr>
        <w:t xml:space="preserve">док је производња </w:t>
      </w:r>
      <w:r w:rsidR="00B85D9D" w:rsidRPr="00553FE9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553FE9">
        <w:rPr>
          <w:rFonts w:ascii="Arial Narrow" w:hAnsi="Arial Narrow" w:cs="Tahoma"/>
          <w:sz w:val="22"/>
          <w:lang w:val="sr-Cyrl-CS"/>
        </w:rPr>
        <w:t xml:space="preserve">мања за </w:t>
      </w:r>
      <w:r w:rsidR="00B85D9D" w:rsidRPr="00553FE9">
        <w:rPr>
          <w:rFonts w:ascii="Arial Narrow" w:hAnsi="Arial Narrow" w:cs="Tahoma"/>
          <w:sz w:val="22"/>
          <w:lang w:val="sr-Cyrl-CS"/>
        </w:rPr>
        <w:t>0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B85D9D" w:rsidRPr="00553FE9">
        <w:rPr>
          <w:rFonts w:ascii="Arial Narrow" w:hAnsi="Arial Narrow" w:cs="Tahoma"/>
          <w:sz w:val="22"/>
          <w:lang w:val="sr-Cyrl-CS"/>
        </w:rPr>
        <w:t>6%.</w:t>
      </w:r>
    </w:p>
    <w:p w:rsidR="000213F8" w:rsidRPr="00553FE9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</w:p>
    <w:p w:rsidR="000213F8" w:rsidRPr="00553FE9" w:rsidRDefault="000213F8" w:rsidP="000213F8">
      <w:pPr>
        <w:jc w:val="both"/>
        <w:rPr>
          <w:rFonts w:ascii="Arial Narrow" w:hAnsi="Arial Narrow" w:cs="Tahoma"/>
          <w:sz w:val="22"/>
          <w:lang w:val="sr-Latn-CS"/>
        </w:rPr>
      </w:pPr>
      <w:r w:rsidRPr="00553FE9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553FE9">
        <w:rPr>
          <w:rFonts w:ascii="Arial Narrow" w:hAnsi="Arial Narrow" w:cs="Tahoma"/>
          <w:sz w:val="22"/>
          <w:lang w:val="ru-RU"/>
        </w:rPr>
        <w:t xml:space="preserve"> у </w:t>
      </w:r>
      <w:r w:rsidR="00B85D9D" w:rsidRPr="00553FE9">
        <w:rPr>
          <w:rFonts w:ascii="Arial Narrow" w:hAnsi="Arial Narrow" w:cs="Tahoma"/>
          <w:spacing w:val="-2"/>
          <w:sz w:val="22"/>
          <w:lang w:val="sr-Cyrl-CS"/>
        </w:rPr>
        <w:t>фебруару</w:t>
      </w:r>
      <w:r w:rsidR="00B85D9D" w:rsidRPr="00553FE9">
        <w:rPr>
          <w:rFonts w:ascii="Arial Narrow" w:hAnsi="Arial Narrow" w:cs="Tahoma"/>
          <w:spacing w:val="-2"/>
          <w:sz w:val="22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>201</w:t>
      </w:r>
      <w:r w:rsidR="00B85D9D" w:rsidRPr="00553FE9">
        <w:rPr>
          <w:rFonts w:ascii="Arial Narrow" w:hAnsi="Arial Narrow" w:cs="Tahoma"/>
          <w:sz w:val="22"/>
          <w:lang w:val="ru-RU"/>
        </w:rPr>
        <w:t>5</w:t>
      </w:r>
      <w:r w:rsidRPr="00553FE9">
        <w:rPr>
          <w:rFonts w:ascii="Arial Narrow" w:hAnsi="Arial Narrow" w:cs="Tahoma"/>
          <w:sz w:val="22"/>
          <w:lang w:val="ru-RU"/>
        </w:rPr>
        <w:t xml:space="preserve">. године </w:t>
      </w:r>
      <w:r w:rsidRPr="00553FE9">
        <w:rPr>
          <w:rFonts w:ascii="Arial Narrow" w:hAnsi="Arial Narrow" w:cs="Tahoma"/>
          <w:sz w:val="22"/>
          <w:lang w:val="sr-Cyrl-CS"/>
        </w:rPr>
        <w:t xml:space="preserve">у </w:t>
      </w:r>
      <w:r w:rsidRPr="00553FE9">
        <w:rPr>
          <w:rFonts w:ascii="Arial Narrow" w:hAnsi="Arial Narrow" w:cs="Tahoma"/>
          <w:sz w:val="22"/>
          <w:lang w:val="ru-RU"/>
        </w:rPr>
        <w:t xml:space="preserve">односу на </w:t>
      </w:r>
      <w:r w:rsidR="00553FE9" w:rsidRPr="00553FE9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553FE9" w:rsidRPr="00553FE9">
        <w:rPr>
          <w:rFonts w:ascii="Arial Narrow" w:hAnsi="Arial Narrow" w:cs="Tahoma"/>
          <w:sz w:val="22"/>
          <w:lang w:val="sr-Cyrl-CS"/>
        </w:rPr>
        <w:t xml:space="preserve"> </w:t>
      </w:r>
      <w:r w:rsidR="00553FE9" w:rsidRPr="00553FE9">
        <w:rPr>
          <w:rFonts w:ascii="Arial Narrow" w:hAnsi="Arial Narrow" w:cs="Tahoma"/>
          <w:sz w:val="22"/>
          <w:lang w:val="ru-RU"/>
        </w:rPr>
        <w:t>већи</w:t>
      </w:r>
      <w:r w:rsidR="00FA7ED6">
        <w:rPr>
          <w:rFonts w:ascii="Arial Narrow" w:hAnsi="Arial Narrow" w:cs="Tahoma"/>
          <w:sz w:val="22"/>
          <w:lang w:val="sr-Latn-BA"/>
        </w:rPr>
        <w:t xml:space="preserve"> je</w:t>
      </w:r>
      <w:r w:rsidR="00553FE9" w:rsidRPr="00553FE9">
        <w:rPr>
          <w:rFonts w:ascii="Arial Narrow" w:hAnsi="Arial Narrow" w:cs="Tahoma"/>
          <w:sz w:val="22"/>
          <w:lang w:val="ru-RU"/>
        </w:rPr>
        <w:t xml:space="preserve"> за</w:t>
      </w:r>
      <w:r w:rsidR="00553FE9" w:rsidRPr="00553FE9">
        <w:rPr>
          <w:rFonts w:ascii="Arial Narrow" w:hAnsi="Arial Narrow" w:cs="Tahoma"/>
          <w:sz w:val="22"/>
          <w:lang w:val="sr-Latn-CS"/>
        </w:rPr>
        <w:t xml:space="preserve"> </w:t>
      </w:r>
      <w:r w:rsidR="00553FE9" w:rsidRPr="00553FE9">
        <w:rPr>
          <w:rFonts w:ascii="Arial Narrow" w:hAnsi="Arial Narrow" w:cs="Tahoma"/>
          <w:sz w:val="22"/>
          <w:lang w:val="sr-Cyrl-CS"/>
        </w:rPr>
        <w:t>0,7%</w:t>
      </w:r>
      <w:r w:rsidR="00553FE9">
        <w:rPr>
          <w:rFonts w:ascii="Arial Narrow" w:hAnsi="Arial Narrow" w:cs="Tahoma"/>
          <w:sz w:val="22"/>
          <w:lang w:val="sr-Latn-BA"/>
        </w:rPr>
        <w:t xml:space="preserve">, у односу на </w:t>
      </w:r>
      <w:r w:rsidR="00B85D9D" w:rsidRPr="00553FE9">
        <w:rPr>
          <w:rFonts w:ascii="Arial Narrow" w:hAnsi="Arial Narrow" w:cs="Tahoma"/>
          <w:sz w:val="22"/>
          <w:lang w:val="sr-Cyrl-CS"/>
        </w:rPr>
        <w:t>јануар 2015.</w:t>
      </w:r>
      <w:r w:rsidR="00B85D9D" w:rsidRPr="00553FE9">
        <w:rPr>
          <w:rFonts w:ascii="Arial Narrow" w:hAnsi="Arial Narrow" w:cs="Tahoma"/>
          <w:sz w:val="22"/>
          <w:lang w:val="ru-RU"/>
        </w:rPr>
        <w:t xml:space="preserve"> године </w:t>
      </w:r>
      <w:r w:rsidR="00B85D9D" w:rsidRPr="00553FE9">
        <w:rPr>
          <w:rFonts w:ascii="Arial Narrow" w:hAnsi="Arial Narrow" w:cs="Tahoma"/>
          <w:sz w:val="22"/>
          <w:lang w:val="sr-Cyrl-CS"/>
        </w:rPr>
        <w:t>мањи</w:t>
      </w:r>
      <w:r w:rsidRPr="00553FE9">
        <w:rPr>
          <w:rFonts w:ascii="Arial Narrow" w:hAnsi="Arial Narrow" w:cs="Tahoma"/>
          <w:sz w:val="22"/>
          <w:lang w:val="sr-Latn-CS"/>
        </w:rPr>
        <w:t xml:space="preserve"> је за </w:t>
      </w:r>
      <w:r w:rsidR="00B85D9D" w:rsidRPr="00553FE9">
        <w:rPr>
          <w:rFonts w:ascii="Arial Narrow" w:hAnsi="Arial Narrow" w:cs="Tahoma"/>
          <w:sz w:val="22"/>
          <w:lang w:val="sr-Cyrl-CS"/>
        </w:rPr>
        <w:t>0</w:t>
      </w:r>
      <w:r w:rsidRPr="00553FE9">
        <w:rPr>
          <w:rFonts w:ascii="Arial Narrow" w:hAnsi="Arial Narrow" w:cs="Tahoma"/>
          <w:sz w:val="22"/>
          <w:lang w:val="sr-Latn-CS"/>
        </w:rPr>
        <w:t>,</w:t>
      </w:r>
      <w:r w:rsidR="00B85D9D" w:rsidRPr="00553FE9">
        <w:rPr>
          <w:rFonts w:ascii="Arial Narrow" w:hAnsi="Arial Narrow" w:cs="Tahoma"/>
          <w:sz w:val="22"/>
          <w:lang w:val="sr-Cyrl-CS"/>
        </w:rPr>
        <w:t>2</w:t>
      </w:r>
      <w:r w:rsidRPr="00553FE9">
        <w:rPr>
          <w:rFonts w:ascii="Arial Narrow" w:hAnsi="Arial Narrow" w:cs="Tahoma"/>
          <w:sz w:val="22"/>
          <w:lang w:val="sr-Latn-CS"/>
        </w:rPr>
        <w:t>%</w:t>
      </w:r>
      <w:r w:rsidRPr="00553FE9">
        <w:rPr>
          <w:rFonts w:ascii="Arial Narrow" w:hAnsi="Arial Narrow" w:cs="Tahoma"/>
          <w:sz w:val="22"/>
          <w:lang w:val="sr-Cyrl-CS"/>
        </w:rPr>
        <w:t xml:space="preserve"> и</w:t>
      </w:r>
      <w:r w:rsidRPr="00553FE9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B85D9D" w:rsidRPr="00553FE9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B85D9D" w:rsidRPr="00553FE9">
        <w:rPr>
          <w:rFonts w:ascii="Arial Narrow" w:hAnsi="Arial Narrow" w:cs="Tahoma"/>
          <w:sz w:val="22"/>
          <w:lang w:val="sr-Cyrl-CS"/>
        </w:rPr>
        <w:t>4</w:t>
      </w:r>
      <w:r w:rsidR="00B85D9D" w:rsidRPr="00553FE9">
        <w:rPr>
          <w:rFonts w:ascii="Arial Narrow" w:hAnsi="Arial Narrow" w:cs="Tahoma"/>
          <w:sz w:val="22"/>
          <w:lang w:val="sr-Latn-CS"/>
        </w:rPr>
        <w:t xml:space="preserve">. </w:t>
      </w:r>
      <w:r w:rsidR="00B85D9D" w:rsidRPr="00553FE9">
        <w:rPr>
          <w:rFonts w:ascii="Arial Narrow" w:hAnsi="Arial Narrow" w:cs="Tahoma"/>
          <w:sz w:val="22"/>
          <w:lang w:val="sr-Cyrl-CS"/>
        </w:rPr>
        <w:t>г</w:t>
      </w:r>
      <w:r w:rsidR="00B85D9D" w:rsidRPr="00553FE9">
        <w:rPr>
          <w:rFonts w:ascii="Arial Narrow" w:hAnsi="Arial Narrow" w:cs="Tahoma"/>
          <w:sz w:val="22"/>
          <w:lang w:val="sr-Latn-CS"/>
        </w:rPr>
        <w:t>одини</w:t>
      </w:r>
      <w:r w:rsidR="00B85D9D" w:rsidRPr="00553FE9">
        <w:rPr>
          <w:rFonts w:ascii="Arial Narrow" w:hAnsi="Arial Narrow" w:cs="Tahoma"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за </w:t>
      </w:r>
      <w:r w:rsidR="00B85D9D" w:rsidRPr="00553FE9">
        <w:rPr>
          <w:rFonts w:ascii="Arial Narrow" w:hAnsi="Arial Narrow" w:cs="Tahoma"/>
          <w:sz w:val="22"/>
          <w:lang w:val="sr-Cyrl-CS"/>
        </w:rPr>
        <w:t>0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B85D9D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>%.</w:t>
      </w:r>
      <w:r w:rsidRPr="00553FE9">
        <w:rPr>
          <w:rFonts w:ascii="Arial Narrow" w:hAnsi="Arial Narrow" w:cs="Tahoma"/>
          <w:sz w:val="22"/>
          <w:lang w:val="sr-Latn-CS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553FE9">
        <w:rPr>
          <w:rFonts w:ascii="Arial Narrow" w:hAnsi="Arial Narrow" w:cs="Tahoma"/>
          <w:sz w:val="22"/>
          <w:lang w:val="sr-Cyrl-CS"/>
        </w:rPr>
        <w:t xml:space="preserve">у </w:t>
      </w:r>
      <w:r w:rsidRPr="00553FE9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B85D9D" w:rsidRPr="00553FE9">
        <w:rPr>
          <w:rFonts w:ascii="Arial Narrow" w:hAnsi="Arial Narrow" w:cs="Tahoma"/>
          <w:sz w:val="22"/>
          <w:lang w:val="ru-RU"/>
        </w:rPr>
        <w:t>фебруар</w:t>
      </w:r>
      <w:r w:rsidRPr="00553FE9">
        <w:rPr>
          <w:rFonts w:ascii="Arial Narrow" w:hAnsi="Arial Narrow" w:cs="Tahoma"/>
          <w:sz w:val="22"/>
          <w:lang w:val="sr-Cyrl-CS"/>
        </w:rPr>
        <w:t xml:space="preserve"> 201</w:t>
      </w:r>
      <w:r w:rsidR="00B85D9D" w:rsidRPr="00553FE9">
        <w:rPr>
          <w:rFonts w:ascii="Arial Narrow" w:hAnsi="Arial Narrow" w:cs="Tahoma"/>
          <w:sz w:val="22"/>
          <w:lang w:val="sr-Cyrl-CS"/>
        </w:rPr>
        <w:t>5</w:t>
      </w:r>
      <w:r w:rsidRPr="00553FE9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B85D9D" w:rsidRPr="00553FE9">
        <w:rPr>
          <w:rFonts w:ascii="Arial Narrow" w:hAnsi="Arial Narrow" w:cs="Tahoma"/>
          <w:sz w:val="22"/>
          <w:szCs w:val="22"/>
          <w:lang w:val="ru-RU"/>
        </w:rPr>
        <w:t>0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553FE9">
        <w:rPr>
          <w:rFonts w:ascii="Arial Narrow" w:hAnsi="Arial Narrow" w:cs="Tahoma"/>
          <w:sz w:val="22"/>
          <w:lang w:val="sr-Cyrl-CS"/>
        </w:rPr>
        <w:t>у</w:t>
      </w:r>
      <w:r w:rsidRPr="00553FE9">
        <w:rPr>
          <w:rFonts w:ascii="Tahoma" w:hAnsi="Tahoma" w:cs="Tahoma"/>
          <w:sz w:val="22"/>
          <w:lang w:val="sr-Cyrl-CS"/>
        </w:rPr>
        <w:t xml:space="preserve"> </w:t>
      </w:r>
      <w:r w:rsidR="00B85D9D" w:rsidRPr="00553FE9">
        <w:rPr>
          <w:rFonts w:ascii="Arial Narrow" w:hAnsi="Arial Narrow" w:cs="Tahoma"/>
          <w:sz w:val="22"/>
          <w:lang w:val="ru-RU"/>
        </w:rPr>
        <w:t xml:space="preserve">подручју </w:t>
      </w:r>
      <w:r w:rsidR="00B85D9D" w:rsidRPr="00553FE9">
        <w:rPr>
          <w:rFonts w:ascii="Arial Narrow" w:hAnsi="Arial Narrow" w:cs="Tahoma"/>
          <w:i/>
          <w:sz w:val="22"/>
          <w:lang w:val="ru-RU"/>
        </w:rPr>
        <w:t xml:space="preserve">Производња и снабдијевање електричном енергијом, гасом, паром и </w:t>
      </w:r>
      <w:r w:rsidR="00B85D9D" w:rsidRPr="00553FE9">
        <w:rPr>
          <w:rFonts w:ascii="Arial Narrow" w:hAnsi="Arial Narrow" w:cs="Tahoma"/>
          <w:i/>
          <w:sz w:val="22"/>
          <w:lang w:val="ru-RU"/>
        </w:rPr>
        <w:lastRenderedPageBreak/>
        <w:t>климатизацији</w:t>
      </w:r>
      <w:r w:rsidR="00B85D9D" w:rsidRPr="00553FE9">
        <w:rPr>
          <w:rFonts w:ascii="Arial Narrow" w:hAnsi="Arial Narrow" w:cs="Tahoma"/>
          <w:sz w:val="22"/>
          <w:lang w:val="sr-Cyrl-CS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>остварен је раст од 5</w:t>
      </w:r>
      <w:r w:rsidRPr="00553FE9">
        <w:rPr>
          <w:rFonts w:ascii="Arial Narrow" w:hAnsi="Arial Narrow" w:cs="Tahoma"/>
          <w:sz w:val="22"/>
          <w:lang w:val="ru-RU"/>
        </w:rPr>
        <w:t>,</w:t>
      </w:r>
      <w:r w:rsidR="00B85D9D" w:rsidRPr="00553FE9">
        <w:rPr>
          <w:rFonts w:ascii="Arial Narrow" w:hAnsi="Arial Narrow" w:cs="Tahoma"/>
          <w:sz w:val="22"/>
          <w:lang w:val="ru-RU"/>
        </w:rPr>
        <w:t>4</w:t>
      </w:r>
      <w:r w:rsidRPr="00553FE9">
        <w:rPr>
          <w:rFonts w:ascii="Arial Narrow" w:hAnsi="Arial Narrow" w:cs="Tahoma"/>
          <w:sz w:val="22"/>
          <w:lang w:val="ru-RU"/>
        </w:rPr>
        <w:t>%,</w:t>
      </w:r>
      <w:r w:rsidRPr="00553FE9">
        <w:rPr>
          <w:rFonts w:ascii="Arial Narrow" w:hAnsi="Arial Narrow" w:cs="Tahoma"/>
          <w:sz w:val="22"/>
          <w:lang w:val="sr-Latn-CS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 xml:space="preserve">у </w:t>
      </w:r>
      <w:r w:rsidR="00B85D9D" w:rsidRPr="00553FE9">
        <w:rPr>
          <w:rFonts w:ascii="Arial Narrow" w:hAnsi="Arial Narrow" w:cs="Tahoma"/>
          <w:sz w:val="22"/>
          <w:lang w:val="sr-Cyrl-CS"/>
        </w:rPr>
        <w:t xml:space="preserve">подручју </w:t>
      </w:r>
      <w:r w:rsidR="00B85D9D" w:rsidRPr="00553FE9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B85D9D" w:rsidRPr="00553FE9">
        <w:rPr>
          <w:rFonts w:ascii="Arial Narrow" w:hAnsi="Arial Narrow" w:cs="Tahoma"/>
          <w:i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ru-RU"/>
        </w:rPr>
        <w:t xml:space="preserve">раст </w:t>
      </w:r>
      <w:r w:rsidRPr="00553FE9">
        <w:rPr>
          <w:rFonts w:ascii="Arial Narrow" w:hAnsi="Arial Narrow" w:cs="Tahoma"/>
          <w:sz w:val="22"/>
          <w:lang w:val="sr-Cyrl-CS"/>
        </w:rPr>
        <w:t xml:space="preserve">од </w:t>
      </w:r>
      <w:r w:rsidR="00B85D9D" w:rsidRPr="00553FE9">
        <w:rPr>
          <w:rFonts w:ascii="Arial Narrow" w:hAnsi="Arial Narrow" w:cs="Tahoma"/>
          <w:sz w:val="22"/>
          <w:lang w:val="sr-Cyrl-CS"/>
        </w:rPr>
        <w:t>3</w:t>
      </w:r>
      <w:r w:rsidRPr="00553FE9">
        <w:rPr>
          <w:rFonts w:ascii="Arial Narrow" w:hAnsi="Arial Narrow" w:cs="Tahoma"/>
          <w:sz w:val="22"/>
          <w:lang w:val="sr-Cyrl-CS"/>
        </w:rPr>
        <w:t>,</w:t>
      </w:r>
      <w:r w:rsidR="00B85D9D" w:rsidRPr="00553FE9">
        <w:rPr>
          <w:rFonts w:ascii="Arial Narrow" w:hAnsi="Arial Narrow" w:cs="Tahoma"/>
          <w:sz w:val="22"/>
          <w:lang w:val="sr-Cyrl-CS"/>
        </w:rPr>
        <w:t>1</w:t>
      </w:r>
      <w:r w:rsidRPr="00553FE9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553FE9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553FE9">
        <w:rPr>
          <w:rFonts w:ascii="Arial Narrow" w:hAnsi="Arial Narrow" w:cs="Tahoma"/>
          <w:sz w:val="22"/>
          <w:lang w:val="ru-RU"/>
        </w:rPr>
        <w:t xml:space="preserve"> </w:t>
      </w:r>
      <w:r w:rsidRPr="00553FE9">
        <w:rPr>
          <w:rFonts w:ascii="Arial Narrow" w:hAnsi="Arial Narrow" w:cs="Tahoma"/>
          <w:sz w:val="22"/>
          <w:lang w:val="sr-Cyrl-CS"/>
        </w:rPr>
        <w:t xml:space="preserve">раст </w:t>
      </w:r>
      <w:r w:rsidRPr="00553FE9">
        <w:rPr>
          <w:rFonts w:ascii="Arial Narrow" w:hAnsi="Arial Narrow" w:cs="Tahoma"/>
          <w:sz w:val="22"/>
          <w:lang w:val="ru-RU"/>
        </w:rPr>
        <w:t>од 0,</w:t>
      </w:r>
      <w:r w:rsidR="00B85D9D" w:rsidRPr="00553FE9">
        <w:rPr>
          <w:rFonts w:ascii="Arial Narrow" w:hAnsi="Arial Narrow" w:cs="Tahoma"/>
          <w:sz w:val="22"/>
          <w:lang w:val="ru-RU"/>
        </w:rPr>
        <w:t>1</w:t>
      </w:r>
      <w:r w:rsidRPr="00553FE9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553FE9" w:rsidRDefault="00B85D9D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553FE9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>
            <wp:extent cx="6480810" cy="309196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553FE9" w:rsidRDefault="00B85D9D" w:rsidP="00B85D9D">
      <w:pPr>
        <w:jc w:val="center"/>
        <w:rPr>
          <w:rFonts w:ascii="Arial Narrow" w:hAnsi="Arial Narrow" w:cs="Tahoma"/>
          <w:sz w:val="22"/>
          <w:szCs w:val="16"/>
          <w:lang w:val="sr-Latn-CS"/>
        </w:rPr>
      </w:pPr>
      <w:r w:rsidRPr="00553FE9">
        <w:rPr>
          <w:rFonts w:ascii="Arial Narrow" w:hAnsi="Arial Narrow" w:cs="Tahoma"/>
          <w:sz w:val="22"/>
          <w:szCs w:val="16"/>
          <w:lang w:val="sr-Latn-CS"/>
        </w:rPr>
        <w:t xml:space="preserve">Графикон </w:t>
      </w:r>
      <w:r w:rsidR="00553FE9" w:rsidRPr="00553FE9">
        <w:rPr>
          <w:rFonts w:ascii="Arial Narrow" w:hAnsi="Arial Narrow" w:cs="Tahoma"/>
          <w:sz w:val="22"/>
          <w:szCs w:val="16"/>
          <w:lang w:val="sr-Cyrl-BA"/>
        </w:rPr>
        <w:t>2</w:t>
      </w:r>
      <w:r w:rsidRPr="00553FE9">
        <w:rPr>
          <w:rFonts w:ascii="Arial Narrow" w:hAnsi="Arial Narrow" w:cs="Tahoma"/>
          <w:sz w:val="22"/>
          <w:szCs w:val="16"/>
          <w:lang w:val="sr-Latn-CS"/>
        </w:rPr>
        <w:t xml:space="preserve">. Индекси индустријске производње, </w:t>
      </w:r>
      <w:r w:rsidRPr="00553FE9">
        <w:rPr>
          <w:rFonts w:ascii="Arial Narrow" w:hAnsi="Arial Narrow" w:cs="Tahoma"/>
          <w:sz w:val="22"/>
          <w:szCs w:val="16"/>
          <w:lang w:val="sr-Cyrl-CS"/>
        </w:rPr>
        <w:t>фебруар</w:t>
      </w:r>
      <w:r w:rsidRPr="00553FE9">
        <w:rPr>
          <w:rFonts w:ascii="Arial Narrow" w:hAnsi="Arial Narrow" w:cs="Tahoma"/>
          <w:sz w:val="22"/>
          <w:szCs w:val="16"/>
          <w:lang w:val="sr-Latn-CS"/>
        </w:rPr>
        <w:t xml:space="preserve"> 20</w:t>
      </w:r>
      <w:r w:rsidRPr="00553FE9">
        <w:rPr>
          <w:rFonts w:ascii="Arial Narrow" w:hAnsi="Arial Narrow" w:cs="Tahoma"/>
          <w:sz w:val="22"/>
          <w:szCs w:val="16"/>
        </w:rPr>
        <w:t>1</w:t>
      </w:r>
      <w:r w:rsidRPr="00553FE9">
        <w:rPr>
          <w:rFonts w:ascii="Arial Narrow" w:hAnsi="Arial Narrow" w:cs="Tahoma"/>
          <w:sz w:val="22"/>
          <w:szCs w:val="16"/>
          <w:lang w:val="sr-Cyrl-CS"/>
        </w:rPr>
        <w:t>1</w:t>
      </w:r>
      <w:r w:rsidRPr="00553FE9">
        <w:rPr>
          <w:rFonts w:ascii="Arial Narrow" w:hAnsi="Arial Narrow" w:cs="Tahoma"/>
          <w:sz w:val="22"/>
          <w:szCs w:val="16"/>
          <w:lang w:val="sr-Latn-CS"/>
        </w:rPr>
        <w:t xml:space="preserve"> – </w:t>
      </w:r>
      <w:r w:rsidRPr="00553FE9">
        <w:rPr>
          <w:rFonts w:ascii="Arial Narrow" w:hAnsi="Arial Narrow" w:cs="Tahoma"/>
          <w:sz w:val="22"/>
          <w:szCs w:val="16"/>
          <w:lang w:val="sr-Cyrl-CS"/>
        </w:rPr>
        <w:t>фебруар</w:t>
      </w:r>
      <w:r w:rsidRPr="00553FE9">
        <w:rPr>
          <w:rFonts w:ascii="Arial Narrow" w:hAnsi="Arial Narrow" w:cs="Tahoma"/>
          <w:sz w:val="22"/>
          <w:szCs w:val="16"/>
          <w:lang w:val="sr-Latn-CS"/>
        </w:rPr>
        <w:t xml:space="preserve"> 201</w:t>
      </w:r>
      <w:r w:rsidRPr="00553FE9">
        <w:rPr>
          <w:rFonts w:ascii="Arial Narrow" w:hAnsi="Arial Narrow" w:cs="Tahoma"/>
          <w:sz w:val="22"/>
          <w:szCs w:val="16"/>
          <w:lang w:val="sr-Cyrl-CS"/>
        </w:rPr>
        <w:t>5</w:t>
      </w:r>
      <w:r w:rsidRPr="00553FE9">
        <w:rPr>
          <w:rFonts w:ascii="Arial Narrow" w:hAnsi="Arial Narrow" w:cs="Tahoma"/>
          <w:sz w:val="22"/>
          <w:szCs w:val="16"/>
          <w:lang w:val="sr-Latn-CS"/>
        </w:rPr>
        <w:t>. (</w:t>
      </w:r>
      <w:r w:rsidRPr="00553FE9">
        <w:rPr>
          <w:rFonts w:ascii="Arial Narrow" w:hAnsi="Arial Narrow" w:cs="Tahoma"/>
          <w:sz w:val="22"/>
          <w:szCs w:val="16"/>
          <w:lang w:val="sr-Latn-CS"/>
        </w:rPr>
        <w:sym w:font="Symbol" w:char="F0C6"/>
      </w:r>
      <w:r w:rsidRPr="00553FE9">
        <w:rPr>
          <w:rFonts w:ascii="Arial Narrow" w:hAnsi="Arial Narrow" w:cs="Tahoma"/>
          <w:sz w:val="22"/>
          <w:szCs w:val="16"/>
          <w:lang w:val="sr-Latn-CS"/>
        </w:rPr>
        <w:t>2010=100)</w:t>
      </w:r>
    </w:p>
    <w:p w:rsidR="000213F8" w:rsidRPr="00553FE9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40F41" w:rsidRPr="00553FE9" w:rsidRDefault="00A40F4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Cs w:val="30"/>
          <w:lang w:val="sr-Latn-CS"/>
        </w:rPr>
      </w:pP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553FE9">
        <w:rPr>
          <w:rFonts w:ascii="Arial Narrow" w:hAnsi="Arial Narrow" w:cs="Tahoma"/>
          <w:b/>
          <w:sz w:val="30"/>
          <w:szCs w:val="30"/>
          <w:lang w:val="sr-Cyrl-CS"/>
        </w:rPr>
        <w:t xml:space="preserve">Извоз </w:t>
      </w:r>
      <w:r w:rsidRPr="00553FE9">
        <w:rPr>
          <w:rFonts w:ascii="Arial Narrow" w:hAnsi="Arial Narrow" w:cs="Tahoma"/>
          <w:b/>
          <w:sz w:val="30"/>
          <w:szCs w:val="30"/>
          <w:lang w:val="hr-HR"/>
        </w:rPr>
        <w:t xml:space="preserve">(I-II 2015/I-II 2014.) </w:t>
      </w:r>
      <w:r w:rsidRPr="00553FE9">
        <w:rPr>
          <w:rFonts w:ascii="Arial Narrow" w:hAnsi="Arial Narrow" w:cs="Tahoma"/>
          <w:b/>
          <w:sz w:val="30"/>
          <w:szCs w:val="30"/>
          <w:lang w:val="sr-Latn-CS"/>
        </w:rPr>
        <w:t>смање</w:t>
      </w:r>
      <w:r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н </w:t>
      </w:r>
      <w:r w:rsidRPr="00553FE9">
        <w:rPr>
          <w:rFonts w:ascii="Arial Narrow" w:hAnsi="Arial Narrow" w:cs="Tahoma"/>
          <w:b/>
          <w:sz w:val="30"/>
          <w:szCs w:val="30"/>
          <w:lang w:val="sr-Cyrl-CS"/>
        </w:rPr>
        <w:t>8,6</w:t>
      </w:r>
      <w:r w:rsidRPr="00553FE9">
        <w:rPr>
          <w:rFonts w:ascii="Arial Narrow" w:hAnsi="Arial Narrow" w:cs="Tahoma"/>
          <w:b/>
          <w:sz w:val="30"/>
          <w:szCs w:val="30"/>
          <w:lang w:val="ru-RU"/>
        </w:rPr>
        <w:t>%</w:t>
      </w:r>
      <w:r w:rsidR="009A0B74" w:rsidRPr="00553FE9">
        <w:rPr>
          <w:rFonts w:ascii="Arial Narrow" w:hAnsi="Arial Narrow" w:cs="Tahoma"/>
          <w:b/>
          <w:sz w:val="30"/>
          <w:szCs w:val="30"/>
          <w:lang w:val="sr-Latn-BA"/>
        </w:rPr>
        <w:t xml:space="preserve">, </w:t>
      </w:r>
      <w:r w:rsidR="009A0B74" w:rsidRPr="00553FE9">
        <w:rPr>
          <w:rFonts w:ascii="Arial Narrow" w:hAnsi="Arial Narrow" w:cs="Tahoma"/>
          <w:b/>
          <w:sz w:val="30"/>
          <w:szCs w:val="30"/>
          <w:lang w:val="sr-Cyrl-BA"/>
        </w:rPr>
        <w:t xml:space="preserve">а </w:t>
      </w:r>
      <w:r w:rsidR="009A0B74" w:rsidRPr="00553FE9">
        <w:rPr>
          <w:rFonts w:ascii="Arial Narrow" w:hAnsi="Arial Narrow" w:cs="Tahoma"/>
          <w:b/>
          <w:sz w:val="30"/>
          <w:szCs w:val="30"/>
          <w:lang w:val="sr-Latn-BA"/>
        </w:rPr>
        <w:t>увоз 16,1%</w:t>
      </w:r>
    </w:p>
    <w:p w:rsidR="00055304" w:rsidRPr="00553FE9" w:rsidRDefault="00055304" w:rsidP="00055304">
      <w:pPr>
        <w:rPr>
          <w:rFonts w:ascii="Arial Narrow" w:hAnsi="Arial Narrow" w:cs="Tahoma"/>
          <w:sz w:val="26"/>
          <w:szCs w:val="26"/>
          <w:lang w:val="sr-Cyrl-CS"/>
        </w:rPr>
      </w:pPr>
      <w:r w:rsidRPr="00553FE9">
        <w:rPr>
          <w:rFonts w:ascii="Arial Narrow" w:hAnsi="Arial Narrow" w:cs="Tahoma"/>
          <w:sz w:val="26"/>
          <w:szCs w:val="26"/>
          <w:lang w:val="bs-Cyrl-BA"/>
        </w:rPr>
        <w:t>П</w:t>
      </w:r>
      <w:r w:rsidRPr="00553FE9">
        <w:rPr>
          <w:rFonts w:ascii="Arial Narrow" w:hAnsi="Arial Narrow" w:cs="Tahoma"/>
          <w:sz w:val="26"/>
          <w:szCs w:val="26"/>
          <w:lang w:val="ru-RU"/>
        </w:rPr>
        <w:t>окривеност увоза извозом</w:t>
      </w:r>
      <w:r w:rsidRPr="00553FE9">
        <w:rPr>
          <w:rFonts w:ascii="Arial Narrow" w:hAnsi="Arial Narrow" w:cs="Tahoma"/>
          <w:sz w:val="26"/>
          <w:szCs w:val="26"/>
          <w:lang w:val="sr-Cyrl-BA"/>
        </w:rPr>
        <w:t xml:space="preserve"> (у периоду </w:t>
      </w:r>
      <w:r w:rsidRPr="00553FE9">
        <w:rPr>
          <w:rFonts w:ascii="Arial Narrow" w:hAnsi="Arial Narrow" w:cs="Tahoma"/>
          <w:sz w:val="26"/>
          <w:szCs w:val="26"/>
          <w:lang w:val="sr-Latn-CS"/>
        </w:rPr>
        <w:t>I</w:t>
      </w:r>
      <w:r w:rsidRPr="00553FE9">
        <w:rPr>
          <w:rFonts w:ascii="Arial Narrow" w:hAnsi="Arial Narrow" w:cs="Tahoma"/>
          <w:sz w:val="26"/>
          <w:szCs w:val="26"/>
          <w:lang w:val="sr-Cyrl-BA"/>
        </w:rPr>
        <w:t>-</w:t>
      </w:r>
      <w:r w:rsidRPr="00553FE9">
        <w:rPr>
          <w:rFonts w:ascii="Arial Narrow" w:hAnsi="Arial Narrow" w:cs="Tahoma"/>
          <w:sz w:val="26"/>
          <w:szCs w:val="26"/>
        </w:rPr>
        <w:t>II</w:t>
      </w:r>
      <w:r w:rsidRPr="00553FE9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 w:rsidRPr="00553FE9">
        <w:rPr>
          <w:rFonts w:ascii="Arial Narrow" w:hAnsi="Arial Narrow" w:cs="Tahoma"/>
          <w:sz w:val="26"/>
          <w:szCs w:val="26"/>
          <w:lang w:val="ru-RU"/>
        </w:rPr>
        <w:t>201</w:t>
      </w:r>
      <w:r w:rsidRPr="00553FE9">
        <w:rPr>
          <w:rFonts w:ascii="Arial Narrow" w:hAnsi="Arial Narrow" w:cs="Tahoma"/>
          <w:sz w:val="26"/>
          <w:szCs w:val="26"/>
        </w:rPr>
        <w:t>5.</w:t>
      </w:r>
      <w:r w:rsidRPr="00553FE9">
        <w:rPr>
          <w:rFonts w:ascii="Arial Narrow" w:hAnsi="Arial Narrow" w:cs="Tahoma"/>
          <w:sz w:val="26"/>
          <w:szCs w:val="26"/>
          <w:lang w:val="sr-Cyrl-BA"/>
        </w:rPr>
        <w:t>)</w:t>
      </w:r>
      <w:r w:rsidRPr="00553FE9">
        <w:rPr>
          <w:rFonts w:ascii="Arial Narrow" w:hAnsi="Arial Narrow" w:cs="Tahoma"/>
          <w:sz w:val="26"/>
          <w:szCs w:val="26"/>
          <w:lang w:val="sr-Cyrl-CS"/>
        </w:rPr>
        <w:t xml:space="preserve"> </w:t>
      </w:r>
      <w:r w:rsidRPr="00553FE9">
        <w:rPr>
          <w:rFonts w:ascii="Arial Narrow" w:hAnsi="Arial Narrow" w:cs="Tahoma"/>
          <w:sz w:val="26"/>
          <w:szCs w:val="26"/>
          <w:lang w:val="hr-HR"/>
        </w:rPr>
        <w:t>65,2</w:t>
      </w:r>
      <w:r w:rsidRPr="00553FE9">
        <w:rPr>
          <w:rFonts w:ascii="Arial Narrow" w:hAnsi="Arial Narrow" w:cs="Tahoma"/>
          <w:sz w:val="26"/>
          <w:szCs w:val="26"/>
          <w:lang w:val="ru-RU"/>
        </w:rPr>
        <w:t xml:space="preserve">% </w:t>
      </w: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  <w:lang w:val="sr-Cyrl-BA"/>
        </w:rPr>
      </w:pPr>
      <w:r w:rsidRPr="00553FE9">
        <w:rPr>
          <w:rFonts w:ascii="Arial Narrow" w:hAnsi="Arial Narrow" w:cs="Tahoma"/>
          <w:sz w:val="22"/>
          <w:lang w:val="sr-Cyrl-BA"/>
        </w:rPr>
        <w:t>У фебруару 201</w:t>
      </w:r>
      <w:r w:rsidRPr="00553FE9">
        <w:rPr>
          <w:rFonts w:ascii="Arial Narrow" w:hAnsi="Arial Narrow" w:cs="Tahoma"/>
          <w:sz w:val="22"/>
          <w:lang w:val="sr-Latn-CS"/>
        </w:rPr>
        <w:t>5</w:t>
      </w:r>
      <w:r w:rsidRPr="00553FE9">
        <w:rPr>
          <w:rFonts w:ascii="Arial Narrow" w:hAnsi="Arial Narrow" w:cs="Tahoma"/>
          <w:sz w:val="22"/>
          <w:lang w:val="sr-Cyrl-BA"/>
        </w:rPr>
        <w:t>. године остварен је извоз у вриједности 2</w:t>
      </w:r>
      <w:r w:rsidRPr="00553FE9">
        <w:rPr>
          <w:rFonts w:ascii="Arial Narrow" w:hAnsi="Arial Narrow" w:cs="Tahoma"/>
          <w:sz w:val="22"/>
          <w:lang w:val="sr-Latn-CS"/>
        </w:rPr>
        <w:t>0</w:t>
      </w:r>
      <w:r w:rsidRPr="00553FE9">
        <w:rPr>
          <w:rFonts w:ascii="Arial Narrow" w:hAnsi="Arial Narrow" w:cs="Tahoma"/>
          <w:sz w:val="22"/>
          <w:lang w:val="sr-Cyrl-BA"/>
        </w:rPr>
        <w:t xml:space="preserve">1 милион КМ и увоз у вриједности од </w:t>
      </w:r>
      <w:r w:rsidRPr="00553FE9">
        <w:rPr>
          <w:rFonts w:ascii="Arial Narrow" w:hAnsi="Arial Narrow" w:cs="Tahoma"/>
          <w:sz w:val="22"/>
          <w:lang w:val="sr-Latn-CS"/>
        </w:rPr>
        <w:t>345</w:t>
      </w:r>
      <w:r w:rsidRPr="00553FE9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553FE9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553FE9">
        <w:rPr>
          <w:rFonts w:ascii="Arial Narrow" w:hAnsi="Arial Narrow" w:cs="Tahoma"/>
          <w:sz w:val="22"/>
          <w:lang w:val="bs-Cyrl-BA"/>
        </w:rPr>
        <w:t>е</w:t>
      </w:r>
      <w:r w:rsidRPr="00553FE9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553FE9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553FE9">
        <w:rPr>
          <w:rFonts w:ascii="Arial Narrow" w:hAnsi="Arial Narrow" w:cs="Tahoma"/>
          <w:sz w:val="22"/>
          <w:lang w:val="sr-Cyrl-BA"/>
        </w:rPr>
        <w:t xml:space="preserve">Српске са иностранством у фебруару ове године, проценат покривености увоза извозом износио је 58,3%. </w:t>
      </w:r>
      <w:r w:rsidRPr="00553FE9">
        <w:rPr>
          <w:rFonts w:ascii="Arial Narrow" w:hAnsi="Arial Narrow" w:cs="Tahoma"/>
          <w:sz w:val="22"/>
          <w:szCs w:val="22"/>
          <w:lang w:val="ru-RU"/>
        </w:rPr>
        <w:t>Проценат покривености увоза извозом за прва два мјесеца текуће године износио је 65,2%.</w:t>
      </w: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553FE9" w:rsidRDefault="00055304" w:rsidP="00055304">
      <w:pPr>
        <w:jc w:val="both"/>
        <w:rPr>
          <w:rFonts w:ascii="Tahoma" w:hAnsi="Tahoma" w:cs="Tahoma"/>
          <w:lang w:val="ru-RU"/>
        </w:rPr>
      </w:pPr>
      <w:r w:rsidRPr="00553FE9">
        <w:rPr>
          <w:rFonts w:ascii="Arial Narrow" w:hAnsi="Arial Narrow" w:cs="Tahoma"/>
          <w:sz w:val="22"/>
          <w:lang w:val="ru-RU"/>
        </w:rPr>
        <w:t xml:space="preserve">У периоду јануар - фебруар 2015. остварен је извоз у вриједности од 371 милион КМ, што је за 8,6% мање у односу на исти период претходне године. Увоз је, у истом периоду, износио 568 милиона КМ, што је за </w:t>
      </w:r>
      <w:r w:rsidRPr="00553FE9">
        <w:rPr>
          <w:rFonts w:ascii="Arial Narrow" w:hAnsi="Arial Narrow" w:cs="Tahoma"/>
          <w:sz w:val="22"/>
          <w:lang w:val="sr-Latn-CS"/>
        </w:rPr>
        <w:t>16,1</w:t>
      </w:r>
      <w:r w:rsidRPr="00553FE9">
        <w:rPr>
          <w:rFonts w:ascii="Arial Narrow" w:hAnsi="Arial Narrow" w:cs="Tahoma"/>
          <w:sz w:val="22"/>
          <w:lang w:val="ru-RU"/>
        </w:rPr>
        <w:t xml:space="preserve">% </w:t>
      </w:r>
      <w:r w:rsidRPr="00553FE9">
        <w:rPr>
          <w:rFonts w:ascii="Arial Narrow" w:hAnsi="Arial Narrow" w:cs="Tahoma"/>
          <w:sz w:val="22"/>
          <w:lang w:val="sr-Latn-CS"/>
        </w:rPr>
        <w:t>мање</w:t>
      </w:r>
      <w:r w:rsidRPr="00553FE9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055304" w:rsidRPr="00553FE9" w:rsidRDefault="00055304" w:rsidP="00055304">
      <w:pPr>
        <w:jc w:val="both"/>
        <w:rPr>
          <w:rFonts w:ascii="Arial Narrow" w:hAnsi="Arial Narrow" w:cs="Tahoma"/>
          <w:sz w:val="22"/>
          <w:lang w:val="ru-RU"/>
        </w:rPr>
      </w:pP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53FE9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553FE9">
        <w:rPr>
          <w:rFonts w:ascii="Arial Narrow" w:hAnsi="Arial Narrow" w:cs="Tahoma"/>
          <w:sz w:val="22"/>
        </w:rPr>
        <w:t>e</w:t>
      </w:r>
      <w:r w:rsidRPr="00553FE9">
        <w:rPr>
          <w:rFonts w:ascii="Arial Narrow" w:hAnsi="Arial Narrow" w:cs="Tahoma"/>
          <w:sz w:val="22"/>
          <w:lang w:val="ru-RU"/>
        </w:rPr>
        <w:t xml:space="preserve"> Српск</w:t>
      </w:r>
      <w:r w:rsidRPr="00553FE9">
        <w:rPr>
          <w:rFonts w:ascii="Arial Narrow" w:hAnsi="Arial Narrow" w:cs="Tahoma"/>
          <w:sz w:val="22"/>
        </w:rPr>
        <w:t>e</w:t>
      </w:r>
      <w:r w:rsidRPr="00553FE9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фебруар </w:t>
      </w:r>
      <w:r w:rsidRPr="00553FE9">
        <w:rPr>
          <w:rFonts w:ascii="Arial Narrow" w:hAnsi="Arial Narrow" w:cs="Tahoma"/>
          <w:sz w:val="22"/>
          <w:lang w:val="sr-Cyrl-CS"/>
        </w:rPr>
        <w:t>2015. године, највише се извозило у Италију и то у вриједности од 71 милион КМ, односно 19,2%</w:t>
      </w:r>
      <w:r w:rsidRPr="00553FE9">
        <w:rPr>
          <w:rFonts w:ascii="Arial Narrow" w:hAnsi="Arial Narrow" w:cs="Tahoma"/>
          <w:sz w:val="22"/>
          <w:lang w:val="ru-RU"/>
        </w:rPr>
        <w:t xml:space="preserve">, </w:t>
      </w:r>
      <w:r w:rsidRPr="00553FE9">
        <w:rPr>
          <w:rFonts w:ascii="Arial Narrow" w:hAnsi="Arial Narrow" w:cs="Tahoma"/>
          <w:sz w:val="22"/>
          <w:lang w:val="sr-Cyrl-CS"/>
        </w:rPr>
        <w:t>те у Србију  47 милиона КМ, односно 12,6% од укупног оствареног извоза.</w:t>
      </w: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553FE9">
        <w:rPr>
          <w:rFonts w:ascii="Arial Narrow" w:hAnsi="Arial Narrow" w:cs="Tahoma"/>
          <w:sz w:val="22"/>
          <w:lang w:val="sr-Cyrl-CS"/>
        </w:rPr>
        <w:t xml:space="preserve">У истом периоду, </w:t>
      </w:r>
      <w:r w:rsidRPr="00553FE9">
        <w:rPr>
          <w:rFonts w:ascii="Arial Narrow" w:hAnsi="Arial Narrow" w:cs="Tahoma"/>
          <w:sz w:val="22"/>
          <w:lang w:val="sr-Cyrl-BA"/>
        </w:rPr>
        <w:t>н</w:t>
      </w:r>
      <w:r w:rsidRPr="00553FE9">
        <w:rPr>
          <w:rFonts w:ascii="Arial Narrow" w:hAnsi="Arial Narrow" w:cs="Tahoma"/>
          <w:sz w:val="22"/>
          <w:lang w:val="sr-Cyrl-CS"/>
        </w:rPr>
        <w:t>ајвише се увозило из Србије и то у вриједности од 97 милиона КМ, односно 17,0% и из Италије, у вриједности од 75 милиона КМ, односно 13,2% од укупно оствареног увоза.</w:t>
      </w: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055304" w:rsidRPr="00553FE9" w:rsidRDefault="00055304" w:rsidP="0005530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553FE9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553FE9">
        <w:rPr>
          <w:rFonts w:ascii="Arial Narrow" w:hAnsi="Arial Narrow" w:cs="Tahoma"/>
          <w:sz w:val="22"/>
          <w:szCs w:val="22"/>
          <w:lang w:val="ru-RU"/>
        </w:rPr>
        <w:t>јануар - фебруар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553FE9">
        <w:rPr>
          <w:rFonts w:ascii="Arial Narrow" w:hAnsi="Arial Narrow" w:cs="Tahoma"/>
          <w:sz w:val="22"/>
          <w:szCs w:val="22"/>
          <w:lang w:val="sr-Cyrl-CS"/>
        </w:rPr>
        <w:t>2015. године, највеће учешће у извозу остварују в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јештачки корунд, алуминијум оксид и алуминијум хидроксид </w:t>
      </w:r>
      <w:r w:rsidRPr="00553FE9">
        <w:rPr>
          <w:rFonts w:ascii="Arial Narrow" w:hAnsi="Arial Narrow" w:cs="Tahoma"/>
          <w:sz w:val="22"/>
          <w:szCs w:val="22"/>
          <w:lang w:val="sr-Cyrl-CS"/>
        </w:rPr>
        <w:t xml:space="preserve">са укупном вриједношћу од 22 милиона КМ, што износи 6,1% од укупног извоза, док највеће учешће у увозу остварује </w:t>
      </w:r>
      <w:r w:rsidRPr="00553FE9">
        <w:rPr>
          <w:rFonts w:ascii="Arial Narrow" w:hAnsi="Arial Narrow" w:cs="Tahoma"/>
          <w:sz w:val="22"/>
          <w:szCs w:val="22"/>
          <w:lang w:val="sr-Cyrl-BA"/>
        </w:rPr>
        <w:t>н</w:t>
      </w:r>
      <w:r w:rsidRPr="00553FE9">
        <w:rPr>
          <w:rFonts w:ascii="Arial Narrow" w:hAnsi="Arial Narrow" w:cs="Tahoma"/>
          <w:sz w:val="22"/>
          <w:szCs w:val="22"/>
          <w:lang w:val="ru-RU"/>
        </w:rPr>
        <w:t>афт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553FE9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553FE9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553FE9">
        <w:rPr>
          <w:rFonts w:ascii="Arial Narrow" w:hAnsi="Arial Narrow" w:cs="Tahoma"/>
          <w:sz w:val="22"/>
          <w:szCs w:val="22"/>
          <w:lang w:val="ru-RU"/>
        </w:rPr>
        <w:t>сиров</w:t>
      </w:r>
      <w:r w:rsidRPr="00553FE9">
        <w:rPr>
          <w:rFonts w:ascii="Arial Narrow" w:hAnsi="Arial Narrow" w:cs="Tahoma"/>
          <w:sz w:val="22"/>
          <w:szCs w:val="22"/>
          <w:lang w:val="sr-Cyrl-BA"/>
        </w:rPr>
        <w:t>а), са укупном вриједношћу од 54 милиона КМ, што износи 9,4% од укупног увоза.</w:t>
      </w:r>
      <w:r w:rsidRPr="00553FE9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553FE9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53FE9" w:rsidRPr="00553FE9" w:rsidRDefault="00553F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C415AF" w:rsidRPr="00553FE9" w:rsidRDefault="00620E8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  <w:r w:rsidRPr="00620E80"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5.2pt;margin-top:9.2pt;width:64.2pt;height:19.75pt;z-index:251664384;mso-width-relative:margin;mso-height-relative:margin" stroked="f">
            <v:textbox style="mso-next-textbox:#_x0000_s1068">
              <w:txbxContent>
                <w:p w:rsidR="00553FE9" w:rsidRPr="000A1309" w:rsidRDefault="00553FE9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657311" w:rsidRPr="00553FE9" w:rsidRDefault="0065731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657311" w:rsidRPr="00553FE9" w:rsidRDefault="00620E8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20E80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6.3pt;margin-top:229.5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553FE9" w:rsidRPr="000A1309" w:rsidRDefault="00553FE9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Pr="00620E80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8.35pt;margin-top:229.5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553FE9" w:rsidRPr="000A1309" w:rsidRDefault="00553FE9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B316DC" w:rsidRPr="00553FE9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635610" cy="2981739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1451" w:rsidRPr="00553FE9" w:rsidRDefault="0045145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115CDB" w:rsidRPr="00553FE9" w:rsidRDefault="00115CD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C043E2" w:rsidRPr="00553FE9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777348" w:rsidRPr="00553FE9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  <w:lang w:val="ru-RU"/>
        </w:rPr>
      </w:pPr>
      <w:r w:rsidRPr="00553FE9">
        <w:rPr>
          <w:rFonts w:ascii="Arial Narrow" w:hAnsi="Arial Narrow" w:cs="Tahoma"/>
          <w:sz w:val="22"/>
          <w:szCs w:val="22"/>
          <w:lang w:val="ru-RU"/>
        </w:rPr>
        <w:t xml:space="preserve">Графикон </w:t>
      </w:r>
      <w:r w:rsidR="000D1CED" w:rsidRPr="00553FE9">
        <w:rPr>
          <w:rFonts w:ascii="Arial Narrow" w:hAnsi="Arial Narrow" w:cs="Tahoma"/>
          <w:sz w:val="22"/>
          <w:szCs w:val="22"/>
          <w:lang w:val="sr-Cyrl-CS"/>
        </w:rPr>
        <w:t>3</w:t>
      </w:r>
      <w:r w:rsidRPr="00553FE9">
        <w:rPr>
          <w:rFonts w:ascii="Arial Narrow" w:hAnsi="Arial Narrow" w:cs="Tahoma"/>
          <w:sz w:val="22"/>
          <w:szCs w:val="22"/>
          <w:lang w:val="ru-RU"/>
        </w:rPr>
        <w:t xml:space="preserve">. </w:t>
      </w:r>
      <w:r w:rsidRPr="00553FE9">
        <w:rPr>
          <w:rFonts w:ascii="Arial Narrow" w:hAnsi="Arial Narrow" w:cs="Tahoma"/>
          <w:iCs/>
          <w:sz w:val="22"/>
          <w:szCs w:val="22"/>
          <w:lang w:val="sr-Cyrl-CS"/>
        </w:rPr>
        <w:t>Из</w:t>
      </w:r>
      <w:r w:rsidRPr="00553FE9">
        <w:rPr>
          <w:rFonts w:ascii="Arial Narrow" w:hAnsi="Arial Narrow" w:cs="Tahoma"/>
          <w:iCs/>
          <w:sz w:val="22"/>
          <w:szCs w:val="22"/>
          <w:lang w:val="ru-RU"/>
        </w:rPr>
        <w:t xml:space="preserve">воз и </w:t>
      </w:r>
      <w:r w:rsidRPr="00553FE9">
        <w:rPr>
          <w:rFonts w:ascii="Arial Narrow" w:hAnsi="Arial Narrow" w:cs="Tahoma"/>
          <w:iCs/>
          <w:sz w:val="22"/>
          <w:szCs w:val="22"/>
          <w:lang w:val="sr-Cyrl-CS"/>
        </w:rPr>
        <w:t>у</w:t>
      </w:r>
      <w:r w:rsidRPr="00553FE9">
        <w:rPr>
          <w:rFonts w:ascii="Arial Narrow" w:hAnsi="Arial Narrow" w:cs="Tahoma"/>
          <w:iCs/>
          <w:sz w:val="22"/>
          <w:szCs w:val="22"/>
          <w:lang w:val="ru-RU"/>
        </w:rPr>
        <w:t>воз по мјесецима</w:t>
      </w:r>
    </w:p>
    <w:p w:rsidR="00115CDB" w:rsidRPr="00553FE9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553FE9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553FE9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430A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9062FA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9062FA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9062FA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9062FA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9062FA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9062FA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9062FA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9062FA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9062FA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9062FA" w:rsidRDefault="00620E8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9062FA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9062FA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9062FA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9062FA" w:rsidRDefault="00620E80" w:rsidP="008755FF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4C20B5" w:rsidRPr="009062FA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9062FA" w:rsidRDefault="00620E80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4C20B5" w:rsidRPr="009062FA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9062FA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9062FA" w:rsidRDefault="00620E8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9062FA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9062F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9062FA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9062FA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9062FA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9062FA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9062FA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9062FA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9062FA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9062FA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9062FA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9062FA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9062FA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9062FA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Pr="009062FA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Pr="009062FA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Pr="009062FA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8755FF" w:rsidRDefault="008755F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620E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20E80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DB5870">
              <w:rPr>
                <w:rFonts w:ascii="Arial Narrow" w:hAnsi="Arial Narrow" w:cs="Tahoma"/>
                <w:sz w:val="18"/>
              </w:rPr>
              <w:t>те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DB5870">
              <w:rPr>
                <w:rFonts w:ascii="Arial Narrow" w:hAnsi="Arial Narrow" w:cs="Tahoma"/>
                <w:sz w:val="18"/>
              </w:rPr>
              <w:t xml:space="preserve">е </w:t>
            </w:r>
            <w:r w:rsidRPr="00DB5870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DB5870">
              <w:rPr>
                <w:rFonts w:ascii="Arial Narrow" w:hAnsi="Arial Narrow" w:cs="Tahoma"/>
                <w:sz w:val="18"/>
              </w:rPr>
              <w:t xml:space="preserve"> </w:t>
            </w:r>
            <w:r w:rsidRPr="00DB5870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E74FF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E74FF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E74FF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E74FF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7" w:history="1"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E74FF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4C20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E74FF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E74FF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4C20B5" w:rsidRDefault="00620E80" w:rsidP="009E2A9A">
      <w:pPr>
        <w:rPr>
          <w:rFonts w:ascii="Tahoma" w:hAnsi="Tahoma" w:cs="Tahoma"/>
          <w:lang w:val="sr-Cyrl-BA"/>
        </w:rPr>
      </w:pPr>
      <w:r w:rsidRPr="00620E80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E9" w:rsidRDefault="00553FE9">
      <w:r>
        <w:separator/>
      </w:r>
    </w:p>
  </w:endnote>
  <w:endnote w:type="continuationSeparator" w:id="0">
    <w:p w:rsidR="00553FE9" w:rsidRDefault="0055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E9" w:rsidRDefault="00620E8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553FE9" w:rsidRPr="00175687" w:rsidRDefault="00620E8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53FE9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77EC1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E9" w:rsidRDefault="00620E8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553FE9" w:rsidRPr="00175687" w:rsidRDefault="00620E8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553FE9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77EC1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E9" w:rsidRDefault="00553FE9">
      <w:r>
        <w:separator/>
      </w:r>
    </w:p>
  </w:footnote>
  <w:footnote w:type="continuationSeparator" w:id="0">
    <w:p w:rsidR="00553FE9" w:rsidRDefault="0055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553FE9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553FE9" w:rsidRPr="00DB5870" w:rsidRDefault="00553FE9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553FE9" w:rsidRPr="00DB5870" w:rsidRDefault="00553FE9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553FE9" w:rsidRPr="005D5311" w:rsidRDefault="00553FE9" w:rsidP="00F83A9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март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3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553FE9" w:rsidRDefault="00620E80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20E80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C1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EB4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6D1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4AC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B1B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3F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E80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55FF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4D7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9E8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BAD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A7ED6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Febru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feb%202014\za%20Graf%20I-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2014</c:v>
                  </c:pt>
                  <c:pt idx="11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822</c:v>
                </c:pt>
                <c:pt idx="1">
                  <c:v>815</c:v>
                </c:pt>
                <c:pt idx="2">
                  <c:v>821</c:v>
                </c:pt>
                <c:pt idx="3">
                  <c:v>818</c:v>
                </c:pt>
                <c:pt idx="4">
                  <c:v>837</c:v>
                </c:pt>
                <c:pt idx="5">
                  <c:v>830</c:v>
                </c:pt>
                <c:pt idx="6">
                  <c:v>825</c:v>
                </c:pt>
                <c:pt idx="7">
                  <c:v>831</c:v>
                </c:pt>
                <c:pt idx="8">
                  <c:v>826</c:v>
                </c:pt>
                <c:pt idx="9">
                  <c:v>827</c:v>
                </c:pt>
                <c:pt idx="10">
                  <c:v>836</c:v>
                </c:pt>
                <c:pt idx="11">
                  <c:v>812</c:v>
                </c:pt>
                <c:pt idx="12">
                  <c:v>834</c:v>
                </c:pt>
              </c:numCache>
            </c:numRef>
          </c:val>
        </c:ser>
        <c:marker val="1"/>
        <c:axId val="81900672"/>
        <c:axId val="81902208"/>
      </c:lineChart>
      <c:catAx>
        <c:axId val="81900672"/>
        <c:scaling>
          <c:orientation val="minMax"/>
        </c:scaling>
        <c:axPos val="b"/>
        <c:minorGridlines>
          <c:spPr>
            <a:ln w="3175"/>
          </c:spPr>
        </c:minorGridlines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81902208"/>
        <c:crosses val="autoZero"/>
        <c:auto val="1"/>
        <c:lblAlgn val="ctr"/>
        <c:lblOffset val="100"/>
      </c:catAx>
      <c:valAx>
        <c:axId val="81902208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819006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2011</c:v>
                  </c:pt>
                  <c:pt idx="11">
                    <c:v>2012</c:v>
                  </c:pt>
                  <c:pt idx="23">
                    <c:v>2013</c:v>
                  </c:pt>
                  <c:pt idx="35">
                    <c:v>2014</c:v>
                  </c:pt>
                  <c:pt idx="47">
                    <c:v>2015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101.37177476751619</c:v>
                </c:pt>
                <c:pt idx="1">
                  <c:v>103.22702615877357</c:v>
                </c:pt>
                <c:pt idx="2">
                  <c:v>101.02443615739334</c:v>
                </c:pt>
                <c:pt idx="3">
                  <c:v>103.62813740897845</c:v>
                </c:pt>
                <c:pt idx="4">
                  <c:v>105.57286253817473</c:v>
                </c:pt>
                <c:pt idx="5">
                  <c:v>110.49497571996791</c:v>
                </c:pt>
                <c:pt idx="6">
                  <c:v>108.00877374723115</c:v>
                </c:pt>
                <c:pt idx="7">
                  <c:v>98.998873980060921</c:v>
                </c:pt>
                <c:pt idx="8">
                  <c:v>104.45288510731348</c:v>
                </c:pt>
                <c:pt idx="9">
                  <c:v>103.44920725923163</c:v>
                </c:pt>
                <c:pt idx="10">
                  <c:v>100.29309694414651</c:v>
                </c:pt>
                <c:pt idx="11">
                  <c:v>102.57093859516095</c:v>
                </c:pt>
                <c:pt idx="12">
                  <c:v>97.490740087489627</c:v>
                </c:pt>
                <c:pt idx="13">
                  <c:v>100.99129838718649</c:v>
                </c:pt>
                <c:pt idx="14">
                  <c:v>101.40903074442915</c:v>
                </c:pt>
                <c:pt idx="15">
                  <c:v>99.635655974045392</c:v>
                </c:pt>
                <c:pt idx="16">
                  <c:v>99.766884646066814</c:v>
                </c:pt>
                <c:pt idx="17">
                  <c:v>93.409385424006302</c:v>
                </c:pt>
                <c:pt idx="18">
                  <c:v>99.900439877475819</c:v>
                </c:pt>
                <c:pt idx="19">
                  <c:v>105.83065701989513</c:v>
                </c:pt>
                <c:pt idx="20">
                  <c:v>100.52613141866426</c:v>
                </c:pt>
                <c:pt idx="21">
                  <c:v>99.038273748948427</c:v>
                </c:pt>
                <c:pt idx="22">
                  <c:v>102.08493400909532</c:v>
                </c:pt>
                <c:pt idx="23">
                  <c:v>101.33511838738288</c:v>
                </c:pt>
                <c:pt idx="24">
                  <c:v>100.58193842146274</c:v>
                </c:pt>
                <c:pt idx="25">
                  <c:v>100.18538219588582</c:v>
                </c:pt>
                <c:pt idx="26">
                  <c:v>108.84190270626517</c:v>
                </c:pt>
                <c:pt idx="27">
                  <c:v>103.4447941031224</c:v>
                </c:pt>
                <c:pt idx="28">
                  <c:v>105.22553005433423</c:v>
                </c:pt>
                <c:pt idx="29">
                  <c:v>110.17272647303552</c:v>
                </c:pt>
                <c:pt idx="30">
                  <c:v>107.25031406060857</c:v>
                </c:pt>
                <c:pt idx="31">
                  <c:v>100.31537860776646</c:v>
                </c:pt>
                <c:pt idx="32">
                  <c:v>101.76100898658798</c:v>
                </c:pt>
                <c:pt idx="33">
                  <c:v>104.7683223158179</c:v>
                </c:pt>
                <c:pt idx="34">
                  <c:v>105.82935711438975</c:v>
                </c:pt>
                <c:pt idx="35">
                  <c:v>105.54627567344802</c:v>
                </c:pt>
                <c:pt idx="36">
                  <c:v>105.68947441290092</c:v>
                </c:pt>
                <c:pt idx="37">
                  <c:v>102.0947573200621</c:v>
                </c:pt>
                <c:pt idx="38">
                  <c:v>102.45336818646562</c:v>
                </c:pt>
                <c:pt idx="39">
                  <c:v>103.93928766217392</c:v>
                </c:pt>
                <c:pt idx="40">
                  <c:v>104.57062516099178</c:v>
                </c:pt>
                <c:pt idx="41">
                  <c:v>105.67906147564706</c:v>
                </c:pt>
                <c:pt idx="42">
                  <c:v>100.7469460149059</c:v>
                </c:pt>
                <c:pt idx="43">
                  <c:v>108.6280071819439</c:v>
                </c:pt>
                <c:pt idx="44">
                  <c:v>107.79801937390471</c:v>
                </c:pt>
                <c:pt idx="45">
                  <c:v>107.00631321222953</c:v>
                </c:pt>
                <c:pt idx="46">
                  <c:v>105.12491155702236</c:v>
                </c:pt>
                <c:pt idx="47">
                  <c:v>106.59020523128362</c:v>
                </c:pt>
                <c:pt idx="48">
                  <c:v>111.8048440877614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2011</c:v>
                  </c:pt>
                  <c:pt idx="11">
                    <c:v>2012</c:v>
                  </c:pt>
                  <c:pt idx="23">
                    <c:v>2013</c:v>
                  </c:pt>
                  <c:pt idx="35">
                    <c:v>2014</c:v>
                  </c:pt>
                  <c:pt idx="47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101.92577347428954</c:v>
                </c:pt>
                <c:pt idx="1">
                  <c:v>102.16904280351731</c:v>
                </c:pt>
                <c:pt idx="2">
                  <c:v>102.41253645123572</c:v>
                </c:pt>
                <c:pt idx="3">
                  <c:v>102.66798210848877</c:v>
                </c:pt>
                <c:pt idx="4">
                  <c:v>102.90588585115795</c:v>
                </c:pt>
                <c:pt idx="5">
                  <c:v>103.02387662284048</c:v>
                </c:pt>
                <c:pt idx="6">
                  <c:v>102.88693170788555</c:v>
                </c:pt>
                <c:pt idx="7">
                  <c:v>102.60036312090502</c:v>
                </c:pt>
                <c:pt idx="8">
                  <c:v>102.38105745706169</c:v>
                </c:pt>
                <c:pt idx="9">
                  <c:v>102.12473533461772</c:v>
                </c:pt>
                <c:pt idx="10">
                  <c:v>101.82477452625834</c:v>
                </c:pt>
                <c:pt idx="11">
                  <c:v>101.54993933456308</c:v>
                </c:pt>
                <c:pt idx="12">
                  <c:v>101.28972633063952</c:v>
                </c:pt>
                <c:pt idx="13">
                  <c:v>101.12610516047999</c:v>
                </c:pt>
                <c:pt idx="14">
                  <c:v>100.99552665772173</c:v>
                </c:pt>
                <c:pt idx="15">
                  <c:v>100.86114631070505</c:v>
                </c:pt>
                <c:pt idx="16">
                  <c:v>100.75452403418394</c:v>
                </c:pt>
                <c:pt idx="17">
                  <c:v>100.73714810022584</c:v>
                </c:pt>
                <c:pt idx="18">
                  <c:v>100.94923144661956</c:v>
                </c:pt>
                <c:pt idx="19">
                  <c:v>101.21940986097943</c:v>
                </c:pt>
                <c:pt idx="20">
                  <c:v>101.36344464611592</c:v>
                </c:pt>
                <c:pt idx="21">
                  <c:v>101.53018875997024</c:v>
                </c:pt>
                <c:pt idx="22">
                  <c:v>101.78313947738917</c:v>
                </c:pt>
                <c:pt idx="23">
                  <c:v>102.05436194920338</c:v>
                </c:pt>
                <c:pt idx="24">
                  <c:v>102.34363936167885</c:v>
                </c:pt>
                <c:pt idx="25">
                  <c:v>102.73213062516292</c:v>
                </c:pt>
                <c:pt idx="26">
                  <c:v>103.16454097808978</c:v>
                </c:pt>
                <c:pt idx="27">
                  <c:v>103.47719180894103</c:v>
                </c:pt>
                <c:pt idx="28">
                  <c:v>103.75197345906322</c:v>
                </c:pt>
                <c:pt idx="29">
                  <c:v>103.98483041120032</c:v>
                </c:pt>
                <c:pt idx="30">
                  <c:v>104.01755475936984</c:v>
                </c:pt>
                <c:pt idx="31">
                  <c:v>103.95924562626861</c:v>
                </c:pt>
                <c:pt idx="32">
                  <c:v>104.01376744063236</c:v>
                </c:pt>
                <c:pt idx="33">
                  <c:v>104.16755370188227</c:v>
                </c:pt>
                <c:pt idx="34">
                  <c:v>104.30957676139846</c:v>
                </c:pt>
                <c:pt idx="35">
                  <c:v>104.41415315082018</c:v>
                </c:pt>
                <c:pt idx="36">
                  <c:v>104.47782849048434</c:v>
                </c:pt>
                <c:pt idx="37">
                  <c:v>104.52920538380408</c:v>
                </c:pt>
                <c:pt idx="38">
                  <c:v>104.66574862342016</c:v>
                </c:pt>
                <c:pt idx="39">
                  <c:v>104.89692038149033</c:v>
                </c:pt>
                <c:pt idx="40">
                  <c:v>105.18822494348601</c:v>
                </c:pt>
                <c:pt idx="41">
                  <c:v>105.49426855351066</c:v>
                </c:pt>
                <c:pt idx="42">
                  <c:v>105.85942907514409</c:v>
                </c:pt>
                <c:pt idx="43">
                  <c:v>106.35918650684145</c:v>
                </c:pt>
                <c:pt idx="44">
                  <c:v>106.85288042775002</c:v>
                </c:pt>
                <c:pt idx="45">
                  <c:v>107.30238159350685</c:v>
                </c:pt>
                <c:pt idx="46">
                  <c:v>107.79534897414003</c:v>
                </c:pt>
                <c:pt idx="47">
                  <c:v>108.3954870775775</c:v>
                </c:pt>
                <c:pt idx="48">
                  <c:v>109.06547338105081</c:v>
                </c:pt>
              </c:numCache>
            </c:numRef>
          </c:val>
        </c:ser>
        <c:marker val="1"/>
        <c:axId val="81910400"/>
        <c:axId val="90653056"/>
      </c:lineChart>
      <c:catAx>
        <c:axId val="81910400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90653056"/>
        <c:crosses val="autoZero"/>
        <c:auto val="1"/>
        <c:lblAlgn val="ctr"/>
        <c:lblOffset val="100"/>
      </c:catAx>
      <c:valAx>
        <c:axId val="90653056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19104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501509002675182"/>
          <c:y val="5.1400554097404488E-2"/>
          <c:w val="0.69676338402905058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zaFeb2014!$A$2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zaFeb2014!$B$2:$N$2</c:f>
              <c:numCache>
                <c:formatCode>General</c:formatCode>
                <c:ptCount val="13"/>
                <c:pt idx="0">
                  <c:v>342893</c:v>
                </c:pt>
                <c:pt idx="1">
                  <c:v>393365</c:v>
                </c:pt>
                <c:pt idx="2">
                  <c:v>379748</c:v>
                </c:pt>
                <c:pt idx="3">
                  <c:v>380770</c:v>
                </c:pt>
                <c:pt idx="4">
                  <c:v>317176</c:v>
                </c:pt>
                <c:pt idx="5">
                  <c:v>400481</c:v>
                </c:pt>
                <c:pt idx="6">
                  <c:v>385911</c:v>
                </c:pt>
                <c:pt idx="7">
                  <c:v>390579</c:v>
                </c:pt>
                <c:pt idx="8">
                  <c:v>454480</c:v>
                </c:pt>
                <c:pt idx="9">
                  <c:v>424992</c:v>
                </c:pt>
                <c:pt idx="10">
                  <c:v>391993</c:v>
                </c:pt>
                <c:pt idx="11">
                  <c:v>251906</c:v>
                </c:pt>
                <c:pt idx="12">
                  <c:v>427126</c:v>
                </c:pt>
              </c:numCache>
            </c:numRef>
          </c:val>
        </c:ser>
        <c:ser>
          <c:idx val="1"/>
          <c:order val="1"/>
          <c:tx>
            <c:strRef>
              <c:f>zaFeb2014!$A$3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zaFeb2014!$B$3:$N$3</c:f>
              <c:numCache>
                <c:formatCode>General</c:formatCode>
                <c:ptCount val="13"/>
                <c:pt idx="0">
                  <c:v>182220</c:v>
                </c:pt>
                <c:pt idx="1">
                  <c:v>210184</c:v>
                </c:pt>
                <c:pt idx="2">
                  <c:v>238435</c:v>
                </c:pt>
                <c:pt idx="3">
                  <c:v>220764</c:v>
                </c:pt>
                <c:pt idx="4">
                  <c:v>220173</c:v>
                </c:pt>
                <c:pt idx="5">
                  <c:v>242098</c:v>
                </c:pt>
                <c:pt idx="6">
                  <c:v>199427</c:v>
                </c:pt>
                <c:pt idx="7">
                  <c:v>230912</c:v>
                </c:pt>
                <c:pt idx="8">
                  <c:v>221870</c:v>
                </c:pt>
                <c:pt idx="9">
                  <c:v>231500</c:v>
                </c:pt>
                <c:pt idx="10">
                  <c:v>222497</c:v>
                </c:pt>
                <c:pt idx="11">
                  <c:v>196665</c:v>
                </c:pt>
                <c:pt idx="12">
                  <c:v>211099</c:v>
                </c:pt>
              </c:numCache>
            </c:numRef>
          </c:val>
        </c:ser>
        <c:marker val="1"/>
        <c:axId val="90675072"/>
        <c:axId val="90676608"/>
      </c:lineChart>
      <c:catAx>
        <c:axId val="90675072"/>
        <c:scaling>
          <c:orientation val="minMax"/>
        </c:scaling>
        <c:axPos val="b"/>
        <c:minorGridlines/>
        <c:numFmt formatCode="General" sourceLinked="0"/>
        <c:tickLblPos val="nextTo"/>
        <c:txPr>
          <a:bodyPr/>
          <a:lstStyle/>
          <a:p>
            <a:pPr>
              <a:defRPr>
                <a:latin typeface="Arial Narrow" pitchFamily="34" charset="0"/>
              </a:defRPr>
            </a:pPr>
            <a:endParaRPr lang="en-US"/>
          </a:p>
        </c:txPr>
        <c:crossAx val="90676608"/>
        <c:crosses val="autoZero"/>
        <c:auto val="1"/>
        <c:lblAlgn val="ctr"/>
        <c:lblOffset val="100"/>
      </c:catAx>
      <c:valAx>
        <c:axId val="90676608"/>
        <c:scaling>
          <c:orientation val="minMax"/>
        </c:scaling>
        <c:axPos val="l"/>
        <c:majorGridlines/>
        <c:numFmt formatCode="###\ ###" sourceLinked="0"/>
        <c:tickLblPos val="nextTo"/>
        <c:txPr>
          <a:bodyPr/>
          <a:lstStyle/>
          <a:p>
            <a:pPr>
              <a:defRPr>
                <a:latin typeface="Arial Narrow" pitchFamily="34" charset="0"/>
              </a:defRPr>
            </a:pPr>
            <a:endParaRPr lang="en-US"/>
          </a:p>
        </c:txPr>
        <c:crossAx val="9067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21"/>
          <c:y val="0.34220861281228782"/>
          <c:w val="0.16230180131593142"/>
          <c:h val="0.19017828327014688"/>
        </c:manualLayout>
      </c:layout>
      <c:txPr>
        <a:bodyPr/>
        <a:lstStyle/>
        <a:p>
          <a:pPr>
            <a:defRPr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baseline="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9045-4977-4B2C-AC60-EA4CBA73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5</Pages>
  <Words>1211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9240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zecal</cp:lastModifiedBy>
  <cp:revision>323</cp:revision>
  <cp:lastPrinted>2015-03-20T12:16:00Z</cp:lastPrinted>
  <dcterms:created xsi:type="dcterms:W3CDTF">2014-03-14T12:01:00Z</dcterms:created>
  <dcterms:modified xsi:type="dcterms:W3CDTF">2015-03-23T08:26:00Z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