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3206D9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3206D9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3206D9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август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3206D9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8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206D9" w:rsidP="00542435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август</w:t>
            </w:r>
            <w:r w:rsidR="007E158B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0057E1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6F7AD9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63D11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33D13" w:rsidRPr="006F7AD9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6F7AD9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6F7AD9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6F7AD9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6F7AD9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6F7AD9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2812C3" w:rsidRPr="006F7AD9">
        <w:rPr>
          <w:rFonts w:ascii="Arial Narrow" w:hAnsi="Arial Narrow" w:cs="Tahoma"/>
          <w:b/>
          <w:sz w:val="30"/>
          <w:szCs w:val="30"/>
          <w:lang w:val="sr-Cyrl-BA"/>
        </w:rPr>
        <w:t>ју</w:t>
      </w:r>
      <w:r w:rsidR="00625174" w:rsidRPr="006F7AD9">
        <w:rPr>
          <w:rFonts w:ascii="Arial Narrow" w:hAnsi="Arial Narrow" w:cs="Tahoma"/>
          <w:b/>
          <w:sz w:val="30"/>
          <w:szCs w:val="30"/>
          <w:lang w:val="sr-Cyrl-BA"/>
        </w:rPr>
        <w:t>л</w:t>
      </w:r>
      <w:r w:rsidR="00470221" w:rsidRPr="006F7AD9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33D13" w:rsidRPr="006F7AD9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6F7AD9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6F7AD9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625174" w:rsidRPr="006F7AD9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E33D13" w:rsidRPr="006F7AD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6F7AD9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6F7AD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F7AD9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6F7AD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6F7AD9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6F7AD9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6F7AD9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470221" w:rsidRPr="006F7AD9">
        <w:rPr>
          <w:rFonts w:ascii="Arial Narrow" w:hAnsi="Arial Narrow" w:cs="Tahoma"/>
          <w:b/>
          <w:sz w:val="28"/>
          <w:szCs w:val="28"/>
          <w:lang w:val="ru-RU"/>
        </w:rPr>
        <w:t>6</w:t>
      </w:r>
      <w:r w:rsidR="00625174" w:rsidRPr="006F7AD9">
        <w:rPr>
          <w:rFonts w:ascii="Arial Narrow" w:hAnsi="Arial Narrow" w:cs="Tahoma"/>
          <w:b/>
          <w:sz w:val="28"/>
          <w:szCs w:val="28"/>
          <w:lang w:val="ru-RU"/>
        </w:rPr>
        <w:t>3</w:t>
      </w:r>
      <w:r w:rsidRPr="006F7AD9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6F7AD9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6F7AD9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6F7AD9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6F7AD9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6F7AD9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6F7AD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70221" w:rsidRPr="006F7AD9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48741A" w:rsidRPr="006F7AD9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6F7AD9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625174" w:rsidRPr="006F7AD9">
        <w:rPr>
          <w:rFonts w:ascii="Arial Narrow" w:hAnsi="Arial Narrow" w:cs="Tahoma"/>
          <w:b/>
          <w:sz w:val="28"/>
          <w:szCs w:val="28"/>
          <w:lang w:val="sr-Cyrl-BA"/>
        </w:rPr>
        <w:t>20</w:t>
      </w:r>
      <w:r w:rsidRPr="006F7AD9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F7AD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F7AD9">
        <w:rPr>
          <w:rFonts w:ascii="Tahoma" w:hAnsi="Tahoma" w:cs="Tahoma"/>
          <w:b/>
          <w:lang w:val="sr-Cyrl-CS"/>
        </w:rPr>
        <w:tab/>
      </w:r>
      <w:r w:rsidRPr="006F7AD9">
        <w:rPr>
          <w:rFonts w:ascii="Tahoma" w:hAnsi="Tahoma" w:cs="Tahoma"/>
          <w:b/>
          <w:lang w:val="sr-Cyrl-CS"/>
        </w:rPr>
        <w:tab/>
      </w:r>
    </w:p>
    <w:p w:rsidR="00B82005" w:rsidRPr="006F7AD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F7AD9">
        <w:rPr>
          <w:rFonts w:ascii="Arial Narrow" w:hAnsi="Arial Narrow" w:cs="Tahoma"/>
          <w:sz w:val="22"/>
          <w:lang w:val="sr-Cyrl-BA"/>
        </w:rPr>
        <w:t>П</w:t>
      </w:r>
      <w:r w:rsidRPr="006F7AD9">
        <w:rPr>
          <w:rFonts w:ascii="Arial Narrow" w:hAnsi="Arial Narrow" w:cs="Tahoma"/>
          <w:sz w:val="22"/>
          <w:lang w:val="sr-Cyrl-CS"/>
        </w:rPr>
        <w:t>росјечна</w:t>
      </w:r>
      <w:r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мјесечна нето плата</w:t>
      </w:r>
      <w:r w:rsidRPr="006F7AD9">
        <w:rPr>
          <w:rFonts w:ascii="Arial Narrow" w:hAnsi="Arial Narrow" w:cs="Tahoma"/>
          <w:b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6F7AD9">
        <w:rPr>
          <w:rFonts w:ascii="Arial Narrow" w:hAnsi="Arial Narrow" w:cs="Tahoma"/>
          <w:b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70221" w:rsidRPr="006F7AD9">
        <w:rPr>
          <w:rFonts w:ascii="Arial Narrow" w:hAnsi="Arial Narrow" w:cs="Tahoma"/>
          <w:sz w:val="22"/>
          <w:lang w:val="sr-Cyrl-CS"/>
        </w:rPr>
        <w:t>ју</w:t>
      </w:r>
      <w:r w:rsidR="00625174" w:rsidRPr="006F7AD9">
        <w:rPr>
          <w:rFonts w:ascii="Arial Narrow" w:hAnsi="Arial Narrow" w:cs="Tahoma"/>
          <w:sz w:val="22"/>
          <w:lang w:val="sr-Cyrl-CS"/>
        </w:rPr>
        <w:t>л</w:t>
      </w:r>
      <w:r w:rsidR="00470221" w:rsidRPr="006F7AD9">
        <w:rPr>
          <w:rFonts w:ascii="Arial Narrow" w:hAnsi="Arial Narrow" w:cs="Tahoma"/>
          <w:sz w:val="22"/>
          <w:lang w:val="sr-Cyrl-CS"/>
        </w:rPr>
        <w:t>у</w:t>
      </w:r>
      <w:r w:rsidRPr="006F7AD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  <w:lang w:val="sr-Cyrl-CS"/>
        </w:rPr>
        <w:t>.</w:t>
      </w:r>
      <w:r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године износи</w:t>
      </w:r>
      <w:r w:rsidRPr="006F7AD9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8</w:t>
      </w:r>
      <w:r w:rsidR="00625174" w:rsidRPr="006F7AD9">
        <w:rPr>
          <w:rFonts w:ascii="Arial Narrow" w:hAnsi="Arial Narrow" w:cs="Tahoma"/>
          <w:sz w:val="22"/>
          <w:lang w:val="sr-Cyrl-CS"/>
        </w:rPr>
        <w:t>34</w:t>
      </w:r>
      <w:r w:rsidRPr="006F7AD9">
        <w:rPr>
          <w:rFonts w:ascii="Arial Narrow" w:hAnsi="Arial Narrow" w:cs="Tahoma"/>
          <w:sz w:val="22"/>
          <w:lang w:val="sr-Cyrl-CS"/>
        </w:rPr>
        <w:t xml:space="preserve"> КМ</w:t>
      </w:r>
      <w:r w:rsidRPr="006F7AD9">
        <w:rPr>
          <w:rFonts w:ascii="Arial Narrow" w:hAnsi="Arial Narrow" w:cs="Tahoma"/>
          <w:sz w:val="22"/>
          <w:lang w:val="hr-HR"/>
        </w:rPr>
        <w:t>,</w:t>
      </w:r>
      <w:r w:rsidRPr="006F7AD9">
        <w:rPr>
          <w:rFonts w:ascii="Arial Narrow" w:hAnsi="Arial Narrow" w:cs="Tahoma"/>
          <w:sz w:val="22"/>
          <w:lang w:val="ru-RU"/>
        </w:rPr>
        <w:t xml:space="preserve"> а п</w:t>
      </w:r>
      <w:r w:rsidRPr="006F7AD9">
        <w:rPr>
          <w:rFonts w:ascii="Arial Narrow" w:hAnsi="Arial Narrow" w:cs="Tahoma"/>
          <w:sz w:val="22"/>
          <w:lang w:val="sr-Cyrl-CS"/>
        </w:rPr>
        <w:t>росјечна</w:t>
      </w:r>
      <w:r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1 3</w:t>
      </w:r>
      <w:r w:rsidR="00625174" w:rsidRPr="006F7AD9">
        <w:rPr>
          <w:rFonts w:ascii="Arial Narrow" w:hAnsi="Arial Narrow" w:cs="Tahoma"/>
          <w:sz w:val="22"/>
          <w:lang w:val="sr-Cyrl-CS"/>
        </w:rPr>
        <w:t>43</w:t>
      </w:r>
      <w:r w:rsidRPr="006F7AD9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6F7AD9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6F7AD9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6F7AD9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F7AD9">
        <w:rPr>
          <w:rFonts w:ascii="Arial Narrow" w:hAnsi="Arial Narrow" w:cs="Tahoma"/>
          <w:sz w:val="22"/>
          <w:lang w:val="sr-Latn-CS"/>
        </w:rPr>
        <w:t xml:space="preserve">У </w:t>
      </w:r>
      <w:r w:rsidRPr="006F7AD9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470221" w:rsidRPr="006F7AD9">
        <w:rPr>
          <w:rFonts w:ascii="Arial Narrow" w:hAnsi="Arial Narrow" w:cs="Tahoma"/>
          <w:sz w:val="22"/>
          <w:lang w:val="sr-Cyrl-CS"/>
        </w:rPr>
        <w:t>ју</w:t>
      </w:r>
      <w:r w:rsidR="00625174" w:rsidRPr="006F7AD9">
        <w:rPr>
          <w:rFonts w:ascii="Arial Narrow" w:hAnsi="Arial Narrow" w:cs="Tahoma"/>
          <w:sz w:val="22"/>
          <w:lang w:val="sr-Cyrl-CS"/>
        </w:rPr>
        <w:t>л</w:t>
      </w:r>
      <w:r w:rsidRPr="006F7AD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F7AD9">
        <w:rPr>
          <w:rFonts w:ascii="Arial Narrow" w:hAnsi="Arial Narrow" w:cs="Tahoma"/>
          <w:sz w:val="22"/>
          <w:lang w:val="sr-Cyrl-CS"/>
        </w:rPr>
        <w:t>4</w:t>
      </w:r>
      <w:r w:rsidRPr="006F7AD9">
        <w:rPr>
          <w:rFonts w:ascii="Arial Narrow" w:hAnsi="Arial Narrow" w:cs="Tahoma"/>
          <w:sz w:val="22"/>
          <w:lang w:val="sr-Cyrl-CS"/>
        </w:rPr>
        <w:t xml:space="preserve">. </w:t>
      </w:r>
      <w:r w:rsidRPr="006F7AD9">
        <w:rPr>
          <w:rFonts w:ascii="Arial Narrow" w:hAnsi="Arial Narrow" w:cs="Tahoma"/>
          <w:sz w:val="22"/>
          <w:lang w:val="sr-Cyrl-BA"/>
        </w:rPr>
        <w:t>г</w:t>
      </w:r>
      <w:r w:rsidRPr="006F7AD9">
        <w:rPr>
          <w:rFonts w:ascii="Arial Narrow" w:hAnsi="Arial Narrow" w:cs="Tahoma"/>
          <w:sz w:val="22"/>
          <w:lang w:val="sr-Cyrl-CS"/>
        </w:rPr>
        <w:t>одине</w:t>
      </w:r>
      <w:r w:rsidRPr="006F7AD9">
        <w:rPr>
          <w:rFonts w:ascii="Arial Narrow" w:hAnsi="Arial Narrow" w:cs="Tahoma"/>
          <w:sz w:val="22"/>
          <w:lang w:val="sr-Latn-BA"/>
        </w:rPr>
        <w:t>,</w:t>
      </w:r>
      <w:r w:rsidRPr="006F7AD9">
        <w:rPr>
          <w:rFonts w:ascii="Arial Narrow" w:hAnsi="Arial Narrow" w:cs="Tahoma"/>
          <w:sz w:val="22"/>
          <w:lang w:val="sr-Cyrl-BA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470221" w:rsidRPr="006F7AD9">
        <w:rPr>
          <w:rFonts w:ascii="Arial Narrow" w:hAnsi="Arial Narrow" w:cs="Tahoma"/>
          <w:sz w:val="22"/>
          <w:lang w:val="sr-Cyrl-CS"/>
        </w:rPr>
        <w:t>ју</w:t>
      </w:r>
      <w:r w:rsidR="00625174" w:rsidRPr="006F7AD9">
        <w:rPr>
          <w:rFonts w:ascii="Arial Narrow" w:hAnsi="Arial Narrow" w:cs="Tahoma"/>
          <w:sz w:val="22"/>
          <w:lang w:val="sr-Cyrl-CS"/>
        </w:rPr>
        <w:t>л</w:t>
      </w:r>
      <w:r w:rsidR="00470221" w:rsidRPr="006F7AD9">
        <w:rPr>
          <w:rFonts w:ascii="Arial Narrow" w:hAnsi="Arial Narrow" w:cs="Tahoma"/>
          <w:sz w:val="22"/>
          <w:lang w:val="sr-Cyrl-CS"/>
        </w:rPr>
        <w:t>у</w:t>
      </w:r>
      <w:r w:rsidRPr="006F7AD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625174" w:rsidRPr="006F7AD9">
        <w:rPr>
          <w:rFonts w:ascii="Arial Narrow" w:hAnsi="Arial Narrow" w:cs="Tahoma"/>
          <w:sz w:val="22"/>
          <w:lang w:val="sr-Cyrl-CS"/>
        </w:rPr>
        <w:t>2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625174" w:rsidRPr="006F7AD9">
        <w:rPr>
          <w:rFonts w:ascii="Arial Narrow" w:hAnsi="Arial Narrow" w:cs="Tahoma"/>
          <w:sz w:val="22"/>
          <w:lang w:val="sr-Cyrl-CS"/>
        </w:rPr>
        <w:t>2</w:t>
      </w:r>
      <w:r w:rsidRPr="006F7AD9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625174" w:rsidRPr="006F7AD9">
        <w:rPr>
          <w:rFonts w:ascii="Arial Narrow" w:hAnsi="Arial Narrow" w:cs="Tahoma"/>
          <w:sz w:val="22"/>
          <w:lang w:val="sr-Cyrl-CS"/>
        </w:rPr>
        <w:t>јун</w:t>
      </w:r>
      <w:r w:rsidRPr="006F7AD9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625174" w:rsidRPr="006F7AD9">
        <w:rPr>
          <w:rFonts w:ascii="Arial Narrow" w:hAnsi="Arial Narrow" w:cs="Tahoma"/>
          <w:sz w:val="22"/>
          <w:lang w:val="sr-Cyrl-BA"/>
        </w:rPr>
        <w:t>мања</w:t>
      </w:r>
      <w:r w:rsidR="00470221" w:rsidRPr="006F7AD9">
        <w:rPr>
          <w:rFonts w:ascii="Arial Narrow" w:hAnsi="Arial Narrow" w:cs="Tahoma"/>
          <w:sz w:val="22"/>
          <w:lang w:val="sr-Cyrl-CS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за </w:t>
      </w:r>
      <w:r w:rsidR="00625174" w:rsidRPr="006F7AD9">
        <w:rPr>
          <w:rFonts w:ascii="Arial Narrow" w:hAnsi="Arial Narrow" w:cs="Tahoma"/>
          <w:sz w:val="22"/>
          <w:lang w:val="sr-Cyrl-CS"/>
        </w:rPr>
        <w:t>0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625174" w:rsidRPr="006F7AD9">
        <w:rPr>
          <w:rFonts w:ascii="Arial Narrow" w:hAnsi="Arial Narrow" w:cs="Tahoma"/>
          <w:sz w:val="22"/>
          <w:lang w:val="sr-Cyrl-CS"/>
        </w:rPr>
        <w:t>3</w:t>
      </w:r>
      <w:r w:rsidRPr="006F7AD9">
        <w:rPr>
          <w:rFonts w:ascii="Arial Narrow" w:hAnsi="Arial Narrow" w:cs="Tahoma"/>
          <w:sz w:val="22"/>
          <w:lang w:val="sr-Cyrl-CS"/>
        </w:rPr>
        <w:t>%.</w:t>
      </w:r>
    </w:p>
    <w:p w:rsidR="00B82005" w:rsidRPr="006F7AD9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70221" w:rsidRPr="006F7AD9" w:rsidRDefault="00470221" w:rsidP="00470221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  <w:r w:rsidRPr="006F7AD9">
        <w:rPr>
          <w:rFonts w:ascii="Arial Narrow" w:hAnsi="Arial Narrow" w:cs="Tahoma"/>
          <w:sz w:val="22"/>
          <w:lang w:val="ru-RU"/>
        </w:rPr>
        <w:t xml:space="preserve">До </w:t>
      </w:r>
      <w:r w:rsidR="00625174" w:rsidRPr="006F7AD9">
        <w:rPr>
          <w:rFonts w:ascii="Arial Narrow" w:hAnsi="Arial Narrow" w:cs="Tahoma"/>
          <w:sz w:val="22"/>
          <w:lang w:val="ru-RU"/>
        </w:rPr>
        <w:t>смањења</w:t>
      </w:r>
      <w:r w:rsidRPr="006F7AD9">
        <w:rPr>
          <w:rFonts w:ascii="Arial Narrow" w:hAnsi="Arial Narrow" w:cs="Tahoma"/>
          <w:sz w:val="22"/>
          <w:lang w:val="sr-Cyrl-CS"/>
        </w:rPr>
        <w:t xml:space="preserve"> просјечне нето плате</w:t>
      </w:r>
      <w:r w:rsidRPr="006F7AD9">
        <w:rPr>
          <w:rFonts w:ascii="Arial Narrow" w:hAnsi="Arial Narrow" w:cs="Tahoma"/>
          <w:sz w:val="22"/>
          <w:lang w:val="sr-Cyrl-BA"/>
        </w:rPr>
        <w:t xml:space="preserve"> у ју</w:t>
      </w:r>
      <w:r w:rsidR="00625174" w:rsidRPr="006F7AD9">
        <w:rPr>
          <w:rFonts w:ascii="Arial Narrow" w:hAnsi="Arial Narrow" w:cs="Tahoma"/>
          <w:sz w:val="22"/>
          <w:lang w:val="sr-Cyrl-BA"/>
        </w:rPr>
        <w:t>л</w:t>
      </w:r>
      <w:r w:rsidRPr="006F7AD9">
        <w:rPr>
          <w:rFonts w:ascii="Arial Narrow" w:hAnsi="Arial Narrow" w:cs="Tahoma"/>
          <w:sz w:val="22"/>
          <w:lang w:val="sr-Cyrl-BA"/>
        </w:rPr>
        <w:t xml:space="preserve">у </w:t>
      </w:r>
      <w:r w:rsidRPr="006F7AD9">
        <w:rPr>
          <w:rFonts w:ascii="Arial Narrow" w:hAnsi="Arial Narrow" w:cs="Tahoma"/>
          <w:sz w:val="22"/>
          <w:lang w:val="ru-RU"/>
        </w:rPr>
        <w:t xml:space="preserve">2015. у односу на </w:t>
      </w:r>
      <w:r w:rsidR="00625174" w:rsidRPr="006F7AD9">
        <w:rPr>
          <w:rFonts w:ascii="Arial Narrow" w:hAnsi="Arial Narrow" w:cs="Tahoma"/>
          <w:sz w:val="22"/>
          <w:lang w:val="ru-RU"/>
        </w:rPr>
        <w:t>јун</w:t>
      </w:r>
      <w:r w:rsidRPr="006F7AD9">
        <w:rPr>
          <w:rFonts w:ascii="Arial Narrow" w:hAnsi="Arial Narrow" w:cs="Tahoma"/>
          <w:sz w:val="22"/>
          <w:lang w:val="ru-RU"/>
        </w:rPr>
        <w:t xml:space="preserve"> 2015</w:t>
      </w:r>
      <w:r w:rsidRPr="006F7AD9">
        <w:rPr>
          <w:rFonts w:ascii="Arial Narrow" w:hAnsi="Arial Narrow" w:cs="Tahoma"/>
          <w:sz w:val="22"/>
          <w:lang w:val="sr-Cyrl-BA"/>
        </w:rPr>
        <w:t>.</w:t>
      </w:r>
      <w:r w:rsidRPr="006F7AD9">
        <w:rPr>
          <w:rFonts w:ascii="Arial Narrow" w:hAnsi="Arial Narrow" w:cs="Tahoma"/>
          <w:sz w:val="22"/>
          <w:lang w:val="ru-RU"/>
        </w:rPr>
        <w:t xml:space="preserve"> дошло је углавном због </w:t>
      </w:r>
      <w:r w:rsidR="00625174" w:rsidRPr="006F7AD9">
        <w:rPr>
          <w:rFonts w:ascii="Arial Narrow" w:hAnsi="Arial Narrow" w:cs="Tahoma"/>
          <w:sz w:val="22"/>
          <w:lang w:val="ru-RU"/>
        </w:rPr>
        <w:t>мањег</w:t>
      </w:r>
      <w:r w:rsidRPr="006F7AD9">
        <w:rPr>
          <w:rFonts w:ascii="Arial Narrow" w:hAnsi="Arial Narrow" w:cs="Tahoma"/>
          <w:sz w:val="22"/>
          <w:lang w:val="ru-RU"/>
        </w:rPr>
        <w:t xml:space="preserve"> броја плаћених прековремених часова рада у подручјима дјелатности Вађење руда и камена</w:t>
      </w:r>
      <w:r w:rsidR="00625174" w:rsidRPr="006F7AD9">
        <w:rPr>
          <w:rFonts w:ascii="Arial Narrow" w:hAnsi="Arial Narrow" w:cs="Tahoma"/>
          <w:sz w:val="22"/>
          <w:lang w:val="ru-RU"/>
        </w:rPr>
        <w:t>,</w:t>
      </w:r>
      <w:r w:rsidRPr="006F7AD9">
        <w:rPr>
          <w:rFonts w:ascii="Arial Narrow" w:hAnsi="Arial Narrow" w:cs="Tahoma"/>
          <w:sz w:val="22"/>
          <w:lang w:val="ru-RU"/>
        </w:rPr>
        <w:t xml:space="preserve"> Производња и сна</w:t>
      </w:r>
      <w:r w:rsidR="00625174" w:rsidRPr="006F7AD9">
        <w:rPr>
          <w:rFonts w:ascii="Arial Narrow" w:hAnsi="Arial Narrow" w:cs="Tahoma"/>
          <w:sz w:val="22"/>
          <w:lang w:val="ru-RU"/>
        </w:rPr>
        <w:t>бдијевање електричном енергијом и</w:t>
      </w:r>
      <w:r w:rsidRPr="006F7AD9">
        <w:rPr>
          <w:rFonts w:ascii="Arial Narrow" w:hAnsi="Arial Narrow" w:cs="Tahoma"/>
          <w:sz w:val="22"/>
          <w:lang w:val="ru-RU"/>
        </w:rPr>
        <w:t xml:space="preserve"> </w:t>
      </w:r>
      <w:r w:rsidR="00625174" w:rsidRPr="006F7AD9">
        <w:rPr>
          <w:rFonts w:ascii="Arial Narrow" w:hAnsi="Arial Narrow" w:cs="Tahoma"/>
          <w:sz w:val="22"/>
          <w:lang w:val="ru-RU"/>
        </w:rPr>
        <w:t>Прерађивачка индустрија</w:t>
      </w:r>
      <w:r w:rsidR="00F54DF7" w:rsidRPr="006F7AD9">
        <w:rPr>
          <w:rFonts w:ascii="Arial Narrow" w:hAnsi="Arial Narrow" w:cs="Tahoma"/>
          <w:sz w:val="22"/>
          <w:lang w:val="sr-Latn-BA"/>
        </w:rPr>
        <w:t>,</w:t>
      </w:r>
      <w:r w:rsidR="00625174"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ru-RU"/>
        </w:rPr>
        <w:t>а која запошљавају значајан број радника.</w:t>
      </w:r>
    </w:p>
    <w:p w:rsidR="00E33D13" w:rsidRPr="006F7AD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6F7AD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F7AD9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F7AD9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470221" w:rsidRPr="006F7AD9">
        <w:rPr>
          <w:rFonts w:ascii="Arial Narrow" w:hAnsi="Arial Narrow" w:cs="Tahoma"/>
          <w:sz w:val="22"/>
          <w:lang w:val="sr-Cyrl-CS"/>
        </w:rPr>
        <w:t>ју</w:t>
      </w:r>
      <w:r w:rsidR="00625174" w:rsidRPr="006F7AD9">
        <w:rPr>
          <w:rFonts w:ascii="Arial Narrow" w:hAnsi="Arial Narrow" w:cs="Tahoma"/>
          <w:sz w:val="22"/>
          <w:lang w:val="sr-Cyrl-CS"/>
        </w:rPr>
        <w:t>л</w:t>
      </w:r>
      <w:r w:rsidR="00470221" w:rsidRPr="006F7AD9">
        <w:rPr>
          <w:rFonts w:ascii="Arial Narrow" w:hAnsi="Arial Narrow" w:cs="Tahoma"/>
          <w:sz w:val="22"/>
          <w:lang w:val="sr-Cyrl-CS"/>
        </w:rPr>
        <w:t>у</w:t>
      </w:r>
      <w:r w:rsidRPr="006F7AD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6F7AD9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6F7AD9">
        <w:rPr>
          <w:rFonts w:ascii="Arial Narrow" w:hAnsi="Arial Narrow" w:cs="Tahoma"/>
          <w:sz w:val="22"/>
          <w:lang w:val="sr-Cyrl-CS"/>
        </w:rPr>
        <w:t>и износи 1 2</w:t>
      </w:r>
      <w:r w:rsidR="00470221" w:rsidRPr="006F7AD9">
        <w:rPr>
          <w:rFonts w:ascii="Arial Narrow" w:hAnsi="Arial Narrow" w:cs="Tahoma"/>
          <w:sz w:val="22"/>
          <w:lang w:val="sr-Cyrl-CS"/>
        </w:rPr>
        <w:t>6</w:t>
      </w:r>
      <w:r w:rsidR="00625174" w:rsidRPr="006F7AD9">
        <w:rPr>
          <w:rFonts w:ascii="Arial Narrow" w:hAnsi="Arial Narrow" w:cs="Tahoma"/>
          <w:sz w:val="22"/>
          <w:lang w:val="sr-Cyrl-CS"/>
        </w:rPr>
        <w:t>3</w:t>
      </w:r>
      <w:r w:rsidRPr="006F7AD9">
        <w:rPr>
          <w:rFonts w:ascii="Arial Narrow" w:hAnsi="Arial Narrow" w:cs="Tahoma"/>
          <w:sz w:val="22"/>
          <w:lang w:val="sr-Cyrl-CS"/>
        </w:rPr>
        <w:t xml:space="preserve"> КМ</w:t>
      </w:r>
      <w:r w:rsidRPr="006F7AD9">
        <w:rPr>
          <w:rFonts w:ascii="Arial Narrow" w:hAnsi="Arial Narrow" w:cs="Tahoma"/>
          <w:sz w:val="22"/>
          <w:lang w:val="sr-Latn-CS"/>
        </w:rPr>
        <w:t>. Са друге стране,</w:t>
      </w:r>
      <w:r w:rsidRPr="006F7AD9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F7AD9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6F7AD9">
        <w:rPr>
          <w:rFonts w:ascii="Arial Narrow" w:hAnsi="Arial Narrow" w:cs="Tahoma"/>
          <w:sz w:val="22"/>
          <w:lang w:val="sr-Cyrl-BA"/>
        </w:rPr>
        <w:t>нето</w:t>
      </w:r>
      <w:r w:rsidR="00F54DF7" w:rsidRPr="006F7AD9">
        <w:rPr>
          <w:rFonts w:ascii="Arial Narrow" w:hAnsi="Arial Narrow" w:cs="Tahoma"/>
          <w:sz w:val="22"/>
          <w:lang w:val="sr-Latn-BA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плата у </w:t>
      </w:r>
      <w:r w:rsidR="00470221" w:rsidRPr="006F7AD9">
        <w:rPr>
          <w:rFonts w:ascii="Arial Narrow" w:hAnsi="Arial Narrow" w:cs="Tahoma"/>
          <w:sz w:val="22"/>
          <w:lang w:val="sr-Cyrl-CS"/>
        </w:rPr>
        <w:t>ју</w:t>
      </w:r>
      <w:r w:rsidR="00625174" w:rsidRPr="006F7AD9">
        <w:rPr>
          <w:rFonts w:ascii="Arial Narrow" w:hAnsi="Arial Narrow" w:cs="Tahoma"/>
          <w:sz w:val="22"/>
          <w:lang w:val="sr-Cyrl-CS"/>
        </w:rPr>
        <w:t>л</w:t>
      </w:r>
      <w:r w:rsidR="00470221" w:rsidRPr="006F7AD9">
        <w:rPr>
          <w:rFonts w:ascii="Arial Narrow" w:hAnsi="Arial Narrow" w:cs="Tahoma"/>
          <w:sz w:val="22"/>
          <w:lang w:val="sr-Cyrl-CS"/>
        </w:rPr>
        <w:t>у</w:t>
      </w:r>
      <w:r w:rsidRPr="006F7AD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6F7AD9">
        <w:rPr>
          <w:rFonts w:ascii="Arial Narrow" w:hAnsi="Arial Narrow" w:cs="Tahoma"/>
          <w:sz w:val="22"/>
          <w:lang w:val="sr-Cyrl-CS"/>
        </w:rPr>
        <w:t>у</w:t>
      </w:r>
      <w:r w:rsidRPr="006F7AD9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470221" w:rsidRPr="006F7AD9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Pr="006F7AD9">
        <w:rPr>
          <w:rFonts w:ascii="Arial Narrow" w:hAnsi="Arial Narrow" w:cs="Tahoma"/>
          <w:sz w:val="22"/>
        </w:rPr>
        <w:t xml:space="preserve"> </w:t>
      </w:r>
      <w:r w:rsidRPr="006F7AD9">
        <w:rPr>
          <w:rFonts w:ascii="Arial Narrow" w:hAnsi="Arial Narrow" w:cs="Tahoma"/>
          <w:sz w:val="22"/>
          <w:lang w:val="sr-Cyrl-BA"/>
        </w:rPr>
        <w:t>5</w:t>
      </w:r>
      <w:r w:rsidR="00625174" w:rsidRPr="006F7AD9">
        <w:rPr>
          <w:rFonts w:ascii="Arial Narrow" w:hAnsi="Arial Narrow" w:cs="Tahoma"/>
          <w:sz w:val="22"/>
          <w:lang w:val="sr-Cyrl-BA"/>
        </w:rPr>
        <w:t>20</w:t>
      </w:r>
      <w:r w:rsidRPr="006F7AD9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6F7AD9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6F7AD9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470221" w:rsidRPr="006F7AD9">
        <w:rPr>
          <w:rFonts w:ascii="Arial Narrow" w:hAnsi="Arial Narrow" w:cs="Tahoma"/>
          <w:sz w:val="22"/>
          <w:szCs w:val="22"/>
          <w:lang w:val="sr-Cyrl-CS"/>
        </w:rPr>
        <w:t>ју</w:t>
      </w:r>
      <w:r w:rsidR="00625174" w:rsidRPr="006F7AD9">
        <w:rPr>
          <w:rFonts w:ascii="Arial Narrow" w:hAnsi="Arial Narrow" w:cs="Tahoma"/>
          <w:sz w:val="22"/>
          <w:szCs w:val="22"/>
          <w:lang w:val="sr-Cyrl-CS"/>
        </w:rPr>
        <w:t>л</w:t>
      </w:r>
      <w:r w:rsidR="00470221" w:rsidRPr="006F7AD9">
        <w:rPr>
          <w:rFonts w:ascii="Arial Narrow" w:hAnsi="Arial Narrow" w:cs="Tahoma"/>
          <w:sz w:val="22"/>
          <w:szCs w:val="22"/>
          <w:lang w:val="sr-Cyrl-CS"/>
        </w:rPr>
        <w:t>у</w:t>
      </w:r>
      <w:r w:rsidRPr="006F7AD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F7AD9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6F7AD9">
        <w:rPr>
          <w:rFonts w:ascii="Arial Narrow" w:hAnsi="Arial Narrow" w:cs="Tahoma"/>
          <w:sz w:val="22"/>
          <w:szCs w:val="22"/>
          <w:lang w:val="ru-RU"/>
        </w:rPr>
        <w:t>5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25174" w:rsidRPr="006F7AD9">
        <w:rPr>
          <w:rFonts w:ascii="Arial Narrow" w:hAnsi="Arial Narrow" w:cs="Tahoma"/>
          <w:sz w:val="22"/>
          <w:szCs w:val="22"/>
          <w:lang w:val="ru-RU"/>
        </w:rPr>
        <w:t>јун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6F7AD9">
        <w:rPr>
          <w:rFonts w:ascii="Arial Narrow" w:hAnsi="Arial Narrow" w:cs="Tahoma"/>
          <w:sz w:val="22"/>
          <w:szCs w:val="22"/>
          <w:lang w:val="ru-RU"/>
        </w:rPr>
        <w:t>5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32724B" w:rsidRPr="006F7AD9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6F7AD9">
        <w:rPr>
          <w:rFonts w:ascii="Arial Narrow" w:hAnsi="Arial Narrow" w:cs="Tahoma"/>
          <w:sz w:val="22"/>
          <w:szCs w:val="22"/>
          <w:lang w:val="sr-Latn-CS"/>
        </w:rPr>
        <w:t>р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2812C3"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25174" w:rsidRPr="006F7AD9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</w:t>
      </w:r>
      <w:r w:rsidR="00470221"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25174" w:rsidRPr="006F7AD9">
        <w:rPr>
          <w:rFonts w:ascii="Arial Narrow" w:hAnsi="Arial Narrow" w:cs="Tahoma"/>
          <w:sz w:val="22"/>
          <w:szCs w:val="22"/>
          <w:lang w:val="sr-Cyrl-BA"/>
        </w:rPr>
        <w:t>1</w:t>
      </w:r>
      <w:r w:rsidR="00470221" w:rsidRPr="006F7AD9">
        <w:rPr>
          <w:rFonts w:ascii="Arial Narrow" w:hAnsi="Arial Narrow" w:cs="Tahoma"/>
          <w:sz w:val="22"/>
          <w:szCs w:val="22"/>
          <w:lang w:val="sr-Cyrl-BA"/>
        </w:rPr>
        <w:t>,</w:t>
      </w:r>
      <w:r w:rsidR="00625174" w:rsidRPr="006F7AD9">
        <w:rPr>
          <w:rFonts w:ascii="Arial Narrow" w:hAnsi="Arial Narrow" w:cs="Tahoma"/>
          <w:sz w:val="22"/>
          <w:szCs w:val="22"/>
          <w:lang w:val="sr-Cyrl-BA"/>
        </w:rPr>
        <w:t>3</w:t>
      </w:r>
      <w:r w:rsidR="00470221" w:rsidRPr="006F7AD9">
        <w:rPr>
          <w:rFonts w:ascii="Arial Narrow" w:hAnsi="Arial Narrow" w:cs="Tahoma"/>
          <w:sz w:val="22"/>
          <w:szCs w:val="22"/>
          <w:lang w:val="sr-Cyrl-BA"/>
        </w:rPr>
        <w:t>%,</w:t>
      </w:r>
      <w:r w:rsidR="00470221"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25174"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Информације и комуникације </w:t>
      </w:r>
      <w:r w:rsidR="00625174" w:rsidRPr="006F7AD9">
        <w:rPr>
          <w:rFonts w:ascii="Arial Narrow" w:hAnsi="Arial Narrow" w:cs="Tahoma"/>
          <w:sz w:val="22"/>
          <w:szCs w:val="22"/>
          <w:lang w:val="sr-Cyrl-BA"/>
        </w:rPr>
        <w:t>1,0%</w:t>
      </w:r>
      <w:r w:rsidR="00625174"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2812C3" w:rsidRPr="006F7AD9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625174" w:rsidRPr="006F7AD9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625174" w:rsidRPr="006F7AD9">
        <w:rPr>
          <w:rFonts w:ascii="Arial Narrow" w:hAnsi="Arial Narrow" w:cs="Tahoma"/>
          <w:sz w:val="22"/>
          <w:szCs w:val="22"/>
          <w:lang w:val="sr-Cyrl-BA"/>
        </w:rPr>
        <w:t xml:space="preserve"> 1,0%</w:t>
      </w:r>
      <w:r w:rsidR="00F72492" w:rsidRPr="006F7AD9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C804D3" w:rsidRPr="006F7AD9" w:rsidRDefault="00C804D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6F7AD9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6F7AD9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6F7AD9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7073F3"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25174"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F72492" w:rsidRPr="006F7AD9">
        <w:rPr>
          <w:rFonts w:ascii="Arial Narrow" w:hAnsi="Arial Narrow" w:cs="Tahoma"/>
          <w:sz w:val="22"/>
          <w:szCs w:val="22"/>
          <w:lang w:val="sr-Cyrl-BA"/>
        </w:rPr>
        <w:t>6</w:t>
      </w:r>
      <w:r w:rsidR="00625174" w:rsidRPr="006F7AD9">
        <w:rPr>
          <w:rFonts w:ascii="Arial Narrow" w:hAnsi="Arial Narrow" w:cs="Tahoma"/>
          <w:sz w:val="22"/>
          <w:szCs w:val="22"/>
          <w:lang w:val="sr-Cyrl-BA"/>
        </w:rPr>
        <w:t>,</w:t>
      </w:r>
      <w:r w:rsidR="00F72492" w:rsidRPr="006F7AD9">
        <w:rPr>
          <w:rFonts w:ascii="Arial Narrow" w:hAnsi="Arial Narrow" w:cs="Tahoma"/>
          <w:sz w:val="22"/>
          <w:szCs w:val="22"/>
          <w:lang w:val="sr-Cyrl-BA"/>
        </w:rPr>
        <w:t>5</w:t>
      </w:r>
      <w:r w:rsidR="00625174" w:rsidRPr="006F7AD9">
        <w:rPr>
          <w:rFonts w:ascii="Arial Narrow" w:hAnsi="Arial Narrow" w:cs="Tahoma"/>
          <w:sz w:val="22"/>
          <w:szCs w:val="22"/>
          <w:lang w:val="sr-Cyrl-BA"/>
        </w:rPr>
        <w:t>%</w:t>
      </w:r>
      <w:r w:rsidR="00F72492" w:rsidRPr="006F7AD9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="00F72492" w:rsidRPr="006F7AD9">
        <w:rPr>
          <w:rFonts w:ascii="Arial Narrow" w:hAnsi="Arial Narrow" w:cs="Tahoma"/>
          <w:i/>
          <w:sz w:val="22"/>
          <w:szCs w:val="22"/>
          <w:lang w:val="sr-Cyrl-BA"/>
        </w:rPr>
        <w:t>Производња и снабдијевање електричном енергијом, гасом, паром и климатизација</w:t>
      </w:r>
      <w:r w:rsidR="00F72492" w:rsidRPr="006F7AD9">
        <w:rPr>
          <w:rFonts w:ascii="Arial Narrow" w:hAnsi="Arial Narrow" w:cs="Tahoma"/>
          <w:sz w:val="22"/>
          <w:szCs w:val="22"/>
          <w:lang w:val="sr-Cyrl-BA"/>
        </w:rPr>
        <w:t xml:space="preserve"> 3,1%</w:t>
      </w:r>
      <w:r w:rsidR="00625174"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70221" w:rsidRPr="006F7AD9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F72492" w:rsidRPr="006F7AD9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470221"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72492" w:rsidRPr="006F7AD9">
        <w:rPr>
          <w:rFonts w:ascii="Arial Narrow" w:hAnsi="Arial Narrow" w:cs="Tahoma"/>
          <w:sz w:val="22"/>
          <w:szCs w:val="22"/>
          <w:lang w:val="sr-Cyrl-BA"/>
        </w:rPr>
        <w:t>2</w:t>
      </w:r>
      <w:r w:rsidR="00470221" w:rsidRPr="006F7AD9">
        <w:rPr>
          <w:rFonts w:ascii="Arial Narrow" w:hAnsi="Arial Narrow" w:cs="Tahoma"/>
          <w:sz w:val="22"/>
          <w:szCs w:val="22"/>
          <w:lang w:val="sr-Cyrl-BA"/>
        </w:rPr>
        <w:t>,</w:t>
      </w:r>
      <w:r w:rsidR="00F72492" w:rsidRPr="006F7AD9">
        <w:rPr>
          <w:rFonts w:ascii="Arial Narrow" w:hAnsi="Arial Narrow" w:cs="Tahoma"/>
          <w:sz w:val="22"/>
          <w:szCs w:val="22"/>
          <w:lang w:val="sr-Cyrl-BA"/>
        </w:rPr>
        <w:t>0</w:t>
      </w:r>
      <w:r w:rsidR="00470221" w:rsidRPr="006F7AD9">
        <w:rPr>
          <w:rFonts w:ascii="Arial Narrow" w:hAnsi="Arial Narrow" w:cs="Tahoma"/>
          <w:sz w:val="22"/>
          <w:szCs w:val="22"/>
          <w:lang w:val="sr-Cyrl-BA"/>
        </w:rPr>
        <w:t>%.</w:t>
      </w:r>
      <w:r w:rsidR="002812C3"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96802" w:rsidRPr="006F7AD9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F7AD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F7AD9">
        <w:rPr>
          <w:rFonts w:ascii="Tahoma" w:hAnsi="Tahoma" w:cs="Tahoma"/>
          <w:i/>
          <w:sz w:val="14"/>
          <w:lang w:val="sr-Cyrl-CS"/>
        </w:rPr>
        <w:t xml:space="preserve"> </w:t>
      </w:r>
      <w:r w:rsidRPr="006F7AD9">
        <w:rPr>
          <w:rFonts w:ascii="Tahoma" w:hAnsi="Tahoma" w:cs="Tahoma"/>
          <w:sz w:val="14"/>
          <w:lang w:val="sr-Cyrl-CS"/>
        </w:rPr>
        <w:t xml:space="preserve">   </w:t>
      </w:r>
      <w:r w:rsidRPr="006F7AD9">
        <w:rPr>
          <w:rFonts w:ascii="Tahoma" w:hAnsi="Tahoma" w:cs="Tahoma"/>
          <w:sz w:val="14"/>
          <w:lang w:val="sr-Latn-CS"/>
        </w:rPr>
        <w:tab/>
      </w:r>
      <w:r w:rsidRPr="006F7AD9">
        <w:rPr>
          <w:rFonts w:ascii="Tahoma" w:hAnsi="Tahoma" w:cs="Tahoma"/>
          <w:sz w:val="14"/>
          <w:lang w:val="sr-Latn-CS"/>
        </w:rPr>
        <w:tab/>
      </w:r>
      <w:r w:rsidRPr="006F7AD9">
        <w:rPr>
          <w:rFonts w:ascii="Tahoma" w:hAnsi="Tahoma" w:cs="Tahoma"/>
          <w:sz w:val="14"/>
        </w:rPr>
        <w:t xml:space="preserve">            </w:t>
      </w:r>
      <w:r w:rsidR="00F85AAC" w:rsidRPr="006F7AD9">
        <w:rPr>
          <w:rFonts w:ascii="Tahoma" w:hAnsi="Tahoma" w:cs="Tahoma"/>
          <w:sz w:val="14"/>
          <w:lang w:val="sr-Cyrl-BA"/>
        </w:rPr>
        <w:t xml:space="preserve">   </w:t>
      </w:r>
      <w:r w:rsidRPr="006F7AD9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F7AD9" w:rsidRDefault="00F54DF7" w:rsidP="00E33D13">
      <w:pPr>
        <w:jc w:val="center"/>
        <w:rPr>
          <w:rFonts w:ascii="Tahoma" w:hAnsi="Tahoma" w:cs="Tahoma"/>
        </w:rPr>
      </w:pPr>
      <w:r w:rsidRPr="006F7AD9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2056460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E96" w:rsidRPr="006F7AD9">
        <w:rPr>
          <w:noProof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6F7AD9">
        <w:rPr>
          <w:rFonts w:ascii="Tahoma" w:hAnsi="Tahoma" w:cs="Tahoma"/>
          <w:szCs w:val="18"/>
        </w:rPr>
        <w:t xml:space="preserve">   </w:t>
      </w:r>
    </w:p>
    <w:p w:rsidR="00E33D13" w:rsidRPr="006F7AD9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F7AD9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6F7AD9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6F7AD9">
        <w:rPr>
          <w:rFonts w:ascii="Arial Narrow" w:hAnsi="Arial Narrow" w:cs="Tahoma"/>
          <w:sz w:val="16"/>
          <w:szCs w:val="22"/>
          <w:lang w:val="sr-Latn-BA"/>
        </w:rPr>
        <w:t>1</w:t>
      </w:r>
      <w:r w:rsidRPr="006F7AD9">
        <w:rPr>
          <w:rFonts w:ascii="Arial Narrow" w:hAnsi="Arial Narrow" w:cs="Tahoma"/>
          <w:sz w:val="16"/>
          <w:szCs w:val="22"/>
          <w:lang w:val="sr-Cyrl-CS"/>
        </w:rPr>
        <w:t>.</w:t>
      </w:r>
      <w:r w:rsidRPr="006F7AD9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6F7AD9">
        <w:rPr>
          <w:rFonts w:ascii="Arial Narrow" w:hAnsi="Arial Narrow" w:cs="Tahoma"/>
          <w:sz w:val="16"/>
          <w:szCs w:val="22"/>
          <w:lang w:val="sr-Cyrl-CS"/>
        </w:rPr>
        <w:t>П</w:t>
      </w:r>
      <w:r w:rsidRPr="006F7AD9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6F7AD9">
        <w:rPr>
          <w:rFonts w:ascii="Arial Narrow" w:hAnsi="Arial Narrow" w:cs="Tahoma"/>
          <w:sz w:val="16"/>
          <w:szCs w:val="22"/>
        </w:rPr>
        <w:t>e</w:t>
      </w:r>
      <w:r w:rsidRPr="006F7AD9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6F7AD9">
        <w:rPr>
          <w:rFonts w:ascii="Arial Narrow" w:hAnsi="Arial Narrow" w:cs="Tahoma"/>
          <w:sz w:val="16"/>
          <w:szCs w:val="22"/>
        </w:rPr>
        <w:t>e</w:t>
      </w:r>
      <w:r w:rsidRPr="006F7AD9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6F7AD9" w:rsidRDefault="00BE051D">
      <w:pPr>
        <w:rPr>
          <w:rFonts w:ascii="Arial Narrow" w:hAnsi="Arial Narrow" w:cs="Tahoma"/>
          <w:sz w:val="22"/>
          <w:lang w:val="sr-Latn-BA"/>
        </w:rPr>
      </w:pPr>
    </w:p>
    <w:p w:rsidR="00EB2F3C" w:rsidRPr="006F7AD9" w:rsidRDefault="00EB2F3C">
      <w:pPr>
        <w:rPr>
          <w:rFonts w:ascii="Arial Narrow" w:hAnsi="Arial Narrow" w:cs="Tahoma"/>
          <w:sz w:val="22"/>
          <w:lang w:val="sr-Latn-BA"/>
        </w:rPr>
      </w:pPr>
    </w:p>
    <w:p w:rsidR="00763D11" w:rsidRPr="006F7AD9" w:rsidRDefault="00763D11">
      <w:pPr>
        <w:rPr>
          <w:rFonts w:ascii="Arial Narrow" w:hAnsi="Arial Narrow" w:cs="Tahoma"/>
          <w:sz w:val="22"/>
          <w:lang w:val="sr-Latn-BA"/>
        </w:rPr>
      </w:pPr>
    </w:p>
    <w:p w:rsidR="00877030" w:rsidRPr="006F7AD9" w:rsidRDefault="00877030" w:rsidP="00877030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6F7AD9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Pr="006F7AD9">
        <w:rPr>
          <w:rFonts w:ascii="Arial Narrow" w:hAnsi="Arial Narrow" w:cs="Tahoma"/>
          <w:b/>
          <w:sz w:val="30"/>
          <w:szCs w:val="30"/>
          <w:lang w:val="sr-Cyrl-CS"/>
        </w:rPr>
        <w:t>јул</w:t>
      </w:r>
      <w:r w:rsidRPr="006F7AD9">
        <w:rPr>
          <w:rFonts w:ascii="Arial Narrow" w:hAnsi="Arial Narrow" w:cs="Tahoma"/>
          <w:b/>
          <w:sz w:val="30"/>
          <w:szCs w:val="30"/>
          <w:lang w:val="sr-Cyrl-BA"/>
        </w:rPr>
        <w:t>у 2015. године -0,8%</w:t>
      </w:r>
    </w:p>
    <w:p w:rsidR="00877030" w:rsidRPr="006F7AD9" w:rsidRDefault="00877030" w:rsidP="00877030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6F7AD9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3206D9" w:rsidRPr="006F7AD9">
        <w:rPr>
          <w:rFonts w:ascii="Arial Narrow" w:hAnsi="Arial Narrow" w:cs="Tahoma"/>
          <w:b/>
          <w:sz w:val="30"/>
          <w:szCs w:val="30"/>
          <w:lang w:val="sr-Latn-BA"/>
        </w:rPr>
        <w:t>VII</w:t>
      </w:r>
      <w:r w:rsidRPr="006F7AD9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="003206D9" w:rsidRPr="006F7AD9">
        <w:rPr>
          <w:rFonts w:ascii="Arial Narrow" w:hAnsi="Arial Narrow" w:cs="Tahoma"/>
          <w:b/>
          <w:sz w:val="30"/>
          <w:szCs w:val="30"/>
          <w:lang w:val="sr-Latn-BA"/>
        </w:rPr>
        <w:t>VII</w:t>
      </w:r>
      <w:r w:rsidRPr="006F7AD9">
        <w:rPr>
          <w:rFonts w:ascii="Arial Narrow" w:hAnsi="Arial Narrow" w:cs="Tahoma"/>
          <w:b/>
          <w:sz w:val="30"/>
          <w:szCs w:val="30"/>
          <w:lang w:val="sr-Cyrl-BA"/>
        </w:rPr>
        <w:t xml:space="preserve"> 2014) -1,6%</w:t>
      </w:r>
    </w:p>
    <w:p w:rsidR="00877030" w:rsidRPr="006F7AD9" w:rsidRDefault="00877030" w:rsidP="00877030">
      <w:pPr>
        <w:jc w:val="both"/>
        <w:rPr>
          <w:rFonts w:ascii="Tahoma" w:hAnsi="Tahoma" w:cs="Tahoma"/>
          <w:lang w:val="sr-Cyrl-CS"/>
        </w:rPr>
      </w:pPr>
    </w:p>
    <w:p w:rsidR="00877030" w:rsidRPr="006F7AD9" w:rsidRDefault="00877030" w:rsidP="0087703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6F7AD9">
        <w:rPr>
          <w:rFonts w:ascii="Arial Narrow" w:hAnsi="Arial Narrow" w:cs="Tahoma"/>
          <w:sz w:val="22"/>
          <w:szCs w:val="22"/>
          <w:lang w:val="sr-Cyrl-CS"/>
        </w:rPr>
        <w:t>јул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у 2015. године у односу на претходни мјесец, у просјеку су ниже за 0,8%, док су на годишњем нивоу ниже за 1,6%.</w:t>
      </w:r>
    </w:p>
    <w:p w:rsidR="00877030" w:rsidRPr="006F7AD9" w:rsidRDefault="00877030" w:rsidP="0087703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два, ниже цијене у четири, док су цијене у шест одјељака, у просјеку, остале на истом нивоу.</w:t>
      </w:r>
    </w:p>
    <w:p w:rsidR="00877030" w:rsidRPr="006F7AD9" w:rsidRDefault="00877030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BA"/>
        </w:rPr>
        <w:t>Највећи раст забиљежен је у одјељку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(0,6%) усљед виших цијена у групи пакет аранжмани (22,7%),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те у одјељку 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(0,2%). </w:t>
      </w:r>
    </w:p>
    <w:p w:rsidR="003206D9" w:rsidRPr="006F7AD9" w:rsidRDefault="003206D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77030" w:rsidRPr="006F7AD9" w:rsidRDefault="00877030" w:rsidP="00877030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дуван, Становање, Здравство,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>Комуникације,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цијене су, у просјеку, остале непромијењене.</w:t>
      </w:r>
    </w:p>
    <w:p w:rsidR="00877030" w:rsidRPr="006F7AD9" w:rsidRDefault="00877030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Најниже цијене у </w:t>
      </w:r>
      <w:r w:rsidRPr="006F7AD9">
        <w:rPr>
          <w:rFonts w:ascii="Arial Narrow" w:hAnsi="Arial Narrow" w:cs="Tahoma"/>
          <w:sz w:val="22"/>
          <w:szCs w:val="22"/>
          <w:lang w:val="sr-Cyrl-CS"/>
        </w:rPr>
        <w:t>јул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у забиљежене су у одјељку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 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(4,9%) усљед наставка периода сезонских снижења, и у одјељку 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(1,8%) због нижих (сезонских) цијена у групи свјеже поврће (14,1%),</w:t>
      </w:r>
      <w:r w:rsidR="003206D9" w:rsidRPr="006F7AD9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3206D9" w:rsidRPr="006F7AD9">
        <w:rPr>
          <w:rFonts w:ascii="Arial Narrow" w:hAnsi="Arial Narrow" w:cs="Tahoma"/>
          <w:sz w:val="22"/>
          <w:szCs w:val="22"/>
          <w:lang w:val="sr-Cyrl-BA"/>
        </w:rPr>
        <w:t>и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у групи воће (2,1%). </w:t>
      </w:r>
    </w:p>
    <w:p w:rsidR="00877030" w:rsidRPr="006F7AD9" w:rsidRDefault="00877030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77030" w:rsidRPr="006F7AD9" w:rsidRDefault="00877030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Благи пад цијена забиљежен је у одјељцима 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(0,5%) 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и у одјељку</w:t>
      </w:r>
      <w:r w:rsidRPr="006F7AD9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(0,1%). </w:t>
      </w:r>
    </w:p>
    <w:p w:rsidR="007B3C79" w:rsidRPr="006F7AD9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2F3C" w:rsidRPr="006F7AD9" w:rsidRDefault="00EB2F3C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6F7AD9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6F7AD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6F7AD9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CF5080" w:rsidRPr="006F7AD9">
        <w:rPr>
          <w:rFonts w:ascii="Arial Narrow" w:hAnsi="Arial Narrow" w:cs="Tahoma"/>
          <w:b/>
          <w:sz w:val="30"/>
          <w:szCs w:val="30"/>
        </w:rPr>
        <w:t>V</w:t>
      </w:r>
      <w:r w:rsidR="005772D9" w:rsidRPr="006F7AD9">
        <w:rPr>
          <w:rFonts w:ascii="Arial Narrow" w:hAnsi="Arial Narrow" w:cs="Tahoma"/>
          <w:b/>
          <w:sz w:val="30"/>
          <w:szCs w:val="30"/>
        </w:rPr>
        <w:t>I</w:t>
      </w:r>
      <w:r w:rsidR="00F50BA9" w:rsidRPr="006F7AD9">
        <w:rPr>
          <w:rFonts w:ascii="Arial Narrow" w:hAnsi="Arial Narrow" w:cs="Tahoma"/>
          <w:b/>
          <w:sz w:val="30"/>
          <w:szCs w:val="30"/>
        </w:rPr>
        <w:t>I</w:t>
      </w:r>
      <w:r w:rsidRPr="006F7AD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F7AD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6F7AD9">
        <w:rPr>
          <w:rFonts w:ascii="Arial Narrow" w:hAnsi="Arial Narrow" w:cs="Tahoma"/>
          <w:b/>
          <w:sz w:val="30"/>
          <w:szCs w:val="30"/>
        </w:rPr>
        <w:t>5</w:t>
      </w:r>
      <w:r w:rsidRPr="006F7AD9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CF5080" w:rsidRPr="006F7AD9">
        <w:rPr>
          <w:rFonts w:ascii="Arial Narrow" w:hAnsi="Arial Narrow" w:cs="Tahoma"/>
          <w:b/>
          <w:sz w:val="30"/>
          <w:szCs w:val="30"/>
        </w:rPr>
        <w:t>V</w:t>
      </w:r>
      <w:r w:rsidR="005772D9" w:rsidRPr="006F7AD9">
        <w:rPr>
          <w:rFonts w:ascii="Arial Narrow" w:hAnsi="Arial Narrow" w:cs="Tahoma"/>
          <w:b/>
          <w:sz w:val="30"/>
          <w:szCs w:val="30"/>
        </w:rPr>
        <w:t>I</w:t>
      </w:r>
      <w:r w:rsidR="00F50BA9" w:rsidRPr="006F7AD9">
        <w:rPr>
          <w:rFonts w:ascii="Arial Narrow" w:hAnsi="Arial Narrow" w:cs="Tahoma"/>
          <w:b/>
          <w:sz w:val="30"/>
          <w:szCs w:val="30"/>
        </w:rPr>
        <w:t>I</w:t>
      </w:r>
      <w:r w:rsidRPr="006F7AD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6F7AD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6F7AD9">
        <w:rPr>
          <w:rFonts w:ascii="Arial Narrow" w:hAnsi="Arial Narrow" w:cs="Tahoma"/>
          <w:b/>
          <w:bCs/>
          <w:sz w:val="30"/>
          <w:szCs w:val="30"/>
        </w:rPr>
        <w:t>4</w:t>
      </w:r>
      <w:r w:rsidRPr="006F7AD9">
        <w:rPr>
          <w:rFonts w:ascii="Arial Narrow" w:hAnsi="Arial Narrow" w:cs="Tahoma"/>
          <w:b/>
          <w:bCs/>
          <w:sz w:val="30"/>
          <w:szCs w:val="30"/>
        </w:rPr>
        <w:t>.</w:t>
      </w:r>
      <w:r w:rsidRPr="006F7AD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F7AD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F50BA9" w:rsidRPr="006F7AD9">
        <w:rPr>
          <w:rFonts w:ascii="Arial Narrow" w:hAnsi="Arial Narrow" w:cs="Tahoma"/>
          <w:b/>
          <w:bCs/>
          <w:sz w:val="30"/>
          <w:szCs w:val="30"/>
        </w:rPr>
        <w:t>1</w:t>
      </w:r>
      <w:r w:rsidRPr="006F7AD9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F50BA9" w:rsidRPr="006F7AD9">
        <w:rPr>
          <w:rFonts w:ascii="Arial Narrow" w:hAnsi="Arial Narrow" w:cs="Tahoma"/>
          <w:b/>
          <w:bCs/>
          <w:sz w:val="30"/>
          <w:szCs w:val="30"/>
        </w:rPr>
        <w:t>5</w:t>
      </w:r>
      <w:r w:rsidRPr="006F7AD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6F7AD9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6F7AD9">
        <w:rPr>
          <w:rFonts w:ascii="Arial Narrow" w:hAnsi="Arial Narrow" w:cs="Tahoma"/>
          <w:b/>
          <w:sz w:val="28"/>
          <w:lang w:val="ru-RU"/>
        </w:rPr>
        <w:t xml:space="preserve">Број запослених у индустрији </w:t>
      </w:r>
      <w:r w:rsidR="00F50BA9" w:rsidRPr="006F7AD9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="00F50BA9" w:rsidRPr="006F7AD9">
        <w:rPr>
          <w:rFonts w:ascii="Arial Narrow" w:hAnsi="Arial Narrow" w:cs="Tahoma"/>
          <w:b/>
          <w:sz w:val="30"/>
          <w:szCs w:val="30"/>
        </w:rPr>
        <w:t>VII</w:t>
      </w:r>
      <w:r w:rsidR="00F50BA9" w:rsidRPr="006F7AD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F50BA9" w:rsidRPr="006F7AD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F50BA9" w:rsidRPr="006F7AD9">
        <w:rPr>
          <w:rFonts w:ascii="Arial Narrow" w:hAnsi="Arial Narrow" w:cs="Tahoma"/>
          <w:b/>
          <w:sz w:val="30"/>
          <w:szCs w:val="30"/>
        </w:rPr>
        <w:t>5</w:t>
      </w:r>
      <w:r w:rsidR="00F50BA9" w:rsidRPr="006F7AD9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F50BA9" w:rsidRPr="006F7AD9">
        <w:rPr>
          <w:rFonts w:ascii="Arial Narrow" w:hAnsi="Arial Narrow" w:cs="Tahoma"/>
          <w:b/>
          <w:sz w:val="30"/>
          <w:szCs w:val="30"/>
        </w:rPr>
        <w:t>VII</w:t>
      </w:r>
      <w:r w:rsidR="00F50BA9" w:rsidRPr="006F7AD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F50BA9" w:rsidRPr="006F7AD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F50BA9" w:rsidRPr="006F7AD9">
        <w:rPr>
          <w:rFonts w:ascii="Arial Narrow" w:hAnsi="Arial Narrow" w:cs="Tahoma"/>
          <w:b/>
          <w:bCs/>
          <w:sz w:val="30"/>
          <w:szCs w:val="30"/>
        </w:rPr>
        <w:t>4.</w:t>
      </w:r>
      <w:r w:rsidR="00F50BA9" w:rsidRPr="006F7AD9">
        <w:rPr>
          <w:rFonts w:ascii="Arial Narrow" w:hAnsi="Arial Narrow" w:cs="Tahoma"/>
          <w:b/>
          <w:sz w:val="28"/>
          <w:lang w:val="ru-RU"/>
        </w:rPr>
        <w:t>)</w:t>
      </w:r>
      <w:r w:rsidRPr="006F7AD9">
        <w:rPr>
          <w:rFonts w:ascii="Arial Narrow" w:hAnsi="Arial Narrow" w:cs="Tahoma"/>
          <w:b/>
          <w:sz w:val="28"/>
          <w:lang w:val="ru-RU"/>
        </w:rPr>
        <w:t xml:space="preserve"> већи </w:t>
      </w:r>
      <w:r w:rsidR="00CF171D" w:rsidRPr="006F7AD9">
        <w:rPr>
          <w:rFonts w:ascii="Arial Narrow" w:hAnsi="Arial Narrow" w:cs="Tahoma"/>
          <w:b/>
          <w:sz w:val="28"/>
          <w:lang w:val="sr-Cyrl-CS"/>
        </w:rPr>
        <w:t>1</w:t>
      </w:r>
      <w:r w:rsidRPr="006F7AD9">
        <w:rPr>
          <w:rFonts w:ascii="Arial Narrow" w:hAnsi="Arial Narrow" w:cs="Tahoma"/>
          <w:b/>
          <w:sz w:val="28"/>
          <w:lang w:val="ru-RU"/>
        </w:rPr>
        <w:t>,</w:t>
      </w:r>
      <w:r w:rsidR="00F50BA9" w:rsidRPr="006F7AD9">
        <w:rPr>
          <w:rFonts w:ascii="Arial Narrow" w:hAnsi="Arial Narrow" w:cs="Tahoma"/>
          <w:b/>
          <w:sz w:val="28"/>
          <w:lang w:val="ru-RU"/>
        </w:rPr>
        <w:t>8</w:t>
      </w:r>
      <w:r w:rsidRPr="006F7AD9">
        <w:rPr>
          <w:rFonts w:ascii="Arial Narrow" w:hAnsi="Arial Narrow" w:cs="Tahoma"/>
          <w:b/>
          <w:sz w:val="28"/>
          <w:lang w:val="ru-RU"/>
        </w:rPr>
        <w:t>%</w:t>
      </w:r>
    </w:p>
    <w:p w:rsidR="000213F8" w:rsidRPr="006F7AD9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D2998" w:rsidRPr="006F7AD9" w:rsidRDefault="000213F8" w:rsidP="000213F8">
      <w:pPr>
        <w:jc w:val="both"/>
        <w:rPr>
          <w:rFonts w:ascii="Arial Narrow" w:hAnsi="Arial Narrow" w:cs="Tahoma"/>
          <w:sz w:val="16"/>
          <w:szCs w:val="16"/>
          <w:lang w:val="sr-Cyrl-CS"/>
        </w:rPr>
      </w:pPr>
      <w:r w:rsidRPr="006F7AD9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6F7AD9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6F7AD9">
        <w:rPr>
          <w:rFonts w:ascii="Arial Narrow" w:hAnsi="Arial Narrow" w:cs="Tahoma"/>
          <w:sz w:val="22"/>
        </w:rPr>
        <w:t xml:space="preserve"> у </w:t>
      </w:r>
      <w:r w:rsidR="00010067" w:rsidRPr="006F7AD9">
        <w:rPr>
          <w:rFonts w:ascii="Arial Narrow" w:hAnsi="Arial Narrow" w:cs="Tahoma"/>
          <w:spacing w:val="-2"/>
          <w:sz w:val="22"/>
          <w:lang w:val="sr-Cyrl-CS"/>
        </w:rPr>
        <w:t>ју</w:t>
      </w:r>
      <w:r w:rsidR="009E747F" w:rsidRPr="006F7AD9">
        <w:rPr>
          <w:rFonts w:ascii="Arial Narrow" w:hAnsi="Arial Narrow" w:cs="Tahoma"/>
          <w:spacing w:val="-2"/>
          <w:sz w:val="22"/>
          <w:lang w:val="sr-Cyrl-CS"/>
        </w:rPr>
        <w:t>л</w:t>
      </w:r>
      <w:r w:rsidR="00010067" w:rsidRPr="006F7AD9">
        <w:rPr>
          <w:rFonts w:ascii="Arial Narrow" w:hAnsi="Arial Narrow" w:cs="Tahoma"/>
          <w:spacing w:val="-2"/>
          <w:sz w:val="22"/>
          <w:lang w:val="sr-Cyrl-CS"/>
        </w:rPr>
        <w:t>у</w:t>
      </w:r>
      <w:r w:rsidRPr="006F7AD9">
        <w:rPr>
          <w:rFonts w:ascii="Arial Narrow" w:hAnsi="Arial Narrow" w:cs="Tahoma"/>
          <w:spacing w:val="-2"/>
          <w:sz w:val="22"/>
        </w:rPr>
        <w:t xml:space="preserve"> </w:t>
      </w:r>
      <w:r w:rsidRPr="006F7AD9">
        <w:rPr>
          <w:rFonts w:ascii="Arial Narrow" w:hAnsi="Arial Narrow" w:cs="Tahoma"/>
          <w:sz w:val="22"/>
        </w:rPr>
        <w:t>201</w:t>
      </w:r>
      <w:r w:rsidR="00284295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</w:rPr>
        <w:t xml:space="preserve">. </w:t>
      </w:r>
      <w:r w:rsidRPr="006F7AD9">
        <w:rPr>
          <w:rFonts w:ascii="Arial Narrow" w:hAnsi="Arial Narrow" w:cs="Tahoma"/>
          <w:sz w:val="22"/>
          <w:lang w:val="sr-Cyrl-BA"/>
        </w:rPr>
        <w:t>г</w:t>
      </w:r>
      <w:r w:rsidRPr="006F7AD9">
        <w:rPr>
          <w:rFonts w:ascii="Arial Narrow" w:hAnsi="Arial Narrow" w:cs="Tahoma"/>
          <w:sz w:val="22"/>
        </w:rPr>
        <w:t>одине</w:t>
      </w:r>
      <w:r w:rsidRPr="006F7AD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F7AD9">
        <w:rPr>
          <w:rFonts w:ascii="Arial Narrow" w:hAnsi="Arial Narrow" w:cs="Tahoma"/>
          <w:sz w:val="22"/>
        </w:rPr>
        <w:t xml:space="preserve">у поређењу </w:t>
      </w:r>
      <w:r w:rsidRPr="006F7AD9">
        <w:rPr>
          <w:rFonts w:ascii="Arial Narrow" w:hAnsi="Arial Narrow" w:cs="Tahoma"/>
          <w:sz w:val="22"/>
          <w:lang w:val="sr-Cyrl-BA"/>
        </w:rPr>
        <w:t xml:space="preserve">са </w:t>
      </w:r>
      <w:r w:rsidR="00010067" w:rsidRPr="006F7AD9">
        <w:rPr>
          <w:rFonts w:ascii="Arial Narrow" w:hAnsi="Arial Narrow" w:cs="Tahoma"/>
          <w:spacing w:val="-2"/>
          <w:sz w:val="22"/>
          <w:lang w:val="sr-Cyrl-CS"/>
        </w:rPr>
        <w:t>ју</w:t>
      </w:r>
      <w:r w:rsidR="009E747F" w:rsidRPr="006F7AD9">
        <w:rPr>
          <w:rFonts w:ascii="Arial Narrow" w:hAnsi="Arial Narrow" w:cs="Tahoma"/>
          <w:spacing w:val="-2"/>
          <w:sz w:val="22"/>
          <w:lang w:val="sr-Cyrl-CS"/>
        </w:rPr>
        <w:t>л</w:t>
      </w:r>
      <w:r w:rsidR="00010067" w:rsidRPr="006F7AD9">
        <w:rPr>
          <w:rFonts w:ascii="Arial Narrow" w:hAnsi="Arial Narrow" w:cs="Tahoma"/>
          <w:spacing w:val="-2"/>
          <w:sz w:val="22"/>
          <w:lang w:val="sr-Cyrl-CS"/>
        </w:rPr>
        <w:t>ом</w:t>
      </w:r>
      <w:r w:rsidRPr="006F7AD9">
        <w:rPr>
          <w:rFonts w:ascii="Arial Narrow" w:hAnsi="Arial Narrow" w:cs="Tahoma"/>
          <w:spacing w:val="-2"/>
          <w:sz w:val="22"/>
        </w:rPr>
        <w:t xml:space="preserve"> </w:t>
      </w:r>
      <w:r w:rsidRPr="006F7AD9">
        <w:rPr>
          <w:rFonts w:ascii="Arial Narrow" w:hAnsi="Arial Narrow" w:cs="Tahoma"/>
          <w:sz w:val="22"/>
          <w:lang w:val="ru-RU"/>
        </w:rPr>
        <w:t>201</w:t>
      </w:r>
      <w:r w:rsidR="00284295" w:rsidRPr="006F7AD9">
        <w:rPr>
          <w:rFonts w:ascii="Arial Narrow" w:hAnsi="Arial Narrow" w:cs="Tahoma"/>
          <w:sz w:val="22"/>
          <w:lang w:val="ru-RU"/>
        </w:rPr>
        <w:t>4</w:t>
      </w:r>
      <w:r w:rsidRPr="006F7AD9">
        <w:rPr>
          <w:rFonts w:ascii="Arial Narrow" w:hAnsi="Arial Narrow" w:cs="Tahoma"/>
          <w:sz w:val="22"/>
          <w:lang w:val="ru-RU"/>
        </w:rPr>
        <w:t>.</w:t>
      </w:r>
      <w:r w:rsidRPr="006F7AD9">
        <w:rPr>
          <w:rFonts w:ascii="Arial Narrow" w:hAnsi="Arial Narrow" w:cs="Tahoma"/>
          <w:sz w:val="22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9E747F" w:rsidRPr="006F7AD9">
        <w:rPr>
          <w:rFonts w:ascii="Arial Narrow" w:hAnsi="Arial Narrow" w:cs="Tahoma"/>
          <w:sz w:val="22"/>
          <w:lang w:val="sr-Cyrl-CS"/>
        </w:rPr>
        <w:t>1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9E747F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  <w:lang w:val="sr-Cyrl-CS"/>
        </w:rPr>
        <w:t>%.</w:t>
      </w:r>
      <w:r w:rsidRPr="006F7AD9">
        <w:rPr>
          <w:rFonts w:ascii="Arial Narrow" w:hAnsi="Arial Narrow" w:cs="Tahoma"/>
          <w:sz w:val="22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У</w:t>
      </w:r>
      <w:r w:rsidRPr="006F7AD9">
        <w:rPr>
          <w:rFonts w:ascii="Arial Narrow" w:hAnsi="Arial Narrow" w:cs="Tahoma"/>
          <w:sz w:val="22"/>
        </w:rPr>
        <w:t xml:space="preserve"> </w:t>
      </w:r>
      <w:r w:rsidR="00CF5080" w:rsidRPr="006F7AD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82153B" w:rsidRPr="006F7AD9">
        <w:rPr>
          <w:rFonts w:ascii="Arial Narrow" w:hAnsi="Arial Narrow" w:cs="Tahoma"/>
          <w:i/>
          <w:sz w:val="22"/>
        </w:rPr>
        <w:t>Вађењ</w:t>
      </w:r>
      <w:r w:rsidR="0082153B" w:rsidRPr="006F7AD9">
        <w:rPr>
          <w:rFonts w:ascii="Arial Narrow" w:hAnsi="Arial Narrow" w:cs="Tahoma"/>
          <w:i/>
          <w:sz w:val="22"/>
          <w:lang w:val="sr-Cyrl-BA"/>
        </w:rPr>
        <w:t>а</w:t>
      </w:r>
      <w:r w:rsidR="0082153B" w:rsidRPr="006F7AD9">
        <w:rPr>
          <w:rFonts w:ascii="Arial Narrow" w:hAnsi="Arial Narrow" w:cs="Tahoma"/>
          <w:i/>
          <w:sz w:val="22"/>
        </w:rPr>
        <w:t xml:space="preserve"> руда и камена</w:t>
      </w:r>
      <w:r w:rsidR="0082153B" w:rsidRPr="006F7AD9">
        <w:rPr>
          <w:rFonts w:ascii="Arial Narrow" w:hAnsi="Arial Narrow" w:cs="Tahoma"/>
          <w:i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>остварен је раст</w:t>
      </w:r>
      <w:r w:rsidRPr="006F7AD9">
        <w:rPr>
          <w:rFonts w:ascii="Arial Narrow" w:hAnsi="Arial Narrow" w:cs="Tahoma"/>
          <w:sz w:val="22"/>
        </w:rPr>
        <w:t xml:space="preserve"> </w:t>
      </w:r>
      <w:r w:rsidRPr="006F7AD9">
        <w:rPr>
          <w:rFonts w:ascii="Arial Narrow" w:hAnsi="Arial Narrow" w:cs="Tahoma"/>
          <w:sz w:val="22"/>
          <w:lang w:val="sr-Cyrl-BA"/>
        </w:rPr>
        <w:t>од</w:t>
      </w:r>
      <w:r w:rsidRPr="006F7AD9">
        <w:rPr>
          <w:rFonts w:ascii="Arial Narrow" w:hAnsi="Arial Narrow" w:cs="Tahoma"/>
          <w:sz w:val="22"/>
        </w:rPr>
        <w:t xml:space="preserve"> </w:t>
      </w:r>
      <w:r w:rsidR="009E747F" w:rsidRPr="006F7AD9">
        <w:rPr>
          <w:rFonts w:ascii="Arial Narrow" w:hAnsi="Arial Narrow" w:cs="Tahoma"/>
          <w:sz w:val="22"/>
          <w:lang w:val="sr-Cyrl-CS"/>
        </w:rPr>
        <w:t>19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9E747F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</w:rPr>
        <w:t>%</w:t>
      </w:r>
      <w:r w:rsidR="0082153B" w:rsidRPr="006F7AD9">
        <w:rPr>
          <w:rFonts w:ascii="Arial Narrow" w:hAnsi="Arial Narrow" w:cs="Tahoma"/>
          <w:sz w:val="22"/>
          <w:lang w:val="sr-Cyrl-CS"/>
        </w:rPr>
        <w:t>,</w:t>
      </w:r>
      <w:r w:rsidR="00AC4206" w:rsidRPr="006F7AD9">
        <w:rPr>
          <w:rFonts w:ascii="Arial Narrow" w:hAnsi="Arial Narrow" w:cs="Tahoma"/>
          <w:sz w:val="22"/>
          <w:lang w:val="sr-Cyrl-CS"/>
        </w:rPr>
        <w:t xml:space="preserve"> 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у</w:t>
      </w:r>
      <w:r w:rsidR="007C0B34" w:rsidRPr="006F7AD9">
        <w:rPr>
          <w:rFonts w:ascii="Arial Narrow" w:hAnsi="Arial Narrow" w:cs="Tahoma"/>
          <w:sz w:val="22"/>
          <w:szCs w:val="22"/>
        </w:rPr>
        <w:t xml:space="preserve"> Производњи и снабдијевању електричном енергијом, гасом, паром и климатизацији</w:t>
      </w:r>
      <w:r w:rsidR="007C0B34"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раст од</w:t>
      </w:r>
      <w:r w:rsidR="007C0B34" w:rsidRPr="006F7AD9">
        <w:rPr>
          <w:rFonts w:ascii="Arial Narrow" w:hAnsi="Arial Narrow" w:cs="Tahoma"/>
          <w:sz w:val="22"/>
          <w:szCs w:val="22"/>
        </w:rPr>
        <w:t xml:space="preserve"> 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8</w:t>
      </w:r>
      <w:r w:rsidR="007C0B34" w:rsidRPr="006F7AD9">
        <w:rPr>
          <w:rFonts w:ascii="Arial Narrow" w:hAnsi="Arial Narrow" w:cs="Tahoma"/>
          <w:sz w:val="22"/>
          <w:szCs w:val="22"/>
        </w:rPr>
        <w:t>,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4</w:t>
      </w:r>
      <w:r w:rsidR="007C0B34" w:rsidRPr="006F7AD9">
        <w:rPr>
          <w:rFonts w:ascii="Arial Narrow" w:hAnsi="Arial Narrow" w:cs="Tahoma"/>
          <w:sz w:val="22"/>
          <w:szCs w:val="22"/>
        </w:rPr>
        <w:t>%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, док</w:t>
      </w:r>
      <w:r w:rsidR="007C0B34"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A0F96" w:rsidRPr="006F7AD9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7C0B34" w:rsidRPr="006F7AD9">
        <w:rPr>
          <w:rFonts w:ascii="Arial Narrow" w:hAnsi="Arial Narrow" w:cs="Tahoma"/>
          <w:sz w:val="22"/>
          <w:szCs w:val="22"/>
          <w:lang w:val="sr-Cyrl-BA"/>
        </w:rPr>
        <w:t>у</w:t>
      </w:r>
      <w:r w:rsidR="007C0B34" w:rsidRPr="006F7AD9">
        <w:rPr>
          <w:rFonts w:ascii="Arial Narrow" w:hAnsi="Arial Narrow" w:cs="Tahoma"/>
          <w:sz w:val="22"/>
          <w:szCs w:val="22"/>
        </w:rPr>
        <w:t xml:space="preserve"> Прерађивачкој индустрији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9A0F96" w:rsidRPr="006F7AD9">
        <w:rPr>
          <w:rFonts w:ascii="Arial Narrow" w:hAnsi="Arial Narrow" w:cs="Tahoma"/>
          <w:sz w:val="22"/>
          <w:szCs w:val="22"/>
          <w:lang w:val="sr-Cyrl-BA"/>
        </w:rPr>
        <w:t>остварен</w:t>
      </w:r>
      <w:r w:rsidR="007C0B34" w:rsidRPr="006F7AD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пад од</w:t>
      </w:r>
      <w:r w:rsidR="007C0B34" w:rsidRPr="006F7AD9">
        <w:rPr>
          <w:rFonts w:ascii="Arial Narrow" w:hAnsi="Arial Narrow" w:cs="Tahoma"/>
          <w:sz w:val="22"/>
          <w:szCs w:val="22"/>
          <w:lang w:val="sr-Cyrl-BA"/>
        </w:rPr>
        <w:t xml:space="preserve"> 1</w:t>
      </w:r>
      <w:r w:rsidR="007C0B34" w:rsidRPr="006F7AD9">
        <w:rPr>
          <w:rFonts w:ascii="Arial Narrow" w:hAnsi="Arial Narrow" w:cs="Tahoma"/>
          <w:sz w:val="22"/>
          <w:szCs w:val="22"/>
        </w:rPr>
        <w:t>,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8</w:t>
      </w:r>
      <w:r w:rsidR="007C0B34" w:rsidRPr="006F7AD9">
        <w:rPr>
          <w:rFonts w:ascii="Arial Narrow" w:hAnsi="Arial Narrow" w:cs="Tahoma"/>
          <w:sz w:val="22"/>
          <w:szCs w:val="22"/>
        </w:rPr>
        <w:t>%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.</w:t>
      </w:r>
      <w:r w:rsidR="0082153B" w:rsidRPr="006F7AD9">
        <w:rPr>
          <w:rFonts w:ascii="Arial Narrow" w:hAnsi="Arial Narrow" w:cs="Tahoma"/>
          <w:sz w:val="22"/>
          <w:lang w:val="sr-Cyrl-CS"/>
        </w:rPr>
        <w:t xml:space="preserve"> </w:t>
      </w:r>
      <w:r w:rsidR="007C0B34" w:rsidRPr="006F7AD9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="007C0B34" w:rsidRPr="006F7AD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7C0B34" w:rsidRPr="006F7AD9">
        <w:rPr>
          <w:rFonts w:ascii="Arial Narrow" w:hAnsi="Arial Narrow" w:cs="Tahoma"/>
          <w:sz w:val="22"/>
        </w:rPr>
        <w:t xml:space="preserve">у </w:t>
      </w:r>
      <w:r w:rsidR="007C0B34" w:rsidRPr="006F7AD9">
        <w:rPr>
          <w:rFonts w:ascii="Arial Narrow" w:hAnsi="Arial Narrow" w:cs="Tahoma"/>
          <w:spacing w:val="-2"/>
          <w:sz w:val="22"/>
          <w:lang w:val="sr-Cyrl-CS"/>
        </w:rPr>
        <w:t>јулу</w:t>
      </w:r>
      <w:r w:rsidR="007C0B34" w:rsidRPr="006F7AD9">
        <w:rPr>
          <w:rFonts w:ascii="Arial Narrow" w:hAnsi="Arial Narrow" w:cs="Tahoma"/>
          <w:spacing w:val="-2"/>
          <w:sz w:val="22"/>
        </w:rPr>
        <w:t xml:space="preserve"> </w:t>
      </w:r>
      <w:r w:rsidR="007C0B34" w:rsidRPr="006F7AD9">
        <w:rPr>
          <w:rFonts w:ascii="Arial Narrow" w:hAnsi="Arial Narrow" w:cs="Tahoma"/>
          <w:sz w:val="22"/>
        </w:rPr>
        <w:t>201</w:t>
      </w:r>
      <w:r w:rsidR="007C0B34" w:rsidRPr="006F7AD9">
        <w:rPr>
          <w:rFonts w:ascii="Arial Narrow" w:hAnsi="Arial Narrow" w:cs="Tahoma"/>
          <w:sz w:val="22"/>
          <w:lang w:val="sr-Cyrl-CS"/>
        </w:rPr>
        <w:t>5</w:t>
      </w:r>
      <w:r w:rsidR="007C0B34" w:rsidRPr="006F7AD9">
        <w:rPr>
          <w:rFonts w:ascii="Arial Narrow" w:hAnsi="Arial Narrow" w:cs="Tahoma"/>
          <w:sz w:val="22"/>
        </w:rPr>
        <w:t xml:space="preserve">. </w:t>
      </w:r>
      <w:r w:rsidR="007C0B34" w:rsidRPr="006F7AD9">
        <w:rPr>
          <w:rFonts w:ascii="Arial Narrow" w:hAnsi="Arial Narrow" w:cs="Tahoma"/>
          <w:sz w:val="22"/>
          <w:lang w:val="sr-Cyrl-BA"/>
        </w:rPr>
        <w:t>г</w:t>
      </w:r>
      <w:r w:rsidR="007C0B34" w:rsidRPr="006F7AD9">
        <w:rPr>
          <w:rFonts w:ascii="Arial Narrow" w:hAnsi="Arial Narrow" w:cs="Tahoma"/>
          <w:sz w:val="22"/>
        </w:rPr>
        <w:t>одине</w:t>
      </w:r>
      <w:r w:rsidR="007C0B34" w:rsidRPr="006F7AD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="007C0B34" w:rsidRPr="006F7AD9">
        <w:rPr>
          <w:rFonts w:ascii="Arial Narrow" w:hAnsi="Arial Narrow" w:cs="Tahoma"/>
          <w:sz w:val="22"/>
        </w:rPr>
        <w:t xml:space="preserve">у поређењу </w:t>
      </w:r>
      <w:r w:rsidR="007C0B34" w:rsidRPr="006F7AD9">
        <w:rPr>
          <w:rFonts w:ascii="Arial Narrow" w:hAnsi="Arial Narrow" w:cs="Tahoma"/>
          <w:sz w:val="22"/>
          <w:lang w:val="sr-Cyrl-BA"/>
        </w:rPr>
        <w:t xml:space="preserve">са </w:t>
      </w:r>
      <w:r w:rsidR="007C0B34" w:rsidRPr="006F7AD9">
        <w:rPr>
          <w:rFonts w:ascii="Arial Narrow" w:hAnsi="Arial Narrow" w:cs="Tahoma"/>
          <w:spacing w:val="-2"/>
          <w:sz w:val="22"/>
          <w:lang w:val="sr-Cyrl-CS"/>
        </w:rPr>
        <w:t>јулом</w:t>
      </w:r>
      <w:r w:rsidR="007C0B34" w:rsidRPr="006F7AD9">
        <w:rPr>
          <w:rFonts w:ascii="Arial Narrow" w:hAnsi="Arial Narrow" w:cs="Tahoma"/>
          <w:spacing w:val="-2"/>
          <w:sz w:val="22"/>
        </w:rPr>
        <w:t xml:space="preserve"> </w:t>
      </w:r>
      <w:r w:rsidR="007C0B34" w:rsidRPr="006F7AD9">
        <w:rPr>
          <w:rFonts w:ascii="Arial Narrow" w:hAnsi="Arial Narrow" w:cs="Tahoma"/>
          <w:sz w:val="22"/>
          <w:lang w:val="ru-RU"/>
        </w:rPr>
        <w:t>2014.</w:t>
      </w:r>
      <w:r w:rsidR="007C0B34" w:rsidRPr="006F7AD9">
        <w:rPr>
          <w:rFonts w:ascii="Arial Narrow" w:hAnsi="Arial Narrow" w:cs="Tahoma"/>
          <w:spacing w:val="-2"/>
          <w:sz w:val="16"/>
          <w:szCs w:val="16"/>
          <w:lang w:val="sr-Cyrl-BA"/>
        </w:rPr>
        <w:t xml:space="preserve"> </w:t>
      </w:r>
      <w:r w:rsidR="007C0B34" w:rsidRPr="006F7AD9">
        <w:rPr>
          <w:rFonts w:ascii="Arial Narrow" w:hAnsi="Arial Narrow" w:cs="Tahoma"/>
          <w:spacing w:val="-2"/>
          <w:sz w:val="22"/>
          <w:szCs w:val="22"/>
          <w:lang w:val="sr-Cyrl-BA"/>
        </w:rPr>
        <w:t>производња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 xml:space="preserve"> трајних производа за широку потрошњу </w:t>
      </w:r>
      <w:r w:rsidR="007C0B34" w:rsidRPr="006F7AD9">
        <w:rPr>
          <w:rFonts w:ascii="Arial Narrow" w:hAnsi="Arial Narrow" w:cs="Tahoma"/>
          <w:spacing w:val="-2"/>
          <w:sz w:val="22"/>
          <w:szCs w:val="22"/>
          <w:lang w:val="sr-Cyrl-BA"/>
        </w:rPr>
        <w:t>већа је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 xml:space="preserve"> за 20,6%, интермедијарних производа за</w:t>
      </w:r>
      <w:r w:rsidR="007C0B34" w:rsidRPr="006F7AD9">
        <w:rPr>
          <w:rFonts w:ascii="Arial Narrow" w:hAnsi="Arial Narrow" w:cs="Tahoma"/>
          <w:sz w:val="22"/>
          <w:szCs w:val="22"/>
          <w:lang w:val="sr-Cyrl-BA"/>
        </w:rPr>
        <w:t xml:space="preserve"> 6,1%,</w:t>
      </w:r>
      <w:r w:rsidR="007C0B34" w:rsidRPr="006F7AD9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 xml:space="preserve">нетрајних производа за широку потрошњу за 4,3% и енергије </w:t>
      </w:r>
      <w:r w:rsidR="007C0B34" w:rsidRPr="006F7AD9">
        <w:rPr>
          <w:rFonts w:ascii="Arial Narrow" w:hAnsi="Arial Narrow" w:cs="Tahoma"/>
          <w:sz w:val="22"/>
          <w:szCs w:val="22"/>
          <w:lang w:val="sr-Cyrl-BA"/>
        </w:rPr>
        <w:t xml:space="preserve">за 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>1,4%,</w:t>
      </w:r>
      <w:r w:rsidR="007C0B34" w:rsidRPr="006F7AD9">
        <w:rPr>
          <w:rFonts w:ascii="Arial Narrow" w:hAnsi="Arial Narrow" w:cs="Tahoma"/>
          <w:sz w:val="16"/>
          <w:szCs w:val="16"/>
          <w:lang w:val="sr-Cyrl-CS"/>
        </w:rPr>
        <w:t xml:space="preserve"> 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 xml:space="preserve">док је </w:t>
      </w:r>
      <w:r w:rsidR="007C0B34" w:rsidRPr="006F7AD9">
        <w:rPr>
          <w:rFonts w:ascii="Arial Narrow" w:hAnsi="Arial Narrow" w:cs="Tahoma"/>
          <w:spacing w:val="-2"/>
          <w:sz w:val="22"/>
          <w:szCs w:val="22"/>
          <w:lang w:val="sr-Cyrl-BA"/>
        </w:rPr>
        <w:t>производња</w:t>
      </w:r>
      <w:r w:rsidR="007C0B34" w:rsidRPr="006F7AD9">
        <w:rPr>
          <w:rFonts w:ascii="Arial Narrow" w:hAnsi="Arial Narrow" w:cs="Tahoma"/>
          <w:sz w:val="22"/>
          <w:szCs w:val="22"/>
          <w:lang w:val="sr-Cyrl-CS"/>
        </w:rPr>
        <w:t xml:space="preserve"> капиталних производа мања за 20,7%</w:t>
      </w:r>
      <w:r w:rsidR="007C0B34" w:rsidRPr="006F7AD9">
        <w:rPr>
          <w:rFonts w:ascii="Arial Narrow" w:hAnsi="Arial Narrow" w:cs="Tahoma"/>
          <w:sz w:val="16"/>
          <w:szCs w:val="16"/>
          <w:lang w:val="sr-Cyrl-CS"/>
        </w:rPr>
        <w:t>.</w:t>
      </w:r>
    </w:p>
    <w:p w:rsidR="00AF50DA" w:rsidRPr="006F7AD9" w:rsidRDefault="00AF50DA" w:rsidP="000213F8">
      <w:pPr>
        <w:jc w:val="both"/>
        <w:rPr>
          <w:rFonts w:ascii="Arial Narrow" w:hAnsi="Arial Narrow" w:cs="Tahoma"/>
          <w:b/>
          <w:sz w:val="22"/>
          <w:lang w:val="ru-RU"/>
        </w:rPr>
      </w:pPr>
    </w:p>
    <w:p w:rsidR="000213F8" w:rsidRPr="006F7AD9" w:rsidRDefault="000213F8" w:rsidP="000213F8">
      <w:pPr>
        <w:jc w:val="both"/>
        <w:rPr>
          <w:rFonts w:ascii="Arial Narrow" w:hAnsi="Arial Narrow" w:cs="Tahoma"/>
          <w:sz w:val="22"/>
          <w:lang w:val="sr-Latn-CS"/>
        </w:rPr>
      </w:pPr>
      <w:r w:rsidRPr="006F7AD9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F7AD9">
        <w:rPr>
          <w:rFonts w:ascii="Arial Narrow" w:hAnsi="Arial Narrow" w:cs="Tahoma"/>
          <w:sz w:val="22"/>
          <w:lang w:val="ru-RU"/>
        </w:rPr>
        <w:t xml:space="preserve"> у </w:t>
      </w:r>
      <w:r w:rsidR="00872B6D" w:rsidRPr="006F7AD9">
        <w:rPr>
          <w:rFonts w:ascii="Arial Narrow" w:hAnsi="Arial Narrow" w:cs="Tahoma"/>
          <w:spacing w:val="-2"/>
          <w:sz w:val="22"/>
          <w:lang w:val="sr-Cyrl-CS"/>
        </w:rPr>
        <w:t>ју</w:t>
      </w:r>
      <w:r w:rsidR="009A0F96" w:rsidRPr="006F7AD9">
        <w:rPr>
          <w:rFonts w:ascii="Arial Narrow" w:hAnsi="Arial Narrow" w:cs="Tahoma"/>
          <w:spacing w:val="-2"/>
          <w:sz w:val="22"/>
          <w:lang w:val="sr-Cyrl-CS"/>
        </w:rPr>
        <w:t>л</w:t>
      </w:r>
      <w:r w:rsidR="00872B6D" w:rsidRPr="006F7AD9">
        <w:rPr>
          <w:rFonts w:ascii="Arial Narrow" w:hAnsi="Arial Narrow" w:cs="Tahoma"/>
          <w:spacing w:val="-2"/>
          <w:sz w:val="22"/>
          <w:lang w:val="sr-Cyrl-CS"/>
        </w:rPr>
        <w:t>у</w:t>
      </w:r>
      <w:r w:rsidR="00B85D9D" w:rsidRPr="006F7AD9">
        <w:rPr>
          <w:rFonts w:ascii="Arial Narrow" w:hAnsi="Arial Narrow" w:cs="Tahoma"/>
          <w:spacing w:val="-2"/>
          <w:sz w:val="22"/>
        </w:rPr>
        <w:t xml:space="preserve"> </w:t>
      </w:r>
      <w:r w:rsidRPr="006F7AD9">
        <w:rPr>
          <w:rFonts w:ascii="Arial Narrow" w:hAnsi="Arial Narrow" w:cs="Tahoma"/>
          <w:sz w:val="22"/>
          <w:lang w:val="ru-RU"/>
        </w:rPr>
        <w:t>201</w:t>
      </w:r>
      <w:r w:rsidR="00B85D9D" w:rsidRPr="006F7AD9">
        <w:rPr>
          <w:rFonts w:ascii="Arial Narrow" w:hAnsi="Arial Narrow" w:cs="Tahoma"/>
          <w:sz w:val="22"/>
          <w:lang w:val="ru-RU"/>
        </w:rPr>
        <w:t>5</w:t>
      </w:r>
      <w:r w:rsidRPr="006F7AD9">
        <w:rPr>
          <w:rFonts w:ascii="Arial Narrow" w:hAnsi="Arial Narrow" w:cs="Tahoma"/>
          <w:sz w:val="22"/>
          <w:lang w:val="ru-RU"/>
        </w:rPr>
        <w:t xml:space="preserve">. године </w:t>
      </w:r>
      <w:r w:rsidRPr="006F7AD9">
        <w:rPr>
          <w:rFonts w:ascii="Arial Narrow" w:hAnsi="Arial Narrow" w:cs="Tahoma"/>
          <w:sz w:val="22"/>
          <w:lang w:val="sr-Cyrl-CS"/>
        </w:rPr>
        <w:t xml:space="preserve">у </w:t>
      </w:r>
      <w:r w:rsidRPr="006F7AD9">
        <w:rPr>
          <w:rFonts w:ascii="Arial Narrow" w:hAnsi="Arial Narrow" w:cs="Tahoma"/>
          <w:sz w:val="22"/>
          <w:lang w:val="ru-RU"/>
        </w:rPr>
        <w:t xml:space="preserve">односу на </w:t>
      </w:r>
      <w:r w:rsidR="00AC4206" w:rsidRPr="006F7AD9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AC4206" w:rsidRPr="006F7AD9">
        <w:rPr>
          <w:rFonts w:ascii="Arial Narrow" w:hAnsi="Arial Narrow" w:cs="Tahoma"/>
          <w:sz w:val="22"/>
          <w:lang w:val="sr-Cyrl-CS"/>
        </w:rPr>
        <w:t xml:space="preserve"> већи</w:t>
      </w:r>
      <w:r w:rsidRPr="006F7AD9">
        <w:rPr>
          <w:rFonts w:ascii="Arial Narrow" w:hAnsi="Arial Narrow" w:cs="Tahoma"/>
          <w:sz w:val="22"/>
          <w:lang w:val="sr-Latn-CS"/>
        </w:rPr>
        <w:t xml:space="preserve"> је за </w:t>
      </w:r>
      <w:r w:rsidR="00872B6D" w:rsidRPr="006F7AD9">
        <w:rPr>
          <w:rFonts w:ascii="Arial Narrow" w:hAnsi="Arial Narrow" w:cs="Tahoma"/>
          <w:sz w:val="22"/>
          <w:lang w:val="sr-Cyrl-CS"/>
        </w:rPr>
        <w:t>1</w:t>
      </w:r>
      <w:r w:rsidRPr="006F7AD9">
        <w:rPr>
          <w:rFonts w:ascii="Arial Narrow" w:hAnsi="Arial Narrow" w:cs="Tahoma"/>
          <w:sz w:val="22"/>
          <w:lang w:val="sr-Latn-CS"/>
        </w:rPr>
        <w:t>,</w:t>
      </w:r>
      <w:r w:rsidR="009A0F96" w:rsidRPr="006F7AD9">
        <w:rPr>
          <w:rFonts w:ascii="Arial Narrow" w:hAnsi="Arial Narrow" w:cs="Tahoma"/>
          <w:sz w:val="22"/>
          <w:lang w:val="sr-Cyrl-CS"/>
        </w:rPr>
        <w:t>8</w:t>
      </w:r>
      <w:r w:rsidRPr="006F7AD9">
        <w:rPr>
          <w:rFonts w:ascii="Arial Narrow" w:hAnsi="Arial Narrow" w:cs="Tahoma"/>
          <w:sz w:val="22"/>
          <w:lang w:val="sr-Latn-CS"/>
        </w:rPr>
        <w:t>%</w:t>
      </w:r>
      <w:r w:rsidR="00AC4206" w:rsidRPr="006F7AD9">
        <w:rPr>
          <w:rFonts w:ascii="Arial Narrow" w:hAnsi="Arial Narrow" w:cs="Tahoma"/>
          <w:sz w:val="22"/>
          <w:lang w:val="sr-Cyrl-CS"/>
        </w:rPr>
        <w:t>,</w:t>
      </w:r>
      <w:r w:rsidRPr="006F7AD9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DC2009" w:rsidRPr="006F7AD9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DC2009" w:rsidRPr="006F7AD9">
        <w:rPr>
          <w:rFonts w:ascii="Arial Narrow" w:hAnsi="Arial Narrow" w:cs="Tahoma"/>
          <w:sz w:val="22"/>
          <w:lang w:val="sr-Cyrl-CS"/>
        </w:rPr>
        <w:t>4</w:t>
      </w:r>
      <w:r w:rsidR="00DC2009" w:rsidRPr="006F7AD9">
        <w:rPr>
          <w:rFonts w:ascii="Arial Narrow" w:hAnsi="Arial Narrow" w:cs="Tahoma"/>
          <w:sz w:val="22"/>
          <w:lang w:val="sr-Latn-CS"/>
        </w:rPr>
        <w:t xml:space="preserve">. </w:t>
      </w:r>
      <w:r w:rsidR="00DC2009" w:rsidRPr="006F7AD9">
        <w:rPr>
          <w:rFonts w:ascii="Arial Narrow" w:hAnsi="Arial Narrow" w:cs="Tahoma"/>
          <w:sz w:val="22"/>
          <w:lang w:val="sr-Cyrl-CS"/>
        </w:rPr>
        <w:t>г</w:t>
      </w:r>
      <w:r w:rsidR="00DC2009" w:rsidRPr="006F7AD9">
        <w:rPr>
          <w:rFonts w:ascii="Arial Narrow" w:hAnsi="Arial Narrow" w:cs="Tahoma"/>
          <w:sz w:val="22"/>
          <w:lang w:val="sr-Latn-CS"/>
        </w:rPr>
        <w:t>одини</w:t>
      </w:r>
      <w:r w:rsidR="007D064A" w:rsidRPr="006F7AD9">
        <w:rPr>
          <w:rFonts w:ascii="Arial Narrow" w:hAnsi="Arial Narrow" w:cs="Tahoma"/>
          <w:sz w:val="22"/>
          <w:lang w:val="sr-Latn-CS"/>
        </w:rPr>
        <w:t xml:space="preserve"> </w:t>
      </w:r>
      <w:r w:rsidR="009A0F96" w:rsidRPr="006F7AD9">
        <w:rPr>
          <w:rFonts w:ascii="Arial Narrow" w:hAnsi="Arial Narrow" w:cs="Tahoma"/>
          <w:sz w:val="22"/>
          <w:lang w:val="sr-Cyrl-BA"/>
        </w:rPr>
        <w:t>већи</w:t>
      </w:r>
      <w:r w:rsidR="00DC2009" w:rsidRPr="006F7AD9">
        <w:rPr>
          <w:rFonts w:ascii="Arial Narrow" w:hAnsi="Arial Narrow" w:cs="Tahoma"/>
          <w:sz w:val="22"/>
          <w:lang w:val="sr-Cyrl-CS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за </w:t>
      </w:r>
      <w:r w:rsidR="00A56718" w:rsidRPr="006F7AD9">
        <w:rPr>
          <w:rFonts w:ascii="Arial Narrow" w:hAnsi="Arial Narrow" w:cs="Tahoma"/>
          <w:sz w:val="22"/>
          <w:lang w:val="sr-Cyrl-CS"/>
        </w:rPr>
        <w:t>1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9A0F96" w:rsidRPr="006F7AD9">
        <w:rPr>
          <w:rFonts w:ascii="Arial Narrow" w:hAnsi="Arial Narrow" w:cs="Tahoma"/>
          <w:sz w:val="22"/>
          <w:lang w:val="sr-Cyrl-CS"/>
        </w:rPr>
        <w:t>7</w:t>
      </w:r>
      <w:r w:rsidR="00AC4206" w:rsidRPr="006F7AD9">
        <w:rPr>
          <w:rFonts w:ascii="Arial Narrow" w:hAnsi="Arial Narrow" w:cs="Tahoma"/>
          <w:sz w:val="22"/>
          <w:lang w:val="sr-Cyrl-CS"/>
        </w:rPr>
        <w:t>%</w:t>
      </w:r>
      <w:r w:rsidR="000F4C35" w:rsidRPr="006F7AD9">
        <w:rPr>
          <w:rFonts w:ascii="Arial Narrow" w:hAnsi="Arial Narrow" w:cs="Tahoma"/>
          <w:sz w:val="22"/>
          <w:lang w:val="sr-Cyrl-CS"/>
        </w:rPr>
        <w:t xml:space="preserve"> и у</w:t>
      </w:r>
      <w:r w:rsidRPr="006F7AD9">
        <w:rPr>
          <w:rFonts w:ascii="Arial Narrow" w:hAnsi="Arial Narrow" w:cs="Tahoma"/>
          <w:sz w:val="22"/>
          <w:lang w:val="sr-Latn-CS"/>
        </w:rPr>
        <w:t xml:space="preserve"> односу на </w:t>
      </w:r>
      <w:r w:rsidR="009A0F96" w:rsidRPr="006F7AD9">
        <w:rPr>
          <w:rFonts w:ascii="Arial Narrow" w:hAnsi="Arial Narrow" w:cs="Tahoma"/>
          <w:sz w:val="22"/>
          <w:lang w:val="sr-Cyrl-CS"/>
        </w:rPr>
        <w:t>јун</w:t>
      </w:r>
      <w:r w:rsidR="00DC2009" w:rsidRPr="006F7AD9">
        <w:rPr>
          <w:rFonts w:ascii="Arial Narrow" w:hAnsi="Arial Narrow" w:cs="Tahoma"/>
          <w:sz w:val="22"/>
          <w:lang w:val="sr-Cyrl-CS"/>
        </w:rPr>
        <w:t xml:space="preserve"> 2015.</w:t>
      </w:r>
      <w:r w:rsidR="00DC2009" w:rsidRPr="006F7AD9">
        <w:rPr>
          <w:rFonts w:ascii="Arial Narrow" w:hAnsi="Arial Narrow" w:cs="Tahoma"/>
          <w:sz w:val="22"/>
          <w:lang w:val="ru-RU"/>
        </w:rPr>
        <w:t xml:space="preserve"> године</w:t>
      </w:r>
      <w:r w:rsidR="007D064A" w:rsidRPr="006F7AD9">
        <w:rPr>
          <w:rFonts w:ascii="Arial Narrow" w:hAnsi="Arial Narrow" w:cs="Tahoma"/>
          <w:sz w:val="22"/>
          <w:lang w:val="ru-RU"/>
        </w:rPr>
        <w:t xml:space="preserve"> </w:t>
      </w:r>
      <w:r w:rsidR="000F4C35" w:rsidRPr="006F7AD9">
        <w:rPr>
          <w:rFonts w:ascii="Arial Narrow" w:hAnsi="Arial Narrow" w:cs="Tahoma"/>
          <w:sz w:val="22"/>
          <w:lang w:val="ru-RU"/>
        </w:rPr>
        <w:t>већи</w:t>
      </w:r>
      <w:r w:rsidR="00DC2009"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ru-RU"/>
        </w:rPr>
        <w:t>за</w:t>
      </w:r>
      <w:r w:rsidRPr="006F7AD9">
        <w:rPr>
          <w:rFonts w:ascii="Arial Narrow" w:hAnsi="Arial Narrow" w:cs="Tahoma"/>
          <w:sz w:val="22"/>
          <w:lang w:val="sr-Latn-CS"/>
        </w:rPr>
        <w:t xml:space="preserve"> </w:t>
      </w:r>
      <w:r w:rsidR="00B85D9D" w:rsidRPr="006F7AD9">
        <w:rPr>
          <w:rFonts w:ascii="Arial Narrow" w:hAnsi="Arial Narrow" w:cs="Tahoma"/>
          <w:sz w:val="22"/>
          <w:lang w:val="sr-Cyrl-CS"/>
        </w:rPr>
        <w:t>0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0F4C35" w:rsidRPr="006F7AD9">
        <w:rPr>
          <w:rFonts w:ascii="Arial Narrow" w:hAnsi="Arial Narrow" w:cs="Tahoma"/>
          <w:sz w:val="22"/>
          <w:lang w:val="sr-Cyrl-CS"/>
        </w:rPr>
        <w:t>1</w:t>
      </w:r>
      <w:r w:rsidRPr="006F7AD9">
        <w:rPr>
          <w:rFonts w:ascii="Arial Narrow" w:hAnsi="Arial Narrow" w:cs="Tahoma"/>
          <w:sz w:val="22"/>
          <w:lang w:val="sr-Cyrl-CS"/>
        </w:rPr>
        <w:t>%.</w:t>
      </w:r>
      <w:r w:rsidRPr="006F7AD9">
        <w:rPr>
          <w:rFonts w:ascii="Arial Narrow" w:hAnsi="Arial Narrow" w:cs="Tahoma"/>
          <w:sz w:val="22"/>
          <w:lang w:val="sr-Latn-CS"/>
        </w:rPr>
        <w:t xml:space="preserve"> </w:t>
      </w:r>
      <w:r w:rsidRPr="006F7AD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6F7AD9">
        <w:rPr>
          <w:rFonts w:ascii="Arial Narrow" w:hAnsi="Arial Narrow" w:cs="Tahoma"/>
          <w:sz w:val="22"/>
          <w:lang w:val="sr-Cyrl-CS"/>
        </w:rPr>
        <w:t xml:space="preserve">у </w:t>
      </w:r>
      <w:r w:rsidRPr="006F7AD9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872B6D" w:rsidRPr="006F7AD9">
        <w:rPr>
          <w:rFonts w:ascii="Arial Narrow" w:hAnsi="Arial Narrow" w:cs="Tahoma"/>
          <w:sz w:val="22"/>
          <w:lang w:val="ru-RU"/>
        </w:rPr>
        <w:t>ју</w:t>
      </w:r>
      <w:r w:rsidR="000F4C35" w:rsidRPr="006F7AD9">
        <w:rPr>
          <w:rFonts w:ascii="Arial Narrow" w:hAnsi="Arial Narrow" w:cs="Tahoma"/>
          <w:sz w:val="22"/>
          <w:lang w:val="ru-RU"/>
        </w:rPr>
        <w:t>л</w:t>
      </w:r>
      <w:r w:rsidRPr="006F7AD9">
        <w:rPr>
          <w:rFonts w:ascii="Arial Narrow" w:hAnsi="Arial Narrow" w:cs="Tahoma"/>
          <w:sz w:val="22"/>
          <w:lang w:val="sr-Cyrl-CS"/>
        </w:rPr>
        <w:t xml:space="preserve"> 201</w:t>
      </w:r>
      <w:r w:rsidR="00B85D9D" w:rsidRPr="006F7AD9">
        <w:rPr>
          <w:rFonts w:ascii="Arial Narrow" w:hAnsi="Arial Narrow" w:cs="Tahoma"/>
          <w:sz w:val="22"/>
          <w:lang w:val="sr-Cyrl-CS"/>
        </w:rPr>
        <w:t>5</w:t>
      </w:r>
      <w:r w:rsidRPr="006F7AD9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0F4C35" w:rsidRPr="006F7AD9">
        <w:rPr>
          <w:rFonts w:ascii="Arial Narrow" w:hAnsi="Arial Narrow" w:cs="Tahoma"/>
          <w:sz w:val="22"/>
          <w:szCs w:val="22"/>
          <w:lang w:val="ru-RU"/>
        </w:rPr>
        <w:t>4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6F7AD9">
        <w:rPr>
          <w:rFonts w:ascii="Arial Narrow" w:hAnsi="Arial Narrow" w:cs="Tahoma"/>
          <w:sz w:val="22"/>
          <w:lang w:val="sr-Cyrl-CS"/>
        </w:rPr>
        <w:t>у</w:t>
      </w:r>
      <w:r w:rsidRPr="006F7AD9">
        <w:rPr>
          <w:rFonts w:ascii="Tahoma" w:hAnsi="Tahoma" w:cs="Tahoma"/>
          <w:sz w:val="22"/>
          <w:lang w:val="sr-Cyrl-CS"/>
        </w:rPr>
        <w:t xml:space="preserve"> </w:t>
      </w:r>
      <w:r w:rsidR="00B85D9D" w:rsidRPr="006F7AD9">
        <w:rPr>
          <w:rFonts w:ascii="Arial Narrow" w:hAnsi="Arial Narrow" w:cs="Tahoma"/>
          <w:sz w:val="22"/>
          <w:lang w:val="ru-RU"/>
        </w:rPr>
        <w:t xml:space="preserve">подручју </w:t>
      </w:r>
      <w:r w:rsidR="00B85D9D" w:rsidRPr="006F7AD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85D9D" w:rsidRPr="006F7AD9">
        <w:rPr>
          <w:rFonts w:ascii="Arial Narrow" w:hAnsi="Arial Narrow" w:cs="Tahoma"/>
          <w:sz w:val="22"/>
          <w:lang w:val="sr-Cyrl-CS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DE21BB" w:rsidRPr="006F7AD9">
        <w:rPr>
          <w:rFonts w:ascii="Arial Narrow" w:hAnsi="Arial Narrow" w:cs="Tahoma"/>
          <w:sz w:val="22"/>
          <w:lang w:val="sr-Cyrl-CS"/>
        </w:rPr>
        <w:t>4</w:t>
      </w:r>
      <w:r w:rsidRPr="006F7AD9">
        <w:rPr>
          <w:rFonts w:ascii="Arial Narrow" w:hAnsi="Arial Narrow" w:cs="Tahoma"/>
          <w:sz w:val="22"/>
          <w:lang w:val="ru-RU"/>
        </w:rPr>
        <w:t>,</w:t>
      </w:r>
      <w:r w:rsidR="00DE21BB" w:rsidRPr="006F7AD9">
        <w:rPr>
          <w:rFonts w:ascii="Arial Narrow" w:hAnsi="Arial Narrow" w:cs="Tahoma"/>
          <w:sz w:val="22"/>
          <w:lang w:val="ru-RU"/>
        </w:rPr>
        <w:t>8</w:t>
      </w:r>
      <w:r w:rsidRPr="006F7AD9">
        <w:rPr>
          <w:rFonts w:ascii="Arial Narrow" w:hAnsi="Arial Narrow" w:cs="Tahoma"/>
          <w:sz w:val="22"/>
          <w:lang w:val="ru-RU"/>
        </w:rPr>
        <w:t>%,</w:t>
      </w:r>
      <w:r w:rsidRPr="006F7AD9">
        <w:rPr>
          <w:rFonts w:ascii="Arial Narrow" w:hAnsi="Arial Narrow" w:cs="Tahoma"/>
          <w:sz w:val="22"/>
          <w:lang w:val="sr-Latn-CS"/>
        </w:rPr>
        <w:t xml:space="preserve"> </w:t>
      </w:r>
      <w:r w:rsidRPr="006F7AD9">
        <w:rPr>
          <w:rFonts w:ascii="Arial Narrow" w:hAnsi="Arial Narrow" w:cs="Tahoma"/>
          <w:sz w:val="22"/>
          <w:lang w:val="ru-RU"/>
        </w:rPr>
        <w:t xml:space="preserve">у </w:t>
      </w:r>
      <w:r w:rsidR="00B85D9D" w:rsidRPr="006F7AD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B85D9D" w:rsidRPr="006F7AD9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B85D9D" w:rsidRPr="006F7AD9">
        <w:rPr>
          <w:rFonts w:ascii="Arial Narrow" w:hAnsi="Arial Narrow" w:cs="Tahoma"/>
          <w:i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ru-RU"/>
        </w:rPr>
        <w:t xml:space="preserve">раст </w:t>
      </w:r>
      <w:r w:rsidRPr="006F7AD9">
        <w:rPr>
          <w:rFonts w:ascii="Arial Narrow" w:hAnsi="Arial Narrow" w:cs="Tahoma"/>
          <w:sz w:val="22"/>
          <w:lang w:val="sr-Cyrl-CS"/>
        </w:rPr>
        <w:t xml:space="preserve">од </w:t>
      </w:r>
      <w:r w:rsidR="00872B6D" w:rsidRPr="006F7AD9">
        <w:rPr>
          <w:rFonts w:ascii="Arial Narrow" w:hAnsi="Arial Narrow" w:cs="Tahoma"/>
          <w:sz w:val="22"/>
          <w:lang w:val="sr-Cyrl-CS"/>
        </w:rPr>
        <w:t>2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DE21BB" w:rsidRPr="006F7AD9">
        <w:rPr>
          <w:rFonts w:ascii="Arial Narrow" w:hAnsi="Arial Narrow" w:cs="Tahoma"/>
          <w:sz w:val="22"/>
          <w:lang w:val="sr-Cyrl-CS"/>
        </w:rPr>
        <w:t>7</w:t>
      </w:r>
      <w:r w:rsidRPr="006F7AD9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6F7AD9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раст </w:t>
      </w:r>
      <w:r w:rsidRPr="006F7AD9">
        <w:rPr>
          <w:rFonts w:ascii="Arial Narrow" w:hAnsi="Arial Narrow" w:cs="Tahoma"/>
          <w:sz w:val="22"/>
          <w:lang w:val="ru-RU"/>
        </w:rPr>
        <w:t>од 0,</w:t>
      </w:r>
      <w:r w:rsidR="00DE21BB" w:rsidRPr="006F7AD9">
        <w:rPr>
          <w:rFonts w:ascii="Arial Narrow" w:hAnsi="Arial Narrow" w:cs="Tahoma"/>
          <w:sz w:val="22"/>
          <w:lang w:val="ru-RU"/>
        </w:rPr>
        <w:t>7</w:t>
      </w:r>
      <w:r w:rsidRPr="006F7AD9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6F7AD9" w:rsidRDefault="00ED2B92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noProof/>
        </w:rPr>
        <w:drawing>
          <wp:inline distT="0" distB="0" distL="0" distR="0" wp14:anchorId="0C6ADB8A" wp14:editId="7A750356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6F7AD9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6F7AD9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66022A" w:rsidRPr="006F7AD9">
        <w:rPr>
          <w:rFonts w:ascii="Arial Narrow" w:hAnsi="Arial Narrow" w:cs="Tahoma"/>
          <w:sz w:val="16"/>
          <w:szCs w:val="16"/>
          <w:lang w:val="sr-Latn-CS"/>
        </w:rPr>
        <w:t>2</w:t>
      </w:r>
      <w:r w:rsidRPr="006F7AD9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ED2B92">
        <w:rPr>
          <w:rFonts w:ascii="Arial Narrow" w:hAnsi="Arial Narrow" w:cs="Tahoma"/>
          <w:sz w:val="16"/>
          <w:szCs w:val="16"/>
          <w:lang w:val="sr-Cyrl-CS"/>
        </w:rPr>
        <w:t>јул</w:t>
      </w:r>
      <w:r w:rsidR="00ED2B92" w:rsidRPr="00165433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ED2B92" w:rsidRPr="00165433">
        <w:rPr>
          <w:rFonts w:ascii="Arial Narrow" w:hAnsi="Arial Narrow" w:cs="Tahoma"/>
          <w:sz w:val="16"/>
          <w:szCs w:val="16"/>
        </w:rPr>
        <w:t>1</w:t>
      </w:r>
      <w:r w:rsidR="00ED2B92" w:rsidRPr="00165433">
        <w:rPr>
          <w:rFonts w:ascii="Arial Narrow" w:hAnsi="Arial Narrow" w:cs="Tahoma"/>
          <w:sz w:val="16"/>
          <w:szCs w:val="16"/>
          <w:lang w:val="sr-Cyrl-CS"/>
        </w:rPr>
        <w:t>1</w:t>
      </w:r>
      <w:r w:rsidR="00026BC5">
        <w:rPr>
          <w:rFonts w:ascii="Arial Narrow" w:hAnsi="Arial Narrow" w:cs="Tahoma"/>
          <w:sz w:val="16"/>
          <w:szCs w:val="16"/>
          <w:lang w:val="sr-Latn-BA"/>
        </w:rPr>
        <w:t>.</w:t>
      </w:r>
      <w:r w:rsidR="00ED2B92" w:rsidRPr="00165433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ED2B92">
        <w:rPr>
          <w:rFonts w:ascii="Arial Narrow" w:hAnsi="Arial Narrow" w:cs="Tahoma"/>
          <w:sz w:val="16"/>
          <w:szCs w:val="16"/>
          <w:lang w:val="sr-Cyrl-CS"/>
        </w:rPr>
        <w:t>ју</w:t>
      </w:r>
      <w:r w:rsidR="00ED2B92">
        <w:rPr>
          <w:rFonts w:ascii="Arial Narrow" w:hAnsi="Arial Narrow" w:cs="Tahoma"/>
          <w:sz w:val="16"/>
          <w:szCs w:val="16"/>
          <w:lang w:val="sr-Cyrl-BA"/>
        </w:rPr>
        <w:t>л</w:t>
      </w:r>
      <w:r w:rsidR="00ED2B92" w:rsidRPr="00165433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ED2B92" w:rsidRPr="00165433">
        <w:rPr>
          <w:rFonts w:ascii="Arial Narrow" w:hAnsi="Arial Narrow" w:cs="Tahoma"/>
          <w:sz w:val="16"/>
          <w:szCs w:val="16"/>
          <w:lang w:val="sr-Cyrl-CS"/>
        </w:rPr>
        <w:t>5</w:t>
      </w:r>
      <w:r w:rsidR="00ED2B92" w:rsidRPr="00165433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6F7AD9">
        <w:rPr>
          <w:rFonts w:ascii="Arial Narrow" w:hAnsi="Arial Narrow" w:cs="Tahoma"/>
          <w:sz w:val="16"/>
          <w:szCs w:val="16"/>
          <w:lang w:val="sr-Latn-CS"/>
        </w:rPr>
        <w:t>(</w:t>
      </w:r>
      <w:r w:rsidRPr="006F7AD9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6F7AD9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6F7AD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6F7AD9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55304" w:rsidRPr="006F7AD9" w:rsidRDefault="00055304" w:rsidP="00055304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6F7AD9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6F7AD9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6F7AD9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6F7AD9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6F7AD9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C609AD" w:rsidRPr="006F7AD9">
        <w:rPr>
          <w:rFonts w:ascii="Arial Narrow" w:hAnsi="Arial Narrow" w:cs="Tahoma"/>
          <w:b/>
          <w:sz w:val="30"/>
          <w:szCs w:val="30"/>
        </w:rPr>
        <w:t>V</w:t>
      </w:r>
      <w:r w:rsidR="003B6A99" w:rsidRPr="006F7AD9">
        <w:rPr>
          <w:rFonts w:ascii="Arial Narrow" w:hAnsi="Arial Narrow" w:cs="Tahoma"/>
          <w:b/>
          <w:sz w:val="30"/>
          <w:szCs w:val="30"/>
        </w:rPr>
        <w:t>I</w:t>
      </w:r>
      <w:r w:rsidR="000D772E" w:rsidRPr="006F7AD9">
        <w:rPr>
          <w:rFonts w:ascii="Arial Narrow" w:hAnsi="Arial Narrow" w:cs="Tahoma"/>
          <w:b/>
          <w:sz w:val="30"/>
          <w:szCs w:val="30"/>
        </w:rPr>
        <w:t>I</w:t>
      </w:r>
      <w:r w:rsidRPr="006F7AD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6F7AD9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6F7AD9">
        <w:rPr>
          <w:rFonts w:ascii="Arial Narrow" w:hAnsi="Arial Narrow" w:cs="Tahoma"/>
          <w:b/>
          <w:sz w:val="30"/>
          <w:szCs w:val="30"/>
        </w:rPr>
        <w:t>5.</w:t>
      </w:r>
      <w:r w:rsidRPr="006F7AD9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6F7AD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C609AD" w:rsidRPr="006F7AD9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3B6A99" w:rsidRPr="006F7AD9">
        <w:rPr>
          <w:rFonts w:ascii="Arial Narrow" w:hAnsi="Arial Narrow" w:cs="Tahoma"/>
          <w:b/>
          <w:sz w:val="30"/>
          <w:szCs w:val="30"/>
          <w:lang w:val="hr-HR"/>
        </w:rPr>
        <w:t>8</w:t>
      </w:r>
      <w:r w:rsidRPr="006F7AD9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3B6A99" w:rsidRPr="006F7AD9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Pr="006F7AD9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055304" w:rsidRPr="006F7AD9" w:rsidRDefault="00055304" w:rsidP="0005530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55304" w:rsidRPr="006F7AD9" w:rsidRDefault="00055304" w:rsidP="00055304">
      <w:pPr>
        <w:jc w:val="both"/>
        <w:rPr>
          <w:rFonts w:ascii="Arial Narrow" w:hAnsi="Arial Narrow" w:cs="Tahoma"/>
          <w:sz w:val="22"/>
          <w:lang w:val="sr-Cyrl-BA"/>
        </w:rPr>
      </w:pPr>
      <w:r w:rsidRPr="006F7AD9">
        <w:rPr>
          <w:rFonts w:ascii="Arial Narrow" w:hAnsi="Arial Narrow" w:cs="Tahoma"/>
          <w:sz w:val="22"/>
          <w:lang w:val="sr-Cyrl-BA"/>
        </w:rPr>
        <w:t xml:space="preserve">У </w:t>
      </w:r>
      <w:r w:rsidR="003B6A99" w:rsidRPr="006F7AD9">
        <w:rPr>
          <w:rFonts w:ascii="Arial Narrow" w:hAnsi="Arial Narrow" w:cs="Tahoma"/>
          <w:sz w:val="22"/>
          <w:lang w:val="sr-Cyrl-BA"/>
        </w:rPr>
        <w:t>јул</w:t>
      </w:r>
      <w:r w:rsidR="000D772E" w:rsidRPr="006F7AD9">
        <w:rPr>
          <w:rFonts w:ascii="Arial Narrow" w:hAnsi="Arial Narrow" w:cs="Tahoma"/>
          <w:sz w:val="22"/>
          <w:lang w:val="sr-Cyrl-BA"/>
        </w:rPr>
        <w:t>у</w:t>
      </w:r>
      <w:r w:rsidRPr="006F7AD9">
        <w:rPr>
          <w:rFonts w:ascii="Arial Narrow" w:hAnsi="Arial Narrow" w:cs="Tahoma"/>
          <w:sz w:val="22"/>
          <w:lang w:val="sr-Cyrl-BA"/>
        </w:rPr>
        <w:t xml:space="preserve"> 201</w:t>
      </w:r>
      <w:r w:rsidRPr="006F7AD9">
        <w:rPr>
          <w:rFonts w:ascii="Arial Narrow" w:hAnsi="Arial Narrow" w:cs="Tahoma"/>
          <w:sz w:val="22"/>
          <w:lang w:val="sr-Latn-CS"/>
        </w:rPr>
        <w:t>5</w:t>
      </w:r>
      <w:r w:rsidRPr="006F7AD9">
        <w:rPr>
          <w:rFonts w:ascii="Arial Narrow" w:hAnsi="Arial Narrow" w:cs="Tahoma"/>
          <w:sz w:val="22"/>
          <w:lang w:val="sr-Cyrl-BA"/>
        </w:rPr>
        <w:t>. године остварен је извоз у вриједности</w:t>
      </w:r>
      <w:r w:rsidR="0026580F" w:rsidRPr="006F7AD9">
        <w:rPr>
          <w:rFonts w:ascii="Arial Narrow" w:hAnsi="Arial Narrow" w:cs="Tahoma"/>
          <w:sz w:val="22"/>
          <w:lang w:val="sr-Cyrl-BA"/>
        </w:rPr>
        <w:t xml:space="preserve"> од</w:t>
      </w:r>
      <w:r w:rsidRPr="006F7AD9">
        <w:rPr>
          <w:rFonts w:ascii="Arial Narrow" w:hAnsi="Arial Narrow" w:cs="Tahoma"/>
          <w:sz w:val="22"/>
          <w:lang w:val="sr-Cyrl-BA"/>
        </w:rPr>
        <w:t xml:space="preserve"> </w:t>
      </w:r>
      <w:r w:rsidR="000D772E" w:rsidRPr="006F7AD9">
        <w:rPr>
          <w:rFonts w:ascii="Arial Narrow" w:hAnsi="Arial Narrow" w:cs="Tahoma"/>
          <w:sz w:val="22"/>
          <w:lang w:val="sr-Cyrl-BA"/>
        </w:rPr>
        <w:t>2</w:t>
      </w:r>
      <w:r w:rsidR="003B6A99" w:rsidRPr="006F7AD9">
        <w:rPr>
          <w:rFonts w:ascii="Arial Narrow" w:hAnsi="Arial Narrow" w:cs="Tahoma"/>
          <w:sz w:val="22"/>
          <w:lang w:val="sr-Cyrl-BA"/>
        </w:rPr>
        <w:t>43</w:t>
      </w:r>
      <w:r w:rsidRPr="006F7AD9">
        <w:rPr>
          <w:rFonts w:ascii="Arial Narrow" w:hAnsi="Arial Narrow" w:cs="Tahoma"/>
          <w:sz w:val="22"/>
          <w:lang w:val="sr-Cyrl-BA"/>
        </w:rPr>
        <w:t xml:space="preserve"> милион</w:t>
      </w:r>
      <w:r w:rsidR="009831F8" w:rsidRPr="006F7AD9">
        <w:rPr>
          <w:rFonts w:ascii="Arial Narrow" w:hAnsi="Arial Narrow" w:cs="Tahoma"/>
          <w:sz w:val="22"/>
          <w:lang w:val="sr-Cyrl-BA"/>
        </w:rPr>
        <w:t>а</w:t>
      </w:r>
      <w:r w:rsidRPr="006F7AD9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3B6A99" w:rsidRPr="006F7AD9">
        <w:rPr>
          <w:rFonts w:ascii="Arial Narrow" w:hAnsi="Arial Narrow" w:cs="Tahoma"/>
          <w:sz w:val="22"/>
          <w:lang w:val="sr-Cyrl-BA"/>
        </w:rPr>
        <w:t>441</w:t>
      </w:r>
      <w:r w:rsidRPr="006F7AD9">
        <w:rPr>
          <w:rFonts w:ascii="Arial Narrow" w:hAnsi="Arial Narrow" w:cs="Tahoma"/>
          <w:sz w:val="22"/>
          <w:lang w:val="sr-Cyrl-BA"/>
        </w:rPr>
        <w:t xml:space="preserve"> милион КМ.</w:t>
      </w:r>
    </w:p>
    <w:p w:rsidR="00055304" w:rsidRPr="006F7AD9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6F7AD9" w:rsidRDefault="00055304" w:rsidP="00055304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6F7AD9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6F7AD9">
        <w:rPr>
          <w:rFonts w:ascii="Arial Narrow" w:hAnsi="Arial Narrow" w:cs="Tahoma"/>
          <w:sz w:val="22"/>
          <w:lang w:val="bs-Cyrl-BA"/>
        </w:rPr>
        <w:t>е</w:t>
      </w:r>
      <w:r w:rsidRPr="006F7AD9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6F7AD9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6F7AD9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0D772E" w:rsidRPr="006F7AD9">
        <w:rPr>
          <w:rFonts w:ascii="Arial Narrow" w:hAnsi="Arial Narrow" w:cs="Tahoma"/>
          <w:sz w:val="22"/>
          <w:lang w:val="sr-Cyrl-BA"/>
        </w:rPr>
        <w:t>ју</w:t>
      </w:r>
      <w:r w:rsidR="003B6A99" w:rsidRPr="006F7AD9">
        <w:rPr>
          <w:rFonts w:ascii="Arial Narrow" w:hAnsi="Arial Narrow" w:cs="Tahoma"/>
          <w:sz w:val="22"/>
          <w:lang w:val="sr-Cyrl-BA"/>
        </w:rPr>
        <w:t>л</w:t>
      </w:r>
      <w:r w:rsidR="000D772E" w:rsidRPr="006F7AD9">
        <w:rPr>
          <w:rFonts w:ascii="Arial Narrow" w:hAnsi="Arial Narrow" w:cs="Tahoma"/>
          <w:sz w:val="22"/>
          <w:lang w:val="sr-Cyrl-BA"/>
        </w:rPr>
        <w:t>у</w:t>
      </w:r>
      <w:r w:rsidRPr="006F7AD9">
        <w:rPr>
          <w:rFonts w:ascii="Arial Narrow" w:hAnsi="Arial Narrow" w:cs="Tahoma"/>
          <w:sz w:val="22"/>
          <w:lang w:val="sr-Cyrl-BA"/>
        </w:rPr>
        <w:t xml:space="preserve"> ове године, проценат покривености увоза извозом износио је </w:t>
      </w:r>
      <w:r w:rsidR="003B6A99" w:rsidRPr="006F7AD9">
        <w:rPr>
          <w:rFonts w:ascii="Arial Narrow" w:hAnsi="Arial Narrow" w:cs="Tahoma"/>
          <w:sz w:val="22"/>
          <w:lang w:val="sr-Cyrl-BA"/>
        </w:rPr>
        <w:t>55</w:t>
      </w:r>
      <w:r w:rsidRPr="006F7AD9">
        <w:rPr>
          <w:rFonts w:ascii="Arial Narrow" w:hAnsi="Arial Narrow" w:cs="Tahoma"/>
          <w:sz w:val="22"/>
          <w:lang w:val="sr-Cyrl-BA"/>
        </w:rPr>
        <w:t>,</w:t>
      </w:r>
      <w:r w:rsidR="003B6A99" w:rsidRPr="006F7AD9">
        <w:rPr>
          <w:rFonts w:ascii="Arial Narrow" w:hAnsi="Arial Narrow" w:cs="Tahoma"/>
          <w:sz w:val="22"/>
          <w:lang w:val="sr-Cyrl-BA"/>
        </w:rPr>
        <w:t>0</w:t>
      </w:r>
      <w:r w:rsidRPr="006F7AD9">
        <w:rPr>
          <w:rFonts w:ascii="Arial Narrow" w:hAnsi="Arial Narrow" w:cs="Tahoma"/>
          <w:sz w:val="22"/>
          <w:lang w:val="sr-Cyrl-BA"/>
        </w:rPr>
        <w:t xml:space="preserve">%. </w:t>
      </w:r>
      <w:r w:rsidRPr="006F7AD9">
        <w:rPr>
          <w:rFonts w:ascii="Arial Narrow" w:hAnsi="Arial Narrow" w:cs="Tahoma"/>
          <w:sz w:val="22"/>
          <w:szCs w:val="22"/>
          <w:lang w:val="ru-RU"/>
        </w:rPr>
        <w:t>Проценат пок</w:t>
      </w:r>
      <w:r w:rsidR="00FC11BC" w:rsidRPr="006F7AD9">
        <w:rPr>
          <w:rFonts w:ascii="Arial Narrow" w:hAnsi="Arial Narrow" w:cs="Tahoma"/>
          <w:sz w:val="22"/>
          <w:szCs w:val="22"/>
          <w:lang w:val="ru-RU"/>
        </w:rPr>
        <w:t xml:space="preserve">ривености увоза извозом за првих </w:t>
      </w:r>
      <w:r w:rsidR="003B6A99" w:rsidRPr="006F7AD9">
        <w:rPr>
          <w:rFonts w:ascii="Arial Narrow" w:hAnsi="Arial Narrow" w:cs="Tahoma"/>
          <w:sz w:val="22"/>
          <w:szCs w:val="22"/>
          <w:lang w:val="ru-RU"/>
        </w:rPr>
        <w:t>седам</w:t>
      </w:r>
      <w:r w:rsidR="00FC11BC" w:rsidRPr="006F7AD9">
        <w:rPr>
          <w:rFonts w:ascii="Arial Narrow" w:hAnsi="Arial Narrow" w:cs="Tahoma"/>
          <w:sz w:val="22"/>
          <w:szCs w:val="22"/>
          <w:lang w:val="ru-RU"/>
        </w:rPr>
        <w:t xml:space="preserve"> мјесеци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</w:t>
      </w:r>
      <w:r w:rsidR="002A0C13" w:rsidRPr="006F7AD9">
        <w:rPr>
          <w:rFonts w:ascii="Arial Narrow" w:hAnsi="Arial Narrow" w:cs="Tahoma"/>
          <w:sz w:val="22"/>
          <w:szCs w:val="22"/>
          <w:lang w:val="ru-RU"/>
        </w:rPr>
        <w:t>5</w:t>
      </w:r>
      <w:r w:rsidR="003B6A99" w:rsidRPr="006F7AD9">
        <w:rPr>
          <w:rFonts w:ascii="Arial Narrow" w:hAnsi="Arial Narrow" w:cs="Tahoma"/>
          <w:sz w:val="22"/>
          <w:szCs w:val="22"/>
          <w:lang w:val="ru-RU"/>
        </w:rPr>
        <w:t>8</w:t>
      </w:r>
      <w:r w:rsidRPr="006F7AD9">
        <w:rPr>
          <w:rFonts w:ascii="Arial Narrow" w:hAnsi="Arial Narrow" w:cs="Tahoma"/>
          <w:sz w:val="22"/>
          <w:szCs w:val="22"/>
          <w:lang w:val="ru-RU"/>
        </w:rPr>
        <w:t>,</w:t>
      </w:r>
      <w:r w:rsidR="003B6A99" w:rsidRPr="006F7AD9">
        <w:rPr>
          <w:rFonts w:ascii="Arial Narrow" w:hAnsi="Arial Narrow" w:cs="Tahoma"/>
          <w:sz w:val="22"/>
          <w:szCs w:val="22"/>
          <w:lang w:val="ru-RU"/>
        </w:rPr>
        <w:t>5</w:t>
      </w:r>
      <w:r w:rsidRPr="006F7AD9">
        <w:rPr>
          <w:rFonts w:ascii="Arial Narrow" w:hAnsi="Arial Narrow" w:cs="Tahoma"/>
          <w:sz w:val="22"/>
          <w:szCs w:val="22"/>
          <w:lang w:val="ru-RU"/>
        </w:rPr>
        <w:t>%.</w:t>
      </w:r>
    </w:p>
    <w:p w:rsidR="00055304" w:rsidRPr="006F7AD9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6F7AD9" w:rsidRDefault="00055304" w:rsidP="00055304">
      <w:pPr>
        <w:jc w:val="both"/>
        <w:rPr>
          <w:rFonts w:ascii="Tahoma" w:hAnsi="Tahoma" w:cs="Tahoma"/>
          <w:lang w:val="ru-RU"/>
        </w:rPr>
      </w:pPr>
      <w:r w:rsidRPr="006F7AD9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3B6A99" w:rsidRPr="006F7AD9">
        <w:rPr>
          <w:rFonts w:ascii="Arial Narrow" w:hAnsi="Arial Narrow" w:cs="Tahoma"/>
          <w:sz w:val="22"/>
          <w:lang w:val="ru-RU"/>
        </w:rPr>
        <w:t>јул</w:t>
      </w:r>
      <w:r w:rsidRPr="006F7AD9">
        <w:rPr>
          <w:rFonts w:ascii="Arial Narrow" w:hAnsi="Arial Narrow" w:cs="Tahoma"/>
          <w:sz w:val="22"/>
          <w:lang w:val="ru-RU"/>
        </w:rPr>
        <w:t xml:space="preserve"> 2015. остварен је извоз у вриједности од</w:t>
      </w:r>
      <w:r w:rsidR="000D772E" w:rsidRPr="006F7AD9">
        <w:rPr>
          <w:rFonts w:ascii="Arial Narrow" w:hAnsi="Arial Narrow" w:cs="Tahoma"/>
          <w:sz w:val="22"/>
          <w:lang w:val="ru-RU"/>
        </w:rPr>
        <w:t xml:space="preserve"> милијарду и </w:t>
      </w:r>
      <w:r w:rsidR="003B6A99" w:rsidRPr="006F7AD9">
        <w:rPr>
          <w:rFonts w:ascii="Arial Narrow" w:hAnsi="Arial Narrow" w:cs="Tahoma"/>
          <w:sz w:val="22"/>
          <w:lang w:val="ru-RU"/>
        </w:rPr>
        <w:t>481</w:t>
      </w:r>
      <w:r w:rsidRPr="006F7AD9">
        <w:rPr>
          <w:rFonts w:ascii="Arial Narrow" w:hAnsi="Arial Narrow" w:cs="Tahoma"/>
          <w:sz w:val="22"/>
          <w:lang w:val="ru-RU"/>
        </w:rPr>
        <w:t xml:space="preserve"> милион</w:t>
      </w:r>
      <w:r w:rsidR="007D21F0" w:rsidRPr="006F7AD9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0D772E" w:rsidRPr="006F7AD9">
        <w:rPr>
          <w:rFonts w:ascii="Arial Narrow" w:hAnsi="Arial Narrow" w:cs="Tahoma"/>
          <w:sz w:val="22"/>
          <w:lang w:val="ru-RU"/>
        </w:rPr>
        <w:t>4</w:t>
      </w:r>
      <w:r w:rsidR="007D21F0" w:rsidRPr="006F7AD9">
        <w:rPr>
          <w:rFonts w:ascii="Arial Narrow" w:hAnsi="Arial Narrow" w:cs="Tahoma"/>
          <w:sz w:val="22"/>
          <w:lang w:val="ru-RU"/>
        </w:rPr>
        <w:t>,</w:t>
      </w:r>
      <w:r w:rsidR="003B6A99" w:rsidRPr="006F7AD9">
        <w:rPr>
          <w:rFonts w:ascii="Arial Narrow" w:hAnsi="Arial Narrow" w:cs="Tahoma"/>
          <w:sz w:val="22"/>
          <w:lang w:val="ru-RU"/>
        </w:rPr>
        <w:t>8</w:t>
      </w:r>
      <w:r w:rsidRPr="006F7AD9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="000D772E" w:rsidRPr="006F7AD9">
        <w:rPr>
          <w:rFonts w:ascii="Arial Narrow" w:hAnsi="Arial Narrow" w:cs="Tahoma"/>
          <w:sz w:val="22"/>
          <w:lang w:val="ru-RU"/>
        </w:rPr>
        <w:t>2 милијарде</w:t>
      </w:r>
      <w:r w:rsidR="002A0C13" w:rsidRPr="006F7AD9">
        <w:rPr>
          <w:rFonts w:ascii="Arial Narrow" w:hAnsi="Arial Narrow" w:cs="Tahoma"/>
          <w:sz w:val="22"/>
          <w:lang w:val="ru-RU"/>
        </w:rPr>
        <w:t xml:space="preserve"> </w:t>
      </w:r>
      <w:r w:rsidR="003B6A99" w:rsidRPr="006F7AD9">
        <w:rPr>
          <w:rFonts w:ascii="Arial Narrow" w:hAnsi="Arial Narrow" w:cs="Tahoma"/>
          <w:sz w:val="22"/>
          <w:lang w:val="ru-RU"/>
        </w:rPr>
        <w:t>533</w:t>
      </w:r>
      <w:r w:rsidR="007D4692" w:rsidRPr="006F7AD9">
        <w:rPr>
          <w:rFonts w:ascii="Arial Narrow" w:hAnsi="Arial Narrow" w:cs="Tahoma"/>
          <w:sz w:val="22"/>
          <w:lang w:val="ru-RU"/>
        </w:rPr>
        <w:t xml:space="preserve"> милион</w:t>
      </w:r>
      <w:r w:rsidR="003B6A99" w:rsidRPr="006F7AD9">
        <w:rPr>
          <w:rFonts w:ascii="Arial Narrow" w:hAnsi="Arial Narrow" w:cs="Tahoma"/>
          <w:sz w:val="22"/>
          <w:lang w:val="ru-RU"/>
        </w:rPr>
        <w:t>а</w:t>
      </w:r>
      <w:r w:rsidRPr="006F7AD9">
        <w:rPr>
          <w:rFonts w:ascii="Arial Narrow" w:hAnsi="Arial Narrow" w:cs="Tahoma"/>
          <w:sz w:val="22"/>
          <w:lang w:val="ru-RU"/>
        </w:rPr>
        <w:t xml:space="preserve"> КМ, што је за</w:t>
      </w:r>
      <w:r w:rsidR="00E95EA9" w:rsidRPr="006F7AD9">
        <w:rPr>
          <w:rFonts w:ascii="Arial Narrow" w:hAnsi="Arial Narrow" w:cs="Tahoma"/>
          <w:sz w:val="22"/>
        </w:rPr>
        <w:t xml:space="preserve"> </w:t>
      </w:r>
      <w:r w:rsidR="003B6A99" w:rsidRPr="006F7AD9">
        <w:rPr>
          <w:rFonts w:ascii="Arial Narrow" w:hAnsi="Arial Narrow" w:cs="Tahoma"/>
          <w:sz w:val="22"/>
          <w:lang w:val="sr-Cyrl-BA"/>
        </w:rPr>
        <w:t>6</w:t>
      </w:r>
      <w:r w:rsidRPr="006F7AD9">
        <w:rPr>
          <w:rFonts w:ascii="Arial Narrow" w:hAnsi="Arial Narrow" w:cs="Tahoma"/>
          <w:sz w:val="22"/>
          <w:lang w:val="sr-Latn-CS"/>
        </w:rPr>
        <w:t>,</w:t>
      </w:r>
      <w:r w:rsidR="003B6A99" w:rsidRPr="006F7AD9">
        <w:rPr>
          <w:rFonts w:ascii="Arial Narrow" w:hAnsi="Arial Narrow" w:cs="Tahoma"/>
          <w:sz w:val="22"/>
          <w:lang w:val="sr-Cyrl-BA"/>
        </w:rPr>
        <w:t>4</w:t>
      </w:r>
      <w:r w:rsidRPr="006F7AD9">
        <w:rPr>
          <w:rFonts w:ascii="Arial Narrow" w:hAnsi="Arial Narrow" w:cs="Tahoma"/>
          <w:sz w:val="22"/>
          <w:lang w:val="ru-RU"/>
        </w:rPr>
        <w:t xml:space="preserve">% </w:t>
      </w:r>
      <w:r w:rsidRPr="006F7AD9">
        <w:rPr>
          <w:rFonts w:ascii="Arial Narrow" w:hAnsi="Arial Narrow" w:cs="Tahoma"/>
          <w:sz w:val="22"/>
          <w:lang w:val="sr-Latn-CS"/>
        </w:rPr>
        <w:t>мање</w:t>
      </w:r>
      <w:r w:rsidRPr="006F7AD9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055304" w:rsidRPr="006F7AD9" w:rsidRDefault="00055304" w:rsidP="00055304">
      <w:pPr>
        <w:jc w:val="both"/>
        <w:rPr>
          <w:rFonts w:ascii="Arial Narrow" w:hAnsi="Arial Narrow" w:cs="Tahoma"/>
          <w:sz w:val="22"/>
          <w:lang w:val="ru-RU"/>
        </w:rPr>
      </w:pPr>
    </w:p>
    <w:p w:rsidR="00055304" w:rsidRPr="006F7AD9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F7AD9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F7AD9">
        <w:rPr>
          <w:rFonts w:ascii="Arial Narrow" w:hAnsi="Arial Narrow" w:cs="Tahoma"/>
          <w:sz w:val="22"/>
        </w:rPr>
        <w:t>e</w:t>
      </w:r>
      <w:r w:rsidRPr="006F7AD9">
        <w:rPr>
          <w:rFonts w:ascii="Arial Narrow" w:hAnsi="Arial Narrow" w:cs="Tahoma"/>
          <w:sz w:val="22"/>
          <w:lang w:val="ru-RU"/>
        </w:rPr>
        <w:t xml:space="preserve"> Српск</w:t>
      </w:r>
      <w:r w:rsidRPr="006F7AD9">
        <w:rPr>
          <w:rFonts w:ascii="Arial Narrow" w:hAnsi="Arial Narrow" w:cs="Tahoma"/>
          <w:sz w:val="22"/>
        </w:rPr>
        <w:t>e</w:t>
      </w:r>
      <w:r w:rsidRPr="006F7AD9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FC11BC" w:rsidRPr="006F7AD9">
        <w:rPr>
          <w:rFonts w:ascii="Arial Narrow" w:hAnsi="Arial Narrow" w:cs="Tahoma"/>
          <w:sz w:val="22"/>
          <w:lang w:val="ru-RU"/>
        </w:rPr>
        <w:t>ј</w:t>
      </w:r>
      <w:r w:rsidR="003B6A99" w:rsidRPr="006F7AD9">
        <w:rPr>
          <w:rFonts w:ascii="Arial Narrow" w:hAnsi="Arial Narrow" w:cs="Tahoma"/>
          <w:sz w:val="22"/>
          <w:lang w:val="ru-RU"/>
        </w:rPr>
        <w:t>ул</w:t>
      </w:r>
      <w:r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2015. године, највише се извозило у Италију и то у вриједности од </w:t>
      </w:r>
      <w:r w:rsidR="000D772E" w:rsidRPr="006F7AD9">
        <w:rPr>
          <w:rFonts w:ascii="Arial Narrow" w:hAnsi="Arial Narrow" w:cs="Tahoma"/>
          <w:sz w:val="22"/>
          <w:lang w:val="sr-Cyrl-BA"/>
        </w:rPr>
        <w:t>28</w:t>
      </w:r>
      <w:r w:rsidR="003B6A99" w:rsidRPr="006F7AD9">
        <w:rPr>
          <w:rFonts w:ascii="Arial Narrow" w:hAnsi="Arial Narrow" w:cs="Tahoma"/>
          <w:sz w:val="22"/>
          <w:lang w:val="sr-Cyrl-BA"/>
        </w:rPr>
        <w:t>6</w:t>
      </w:r>
      <w:r w:rsidRPr="006F7AD9">
        <w:rPr>
          <w:rFonts w:ascii="Arial Narrow" w:hAnsi="Arial Narrow" w:cs="Tahoma"/>
          <w:sz w:val="22"/>
          <w:lang w:val="sr-Cyrl-CS"/>
        </w:rPr>
        <w:t xml:space="preserve"> милион</w:t>
      </w:r>
      <w:r w:rsidR="000D772E" w:rsidRPr="006F7AD9">
        <w:rPr>
          <w:rFonts w:ascii="Arial Narrow" w:hAnsi="Arial Narrow" w:cs="Tahoma"/>
          <w:sz w:val="22"/>
          <w:lang w:val="sr-Cyrl-CS"/>
        </w:rPr>
        <w:t>а</w:t>
      </w:r>
      <w:r w:rsidRPr="006F7AD9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B6831" w:rsidRPr="006F7AD9">
        <w:rPr>
          <w:rFonts w:ascii="Arial Narrow" w:hAnsi="Arial Narrow" w:cs="Tahoma"/>
          <w:sz w:val="22"/>
          <w:lang w:val="sr-Cyrl-CS"/>
        </w:rPr>
        <w:t>9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3B6A99" w:rsidRPr="006F7AD9">
        <w:rPr>
          <w:rFonts w:ascii="Arial Narrow" w:hAnsi="Arial Narrow" w:cs="Tahoma"/>
          <w:sz w:val="22"/>
          <w:lang w:val="sr-Cyrl-CS"/>
        </w:rPr>
        <w:t>3</w:t>
      </w:r>
      <w:r w:rsidRPr="006F7AD9">
        <w:rPr>
          <w:rFonts w:ascii="Arial Narrow" w:hAnsi="Arial Narrow" w:cs="Tahoma"/>
          <w:sz w:val="22"/>
          <w:lang w:val="sr-Cyrl-CS"/>
        </w:rPr>
        <w:t>%</w:t>
      </w:r>
      <w:r w:rsidRPr="006F7AD9">
        <w:rPr>
          <w:rFonts w:ascii="Arial Narrow" w:hAnsi="Arial Narrow" w:cs="Tahoma"/>
          <w:sz w:val="22"/>
          <w:lang w:val="ru-RU"/>
        </w:rPr>
        <w:t xml:space="preserve">, </w:t>
      </w:r>
      <w:r w:rsidR="004B6831" w:rsidRPr="006F7AD9">
        <w:rPr>
          <w:rFonts w:ascii="Arial Narrow" w:hAnsi="Arial Narrow" w:cs="Tahoma"/>
          <w:sz w:val="22"/>
          <w:lang w:val="sr-Cyrl-CS"/>
        </w:rPr>
        <w:t xml:space="preserve">те у Србију </w:t>
      </w:r>
      <w:r w:rsidR="005129F3" w:rsidRPr="006F7AD9">
        <w:rPr>
          <w:rFonts w:ascii="Arial Narrow" w:hAnsi="Arial Narrow" w:cs="Tahoma"/>
          <w:sz w:val="22"/>
        </w:rPr>
        <w:t>1</w:t>
      </w:r>
      <w:r w:rsidR="003B6A99" w:rsidRPr="006F7AD9">
        <w:rPr>
          <w:rFonts w:ascii="Arial Narrow" w:hAnsi="Arial Narrow" w:cs="Tahoma"/>
          <w:sz w:val="22"/>
          <w:lang w:val="sr-Cyrl-BA"/>
        </w:rPr>
        <w:t>94</w:t>
      </w:r>
      <w:r w:rsidRPr="006F7AD9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B831CA" w:rsidRPr="006F7AD9">
        <w:rPr>
          <w:rFonts w:ascii="Arial Narrow" w:hAnsi="Arial Narrow" w:cs="Tahoma"/>
          <w:sz w:val="22"/>
          <w:lang w:val="sr-Cyrl-CS"/>
        </w:rPr>
        <w:t>3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0D772E" w:rsidRPr="006F7AD9">
        <w:rPr>
          <w:rFonts w:ascii="Arial Narrow" w:hAnsi="Arial Narrow" w:cs="Tahoma"/>
          <w:sz w:val="22"/>
        </w:rPr>
        <w:t>1</w:t>
      </w:r>
      <w:r w:rsidRPr="006F7AD9">
        <w:rPr>
          <w:rFonts w:ascii="Arial Narrow" w:hAnsi="Arial Narrow" w:cs="Tahoma"/>
          <w:sz w:val="22"/>
          <w:lang w:val="sr-Cyrl-CS"/>
        </w:rPr>
        <w:t>% од укупног оствареног извоза.</w:t>
      </w:r>
      <w:r w:rsidR="001D1C4F" w:rsidRPr="006F7AD9">
        <w:rPr>
          <w:rFonts w:ascii="Arial Narrow" w:hAnsi="Arial Narrow" w:cs="Tahoma"/>
          <w:sz w:val="22"/>
          <w:lang w:val="sr-Cyrl-CS"/>
        </w:rPr>
        <w:t xml:space="preserve"> </w:t>
      </w:r>
      <w:r w:rsidRPr="006F7AD9">
        <w:rPr>
          <w:rFonts w:ascii="Arial Narrow" w:hAnsi="Arial Narrow" w:cs="Tahoma"/>
          <w:sz w:val="22"/>
          <w:lang w:val="sr-Cyrl-CS"/>
        </w:rPr>
        <w:t xml:space="preserve">У истом периоду, </w:t>
      </w:r>
      <w:r w:rsidRPr="006F7AD9">
        <w:rPr>
          <w:rFonts w:ascii="Arial Narrow" w:hAnsi="Arial Narrow" w:cs="Tahoma"/>
          <w:sz w:val="22"/>
          <w:lang w:val="sr-Cyrl-BA"/>
        </w:rPr>
        <w:t>н</w:t>
      </w:r>
      <w:r w:rsidRPr="006F7AD9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3B6A99" w:rsidRPr="006F7AD9">
        <w:rPr>
          <w:rFonts w:ascii="Arial Narrow" w:hAnsi="Arial Narrow" w:cs="Tahoma"/>
          <w:sz w:val="22"/>
          <w:lang w:val="sr-Cyrl-BA"/>
        </w:rPr>
        <w:t>427</w:t>
      </w:r>
      <w:r w:rsidRPr="006F7AD9">
        <w:rPr>
          <w:rFonts w:ascii="Arial Narrow" w:hAnsi="Arial Narrow" w:cs="Tahoma"/>
          <w:sz w:val="22"/>
          <w:lang w:val="sr-Cyrl-CS"/>
        </w:rPr>
        <w:t xml:space="preserve"> милион</w:t>
      </w:r>
      <w:r w:rsidR="003E557A" w:rsidRPr="006F7AD9">
        <w:rPr>
          <w:rFonts w:ascii="Arial Narrow" w:hAnsi="Arial Narrow" w:cs="Tahoma"/>
          <w:sz w:val="22"/>
          <w:lang w:val="sr-Cyrl-CS"/>
        </w:rPr>
        <w:t>а</w:t>
      </w:r>
      <w:r w:rsidRPr="006F7AD9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3B6A99" w:rsidRPr="006F7AD9">
        <w:rPr>
          <w:rFonts w:ascii="Arial Narrow" w:hAnsi="Arial Narrow" w:cs="Tahoma"/>
          <w:sz w:val="22"/>
          <w:lang w:val="sr-Cyrl-CS"/>
        </w:rPr>
        <w:t>6</w:t>
      </w:r>
      <w:r w:rsidRPr="006F7AD9">
        <w:rPr>
          <w:rFonts w:ascii="Arial Narrow" w:hAnsi="Arial Narrow" w:cs="Tahoma"/>
          <w:sz w:val="22"/>
          <w:lang w:val="sr-Cyrl-CS"/>
        </w:rPr>
        <w:t>,</w:t>
      </w:r>
      <w:r w:rsidR="003B6A99" w:rsidRPr="006F7AD9">
        <w:rPr>
          <w:rFonts w:ascii="Arial Narrow" w:hAnsi="Arial Narrow" w:cs="Tahoma"/>
          <w:sz w:val="22"/>
          <w:lang w:val="sr-Cyrl-CS"/>
        </w:rPr>
        <w:t>8</w:t>
      </w:r>
      <w:r w:rsidRPr="006F7AD9">
        <w:rPr>
          <w:rFonts w:ascii="Arial Narrow" w:hAnsi="Arial Narrow" w:cs="Tahoma"/>
          <w:sz w:val="22"/>
          <w:lang w:val="sr-Cyrl-CS"/>
        </w:rPr>
        <w:t>% и и</w:t>
      </w:r>
      <w:r w:rsidR="00B85E7F" w:rsidRPr="006F7AD9">
        <w:rPr>
          <w:rFonts w:ascii="Arial Narrow" w:hAnsi="Arial Narrow" w:cs="Tahoma"/>
          <w:sz w:val="22"/>
          <w:lang w:val="sr-Cyrl-CS"/>
        </w:rPr>
        <w:t xml:space="preserve">з </w:t>
      </w:r>
      <w:r w:rsidR="003E557A" w:rsidRPr="006F7AD9">
        <w:rPr>
          <w:rFonts w:ascii="Arial Narrow" w:hAnsi="Arial Narrow" w:cs="Tahoma"/>
          <w:sz w:val="22"/>
          <w:lang w:val="sr-Cyrl-CS"/>
        </w:rPr>
        <w:t>Русије</w:t>
      </w:r>
      <w:r w:rsidR="00B85E7F" w:rsidRPr="006F7AD9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3B6A99" w:rsidRPr="006F7AD9">
        <w:rPr>
          <w:rFonts w:ascii="Arial Narrow" w:hAnsi="Arial Narrow" w:cs="Tahoma"/>
          <w:sz w:val="22"/>
          <w:lang w:val="sr-Cyrl-BA"/>
        </w:rPr>
        <w:t>422</w:t>
      </w:r>
      <w:r w:rsidR="00B85E7F" w:rsidRPr="006F7AD9">
        <w:rPr>
          <w:rFonts w:ascii="Arial Narrow" w:hAnsi="Arial Narrow" w:cs="Tahoma"/>
          <w:sz w:val="22"/>
          <w:lang w:val="sr-Cyrl-CS"/>
        </w:rPr>
        <w:t xml:space="preserve"> милион</w:t>
      </w:r>
      <w:r w:rsidR="003E557A" w:rsidRPr="006F7AD9">
        <w:rPr>
          <w:rFonts w:ascii="Arial Narrow" w:hAnsi="Arial Narrow" w:cs="Tahoma"/>
          <w:sz w:val="22"/>
          <w:lang w:val="sr-Cyrl-CS"/>
        </w:rPr>
        <w:t>а</w:t>
      </w:r>
      <w:r w:rsidR="00B85E7F" w:rsidRPr="006F7AD9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3B6A99" w:rsidRPr="006F7AD9">
        <w:rPr>
          <w:rFonts w:ascii="Arial Narrow" w:hAnsi="Arial Narrow" w:cs="Tahoma"/>
          <w:sz w:val="22"/>
          <w:lang w:val="sr-Cyrl-CS"/>
        </w:rPr>
        <w:t>6</w:t>
      </w:r>
      <w:r w:rsidR="00B85E7F" w:rsidRPr="006F7AD9">
        <w:rPr>
          <w:rFonts w:ascii="Arial Narrow" w:hAnsi="Arial Narrow" w:cs="Tahoma"/>
          <w:sz w:val="22"/>
          <w:lang w:val="sr-Cyrl-CS"/>
        </w:rPr>
        <w:t>,</w:t>
      </w:r>
      <w:r w:rsidR="003B6A99" w:rsidRPr="006F7AD9">
        <w:rPr>
          <w:rFonts w:ascii="Arial Narrow" w:hAnsi="Arial Narrow" w:cs="Tahoma"/>
          <w:sz w:val="22"/>
          <w:lang w:val="sr-Cyrl-CS"/>
        </w:rPr>
        <w:t>7</w:t>
      </w:r>
      <w:r w:rsidRPr="006F7AD9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055304" w:rsidRPr="006F7AD9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055304" w:rsidRPr="006F7AD9" w:rsidRDefault="00055304" w:rsidP="0005530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F7AD9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6F7AD9">
        <w:rPr>
          <w:rFonts w:ascii="Arial Narrow" w:hAnsi="Arial Narrow" w:cs="Tahoma"/>
          <w:sz w:val="22"/>
          <w:szCs w:val="22"/>
          <w:lang w:val="ru-RU"/>
        </w:rPr>
        <w:t xml:space="preserve">јануар - </w:t>
      </w:r>
      <w:r w:rsidR="000D772E" w:rsidRPr="006F7AD9">
        <w:rPr>
          <w:rFonts w:ascii="Arial Narrow" w:hAnsi="Arial Narrow" w:cs="Tahoma"/>
          <w:sz w:val="22"/>
          <w:lang w:val="ru-RU"/>
        </w:rPr>
        <w:t>ју</w:t>
      </w:r>
      <w:r w:rsidR="00482340">
        <w:rPr>
          <w:rFonts w:ascii="Arial Narrow" w:hAnsi="Arial Narrow" w:cs="Tahoma"/>
          <w:sz w:val="22"/>
          <w:lang w:val="ru-RU"/>
        </w:rPr>
        <w:t>л</w:t>
      </w:r>
      <w:bookmarkStart w:id="0" w:name="_GoBack"/>
      <w:bookmarkEnd w:id="0"/>
      <w:r w:rsidR="004B6831" w:rsidRPr="006F7AD9">
        <w:rPr>
          <w:rFonts w:ascii="Arial Narrow" w:hAnsi="Arial Narrow" w:cs="Tahoma"/>
          <w:sz w:val="22"/>
          <w:lang w:val="ru-RU"/>
        </w:rPr>
        <w:t xml:space="preserve"> </w:t>
      </w:r>
      <w:r w:rsidRPr="006F7AD9">
        <w:rPr>
          <w:rFonts w:ascii="Arial Narrow" w:hAnsi="Arial Narrow" w:cs="Tahoma"/>
          <w:sz w:val="22"/>
          <w:szCs w:val="22"/>
          <w:lang w:val="sr-Cyrl-CS"/>
        </w:rPr>
        <w:t>2015. године, највеће учешће у извозу остварују в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јештачки корунд, алуминијум оксид и алуминијум хидроксид </w:t>
      </w:r>
      <w:r w:rsidRPr="006F7AD9">
        <w:rPr>
          <w:rFonts w:ascii="Arial Narrow" w:hAnsi="Arial Narrow" w:cs="Tahoma"/>
          <w:sz w:val="22"/>
          <w:szCs w:val="22"/>
          <w:lang w:val="sr-Cyrl-CS"/>
        </w:rPr>
        <w:t>са ук</w:t>
      </w:r>
      <w:r w:rsidR="00505EBA" w:rsidRPr="006F7AD9">
        <w:rPr>
          <w:rFonts w:ascii="Arial Narrow" w:hAnsi="Arial Narrow" w:cs="Tahoma"/>
          <w:sz w:val="22"/>
          <w:szCs w:val="22"/>
          <w:lang w:val="sr-Cyrl-CS"/>
        </w:rPr>
        <w:t xml:space="preserve">упном вриједношћу од </w:t>
      </w:r>
      <w:r w:rsidR="003B6A99" w:rsidRPr="006F7AD9">
        <w:rPr>
          <w:rFonts w:ascii="Arial Narrow" w:hAnsi="Arial Narrow" w:cs="Tahoma"/>
          <w:sz w:val="22"/>
          <w:szCs w:val="22"/>
          <w:lang w:val="sr-Cyrl-CS"/>
        </w:rPr>
        <w:t>91</w:t>
      </w:r>
      <w:r w:rsidR="000D772E" w:rsidRPr="006F7AD9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6,1</w:t>
      </w:r>
      <w:r w:rsidRPr="006F7AD9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н</w:t>
      </w:r>
      <w:r w:rsidRPr="006F7AD9">
        <w:rPr>
          <w:rFonts w:ascii="Arial Narrow" w:hAnsi="Arial Narrow" w:cs="Tahoma"/>
          <w:sz w:val="22"/>
          <w:szCs w:val="22"/>
          <w:lang w:val="ru-RU"/>
        </w:rPr>
        <w:t>афт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6F7AD9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6F7AD9">
        <w:rPr>
          <w:rFonts w:ascii="Arial Narrow" w:hAnsi="Arial Narrow" w:cs="Tahoma"/>
          <w:sz w:val="22"/>
          <w:szCs w:val="22"/>
          <w:lang w:val="ru-RU"/>
        </w:rPr>
        <w:t>сиров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3B6A99" w:rsidRPr="006F7AD9">
        <w:rPr>
          <w:rFonts w:ascii="Arial Narrow" w:hAnsi="Arial Narrow" w:cs="Tahoma"/>
          <w:sz w:val="22"/>
          <w:szCs w:val="22"/>
          <w:lang w:val="sr-Cyrl-BA"/>
        </w:rPr>
        <w:t>396</w:t>
      </w:r>
      <w:r w:rsidRPr="006F7AD9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505EBA" w:rsidRPr="006F7AD9">
        <w:rPr>
          <w:rFonts w:ascii="Arial Narrow" w:hAnsi="Arial Narrow" w:cs="Tahoma"/>
          <w:sz w:val="22"/>
          <w:szCs w:val="22"/>
          <w:lang w:val="sr-Cyrl-BA"/>
        </w:rPr>
        <w:t>1</w:t>
      </w:r>
      <w:r w:rsidR="003B6A99" w:rsidRPr="006F7AD9">
        <w:rPr>
          <w:rFonts w:ascii="Arial Narrow" w:hAnsi="Arial Narrow" w:cs="Tahoma"/>
          <w:sz w:val="22"/>
          <w:szCs w:val="22"/>
          <w:lang w:val="sr-Cyrl-BA"/>
        </w:rPr>
        <w:t>5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,</w:t>
      </w:r>
      <w:r w:rsidR="003B6A99" w:rsidRPr="006F7AD9">
        <w:rPr>
          <w:rFonts w:ascii="Arial Narrow" w:hAnsi="Arial Narrow" w:cs="Tahoma"/>
          <w:sz w:val="22"/>
          <w:szCs w:val="22"/>
          <w:lang w:val="sr-Cyrl-BA"/>
        </w:rPr>
        <w:t>6</w:t>
      </w:r>
      <w:r w:rsidRPr="006F7AD9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6F7AD9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6F7AD9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6F7AD9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6F7AD9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6F7AD9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6F7AD9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6F7A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6F7AD9" w:rsidRDefault="0048234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8.3pt;margin-top:8.95pt;width:64.2pt;height:19.75pt;z-index:251664384;mso-width-relative:margin;mso-height-relative:margin" stroked="f">
            <v:textbox style="mso-next-textbox:#_x0000_s1068">
              <w:txbxContent>
                <w:p w:rsidR="000F4C35" w:rsidRPr="000A1309" w:rsidRDefault="000F4C3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252DE1" w:rsidRPr="006F7AD9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6F7AD9" w:rsidRDefault="003B6A9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F7AD9">
        <w:rPr>
          <w:noProof/>
        </w:rPr>
        <w:drawing>
          <wp:inline distT="0" distB="0" distL="0" distR="0">
            <wp:extent cx="4259580" cy="2476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82340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0pt;margin-top:192.4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0F4C35" w:rsidRPr="000A1309" w:rsidRDefault="000F4C35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="00482340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93.9pt;margin-top:192.4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0F4C35" w:rsidRPr="000A1309" w:rsidRDefault="000F4C3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4E6814" w:rsidRPr="006F7AD9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4E6814" w:rsidRPr="006F7AD9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6F7AD9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F7AD9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6022A" w:rsidRPr="006F7AD9">
        <w:rPr>
          <w:rFonts w:ascii="Arial Narrow" w:hAnsi="Arial Narrow" w:cs="Tahoma"/>
          <w:sz w:val="16"/>
          <w:szCs w:val="22"/>
          <w:lang w:val="sr-Latn-BA"/>
        </w:rPr>
        <w:t>3</w:t>
      </w:r>
      <w:r w:rsidRPr="006F7AD9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F7AD9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F7AD9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F7AD9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F7AD9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15CDB" w:rsidRPr="006F7AD9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6F7AD9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6F7AD9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6F7AD9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6F7AD9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F7AD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6F7AD9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6F7AD9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6F7AD9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6F7AD9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763D11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763D11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763D11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252DE1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252DE1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0D1CED" w:rsidRPr="00252DE1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52DE1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252DE1" w:rsidRDefault="00482340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252DE1" w:rsidRDefault="00482340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252DE1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252DE1" w:rsidRDefault="00482340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252DE1" w:rsidRDefault="0048234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CA19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Pr="00CA19B5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Pr="0066022A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586BCB" w:rsidRP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A19B5" w:rsidRDefault="0048234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482340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A19B5" w:rsidRDefault="009E2A9A" w:rsidP="009E2A9A">
      <w:pPr>
        <w:rPr>
          <w:rFonts w:ascii="Tahoma" w:hAnsi="Tahoma" w:cs="Tahoma"/>
          <w:lang w:val="sr-Latn-CS"/>
        </w:rPr>
      </w:pP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35" w:rsidRDefault="000F4C35">
      <w:r>
        <w:separator/>
      </w:r>
    </w:p>
  </w:endnote>
  <w:endnote w:type="continuationSeparator" w:id="0">
    <w:p w:rsidR="000F4C35" w:rsidRDefault="000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35" w:rsidRDefault="0048234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0F4C35" w:rsidRPr="00175687" w:rsidRDefault="000F4C35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482340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35" w:rsidRDefault="0048234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0F4C35" w:rsidRPr="00175687" w:rsidRDefault="000F4C35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482340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35" w:rsidRDefault="000F4C35">
      <w:r>
        <w:separator/>
      </w:r>
    </w:p>
  </w:footnote>
  <w:footnote w:type="continuationSeparator" w:id="0">
    <w:p w:rsidR="000F4C35" w:rsidRDefault="000F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0F4C3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F4C35" w:rsidRPr="00DB5870" w:rsidRDefault="000F4C3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0F4C35" w:rsidRPr="00DB5870" w:rsidRDefault="000F4C3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0F4C35" w:rsidRPr="005D5311" w:rsidRDefault="000F4C35" w:rsidP="003206D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4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август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8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0F4C35" w:rsidRDefault="00482340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C5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40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643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3ECA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AD9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A52"/>
    <w:rsid w:val="00783BED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CC3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B92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0A9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5F58E6EC-CA7E-4C4A-B705-3AD57826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2014</c:v>
                  </c:pt>
                  <c:pt idx="6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830</c:v>
                </c:pt>
                <c:pt idx="1">
                  <c:v>825</c:v>
                </c:pt>
                <c:pt idx="2">
                  <c:v>831</c:v>
                </c:pt>
                <c:pt idx="3">
                  <c:v>826</c:v>
                </c:pt>
                <c:pt idx="4">
                  <c:v>827</c:v>
                </c:pt>
                <c:pt idx="5">
                  <c:v>836</c:v>
                </c:pt>
                <c:pt idx="6">
                  <c:v>812</c:v>
                </c:pt>
                <c:pt idx="7">
                  <c:v>834</c:v>
                </c:pt>
                <c:pt idx="8">
                  <c:v>831</c:v>
                </c:pt>
                <c:pt idx="9">
                  <c:v>835</c:v>
                </c:pt>
                <c:pt idx="10">
                  <c:v>832</c:v>
                </c:pt>
                <c:pt idx="11">
                  <c:v>843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0206992"/>
        <c:axId val="220207776"/>
      </c:lineChart>
      <c:catAx>
        <c:axId val="22020699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220207776"/>
        <c:crosses val="autoZero"/>
        <c:auto val="1"/>
        <c:lblAlgn val="ctr"/>
        <c:lblOffset val="100"/>
        <c:noMultiLvlLbl val="0"/>
      </c:catAx>
      <c:valAx>
        <c:axId val="220207776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220206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2011</c:v>
                  </c:pt>
                  <c:pt idx="6">
                    <c:v>2012</c:v>
                  </c:pt>
                  <c:pt idx="18">
                    <c:v>2013</c:v>
                  </c:pt>
                  <c:pt idx="30">
                    <c:v>2014</c:v>
                  </c:pt>
                  <c:pt idx="42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General</c:formatCode>
                <c:ptCount val="48"/>
                <c:pt idx="0">
                  <c:v>108.05761344038858</c:v>
                </c:pt>
                <c:pt idx="1">
                  <c:v>99.012152867081838</c:v>
                </c:pt>
                <c:pt idx="2">
                  <c:v>104.45379803797593</c:v>
                </c:pt>
                <c:pt idx="3">
                  <c:v>103.44170233524724</c:v>
                </c:pt>
                <c:pt idx="4">
                  <c:v>100.2710854007844</c:v>
                </c:pt>
                <c:pt idx="5">
                  <c:v>102.53422482123433</c:v>
                </c:pt>
                <c:pt idx="6">
                  <c:v>97.476417954706051</c:v>
                </c:pt>
                <c:pt idx="7">
                  <c:v>101.28176144218567</c:v>
                </c:pt>
                <c:pt idx="8">
                  <c:v>101.67685079521011</c:v>
                </c:pt>
                <c:pt idx="9">
                  <c:v>99.435712426370813</c:v>
                </c:pt>
                <c:pt idx="10">
                  <c:v>99.753623202198796</c:v>
                </c:pt>
                <c:pt idx="11">
                  <c:v>93.559577483711152</c:v>
                </c:pt>
                <c:pt idx="12">
                  <c:v>99.955276188787579</c:v>
                </c:pt>
                <c:pt idx="13">
                  <c:v>105.81911779842358</c:v>
                </c:pt>
                <c:pt idx="14">
                  <c:v>100.49904862977345</c:v>
                </c:pt>
                <c:pt idx="15">
                  <c:v>98.991365518567633</c:v>
                </c:pt>
                <c:pt idx="16">
                  <c:v>102.00722123421404</c:v>
                </c:pt>
                <c:pt idx="17">
                  <c:v>101.23901812498943</c:v>
                </c:pt>
                <c:pt idx="18">
                  <c:v>100.43747961809972</c:v>
                </c:pt>
                <c:pt idx="19">
                  <c:v>100.71945787427931</c:v>
                </c:pt>
                <c:pt idx="20">
                  <c:v>109.37563126706935</c:v>
                </c:pt>
                <c:pt idx="21">
                  <c:v>103.00941338992715</c:v>
                </c:pt>
                <c:pt idx="22">
                  <c:v>105.16181226895924</c:v>
                </c:pt>
                <c:pt idx="23">
                  <c:v>110.4857869012893</c:v>
                </c:pt>
                <c:pt idx="24">
                  <c:v>107.32776897598785</c:v>
                </c:pt>
                <c:pt idx="25">
                  <c:v>100.26559720870965</c:v>
                </c:pt>
                <c:pt idx="26">
                  <c:v>101.67265660651927</c:v>
                </c:pt>
                <c:pt idx="27">
                  <c:v>104.63505249287384</c:v>
                </c:pt>
                <c:pt idx="28">
                  <c:v>105.64244777776958</c:v>
                </c:pt>
                <c:pt idx="29">
                  <c:v>105.31737805393215</c:v>
                </c:pt>
                <c:pt idx="30">
                  <c:v>105.37536823970849</c:v>
                </c:pt>
                <c:pt idx="31">
                  <c:v>103.1277471521623</c:v>
                </c:pt>
                <c:pt idx="32">
                  <c:v>103.40304096055236</c:v>
                </c:pt>
                <c:pt idx="33">
                  <c:v>103.04852827483559</c:v>
                </c:pt>
                <c:pt idx="34">
                  <c:v>104.41757915464456</c:v>
                </c:pt>
                <c:pt idx="35">
                  <c:v>106.22560695996012</c:v>
                </c:pt>
                <c:pt idx="36">
                  <c:v>100.8498963776613</c:v>
                </c:pt>
                <c:pt idx="37">
                  <c:v>108.48108479202145</c:v>
                </c:pt>
                <c:pt idx="38">
                  <c:v>107.57216667139339</c:v>
                </c:pt>
                <c:pt idx="39">
                  <c:v>106.6876784752404</c:v>
                </c:pt>
                <c:pt idx="40">
                  <c:v>104.72831259077142</c:v>
                </c:pt>
                <c:pt idx="41">
                  <c:v>106.06005979438632</c:v>
                </c:pt>
                <c:pt idx="42">
                  <c:v>111.17586535322609</c:v>
                </c:pt>
                <c:pt idx="43">
                  <c:v>107.16448470962645</c:v>
                </c:pt>
                <c:pt idx="44">
                  <c:v>106.4329922031193</c:v>
                </c:pt>
                <c:pt idx="45">
                  <c:v>110.69283093270677</c:v>
                </c:pt>
                <c:pt idx="46">
                  <c:v>109.3838868387038</c:v>
                </c:pt>
                <c:pt idx="47">
                  <c:v>108.19269927130556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2011</c:v>
                  </c:pt>
                  <c:pt idx="6">
                    <c:v>2012</c:v>
                  </c:pt>
                  <c:pt idx="18">
                    <c:v>2013</c:v>
                  </c:pt>
                  <c:pt idx="30">
                    <c:v>2014</c:v>
                  </c:pt>
                  <c:pt idx="42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103.09332009481257</c:v>
                </c:pt>
                <c:pt idx="1">
                  <c:v>102.95639591218406</c:v>
                </c:pt>
                <c:pt idx="2">
                  <c:v>102.66916985312686</c:v>
                </c:pt>
                <c:pt idx="3">
                  <c:v>102.44999143397639</c:v>
                </c:pt>
                <c:pt idx="4">
                  <c:v>102.19485261895611</c:v>
                </c:pt>
                <c:pt idx="5">
                  <c:v>101.89755591050852</c:v>
                </c:pt>
                <c:pt idx="6">
                  <c:v>101.62723331843253</c:v>
                </c:pt>
                <c:pt idx="7">
                  <c:v>101.37446898089884</c:v>
                </c:pt>
                <c:pt idx="8">
                  <c:v>101.21928798362725</c:v>
                </c:pt>
                <c:pt idx="9">
                  <c:v>101.08880574625555</c:v>
                </c:pt>
                <c:pt idx="10">
                  <c:v>100.94835794480218</c:v>
                </c:pt>
                <c:pt idx="11">
                  <c:v>100.84172015274824</c:v>
                </c:pt>
                <c:pt idx="12">
                  <c:v>100.82693542025588</c:v>
                </c:pt>
                <c:pt idx="13">
                  <c:v>101.03771741948275</c:v>
                </c:pt>
                <c:pt idx="14">
                  <c:v>101.3053935904977</c:v>
                </c:pt>
                <c:pt idx="15">
                  <c:v>101.44812622491668</c:v>
                </c:pt>
                <c:pt idx="16">
                  <c:v>101.61523932883337</c:v>
                </c:pt>
                <c:pt idx="17">
                  <c:v>101.87130470887516</c:v>
                </c:pt>
                <c:pt idx="18">
                  <c:v>102.14850370642235</c:v>
                </c:pt>
                <c:pt idx="19">
                  <c:v>102.44942454044784</c:v>
                </c:pt>
                <c:pt idx="20">
                  <c:v>102.85295676927629</c:v>
                </c:pt>
                <c:pt idx="21">
                  <c:v>103.28358938589152</c:v>
                </c:pt>
                <c:pt idx="22">
                  <c:v>103.58047648427329</c:v>
                </c:pt>
                <c:pt idx="23">
                  <c:v>103.85036414847094</c:v>
                </c:pt>
                <c:pt idx="24">
                  <c:v>104.08202054601809</c:v>
                </c:pt>
                <c:pt idx="25">
                  <c:v>104.10356458437265</c:v>
                </c:pt>
                <c:pt idx="26">
                  <c:v>104.02968825752131</c:v>
                </c:pt>
                <c:pt idx="27">
                  <c:v>104.06912310028683</c:v>
                </c:pt>
                <c:pt idx="28">
                  <c:v>104.2086266931137</c:v>
                </c:pt>
                <c:pt idx="29">
                  <c:v>104.33862742560636</c:v>
                </c:pt>
                <c:pt idx="30">
                  <c:v>104.43303895152528</c:v>
                </c:pt>
                <c:pt idx="31">
                  <c:v>104.49312188361662</c:v>
                </c:pt>
                <c:pt idx="32">
                  <c:v>104.5415812056178</c:v>
                </c:pt>
                <c:pt idx="33">
                  <c:v>104.63504095209699</c:v>
                </c:pt>
                <c:pt idx="34">
                  <c:v>104.78806642347003</c:v>
                </c:pt>
                <c:pt idx="35">
                  <c:v>105.01334870801058</c:v>
                </c:pt>
                <c:pt idx="36">
                  <c:v>105.24929070992567</c:v>
                </c:pt>
                <c:pt idx="37">
                  <c:v>105.51112459215642</c:v>
                </c:pt>
                <c:pt idx="38">
                  <c:v>105.8820891327654</c:v>
                </c:pt>
                <c:pt idx="39">
                  <c:v>106.22723241587722</c:v>
                </c:pt>
                <c:pt idx="40">
                  <c:v>106.50673454600285</c:v>
                </c:pt>
                <c:pt idx="41">
                  <c:v>106.80334333287166</c:v>
                </c:pt>
                <c:pt idx="42">
                  <c:v>107.17923652396239</c:v>
                </c:pt>
                <c:pt idx="43">
                  <c:v>107.58569933675513</c:v>
                </c:pt>
                <c:pt idx="44">
                  <c:v>107.90978137145956</c:v>
                </c:pt>
                <c:pt idx="45">
                  <c:v>108.25450536288974</c:v>
                </c:pt>
                <c:pt idx="46">
                  <c:v>108.66088137781088</c:v>
                </c:pt>
                <c:pt idx="47">
                  <c:v>109.02626633599478</c:v>
                </c:pt>
                <c:pt idx="48">
                  <c:v>109.3821103010864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409632"/>
        <c:axId val="219410024"/>
      </c:lineChart>
      <c:catAx>
        <c:axId val="21940963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19410024"/>
        <c:crosses val="autoZero"/>
        <c:auto val="1"/>
        <c:lblAlgn val="ctr"/>
        <c:lblOffset val="100"/>
        <c:noMultiLvlLbl val="0"/>
      </c:catAx>
      <c:valAx>
        <c:axId val="219410024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21940963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92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zaJul2015!$B$1:$N$1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zaJul2015!$B$2:$N$2</c:f>
              <c:numCache>
                <c:formatCode>General</c:formatCode>
                <c:ptCount val="13"/>
                <c:pt idx="0">
                  <c:v>412801</c:v>
                </c:pt>
                <c:pt idx="1">
                  <c:v>444841</c:v>
                </c:pt>
                <c:pt idx="2">
                  <c:v>421218</c:v>
                </c:pt>
                <c:pt idx="3">
                  <c:v>508654</c:v>
                </c:pt>
                <c:pt idx="4">
                  <c:v>432236</c:v>
                </c:pt>
                <c:pt idx="5">
                  <c:v>434262</c:v>
                </c:pt>
                <c:pt idx="6">
                  <c:v>223487</c:v>
                </c:pt>
                <c:pt idx="7">
                  <c:v>345476</c:v>
                </c:pt>
                <c:pt idx="8">
                  <c:v>403130</c:v>
                </c:pt>
                <c:pt idx="9">
                  <c:v>354876</c:v>
                </c:pt>
                <c:pt idx="10">
                  <c:v>392249</c:v>
                </c:pt>
                <c:pt idx="11">
                  <c:v>372531</c:v>
                </c:pt>
                <c:pt idx="12">
                  <c:v>441291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zaJul2015!$B$1:$N$1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zaJul2015!$B$3:$N$3</c:f>
              <c:numCache>
                <c:formatCode>General</c:formatCode>
                <c:ptCount val="13"/>
                <c:pt idx="0">
                  <c:v>257613</c:v>
                </c:pt>
                <c:pt idx="1">
                  <c:v>195984</c:v>
                </c:pt>
                <c:pt idx="2">
                  <c:v>248813</c:v>
                </c:pt>
                <c:pt idx="3">
                  <c:v>254767</c:v>
                </c:pt>
                <c:pt idx="4" formatCode="0">
                  <c:v>229828</c:v>
                </c:pt>
                <c:pt idx="5" formatCode="0">
                  <c:v>206415</c:v>
                </c:pt>
                <c:pt idx="6" formatCode="0">
                  <c:v>169568</c:v>
                </c:pt>
                <c:pt idx="7" formatCode="0">
                  <c:v>201039</c:v>
                </c:pt>
                <c:pt idx="8" formatCode="0">
                  <c:v>213208</c:v>
                </c:pt>
                <c:pt idx="9" formatCode="0">
                  <c:v>208576</c:v>
                </c:pt>
                <c:pt idx="10" formatCode="0">
                  <c:v>207040</c:v>
                </c:pt>
                <c:pt idx="11" formatCode="0">
                  <c:v>238732</c:v>
                </c:pt>
                <c:pt idx="12" formatCode="0">
                  <c:v>242893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2343480"/>
        <c:axId val="282342696"/>
      </c:lineChart>
      <c:catAx>
        <c:axId val="2823434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 w="3175"/>
        </c:spPr>
        <c:crossAx val="282342696"/>
        <c:crosses val="autoZero"/>
        <c:auto val="1"/>
        <c:lblAlgn val="ctr"/>
        <c:lblOffset val="100"/>
        <c:noMultiLvlLbl val="0"/>
      </c:catAx>
      <c:valAx>
        <c:axId val="28234269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 w="3175"/>
        </c:spPr>
        <c:crossAx val="282343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55"/>
          <c:y val="0.34220861281228737"/>
          <c:w val="0.162301801315931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5F3E-A683-4329-9125-99015C27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7943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Ognjen Ignjic</cp:lastModifiedBy>
  <cp:revision>433</cp:revision>
  <cp:lastPrinted>2015-08-21T08:54:00Z</cp:lastPrinted>
  <dcterms:created xsi:type="dcterms:W3CDTF">2014-03-14T12:01:00Z</dcterms:created>
  <dcterms:modified xsi:type="dcterms:W3CDTF">2015-08-21T11:03:00Z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