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F17452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082DA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3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F1745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април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F1745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4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F17452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април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Default="00F85AAC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1B39CE">
      <w:pPr>
        <w:autoSpaceDE w:val="0"/>
        <w:autoSpaceDN w:val="0"/>
        <w:adjustRightInd w:val="0"/>
        <w:jc w:val="both"/>
        <w:rPr>
          <w:rFonts w:ascii="Arial Narrow" w:hAnsi="Arial Narrow" w:cs="Tahoma"/>
          <w:sz w:val="30"/>
          <w:szCs w:val="30"/>
          <w:lang w:val="sr-Cyrl-CS" w:eastAsia="sr-Latn-BA"/>
        </w:rPr>
      </w:pP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Рeални раст тромјесечног бруто домаћег производа </w:t>
      </w:r>
      <w:r w:rsidRPr="006C2415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,</w:t>
      </w:r>
      <w:r w:rsidRPr="006C2415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% 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за период</w:t>
      </w:r>
      <w:r w:rsidRPr="006C2415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IV тромјесечје 201</w:t>
      </w:r>
      <w:r w:rsidRPr="006C2415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/IV тромјесечје 20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1</w:t>
      </w:r>
      <w:r w:rsidRPr="006C2415">
        <w:rPr>
          <w:rFonts w:ascii="Arial Narrow" w:hAnsi="Arial Narrow" w:cs="Tahoma"/>
          <w:b/>
          <w:bCs/>
          <w:sz w:val="30"/>
          <w:szCs w:val="30"/>
          <w:lang w:eastAsia="sr-Latn-BA"/>
        </w:rPr>
        <w:t>3</w:t>
      </w:r>
      <w:r w:rsidRPr="006C24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.</w:t>
      </w:r>
    </w:p>
    <w:p w:rsidR="001B39CE" w:rsidRPr="006C2415" w:rsidRDefault="001B39CE" w:rsidP="001B39CE">
      <w:pPr>
        <w:jc w:val="both"/>
        <w:rPr>
          <w:rFonts w:ascii="Arial Narrow" w:hAnsi="Arial Narrow" w:cs="Tahoma"/>
          <w:sz w:val="16"/>
          <w:szCs w:val="16"/>
        </w:rPr>
      </w:pPr>
    </w:p>
    <w:p w:rsidR="001B39CE" w:rsidRPr="006C2415" w:rsidRDefault="001B39CE" w:rsidP="001B39CE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Тромјесечни бруто домаћи производ реално је већи за </w:t>
      </w:r>
      <w:r w:rsidRPr="006C2415">
        <w:rPr>
          <w:rFonts w:ascii="Arial Narrow" w:hAnsi="Arial Narrow" w:cs="Tahoma"/>
          <w:sz w:val="22"/>
          <w:szCs w:val="24"/>
          <w:lang w:eastAsia="sr-Latn-BA"/>
        </w:rPr>
        <w:t>1</w:t>
      </w:r>
      <w:r w:rsidRPr="006C2415">
        <w:rPr>
          <w:rFonts w:ascii="Arial Narrow" w:hAnsi="Arial Narrow" w:cs="Tahoma"/>
          <w:sz w:val="22"/>
          <w:szCs w:val="24"/>
          <w:lang w:val="sr-Cyrl-CS" w:eastAsia="sr-Latn-BA"/>
        </w:rPr>
        <w:t>,</w:t>
      </w:r>
      <w:r w:rsidRPr="006C2415">
        <w:rPr>
          <w:rFonts w:ascii="Arial Narrow" w:hAnsi="Arial Narrow" w:cs="Tahoma"/>
          <w:sz w:val="22"/>
          <w:szCs w:val="24"/>
          <w:lang w:eastAsia="sr-Latn-BA"/>
        </w:rPr>
        <w:t>4</w:t>
      </w:r>
      <w:r w:rsidRPr="006C2415">
        <w:rPr>
          <w:rFonts w:ascii="Arial Narrow" w:hAnsi="Arial Narrow" w:cs="Tahoma"/>
          <w:sz w:val="22"/>
          <w:szCs w:val="24"/>
          <w:lang w:val="sr-Cyrl-CS" w:eastAsia="sr-Latn-BA"/>
        </w:rPr>
        <w:t xml:space="preserve">% 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у </w:t>
      </w:r>
      <w:r w:rsidRPr="006C2415">
        <w:rPr>
          <w:rFonts w:ascii="Arial Narrow" w:hAnsi="Arial Narrow" w:cs="Tahoma"/>
          <w:sz w:val="22"/>
          <w:szCs w:val="24"/>
          <w:lang w:val="sr-Cyrl-BA" w:eastAsia="sr-Latn-BA"/>
        </w:rPr>
        <w:t>четвртом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тромјесечју 201</w:t>
      </w:r>
      <w:r w:rsidRPr="006C2415">
        <w:rPr>
          <w:rFonts w:ascii="Arial Narrow" w:hAnsi="Arial Narrow" w:cs="Tahoma"/>
          <w:sz w:val="22"/>
          <w:szCs w:val="24"/>
          <w:lang w:eastAsia="sr-Latn-BA"/>
        </w:rPr>
        <w:t>4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. године у односу на </w:t>
      </w:r>
      <w:r w:rsidRPr="006C2415">
        <w:rPr>
          <w:rFonts w:ascii="Arial Narrow" w:hAnsi="Arial Narrow" w:cs="Tahoma"/>
          <w:sz w:val="22"/>
          <w:szCs w:val="24"/>
          <w:lang w:val="sr-Cyrl-CS" w:eastAsia="sr-Latn-BA"/>
        </w:rPr>
        <w:t>четврто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тромјесечје 20</w:t>
      </w:r>
      <w:r w:rsidRPr="006C2415">
        <w:rPr>
          <w:rFonts w:ascii="Arial Narrow" w:hAnsi="Arial Narrow" w:cs="Tahoma"/>
          <w:sz w:val="22"/>
          <w:szCs w:val="24"/>
          <w:lang w:val="sr-Cyrl-CS" w:eastAsia="sr-Latn-BA"/>
        </w:rPr>
        <w:t>1</w:t>
      </w:r>
      <w:r w:rsidRPr="006C2415">
        <w:rPr>
          <w:rFonts w:ascii="Arial Narrow" w:hAnsi="Arial Narrow" w:cs="Tahoma"/>
          <w:sz w:val="22"/>
          <w:szCs w:val="24"/>
          <w:lang w:eastAsia="sr-Latn-BA"/>
        </w:rPr>
        <w:t>3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 xml:space="preserve">. </w:t>
      </w:r>
      <w:proofErr w:type="gramStart"/>
      <w:r w:rsidRPr="006C2415">
        <w:rPr>
          <w:rFonts w:ascii="Arial Narrow" w:hAnsi="Arial Narrow" w:cs="Tahoma"/>
          <w:sz w:val="22"/>
          <w:szCs w:val="24"/>
          <w:lang w:eastAsia="sr-Latn-BA"/>
        </w:rPr>
        <w:t>г</w:t>
      </w:r>
      <w:r w:rsidRPr="006C2415">
        <w:rPr>
          <w:rFonts w:ascii="Arial Narrow" w:hAnsi="Arial Narrow" w:cs="Tahoma"/>
          <w:sz w:val="22"/>
          <w:szCs w:val="24"/>
          <w:lang w:val="sr-Latn-BA" w:eastAsia="sr-Latn-BA"/>
        </w:rPr>
        <w:t>одине</w:t>
      </w:r>
      <w:proofErr w:type="gramEnd"/>
      <w:r w:rsidRPr="006C2415">
        <w:rPr>
          <w:rFonts w:ascii="Arial Narrow" w:hAnsi="Arial Narrow" w:cs="Tahoma"/>
          <w:sz w:val="22"/>
          <w:szCs w:val="24"/>
          <w:lang w:eastAsia="sr-Latn-BA"/>
        </w:rPr>
        <w:t>.</w:t>
      </w:r>
    </w:p>
    <w:p w:rsidR="001B39CE" w:rsidRPr="006C2415" w:rsidRDefault="001B39CE" w:rsidP="001B39CE">
      <w:pPr>
        <w:jc w:val="both"/>
        <w:rPr>
          <w:rFonts w:ascii="Arial Narrow" w:hAnsi="Arial Narrow" w:cs="Tahoma"/>
        </w:rPr>
      </w:pPr>
    </w:p>
    <w:p w:rsidR="001B39CE" w:rsidRPr="006C2415" w:rsidRDefault="001B39CE" w:rsidP="001B39CE">
      <w:pPr>
        <w:jc w:val="both"/>
        <w:rPr>
          <w:rFonts w:ascii="Arial Narrow" w:hAnsi="Arial Narrow" w:cs="Tahoma"/>
          <w:i/>
          <w:sz w:val="22"/>
          <w:szCs w:val="22"/>
        </w:rPr>
      </w:pPr>
      <w:r w:rsidRPr="006C2415">
        <w:rPr>
          <w:rFonts w:ascii="Arial Narrow" w:hAnsi="Arial Narrow" w:cs="Tahoma"/>
          <w:sz w:val="22"/>
          <w:szCs w:val="22"/>
          <w:lang w:val="ru-RU"/>
        </w:rPr>
        <w:t>Посматрано по подручјима класификације дјелатности груписан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им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 на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ниво</w:t>
      </w:r>
      <w:r w:rsidRPr="006C2415">
        <w:rPr>
          <w:rFonts w:ascii="Arial Narrow" w:hAnsi="Arial Narrow" w:cs="Tahoma"/>
          <w:sz w:val="22"/>
          <w:szCs w:val="22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А10 у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четвртом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 тромјесечју 2014. године бруто додата вриједност реално је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већа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 у подручјима: </w:t>
      </w:r>
      <w:r w:rsidRPr="006C2415">
        <w:rPr>
          <w:rFonts w:ascii="Arial Narrow" w:hAnsi="Arial Narrow" w:cs="Tahoma"/>
          <w:i/>
          <w:sz w:val="22"/>
          <w:szCs w:val="22"/>
          <w:lang w:val="sr-Cyrl-CS"/>
        </w:rPr>
        <w:t>Прерађивачка индустрија</w:t>
      </w:r>
      <w:r w:rsidRPr="006C2415">
        <w:rPr>
          <w:rFonts w:ascii="Arial Narrow" w:hAnsi="Arial Narrow" w:cs="Tahoma"/>
          <w:i/>
          <w:sz w:val="22"/>
          <w:szCs w:val="22"/>
        </w:rPr>
        <w:t xml:space="preserve"> (C)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 за </w:t>
      </w:r>
      <w:r w:rsidRPr="006C2415">
        <w:rPr>
          <w:rFonts w:ascii="Arial Narrow" w:hAnsi="Arial Narrow" w:cs="Tahoma"/>
          <w:sz w:val="22"/>
          <w:szCs w:val="22"/>
        </w:rPr>
        <w:t>7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,</w:t>
      </w:r>
      <w:r w:rsidRPr="006C2415">
        <w:rPr>
          <w:rFonts w:ascii="Arial Narrow" w:hAnsi="Arial Narrow" w:cs="Tahoma"/>
          <w:sz w:val="22"/>
          <w:szCs w:val="22"/>
        </w:rPr>
        <w:t>4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Грађевинарство (</w:t>
      </w:r>
      <w:r w:rsidRPr="006C2415">
        <w:rPr>
          <w:rFonts w:ascii="Arial Narrow" w:hAnsi="Arial Narrow" w:cs="Tahoma"/>
          <w:i/>
          <w:sz w:val="22"/>
          <w:szCs w:val="22"/>
        </w:rPr>
        <w:t>F)</w:t>
      </w:r>
      <w:r w:rsidRPr="006C2415">
        <w:rPr>
          <w:rFonts w:ascii="Arial Narrow" w:hAnsi="Arial Narrow" w:cs="Tahoma"/>
          <w:sz w:val="22"/>
          <w:szCs w:val="22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за </w:t>
      </w:r>
      <w:r w:rsidRPr="006C2415">
        <w:rPr>
          <w:rFonts w:ascii="Arial Narrow" w:hAnsi="Arial Narrow" w:cs="Tahoma"/>
          <w:sz w:val="22"/>
          <w:szCs w:val="22"/>
        </w:rPr>
        <w:t>4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,</w:t>
      </w:r>
      <w:r w:rsidRPr="006C2415">
        <w:rPr>
          <w:rFonts w:ascii="Arial Narrow" w:hAnsi="Arial Narrow" w:cs="Tahoma"/>
          <w:sz w:val="22"/>
          <w:szCs w:val="22"/>
        </w:rPr>
        <w:t>9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Умјетност,</w:t>
      </w:r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забава и рекреација; Остале услужне активности (</w:t>
      </w:r>
      <w:r w:rsidRPr="006C2415">
        <w:rPr>
          <w:rFonts w:ascii="Arial Narrow" w:hAnsi="Arial Narrow" w:cs="Tahoma"/>
          <w:i/>
          <w:sz w:val="22"/>
          <w:szCs w:val="22"/>
        </w:rPr>
        <w:t>R, S)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за </w:t>
      </w:r>
      <w:r w:rsidRPr="006C2415">
        <w:rPr>
          <w:rFonts w:ascii="Arial Narrow" w:hAnsi="Arial Narrow" w:cs="Tahoma"/>
          <w:sz w:val="22"/>
          <w:szCs w:val="22"/>
        </w:rPr>
        <w:t>4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,3%,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Вађење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руда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камена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;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П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рерађивачка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индустрија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;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П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роизводња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снабдијевање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ел.енергијом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гасом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паром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климатизација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;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С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набдијевање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водом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канализација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управљање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отпадом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дјелатности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санације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животне</w:t>
      </w:r>
      <w:proofErr w:type="spellEnd"/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  <w:szCs w:val="22"/>
        </w:rPr>
        <w:t>средине</w:t>
      </w:r>
      <w:proofErr w:type="spellEnd"/>
      <w:r w:rsidRPr="006C2415">
        <w:rPr>
          <w:rFonts w:ascii="Arial Narrow" w:hAnsi="Arial Narrow" w:cs="Tahoma"/>
          <w:sz w:val="22"/>
          <w:szCs w:val="22"/>
        </w:rPr>
        <w:t xml:space="preserve">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(</w:t>
      </w:r>
      <w:r w:rsidRPr="006C2415">
        <w:rPr>
          <w:rFonts w:ascii="Arial Narrow" w:hAnsi="Arial Narrow" w:cs="Tahoma"/>
          <w:i/>
          <w:sz w:val="22"/>
          <w:szCs w:val="22"/>
        </w:rPr>
        <w:t>B,C,D,E)</w:t>
      </w:r>
      <w:r w:rsidRPr="006C2415">
        <w:rPr>
          <w:rFonts w:ascii="Arial Narrow" w:hAnsi="Arial Narrow" w:cs="Tahoma"/>
          <w:sz w:val="22"/>
          <w:szCs w:val="22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за </w:t>
      </w:r>
      <w:r w:rsidRPr="006C2415">
        <w:rPr>
          <w:rFonts w:ascii="Arial Narrow" w:hAnsi="Arial Narrow" w:cs="Tahoma"/>
          <w:sz w:val="22"/>
          <w:szCs w:val="22"/>
        </w:rPr>
        <w:t>3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,</w:t>
      </w:r>
      <w:r w:rsidRPr="006C2415">
        <w:rPr>
          <w:rFonts w:ascii="Arial Narrow" w:hAnsi="Arial Narrow" w:cs="Tahoma"/>
          <w:sz w:val="22"/>
          <w:szCs w:val="22"/>
        </w:rPr>
        <w:t>7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%</w:t>
      </w:r>
      <w:r w:rsidRPr="006C2415">
        <w:rPr>
          <w:rFonts w:ascii="Arial Narrow" w:hAnsi="Arial Narrow" w:cs="Tahoma"/>
          <w:sz w:val="22"/>
          <w:szCs w:val="22"/>
        </w:rPr>
        <w:t xml:space="preserve">,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ru-RU"/>
        </w:rPr>
        <w:t>док је  реално мања у подручјима</w:t>
      </w:r>
      <w:r w:rsidRPr="006C2415">
        <w:rPr>
          <w:rFonts w:ascii="Arial Narrow" w:hAnsi="Arial Narrow" w:cs="Tahoma"/>
          <w:i/>
          <w:sz w:val="22"/>
          <w:szCs w:val="22"/>
          <w:lang w:val="sr-Cyrl-CS"/>
        </w:rPr>
        <w:t xml:space="preserve"> Пољопривреда, шумарство и риболов (А)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 за </w:t>
      </w:r>
      <w:r w:rsidRPr="006C2415">
        <w:rPr>
          <w:rFonts w:ascii="Arial Narrow" w:hAnsi="Arial Narrow" w:cs="Tahoma"/>
          <w:sz w:val="22"/>
          <w:szCs w:val="22"/>
        </w:rPr>
        <w:t>3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,</w:t>
      </w:r>
      <w:r w:rsidRPr="006C2415">
        <w:rPr>
          <w:rFonts w:ascii="Arial Narrow" w:hAnsi="Arial Narrow" w:cs="Tahoma"/>
          <w:sz w:val="22"/>
          <w:szCs w:val="22"/>
        </w:rPr>
        <w:t>5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%</w:t>
      </w:r>
      <w:r w:rsidRPr="006C2415">
        <w:rPr>
          <w:rFonts w:ascii="Arial Narrow" w:hAnsi="Arial Narrow" w:cs="Tahoma"/>
          <w:sz w:val="22"/>
          <w:szCs w:val="22"/>
        </w:rPr>
        <w:t>,</w:t>
      </w:r>
      <w:r w:rsidRPr="006C2415">
        <w:rPr>
          <w:rFonts w:ascii="Arial Narrow" w:hAnsi="Arial Narrow" w:cs="Tahoma"/>
          <w:i/>
          <w:sz w:val="22"/>
          <w:szCs w:val="22"/>
        </w:rPr>
        <w:t xml:space="preserve"> 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 (</w:t>
      </w:r>
      <w:r w:rsidRPr="006C2415">
        <w:rPr>
          <w:rFonts w:ascii="Arial Narrow" w:hAnsi="Arial Narrow" w:cs="Tahoma"/>
          <w:i/>
          <w:sz w:val="22"/>
          <w:szCs w:val="22"/>
        </w:rPr>
        <w:t>L</w:t>
      </w:r>
      <w:r w:rsidRPr="006C2415">
        <w:rPr>
          <w:rFonts w:ascii="Arial Narrow" w:hAnsi="Arial Narrow" w:cs="Tahoma"/>
          <w:i/>
          <w:sz w:val="22"/>
          <w:szCs w:val="22"/>
          <w:lang w:val="sr-Cyrl-BA"/>
        </w:rPr>
        <w:t>) за 0,1%.</w:t>
      </w:r>
    </w:p>
    <w:p w:rsidR="001B39CE" w:rsidRPr="006C2415" w:rsidRDefault="001B39CE" w:rsidP="001B39CE">
      <w:pPr>
        <w:jc w:val="both"/>
        <w:rPr>
          <w:rFonts w:ascii="Arial Narrow" w:hAnsi="Arial Narrow" w:cs="Tahoma"/>
          <w:b/>
          <w:sz w:val="22"/>
          <w:szCs w:val="22"/>
        </w:rPr>
      </w:pPr>
    </w:p>
    <w:p w:rsidR="001B39CE" w:rsidRPr="006C2415" w:rsidRDefault="001B39CE" w:rsidP="00FE04BF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  <w:r w:rsidRPr="006C2415">
        <w:rPr>
          <w:rFonts w:ascii="Arial Narrow" w:hAnsi="Arial Narrow" w:cs="Tahoma"/>
          <w:sz w:val="22"/>
          <w:szCs w:val="22"/>
          <w:lang w:val="sr-Latn-BA" w:eastAsia="sr-Latn-BA"/>
        </w:rPr>
        <w:t>У земљама из окружења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 xml:space="preserve"> забиљежене су сљедеће стопе реалног раста бруто домаћег производа за четврто тромјесечје 201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4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. године у односу на исто тромјесечје 201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3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. године и то Словенија 2,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4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%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,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 xml:space="preserve"> Хрватска 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0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,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3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% и</w:t>
      </w:r>
      <w:r w:rsidR="00FE04BF">
        <w:rPr>
          <w:rFonts w:ascii="Arial Narrow" w:hAnsi="Arial Narrow" w:cs="Tahoma"/>
          <w:sz w:val="22"/>
          <w:szCs w:val="22"/>
          <w:lang w:val="sr-Latn-BA" w:eastAsia="sr-Latn-BA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 xml:space="preserve">Србија 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-1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,</w:t>
      </w:r>
      <w:r w:rsidRPr="006C2415">
        <w:rPr>
          <w:rFonts w:ascii="Arial Narrow" w:hAnsi="Arial Narrow" w:cs="Tahoma"/>
          <w:sz w:val="22"/>
          <w:szCs w:val="22"/>
          <w:lang w:eastAsia="sr-Latn-BA"/>
        </w:rPr>
        <w:t>8</w:t>
      </w:r>
      <w:r w:rsidRPr="006C2415">
        <w:rPr>
          <w:rFonts w:ascii="Arial Narrow" w:hAnsi="Arial Narrow" w:cs="Tahoma"/>
          <w:sz w:val="22"/>
          <w:szCs w:val="22"/>
          <w:lang w:val="sr-Cyrl-CS" w:eastAsia="sr-Latn-BA"/>
        </w:rPr>
        <w:t>%.</w:t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1B39CE">
      <w:pPr>
        <w:jc w:val="center"/>
        <w:rPr>
          <w:rFonts w:ascii="Arial Narrow" w:hAnsi="Arial Narrow" w:cs="Tahoma"/>
          <w:b/>
          <w:lang w:val="sr-Latn-BA"/>
        </w:rPr>
      </w:pPr>
      <w:r w:rsidRPr="006C2415">
        <w:rPr>
          <w:rFonts w:ascii="Arial Narrow" w:hAnsi="Arial Narrow" w:cs="Tahoma"/>
          <w:b/>
          <w:noProof/>
        </w:rPr>
        <w:drawing>
          <wp:inline distT="0" distB="0" distL="0" distR="0">
            <wp:extent cx="5271715" cy="2600077"/>
            <wp:effectExtent l="0" t="0" r="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1B39CE" w:rsidRPr="006C2415" w:rsidRDefault="001B39CE" w:rsidP="001B39CE">
      <w:pPr>
        <w:autoSpaceDE w:val="0"/>
        <w:autoSpaceDN w:val="0"/>
        <w:adjustRightInd w:val="0"/>
        <w:jc w:val="center"/>
        <w:rPr>
          <w:rFonts w:ascii="Arial Narrow" w:hAnsi="Arial Narrow" w:cs="Tahoma"/>
          <w:sz w:val="16"/>
          <w:szCs w:val="16"/>
          <w:lang w:val="sr-Cyrl-BA" w:eastAsia="sr-Latn-BA"/>
        </w:rPr>
      </w:pPr>
      <w:r w:rsidRPr="006C2415">
        <w:rPr>
          <w:rFonts w:ascii="Arial Narrow" w:hAnsi="Arial Narrow" w:cs="Tahoma"/>
          <w:sz w:val="16"/>
          <w:szCs w:val="16"/>
          <w:lang w:val="sr-Cyrl-CS" w:eastAsia="sr-Latn-BA"/>
        </w:rPr>
        <w:t>Графикон 1</w:t>
      </w:r>
      <w:r w:rsidRPr="006C2415">
        <w:rPr>
          <w:rFonts w:ascii="Arial Narrow" w:hAnsi="Arial Narrow" w:cs="Tahoma"/>
          <w:sz w:val="16"/>
          <w:szCs w:val="16"/>
          <w:lang w:val="sr-Cyrl-BA" w:eastAsia="sr-Latn-BA"/>
        </w:rPr>
        <w:t xml:space="preserve">. </w:t>
      </w:r>
      <w:r w:rsidRPr="006C2415">
        <w:rPr>
          <w:rFonts w:ascii="Arial Narrow" w:hAnsi="Arial Narrow" w:cs="Tahoma"/>
          <w:sz w:val="16"/>
          <w:szCs w:val="16"/>
          <w:lang w:val="sr-Cyrl-CS" w:eastAsia="sr-Latn-BA"/>
        </w:rPr>
        <w:t>Стопе реалног раста</w:t>
      </w:r>
      <w:r w:rsidRPr="006C2415">
        <w:rPr>
          <w:rFonts w:ascii="Arial Narrow" w:hAnsi="Arial Narrow" w:cs="Tahoma"/>
          <w:sz w:val="16"/>
          <w:szCs w:val="16"/>
          <w:lang w:eastAsia="sr-Latn-BA"/>
        </w:rPr>
        <w:t xml:space="preserve"> </w:t>
      </w:r>
      <w:r w:rsidRPr="006C2415">
        <w:rPr>
          <w:rFonts w:ascii="Arial Narrow" w:hAnsi="Arial Narrow" w:cs="Tahoma"/>
          <w:sz w:val="16"/>
          <w:szCs w:val="16"/>
          <w:lang w:val="sr-Cyrl-BA" w:eastAsia="sr-Latn-BA"/>
        </w:rPr>
        <w:t>тромјесечног бруто домаћег производа</w:t>
      </w:r>
      <w:r w:rsidRPr="006C2415">
        <w:rPr>
          <w:rFonts w:ascii="Arial Narrow" w:hAnsi="Arial Narrow" w:cs="Tahoma"/>
          <w:sz w:val="16"/>
          <w:szCs w:val="16"/>
          <w:lang w:eastAsia="sr-Latn-BA"/>
        </w:rPr>
        <w:t>,</w:t>
      </w:r>
      <w:r w:rsidRPr="006C2415">
        <w:rPr>
          <w:rFonts w:ascii="Arial Narrow" w:hAnsi="Arial Narrow" w:cs="Tahoma"/>
          <w:sz w:val="16"/>
          <w:szCs w:val="16"/>
          <w:lang w:val="sr-Cyrl-CS" w:eastAsia="sr-Latn-BA"/>
        </w:rPr>
        <w:t xml:space="preserve"> п</w:t>
      </w:r>
      <w:r w:rsidRPr="006C2415">
        <w:rPr>
          <w:rFonts w:ascii="Arial Narrow" w:hAnsi="Arial Narrow" w:cs="Tahoma"/>
          <w:sz w:val="16"/>
          <w:szCs w:val="16"/>
          <w:lang w:val="sr-Latn-BA" w:eastAsia="sr-Latn-BA"/>
        </w:rPr>
        <w:t>ромјене у односу на исто тромјесечје претходне године</w:t>
      </w:r>
    </w:p>
    <w:p w:rsidR="001B39CE" w:rsidRPr="006C2415" w:rsidRDefault="001B39CE" w:rsidP="00D35CD4">
      <w:pPr>
        <w:jc w:val="both"/>
        <w:rPr>
          <w:rFonts w:ascii="Arial Narrow" w:hAnsi="Arial Narrow" w:cs="Tahoma"/>
          <w:b/>
          <w:lang w:val="sr-Latn-BA"/>
        </w:rPr>
      </w:pPr>
    </w:p>
    <w:p w:rsidR="00E33D13" w:rsidRPr="006C2415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C2415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6C2415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6C2415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6C2415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3679B3" w:rsidRPr="006C2415">
        <w:rPr>
          <w:rFonts w:ascii="Arial Narrow" w:hAnsi="Arial Narrow" w:cs="Tahoma"/>
          <w:b/>
          <w:sz w:val="30"/>
          <w:szCs w:val="30"/>
          <w:lang w:val="sr-Cyrl-BA"/>
        </w:rPr>
        <w:t>марту</w:t>
      </w:r>
      <w:r w:rsidR="00E33D13" w:rsidRPr="006C2415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6C2415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3679B3" w:rsidRPr="006C24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E33D13" w:rsidRPr="006C24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6C2415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6C241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C2415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6C241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6C2415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6C2415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6C2415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C70C0F" w:rsidRPr="006C2415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="003679B3" w:rsidRPr="006C2415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Pr="006C241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C2415">
        <w:rPr>
          <w:rFonts w:ascii="Arial Narrow" w:hAnsi="Arial Narrow" w:cs="Tahoma"/>
          <w:b/>
          <w:sz w:val="28"/>
          <w:szCs w:val="28"/>
          <w:lang w:val="sr-Cyrl-CS"/>
        </w:rPr>
        <w:t>, најнижа у под</w:t>
      </w:r>
      <w:r w:rsidR="0048741A" w:rsidRPr="006C2415">
        <w:rPr>
          <w:rFonts w:ascii="Arial Narrow" w:hAnsi="Arial Narrow" w:cs="Tahoma"/>
          <w:b/>
          <w:sz w:val="28"/>
          <w:szCs w:val="28"/>
          <w:lang w:val="sr-Cyrl-CS"/>
        </w:rPr>
        <w:t>ручјима</w:t>
      </w:r>
      <w:r w:rsidRPr="006C241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6C2415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6C2415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48741A" w:rsidRPr="006C2415">
        <w:rPr>
          <w:rFonts w:ascii="Arial Narrow" w:hAnsi="Arial Narrow" w:cs="Tahoma"/>
          <w:b/>
          <w:sz w:val="28"/>
          <w:szCs w:val="28"/>
          <w:lang w:val="sr-Cyrl-CS"/>
        </w:rPr>
        <w:t>и</w:t>
      </w:r>
      <w:r w:rsidR="0048741A" w:rsidRPr="006C2415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Грађевинарство</w:t>
      </w:r>
      <w:r w:rsidRPr="006C2415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6C241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6C2415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3679B3" w:rsidRPr="006C2415">
        <w:rPr>
          <w:rFonts w:ascii="Arial Narrow" w:hAnsi="Arial Narrow" w:cs="Tahoma"/>
          <w:b/>
          <w:sz w:val="28"/>
          <w:szCs w:val="28"/>
          <w:lang w:val="sr-Cyrl-BA"/>
        </w:rPr>
        <w:t>3</w:t>
      </w:r>
      <w:r w:rsidRPr="006C241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C2415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6C241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C2415">
        <w:rPr>
          <w:rFonts w:ascii="Arial Narrow" w:hAnsi="Arial Narrow" w:cs="Tahoma"/>
          <w:sz w:val="22"/>
          <w:lang w:val="sr-Cyrl-BA"/>
        </w:rPr>
        <w:t>П</w:t>
      </w:r>
      <w:r w:rsidRPr="006C2415">
        <w:rPr>
          <w:rFonts w:ascii="Arial Narrow" w:hAnsi="Arial Narrow" w:cs="Tahoma"/>
          <w:sz w:val="22"/>
          <w:lang w:val="sr-Cyrl-CS"/>
        </w:rPr>
        <w:t>росјечна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C2415">
        <w:rPr>
          <w:rFonts w:ascii="Arial Narrow" w:hAnsi="Arial Narrow" w:cs="Tahoma"/>
          <w:b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C2415">
        <w:rPr>
          <w:rFonts w:ascii="Arial Narrow" w:hAnsi="Arial Narrow" w:cs="Tahoma"/>
          <w:b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679B3" w:rsidRPr="006C2415">
        <w:rPr>
          <w:rFonts w:ascii="Arial Narrow" w:hAnsi="Arial Narrow" w:cs="Tahoma"/>
          <w:sz w:val="22"/>
          <w:lang w:val="sr-Cyrl-CS"/>
        </w:rPr>
        <w:t>марту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.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године износи</w:t>
      </w:r>
      <w:r w:rsidRPr="006C241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8</w:t>
      </w:r>
      <w:r w:rsidR="00C70C0F" w:rsidRPr="006C2415">
        <w:rPr>
          <w:rFonts w:ascii="Arial Narrow" w:hAnsi="Arial Narrow" w:cs="Tahoma"/>
          <w:sz w:val="22"/>
          <w:lang w:val="sr-Cyrl-CS"/>
        </w:rPr>
        <w:t>3</w:t>
      </w:r>
      <w:r w:rsidR="003679B3" w:rsidRPr="006C2415">
        <w:rPr>
          <w:rFonts w:ascii="Arial Narrow" w:hAnsi="Arial Narrow" w:cs="Tahoma"/>
          <w:sz w:val="22"/>
          <w:lang w:val="sr-Cyrl-CS"/>
        </w:rPr>
        <w:t>1</w:t>
      </w:r>
      <w:r w:rsidRPr="006C2415">
        <w:rPr>
          <w:rFonts w:ascii="Arial Narrow" w:hAnsi="Arial Narrow" w:cs="Tahoma"/>
          <w:sz w:val="22"/>
          <w:lang w:val="sr-Cyrl-CS"/>
        </w:rPr>
        <w:t xml:space="preserve"> КМ</w:t>
      </w:r>
      <w:r w:rsidRPr="006C2415">
        <w:rPr>
          <w:rFonts w:ascii="Arial Narrow" w:hAnsi="Arial Narrow" w:cs="Tahoma"/>
          <w:sz w:val="22"/>
          <w:lang w:val="hr-HR"/>
        </w:rPr>
        <w:t>,</w:t>
      </w:r>
      <w:r w:rsidRPr="006C2415">
        <w:rPr>
          <w:rFonts w:ascii="Arial Narrow" w:hAnsi="Arial Narrow" w:cs="Tahoma"/>
          <w:sz w:val="22"/>
          <w:lang w:val="ru-RU"/>
        </w:rPr>
        <w:t xml:space="preserve"> а п</w:t>
      </w:r>
      <w:r w:rsidRPr="006C2415">
        <w:rPr>
          <w:rFonts w:ascii="Arial Narrow" w:hAnsi="Arial Narrow" w:cs="Tahoma"/>
          <w:sz w:val="22"/>
          <w:lang w:val="sr-Cyrl-CS"/>
        </w:rPr>
        <w:t>росјечна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1 3</w:t>
      </w:r>
      <w:r w:rsidR="00C70C0F" w:rsidRPr="006C2415">
        <w:rPr>
          <w:rFonts w:ascii="Arial Narrow" w:hAnsi="Arial Narrow" w:cs="Tahoma"/>
          <w:sz w:val="22"/>
          <w:lang w:val="sr-Cyrl-CS"/>
        </w:rPr>
        <w:t>4</w:t>
      </w:r>
      <w:r w:rsidR="003679B3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6C2415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6C241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6C2415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Latn-CS"/>
        </w:rPr>
        <w:t xml:space="preserve">У </w:t>
      </w:r>
      <w:r w:rsidRPr="006C2415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3679B3" w:rsidRPr="006C2415">
        <w:rPr>
          <w:rFonts w:ascii="Arial Narrow" w:hAnsi="Arial Narrow" w:cs="Tahoma"/>
          <w:sz w:val="22"/>
          <w:lang w:val="sr-Cyrl-CS"/>
        </w:rPr>
        <w:t>март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C2415">
        <w:rPr>
          <w:rFonts w:ascii="Arial Narrow" w:hAnsi="Arial Narrow" w:cs="Tahoma"/>
          <w:sz w:val="22"/>
          <w:lang w:val="sr-Cyrl-CS"/>
        </w:rPr>
        <w:t>4</w:t>
      </w:r>
      <w:r w:rsidRPr="006C2415">
        <w:rPr>
          <w:rFonts w:ascii="Arial Narrow" w:hAnsi="Arial Narrow" w:cs="Tahoma"/>
          <w:sz w:val="22"/>
          <w:lang w:val="sr-Cyrl-CS"/>
        </w:rPr>
        <w:t xml:space="preserve">. </w:t>
      </w:r>
      <w:r w:rsidRPr="006C2415">
        <w:rPr>
          <w:rFonts w:ascii="Arial Narrow" w:hAnsi="Arial Narrow" w:cs="Tahoma"/>
          <w:sz w:val="22"/>
          <w:lang w:val="sr-Cyrl-BA"/>
        </w:rPr>
        <w:t>г</w:t>
      </w:r>
      <w:r w:rsidRPr="006C2415">
        <w:rPr>
          <w:rFonts w:ascii="Arial Narrow" w:hAnsi="Arial Narrow" w:cs="Tahoma"/>
          <w:sz w:val="22"/>
          <w:lang w:val="sr-Cyrl-CS"/>
        </w:rPr>
        <w:t>одине</w:t>
      </w:r>
      <w:r w:rsidRPr="006C2415">
        <w:rPr>
          <w:rFonts w:ascii="Arial Narrow" w:hAnsi="Arial Narrow" w:cs="Tahoma"/>
          <w:sz w:val="22"/>
          <w:lang w:val="sr-Latn-BA"/>
        </w:rPr>
        <w:t>,</w:t>
      </w:r>
      <w:r w:rsidRPr="006C2415">
        <w:rPr>
          <w:rFonts w:ascii="Arial Narrow" w:hAnsi="Arial Narrow" w:cs="Tahoma"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3679B3" w:rsidRPr="006C2415">
        <w:rPr>
          <w:rFonts w:ascii="Arial Narrow" w:hAnsi="Arial Narrow" w:cs="Tahoma"/>
          <w:sz w:val="22"/>
          <w:lang w:val="sr-Cyrl-CS"/>
        </w:rPr>
        <w:t>марту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C70C0F" w:rsidRPr="006C2415">
        <w:rPr>
          <w:rFonts w:ascii="Arial Narrow" w:hAnsi="Arial Narrow" w:cs="Tahoma"/>
          <w:sz w:val="22"/>
          <w:lang w:val="sr-Cyrl-CS"/>
        </w:rPr>
        <w:t>2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3679B3" w:rsidRPr="006C2415">
        <w:rPr>
          <w:rFonts w:ascii="Arial Narrow" w:hAnsi="Arial Narrow" w:cs="Tahoma"/>
          <w:sz w:val="22"/>
          <w:lang w:val="sr-Cyrl-CS"/>
        </w:rPr>
        <w:t>7</w:t>
      </w:r>
      <w:r w:rsidRPr="006C2415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3679B3" w:rsidRPr="006C2415">
        <w:rPr>
          <w:rFonts w:ascii="Arial Narrow" w:hAnsi="Arial Narrow" w:cs="Tahoma"/>
          <w:sz w:val="22"/>
          <w:lang w:val="sr-Cyrl-CS"/>
        </w:rPr>
        <w:t>фебр</w:t>
      </w:r>
      <w:r w:rsidR="00C70C0F" w:rsidRPr="006C2415">
        <w:rPr>
          <w:rFonts w:ascii="Arial Narrow" w:hAnsi="Arial Narrow" w:cs="Tahoma"/>
          <w:sz w:val="22"/>
          <w:lang w:val="sr-Cyrl-CS"/>
        </w:rPr>
        <w:t>уар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 xml:space="preserve">. године </w:t>
      </w:r>
      <w:r w:rsidR="003679B3" w:rsidRPr="006C2415">
        <w:rPr>
          <w:rFonts w:ascii="Arial Narrow" w:hAnsi="Arial Narrow" w:cs="Tahoma"/>
          <w:sz w:val="22"/>
          <w:lang w:val="sr-Cyrl-BA"/>
        </w:rPr>
        <w:t>мања</w:t>
      </w:r>
      <w:r w:rsidRPr="006C2415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3679B3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3679B3" w:rsidRPr="006C2415">
        <w:rPr>
          <w:rFonts w:ascii="Arial Narrow" w:hAnsi="Arial Narrow" w:cs="Tahoma"/>
          <w:sz w:val="22"/>
          <w:lang w:val="sr-Cyrl-CS"/>
        </w:rPr>
        <w:t>9</w:t>
      </w:r>
      <w:r w:rsidRPr="006C2415">
        <w:rPr>
          <w:rFonts w:ascii="Arial Narrow" w:hAnsi="Arial Narrow" w:cs="Tahoma"/>
          <w:sz w:val="22"/>
          <w:lang w:val="sr-Cyrl-CS"/>
        </w:rPr>
        <w:t>%.</w:t>
      </w:r>
    </w:p>
    <w:p w:rsidR="00B82005" w:rsidRPr="006C2415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679B3" w:rsidRPr="006C2415" w:rsidRDefault="003679B3" w:rsidP="003679B3">
      <w:pPr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lastRenderedPageBreak/>
        <w:t>До смањења просјечне нето плате у марту 2015. у односу на фебруар 2015. дошло је углавном због мањег броја плаћених часова рада остварених у подручјима дјелатности вађење руда и камена и производња и снабдијевање електричном енергијом.</w:t>
      </w:r>
    </w:p>
    <w:p w:rsidR="00E33D13" w:rsidRPr="006C241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6C241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C241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679B3" w:rsidRPr="006C2415">
        <w:rPr>
          <w:rFonts w:ascii="Arial Narrow" w:hAnsi="Arial Narrow" w:cs="Tahoma"/>
          <w:sz w:val="22"/>
          <w:lang w:val="sr-Cyrl-CS"/>
        </w:rPr>
        <w:t>марту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6C2415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6C2415">
        <w:rPr>
          <w:rFonts w:ascii="Arial Narrow" w:hAnsi="Arial Narrow" w:cs="Tahoma"/>
          <w:sz w:val="22"/>
          <w:lang w:val="sr-Cyrl-CS"/>
        </w:rPr>
        <w:t>и износи 1 2</w:t>
      </w:r>
      <w:r w:rsidR="007073F3" w:rsidRPr="006C2415">
        <w:rPr>
          <w:rFonts w:ascii="Arial Narrow" w:hAnsi="Arial Narrow" w:cs="Tahoma"/>
          <w:sz w:val="22"/>
          <w:lang w:val="sr-Cyrl-CS"/>
        </w:rPr>
        <w:t>7</w:t>
      </w:r>
      <w:r w:rsidR="003679B3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 xml:space="preserve"> КМ</w:t>
      </w:r>
      <w:r w:rsidRPr="006C2415">
        <w:rPr>
          <w:rFonts w:ascii="Arial Narrow" w:hAnsi="Arial Narrow" w:cs="Tahoma"/>
          <w:sz w:val="22"/>
          <w:lang w:val="sr-Latn-CS"/>
        </w:rPr>
        <w:t>. Са друге стране,</w:t>
      </w:r>
      <w:r w:rsidRPr="006C241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C2415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6C2415">
        <w:rPr>
          <w:rFonts w:ascii="Arial Narrow" w:hAnsi="Arial Narrow" w:cs="Tahoma"/>
          <w:sz w:val="22"/>
          <w:lang w:val="sr-Cyrl-CS"/>
        </w:rPr>
        <w:t xml:space="preserve">плата у </w:t>
      </w:r>
      <w:r w:rsidR="003679B3" w:rsidRPr="006C2415">
        <w:rPr>
          <w:rFonts w:ascii="Arial Narrow" w:hAnsi="Arial Narrow" w:cs="Tahoma"/>
          <w:sz w:val="22"/>
          <w:lang w:val="sr-Cyrl-CS"/>
        </w:rPr>
        <w:t>марту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48741A" w:rsidRPr="006C2415">
        <w:rPr>
          <w:rFonts w:ascii="Arial Narrow" w:hAnsi="Arial Narrow" w:cs="Tahoma"/>
          <w:sz w:val="22"/>
          <w:lang w:val="sr-Cyrl-CS"/>
        </w:rPr>
        <w:t>има</w:t>
      </w:r>
      <w:r w:rsidRPr="006C2415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6C2415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6C2415">
        <w:rPr>
          <w:rFonts w:ascii="Arial Narrow" w:hAnsi="Arial Narrow" w:cs="Tahoma"/>
          <w:sz w:val="22"/>
        </w:rPr>
        <w:t xml:space="preserve"> </w:t>
      </w:r>
      <w:r w:rsidR="0048741A" w:rsidRPr="006C2415">
        <w:rPr>
          <w:rFonts w:ascii="Arial Narrow" w:hAnsi="Arial Narrow" w:cs="Tahoma"/>
          <w:sz w:val="22"/>
          <w:lang w:val="sr-Cyrl-BA"/>
        </w:rPr>
        <w:t xml:space="preserve">и </w:t>
      </w:r>
      <w:r w:rsidR="0048741A" w:rsidRPr="006C2415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48741A" w:rsidRPr="006C2415">
        <w:rPr>
          <w:rFonts w:ascii="Arial Narrow" w:hAnsi="Arial Narrow" w:cs="Tahoma"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>5</w:t>
      </w:r>
      <w:r w:rsidR="0032724B" w:rsidRPr="006C2415">
        <w:rPr>
          <w:rFonts w:ascii="Arial Narrow" w:hAnsi="Arial Narrow" w:cs="Tahoma"/>
          <w:sz w:val="22"/>
          <w:lang w:val="sr-Cyrl-BA"/>
        </w:rPr>
        <w:t>1</w:t>
      </w:r>
      <w:r w:rsidR="003679B3" w:rsidRPr="006C2415">
        <w:rPr>
          <w:rFonts w:ascii="Arial Narrow" w:hAnsi="Arial Narrow" w:cs="Tahoma"/>
          <w:sz w:val="22"/>
          <w:lang w:val="sr-Cyrl-BA"/>
        </w:rPr>
        <w:t>3</w:t>
      </w:r>
      <w:r w:rsidRPr="006C241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C241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6C241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3679B3" w:rsidRPr="006C2415">
        <w:rPr>
          <w:rFonts w:ascii="Arial Narrow" w:hAnsi="Arial Narrow" w:cs="Tahoma"/>
          <w:sz w:val="22"/>
          <w:szCs w:val="22"/>
          <w:lang w:val="sr-Cyrl-CS"/>
        </w:rPr>
        <w:t>марту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6C2415">
        <w:rPr>
          <w:rFonts w:ascii="Arial Narrow" w:hAnsi="Arial Narrow" w:cs="Tahoma"/>
          <w:sz w:val="22"/>
          <w:szCs w:val="22"/>
          <w:lang w:val="ru-RU"/>
        </w:rPr>
        <w:t>5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679B3" w:rsidRPr="006C2415">
        <w:rPr>
          <w:rFonts w:ascii="Arial Narrow" w:hAnsi="Arial Narrow" w:cs="Tahoma"/>
          <w:sz w:val="22"/>
          <w:szCs w:val="22"/>
          <w:lang w:val="ru-RU"/>
        </w:rPr>
        <w:t>фебр</w:t>
      </w:r>
      <w:r w:rsidR="007073F3" w:rsidRPr="006C2415">
        <w:rPr>
          <w:rFonts w:ascii="Arial Narrow" w:hAnsi="Arial Narrow" w:cs="Tahoma"/>
          <w:sz w:val="22"/>
          <w:szCs w:val="22"/>
          <w:lang w:val="ru-RU"/>
        </w:rPr>
        <w:t>уар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6C2415">
        <w:rPr>
          <w:rFonts w:ascii="Arial Narrow" w:hAnsi="Arial Narrow" w:cs="Tahoma"/>
          <w:sz w:val="22"/>
          <w:szCs w:val="22"/>
          <w:lang w:val="ru-RU"/>
        </w:rPr>
        <w:t>5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6C2415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6C2415">
        <w:rPr>
          <w:rFonts w:ascii="Arial Narrow" w:hAnsi="Arial Narrow" w:cs="Tahoma"/>
          <w:sz w:val="22"/>
          <w:szCs w:val="22"/>
          <w:lang w:val="sr-Latn-CS"/>
        </w:rPr>
        <w:t>р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32724B" w:rsidRPr="006C24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679B3" w:rsidRPr="006C2415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3679B3" w:rsidRPr="006C2415">
        <w:rPr>
          <w:rFonts w:ascii="Arial Narrow" w:hAnsi="Arial Narrow" w:cs="Tahoma"/>
          <w:sz w:val="22"/>
          <w:szCs w:val="22"/>
          <w:lang w:val="sr-Cyrl-BA"/>
        </w:rPr>
        <w:t xml:space="preserve"> 8,</w:t>
      </w:r>
      <w:r w:rsidR="007A5FA4" w:rsidRPr="006C2415">
        <w:rPr>
          <w:rFonts w:ascii="Arial Narrow" w:hAnsi="Arial Narrow" w:cs="Tahoma"/>
          <w:sz w:val="22"/>
          <w:szCs w:val="22"/>
          <w:lang w:val="sr-Cyrl-BA"/>
        </w:rPr>
        <w:t>5</w:t>
      </w:r>
      <w:r w:rsidR="003679B3" w:rsidRPr="006C2415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3679B3" w:rsidRPr="006C2415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3679B3" w:rsidRPr="006C2415">
        <w:rPr>
          <w:rFonts w:ascii="Arial Narrow" w:hAnsi="Arial Narrow" w:cs="Tahoma"/>
          <w:sz w:val="22"/>
          <w:szCs w:val="22"/>
          <w:lang w:val="sr-Cyrl-BA"/>
        </w:rPr>
        <w:t xml:space="preserve"> 5,</w:t>
      </w:r>
      <w:r w:rsidR="007A5FA4" w:rsidRPr="006C2415">
        <w:rPr>
          <w:rFonts w:ascii="Arial Narrow" w:hAnsi="Arial Narrow" w:cs="Tahoma"/>
          <w:sz w:val="22"/>
          <w:szCs w:val="22"/>
          <w:lang w:val="sr-Cyrl-BA"/>
        </w:rPr>
        <w:t>0</w:t>
      </w:r>
      <w:r w:rsidR="003679B3" w:rsidRPr="006C2415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3679B3" w:rsidRPr="006C2415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 2</w:t>
      </w:r>
      <w:r w:rsidR="003679B3" w:rsidRPr="006C2415">
        <w:rPr>
          <w:rFonts w:ascii="Arial Narrow" w:hAnsi="Arial Narrow" w:cs="Tahoma"/>
          <w:sz w:val="22"/>
          <w:szCs w:val="22"/>
          <w:lang w:val="sr-Cyrl-BA"/>
        </w:rPr>
        <w:t>,6%</w:t>
      </w:r>
      <w:r w:rsidR="003679B3" w:rsidRPr="006C2415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E33D13" w:rsidRPr="006C241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6C2415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2415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6C2415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6C2415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6C24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A5FA4" w:rsidRPr="006C2415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7A5FA4" w:rsidRPr="006C2415">
        <w:rPr>
          <w:rFonts w:ascii="Arial Narrow" w:hAnsi="Arial Narrow" w:cs="Tahoma"/>
          <w:sz w:val="22"/>
          <w:szCs w:val="22"/>
          <w:lang w:val="sr-Cyrl-BA"/>
        </w:rPr>
        <w:t xml:space="preserve"> 6,7%, </w:t>
      </w:r>
      <w:r w:rsidR="007A5FA4" w:rsidRPr="006C2415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 5</w:t>
      </w:r>
      <w:r w:rsidR="007A5FA4" w:rsidRPr="006C2415">
        <w:rPr>
          <w:rFonts w:ascii="Arial Narrow" w:hAnsi="Arial Narrow" w:cs="Tahoma"/>
          <w:sz w:val="22"/>
          <w:szCs w:val="22"/>
          <w:lang w:val="sr-Cyrl-BA"/>
        </w:rPr>
        <w:t>,1% и</w:t>
      </w:r>
      <w:r w:rsidR="007A5FA4" w:rsidRPr="006C2415">
        <w:rPr>
          <w:rFonts w:ascii="Arial Narrow" w:hAnsi="Arial Narrow" w:cs="Tahoma"/>
          <w:i/>
          <w:sz w:val="22"/>
          <w:szCs w:val="22"/>
          <w:lang w:val="sr-Cyrl-BA"/>
        </w:rPr>
        <w:t xml:space="preserve"> Стручне, научне и техничке дјелатности 4</w:t>
      </w:r>
      <w:r w:rsidR="007A5FA4" w:rsidRPr="006C2415">
        <w:rPr>
          <w:rFonts w:ascii="Arial Narrow" w:hAnsi="Arial Narrow" w:cs="Tahoma"/>
          <w:sz w:val="22"/>
          <w:szCs w:val="22"/>
          <w:lang w:val="sr-Cyrl-BA"/>
        </w:rPr>
        <w:t>,9%.</w:t>
      </w:r>
    </w:p>
    <w:p w:rsidR="00396802" w:rsidRPr="006C241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6C2415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C2415">
        <w:rPr>
          <w:rFonts w:ascii="Tahoma" w:hAnsi="Tahoma" w:cs="Tahoma"/>
          <w:i/>
          <w:sz w:val="14"/>
          <w:lang w:val="sr-Cyrl-CS"/>
        </w:rPr>
        <w:t xml:space="preserve"> </w:t>
      </w:r>
      <w:r w:rsidRPr="006C2415">
        <w:rPr>
          <w:rFonts w:ascii="Tahoma" w:hAnsi="Tahoma" w:cs="Tahoma"/>
          <w:sz w:val="14"/>
          <w:lang w:val="sr-Cyrl-CS"/>
        </w:rPr>
        <w:t xml:space="preserve">   </w:t>
      </w:r>
      <w:r w:rsidRPr="006C2415">
        <w:rPr>
          <w:rFonts w:ascii="Tahoma" w:hAnsi="Tahoma" w:cs="Tahoma"/>
          <w:sz w:val="14"/>
          <w:lang w:val="sr-Latn-CS"/>
        </w:rPr>
        <w:tab/>
      </w:r>
      <w:r w:rsidRPr="006C2415">
        <w:rPr>
          <w:rFonts w:ascii="Tahoma" w:hAnsi="Tahoma" w:cs="Tahoma"/>
          <w:sz w:val="14"/>
          <w:lang w:val="sr-Latn-CS"/>
        </w:rPr>
        <w:tab/>
      </w:r>
      <w:r w:rsidRPr="006C2415">
        <w:rPr>
          <w:rFonts w:ascii="Tahoma" w:hAnsi="Tahoma" w:cs="Tahoma"/>
          <w:sz w:val="14"/>
        </w:rPr>
        <w:t xml:space="preserve">            </w:t>
      </w:r>
      <w:r w:rsidR="00F85AAC" w:rsidRPr="006C2415">
        <w:rPr>
          <w:rFonts w:ascii="Tahoma" w:hAnsi="Tahoma" w:cs="Tahoma"/>
          <w:sz w:val="14"/>
          <w:lang w:val="sr-Cyrl-BA"/>
        </w:rPr>
        <w:t xml:space="preserve">  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C2415" w:rsidRDefault="00F85AAC" w:rsidP="00E33D13">
      <w:pPr>
        <w:jc w:val="center"/>
        <w:rPr>
          <w:rFonts w:ascii="Tahoma" w:hAnsi="Tahoma" w:cs="Tahoma"/>
        </w:rPr>
      </w:pPr>
      <w:r w:rsidRPr="006C2415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973511</wp:posOffset>
            </wp:positionH>
            <wp:positionV relativeFrom="paragraph">
              <wp:posOffset>2048455</wp:posOffset>
            </wp:positionV>
            <wp:extent cx="4505242" cy="461175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6C2415">
        <w:rPr>
          <w:rFonts w:ascii="Tahoma" w:hAnsi="Tahoma" w:cs="Tahoma"/>
          <w:szCs w:val="18"/>
        </w:rPr>
        <w:t xml:space="preserve"> </w:t>
      </w:r>
      <w:r w:rsidR="007A5FA4" w:rsidRPr="006C2415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E33D13" w:rsidRPr="006C2415">
        <w:rPr>
          <w:rFonts w:ascii="Tahoma" w:hAnsi="Tahoma" w:cs="Tahoma"/>
          <w:szCs w:val="18"/>
        </w:rPr>
        <w:t xml:space="preserve">  </w:t>
      </w:r>
    </w:p>
    <w:p w:rsidR="00E33D13" w:rsidRPr="006C24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C241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C241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CE2F01" w:rsidRPr="006C2415">
        <w:rPr>
          <w:rFonts w:ascii="Arial Narrow" w:hAnsi="Arial Narrow" w:cs="Tahoma"/>
          <w:sz w:val="16"/>
          <w:szCs w:val="22"/>
          <w:lang w:val="sr-Latn-BA"/>
        </w:rPr>
        <w:t>2</w:t>
      </w:r>
      <w:r w:rsidRPr="006C2415">
        <w:rPr>
          <w:rFonts w:ascii="Arial Narrow" w:hAnsi="Arial Narrow" w:cs="Tahoma"/>
          <w:sz w:val="16"/>
          <w:szCs w:val="22"/>
          <w:lang w:val="sr-Cyrl-CS"/>
        </w:rPr>
        <w:t>.</w:t>
      </w:r>
      <w:r w:rsidRPr="006C24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C2415">
        <w:rPr>
          <w:rFonts w:ascii="Arial Narrow" w:hAnsi="Arial Narrow" w:cs="Tahoma"/>
          <w:sz w:val="16"/>
          <w:szCs w:val="22"/>
          <w:lang w:val="sr-Cyrl-CS"/>
        </w:rPr>
        <w:t>П</w:t>
      </w:r>
      <w:r w:rsidRPr="006C241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C2415">
        <w:rPr>
          <w:rFonts w:ascii="Arial Narrow" w:hAnsi="Arial Narrow" w:cs="Tahoma"/>
          <w:sz w:val="16"/>
          <w:szCs w:val="22"/>
        </w:rPr>
        <w:t>e</w:t>
      </w:r>
      <w:r w:rsidRPr="006C2415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6C2415">
        <w:rPr>
          <w:rFonts w:ascii="Arial Narrow" w:hAnsi="Arial Narrow" w:cs="Tahoma"/>
          <w:sz w:val="16"/>
          <w:szCs w:val="22"/>
        </w:rPr>
        <w:t>e</w:t>
      </w:r>
      <w:r w:rsidRPr="006C2415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6C2415" w:rsidRDefault="00BE051D">
      <w:pPr>
        <w:rPr>
          <w:rFonts w:ascii="Tahoma" w:hAnsi="Tahoma" w:cs="Tahoma"/>
          <w:lang w:val="sr-Cyrl-BA"/>
        </w:rPr>
      </w:pPr>
    </w:p>
    <w:p w:rsidR="00D30242" w:rsidRPr="006C2415" w:rsidRDefault="00D30242" w:rsidP="00D30242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6C2415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марту 2015. године 0,5%</w:t>
      </w:r>
    </w:p>
    <w:p w:rsidR="00D30242" w:rsidRPr="006C2415" w:rsidRDefault="00D30242" w:rsidP="00D30242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6C2415">
        <w:rPr>
          <w:rFonts w:ascii="Arial Narrow" w:hAnsi="Arial Narrow" w:cs="Tahoma"/>
          <w:b/>
          <w:sz w:val="30"/>
          <w:szCs w:val="30"/>
          <w:lang w:val="sr-Cyrl-BA"/>
        </w:rPr>
        <w:t>Год</w:t>
      </w:r>
      <w:bookmarkStart w:id="0" w:name="_GoBack"/>
      <w:bookmarkEnd w:id="0"/>
      <w:r w:rsidRPr="006C2415">
        <w:rPr>
          <w:rFonts w:ascii="Arial Narrow" w:hAnsi="Arial Narrow" w:cs="Tahoma"/>
          <w:b/>
          <w:sz w:val="30"/>
          <w:szCs w:val="30"/>
          <w:lang w:val="sr-Cyrl-BA"/>
        </w:rPr>
        <w:t>ишња инфлација (</w:t>
      </w:r>
      <w:r w:rsidRPr="006C2415">
        <w:rPr>
          <w:rFonts w:ascii="Arial Narrow" w:hAnsi="Arial Narrow" w:cs="Tahoma"/>
          <w:b/>
          <w:sz w:val="30"/>
          <w:szCs w:val="30"/>
          <w:lang w:val="sr-Latn-BA"/>
        </w:rPr>
        <w:t>III</w:t>
      </w:r>
      <w:r w:rsidRPr="006C2415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Pr="006C2415">
        <w:rPr>
          <w:rFonts w:ascii="Arial Narrow" w:hAnsi="Arial Narrow" w:cs="Tahoma"/>
          <w:b/>
          <w:sz w:val="30"/>
          <w:szCs w:val="30"/>
          <w:lang w:val="sr-Latn-BA"/>
        </w:rPr>
        <w:t>III</w:t>
      </w:r>
      <w:r w:rsidRPr="006C2415">
        <w:rPr>
          <w:rFonts w:ascii="Arial Narrow" w:hAnsi="Arial Narrow" w:cs="Tahoma"/>
          <w:b/>
          <w:sz w:val="30"/>
          <w:szCs w:val="30"/>
          <w:lang w:val="sr-Cyrl-BA"/>
        </w:rPr>
        <w:t xml:space="preserve"> 2014) -0,8%</w:t>
      </w:r>
    </w:p>
    <w:p w:rsidR="00D30242" w:rsidRPr="006C2415" w:rsidRDefault="00D30242" w:rsidP="00D30242">
      <w:pPr>
        <w:spacing w:after="120"/>
        <w:jc w:val="both"/>
        <w:rPr>
          <w:rFonts w:ascii="Tahoma" w:hAnsi="Tahoma" w:cs="Tahoma"/>
          <w:lang w:val="sr-Cyrl-BA"/>
        </w:rPr>
      </w:pPr>
    </w:p>
    <w:p w:rsidR="00D30242" w:rsidRPr="006C2415" w:rsidRDefault="00D30242" w:rsidP="00D30242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6C2415">
        <w:rPr>
          <w:rFonts w:ascii="Arial Narrow" w:hAnsi="Arial Narrow" w:cs="Tahoma"/>
          <w:sz w:val="22"/>
          <w:lang w:val="sr-Cyrl-CS"/>
        </w:rPr>
        <w:t>март</w:t>
      </w:r>
      <w:r w:rsidRPr="006C2415">
        <w:rPr>
          <w:rFonts w:ascii="Arial Narrow" w:hAnsi="Arial Narrow" w:cs="Tahoma"/>
          <w:sz w:val="22"/>
          <w:lang w:val="sr-Cyrl-BA"/>
        </w:rPr>
        <w:t>у 2015. године у односу на претходни мјесец, у просјеку су више за 0,5%, док су на годишњем нивоу ниже за 0,8%.</w:t>
      </w:r>
    </w:p>
    <w:p w:rsidR="00D30242" w:rsidRPr="006C2415" w:rsidRDefault="00D30242" w:rsidP="00D30242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шест, ниже цијене у три</w:t>
      </w:r>
      <w:r w:rsidRPr="006C2415">
        <w:rPr>
          <w:rFonts w:ascii="Arial Narrow" w:hAnsi="Arial Narrow" w:cs="Tahoma"/>
          <w:sz w:val="22"/>
          <w:lang w:val="sr-Latn-BA"/>
        </w:rPr>
        <w:t>,</w:t>
      </w:r>
      <w:r w:rsidRPr="006C2415">
        <w:rPr>
          <w:rFonts w:ascii="Arial Narrow" w:hAnsi="Arial Narrow" w:cs="Tahoma"/>
          <w:sz w:val="22"/>
          <w:lang w:val="sr-Cyrl-BA"/>
        </w:rPr>
        <w:t xml:space="preserve"> док су цијене у три одјељка, у просјеку остале на истом нивоу.</w:t>
      </w:r>
    </w:p>
    <w:p w:rsidR="00D30242" w:rsidRPr="006C2415" w:rsidRDefault="00D30242" w:rsidP="00D30242">
      <w:pPr>
        <w:jc w:val="both"/>
        <w:rPr>
          <w:rFonts w:ascii="Arial Narrow" w:hAnsi="Arial Narrow" w:cs="Tahoma"/>
          <w:sz w:val="22"/>
          <w:lang w:val="sr-Cyrl-BA"/>
        </w:rPr>
      </w:pPr>
    </w:p>
    <w:p w:rsidR="00D30242" w:rsidRPr="006C2415" w:rsidRDefault="00D30242" w:rsidP="00D30242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>Највећи раст забиљежен је у одјељку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 Превоз</w:t>
      </w:r>
      <w:r w:rsidRPr="006C2415">
        <w:rPr>
          <w:rFonts w:ascii="Arial Narrow" w:hAnsi="Arial Narrow" w:cs="Tahoma"/>
          <w:sz w:val="22"/>
          <w:lang w:val="sr-Cyrl-BA"/>
        </w:rPr>
        <w:t xml:space="preserve"> (2,1%) усљед виших цијена бензина (4,4%)</w:t>
      </w:r>
      <w:r w:rsidRPr="006C2415">
        <w:rPr>
          <w:rFonts w:ascii="Arial Narrow" w:hAnsi="Arial Narrow" w:cs="Tahoma"/>
          <w:sz w:val="22"/>
          <w:lang w:val="sr-Latn-BA"/>
        </w:rPr>
        <w:t>,</w:t>
      </w:r>
      <w:r w:rsidRPr="006C2415">
        <w:rPr>
          <w:rFonts w:ascii="Arial Narrow" w:hAnsi="Arial Narrow" w:cs="Tahoma"/>
          <w:sz w:val="22"/>
          <w:lang w:val="sr-Cyrl-BA"/>
        </w:rPr>
        <w:t xml:space="preserve"> затим у одјељку 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Одјећа и обућа </w:t>
      </w:r>
      <w:r w:rsidRPr="006C2415">
        <w:rPr>
          <w:rFonts w:ascii="Arial Narrow" w:hAnsi="Arial Narrow" w:cs="Tahoma"/>
          <w:sz w:val="22"/>
          <w:lang w:val="sr-Cyrl-BA"/>
        </w:rPr>
        <w:t>(1,5%) усљед сезонск</w:t>
      </w:r>
      <w:r w:rsidRPr="006C2415">
        <w:rPr>
          <w:rFonts w:ascii="Arial Narrow" w:hAnsi="Arial Narrow" w:cs="Tahoma"/>
          <w:sz w:val="22"/>
          <w:lang w:val="sr-Latn-BA"/>
        </w:rPr>
        <w:t>o</w:t>
      </w:r>
      <w:r w:rsidRPr="006C2415">
        <w:rPr>
          <w:rFonts w:ascii="Arial Narrow" w:hAnsi="Arial Narrow" w:cs="Tahoma"/>
          <w:sz w:val="22"/>
          <w:lang w:val="sr-Cyrl-BA"/>
        </w:rPr>
        <w:t xml:space="preserve">г карактера цијена и нових набавки за сезону прољеће/љето. Више цијене забиљежене су још у одјељцима 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6C2415">
        <w:rPr>
          <w:rFonts w:ascii="Arial Narrow" w:hAnsi="Arial Narrow" w:cs="Tahoma"/>
          <w:sz w:val="22"/>
          <w:lang w:val="sr-Cyrl-BA"/>
        </w:rPr>
        <w:t>(0,4%)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>и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 Становање </w:t>
      </w:r>
      <w:r w:rsidRPr="006C2415">
        <w:rPr>
          <w:rFonts w:ascii="Arial Narrow" w:hAnsi="Arial Narrow" w:cs="Tahoma"/>
          <w:sz w:val="22"/>
          <w:lang w:val="sr-Cyrl-BA"/>
        </w:rPr>
        <w:t xml:space="preserve">(0,4%) највише због завршетка периода акцијских попуста у групи храна, те виших цијена у групи комуналне услуге (3,3%). Нешто блажи раст цијена у марту, забиљежен је у одјељцима 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Намјештај и покућство </w:t>
      </w:r>
      <w:r w:rsidRPr="006C2415">
        <w:rPr>
          <w:rFonts w:ascii="Arial Narrow" w:hAnsi="Arial Narrow" w:cs="Tahoma"/>
          <w:sz w:val="22"/>
          <w:lang w:val="sr-Cyrl-BA"/>
        </w:rPr>
        <w:t xml:space="preserve">(0,1%) и 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Здравство </w:t>
      </w:r>
      <w:r w:rsidRPr="006C2415">
        <w:rPr>
          <w:rFonts w:ascii="Arial Narrow" w:hAnsi="Arial Narrow" w:cs="Tahoma"/>
          <w:sz w:val="22"/>
          <w:lang w:val="sr-Cyrl-BA"/>
        </w:rPr>
        <w:t>(0,1%).</w:t>
      </w:r>
    </w:p>
    <w:p w:rsidR="00D30242" w:rsidRPr="006C2415" w:rsidRDefault="00D30242" w:rsidP="00D30242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>У одјељцима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 Комуникације, </w:t>
      </w:r>
      <w:r w:rsidRPr="006C2415">
        <w:rPr>
          <w:rFonts w:ascii="Arial Narrow" w:eastAsia="Calibri" w:hAnsi="Arial Narrow" w:cs="Tahoma"/>
          <w:sz w:val="22"/>
          <w:lang w:val="sr-Cyrl-BA"/>
        </w:rPr>
        <w:t xml:space="preserve">Образовање и </w:t>
      </w:r>
      <w:r w:rsidRPr="006C2415">
        <w:rPr>
          <w:rFonts w:ascii="Arial Narrow" w:hAnsi="Arial Narrow" w:cs="Tahoma"/>
          <w:i/>
          <w:sz w:val="22"/>
          <w:lang w:val="sr-Cyrl-BA"/>
        </w:rPr>
        <w:t>Ресторани и хотели</w:t>
      </w:r>
      <w:r w:rsidRPr="006C2415">
        <w:rPr>
          <w:rFonts w:ascii="Arial Narrow" w:hAnsi="Arial Narrow" w:cs="Tahoma"/>
          <w:sz w:val="22"/>
          <w:lang w:val="sr-Cyrl-BA"/>
        </w:rPr>
        <w:t xml:space="preserve"> цијене су, у просјеку, остале исте.</w:t>
      </w:r>
    </w:p>
    <w:p w:rsidR="00D30242" w:rsidRPr="006C2415" w:rsidRDefault="00D30242" w:rsidP="00D30242">
      <w:pPr>
        <w:jc w:val="both"/>
        <w:rPr>
          <w:rFonts w:ascii="Arial Narrow" w:hAnsi="Arial Narrow" w:cs="Tahoma"/>
          <w:i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 xml:space="preserve">Најниже цијене у марту забиљежене су у одјељку </w:t>
      </w:r>
      <w:r w:rsidRPr="006C2415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6C2415">
        <w:rPr>
          <w:rFonts w:ascii="Arial Narrow" w:hAnsi="Arial Narrow" w:cs="Tahoma"/>
          <w:sz w:val="22"/>
          <w:lang w:val="sr-Cyrl-BA"/>
        </w:rPr>
        <w:t xml:space="preserve"> (0,4%) усљед разних акцијских цијена у оквиру групе производи за личну хигијену (1,0%)</w:t>
      </w:r>
      <w:r w:rsidRPr="006C2415">
        <w:rPr>
          <w:rFonts w:ascii="Arial Narrow" w:hAnsi="Arial Narrow" w:cs="Tahoma"/>
          <w:sz w:val="22"/>
          <w:lang w:val="sr-Latn-BA"/>
        </w:rPr>
        <w:t>,</w:t>
      </w:r>
      <w:r w:rsidRPr="006C2415">
        <w:rPr>
          <w:rFonts w:ascii="Arial Narrow" w:hAnsi="Arial Narrow" w:cs="Tahoma"/>
          <w:sz w:val="22"/>
          <w:lang w:val="sr-Cyrl-BA"/>
        </w:rPr>
        <w:t xml:space="preserve"> а ниже цијене у марту, забиљежене су још у одјељцима </w:t>
      </w:r>
      <w:r w:rsidRPr="006C2415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6C2415">
        <w:rPr>
          <w:rFonts w:ascii="Arial Narrow" w:hAnsi="Arial Narrow" w:cs="Tahoma"/>
          <w:sz w:val="22"/>
          <w:lang w:val="sr-Cyrl-BA"/>
        </w:rPr>
        <w:t xml:space="preserve"> и </w:t>
      </w:r>
      <w:r w:rsidRPr="006C2415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6C2415">
        <w:rPr>
          <w:rFonts w:ascii="Arial Narrow" w:hAnsi="Arial Narrow" w:cs="Tahoma"/>
          <w:sz w:val="22"/>
          <w:lang w:val="sr-Cyrl-BA"/>
        </w:rPr>
        <w:t>(0,2%)</w:t>
      </w:r>
      <w:r w:rsidRPr="006C2415">
        <w:rPr>
          <w:rFonts w:ascii="Arial Narrow" w:hAnsi="Arial Narrow" w:cs="Tahoma"/>
          <w:i/>
          <w:sz w:val="22"/>
          <w:lang w:val="sr-Cyrl-BA"/>
        </w:rPr>
        <w:t>.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6C2415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6C24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6C2415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284295" w:rsidRPr="006C2415">
        <w:rPr>
          <w:rFonts w:ascii="Arial Narrow" w:hAnsi="Arial Narrow" w:cs="Tahoma"/>
          <w:b/>
          <w:sz w:val="30"/>
          <w:szCs w:val="30"/>
        </w:rPr>
        <w:t>I</w:t>
      </w:r>
      <w:r w:rsidR="00AC4206" w:rsidRPr="006C2415">
        <w:rPr>
          <w:rFonts w:ascii="Arial Narrow" w:hAnsi="Arial Narrow" w:cs="Tahoma"/>
          <w:b/>
          <w:sz w:val="30"/>
          <w:szCs w:val="30"/>
        </w:rPr>
        <w:t>I</w:t>
      </w:r>
      <w:r w:rsidRPr="006C2415">
        <w:rPr>
          <w:rFonts w:ascii="Arial Narrow" w:hAnsi="Arial Narrow" w:cs="Tahoma"/>
          <w:b/>
          <w:sz w:val="30"/>
          <w:szCs w:val="30"/>
        </w:rPr>
        <w:t>I</w:t>
      </w:r>
      <w:r w:rsidRPr="006C2415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C24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6C2415">
        <w:rPr>
          <w:rFonts w:ascii="Arial Narrow" w:hAnsi="Arial Narrow" w:cs="Tahoma"/>
          <w:b/>
          <w:sz w:val="30"/>
          <w:szCs w:val="30"/>
        </w:rPr>
        <w:t>5</w:t>
      </w:r>
      <w:r w:rsidRPr="006C2415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84295" w:rsidRPr="006C2415">
        <w:rPr>
          <w:rFonts w:ascii="Arial Narrow" w:hAnsi="Arial Narrow" w:cs="Tahoma"/>
          <w:b/>
          <w:sz w:val="30"/>
          <w:szCs w:val="30"/>
        </w:rPr>
        <w:t>I</w:t>
      </w:r>
      <w:r w:rsidRPr="006C2415">
        <w:rPr>
          <w:rFonts w:ascii="Arial Narrow" w:hAnsi="Arial Narrow" w:cs="Tahoma"/>
          <w:b/>
          <w:sz w:val="30"/>
          <w:szCs w:val="30"/>
        </w:rPr>
        <w:t>I</w:t>
      </w:r>
      <w:r w:rsidR="00AC4206" w:rsidRPr="006C2415">
        <w:rPr>
          <w:rFonts w:ascii="Arial Narrow" w:hAnsi="Arial Narrow" w:cs="Tahoma"/>
          <w:b/>
          <w:sz w:val="30"/>
          <w:szCs w:val="30"/>
        </w:rPr>
        <w:t>I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6C241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6C2415">
        <w:rPr>
          <w:rFonts w:ascii="Arial Narrow" w:hAnsi="Arial Narrow" w:cs="Tahoma"/>
          <w:b/>
          <w:bCs/>
          <w:sz w:val="30"/>
          <w:szCs w:val="30"/>
        </w:rPr>
        <w:t>4</w:t>
      </w:r>
      <w:r w:rsidRPr="006C2415">
        <w:rPr>
          <w:rFonts w:ascii="Arial Narrow" w:hAnsi="Arial Narrow" w:cs="Tahoma"/>
          <w:b/>
          <w:bCs/>
          <w:sz w:val="30"/>
          <w:szCs w:val="30"/>
        </w:rPr>
        <w:t>.</w:t>
      </w:r>
      <w:r w:rsidRPr="006C2415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AC4206" w:rsidRPr="006C2415">
        <w:rPr>
          <w:rFonts w:ascii="Arial Narrow" w:hAnsi="Arial Narrow" w:cs="Tahoma"/>
          <w:b/>
          <w:bCs/>
          <w:sz w:val="30"/>
          <w:szCs w:val="30"/>
        </w:rPr>
        <w:t>3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AC4206" w:rsidRPr="006C2415">
        <w:rPr>
          <w:rFonts w:ascii="Arial Narrow" w:hAnsi="Arial Narrow" w:cs="Tahoma"/>
          <w:b/>
          <w:bCs/>
          <w:sz w:val="30"/>
          <w:szCs w:val="30"/>
        </w:rPr>
        <w:t>7</w:t>
      </w:r>
      <w:r w:rsidRPr="006C2415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6C2415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6C241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284295" w:rsidRPr="006C2415">
        <w:rPr>
          <w:rFonts w:ascii="Arial Narrow" w:hAnsi="Arial Narrow" w:cs="Tahoma"/>
          <w:b/>
          <w:sz w:val="28"/>
        </w:rPr>
        <w:t>I</w:t>
      </w:r>
      <w:r w:rsidRPr="006C2415">
        <w:rPr>
          <w:rFonts w:ascii="Arial Narrow" w:hAnsi="Arial Narrow" w:cs="Tahoma"/>
          <w:b/>
          <w:sz w:val="28"/>
        </w:rPr>
        <w:t>I</w:t>
      </w:r>
      <w:r w:rsidR="00AC4206" w:rsidRPr="006C2415">
        <w:rPr>
          <w:rFonts w:ascii="Arial Narrow" w:hAnsi="Arial Narrow" w:cs="Tahoma"/>
          <w:b/>
          <w:sz w:val="28"/>
        </w:rPr>
        <w:t>I</w:t>
      </w:r>
      <w:r w:rsidRPr="006C24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6C2415">
        <w:rPr>
          <w:rFonts w:ascii="Arial Narrow" w:hAnsi="Arial Narrow" w:cs="Tahoma"/>
          <w:b/>
          <w:sz w:val="28"/>
        </w:rPr>
        <w:t>5</w:t>
      </w:r>
      <w:r w:rsidRPr="006C2415">
        <w:rPr>
          <w:rFonts w:ascii="Arial Narrow" w:hAnsi="Arial Narrow" w:cs="Tahoma"/>
          <w:b/>
          <w:sz w:val="28"/>
          <w:lang w:val="ru-RU"/>
        </w:rPr>
        <w:t>/</w:t>
      </w:r>
      <w:r w:rsidR="00284295" w:rsidRPr="006C2415">
        <w:rPr>
          <w:rFonts w:ascii="Arial Narrow" w:hAnsi="Arial Narrow" w:cs="Tahoma"/>
          <w:b/>
          <w:sz w:val="28"/>
        </w:rPr>
        <w:t>I</w:t>
      </w:r>
      <w:r w:rsidR="00AC4206" w:rsidRPr="006C2415">
        <w:rPr>
          <w:rFonts w:ascii="Arial Narrow" w:hAnsi="Arial Narrow" w:cs="Tahoma"/>
          <w:b/>
          <w:sz w:val="28"/>
        </w:rPr>
        <w:t>I</w:t>
      </w:r>
      <w:r w:rsidRPr="006C2415">
        <w:rPr>
          <w:rFonts w:ascii="Arial Narrow" w:hAnsi="Arial Narrow" w:cs="Tahoma"/>
          <w:b/>
          <w:sz w:val="28"/>
        </w:rPr>
        <w:t>I</w:t>
      </w:r>
      <w:r w:rsidRPr="006C24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6C2415">
        <w:rPr>
          <w:rFonts w:ascii="Arial Narrow" w:hAnsi="Arial Narrow" w:cs="Tahoma"/>
          <w:b/>
          <w:sz w:val="28"/>
        </w:rPr>
        <w:t>4</w:t>
      </w:r>
      <w:r w:rsidRPr="006C2415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B85D9D" w:rsidRPr="006C2415">
        <w:rPr>
          <w:rFonts w:ascii="Arial Narrow" w:hAnsi="Arial Narrow" w:cs="Tahoma"/>
          <w:b/>
          <w:sz w:val="28"/>
          <w:lang w:val="sr-Cyrl-CS"/>
        </w:rPr>
        <w:t>0</w:t>
      </w:r>
      <w:r w:rsidRPr="006C2415">
        <w:rPr>
          <w:rFonts w:ascii="Arial Narrow" w:hAnsi="Arial Narrow" w:cs="Tahoma"/>
          <w:b/>
          <w:sz w:val="28"/>
          <w:lang w:val="ru-RU"/>
        </w:rPr>
        <w:t>,</w:t>
      </w:r>
      <w:r w:rsidR="00AC4206" w:rsidRPr="006C2415">
        <w:rPr>
          <w:rFonts w:ascii="Arial Narrow" w:hAnsi="Arial Narrow" w:cs="Tahoma"/>
          <w:b/>
          <w:sz w:val="28"/>
          <w:lang w:val="ru-RU"/>
        </w:rPr>
        <w:t>9</w:t>
      </w:r>
      <w:r w:rsidRPr="006C2415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6C2415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0213F8" w:rsidRPr="006C2415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  <w:r w:rsidRPr="006C241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C2415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6C2415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6C2415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6C2415">
        <w:rPr>
          <w:rFonts w:ascii="Arial Narrow" w:hAnsi="Arial Narrow" w:cs="Tahoma"/>
          <w:b/>
          <w:sz w:val="22"/>
        </w:rPr>
        <w:t>производња</w:t>
      </w:r>
      <w:proofErr w:type="spellEnd"/>
      <w:r w:rsidRPr="006C2415">
        <w:rPr>
          <w:rFonts w:ascii="Arial Narrow" w:hAnsi="Arial Narrow" w:cs="Tahoma"/>
          <w:sz w:val="22"/>
        </w:rPr>
        <w:t xml:space="preserve"> у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6C2415">
        <w:rPr>
          <w:rFonts w:ascii="Arial Narrow" w:hAnsi="Arial Narrow" w:cs="Tahoma"/>
          <w:spacing w:val="-2"/>
          <w:sz w:val="22"/>
        </w:rPr>
        <w:t xml:space="preserve"> </w:t>
      </w:r>
      <w:r w:rsidRPr="006C2415">
        <w:rPr>
          <w:rFonts w:ascii="Arial Narrow" w:hAnsi="Arial Narrow" w:cs="Tahoma"/>
          <w:sz w:val="22"/>
        </w:rPr>
        <w:t>201</w:t>
      </w:r>
      <w:r w:rsidR="00284295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</w:rPr>
        <w:t xml:space="preserve">. </w:t>
      </w:r>
      <w:r w:rsidRPr="006C2415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6C2415">
        <w:rPr>
          <w:rFonts w:ascii="Arial Narrow" w:hAnsi="Arial Narrow" w:cs="Tahoma"/>
          <w:sz w:val="22"/>
        </w:rPr>
        <w:t>одине</w:t>
      </w:r>
      <w:proofErr w:type="spellEnd"/>
      <w:r w:rsidRPr="006C24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</w:rPr>
        <w:t xml:space="preserve">у </w:t>
      </w:r>
      <w:proofErr w:type="spellStart"/>
      <w:r w:rsidRPr="006C2415">
        <w:rPr>
          <w:rFonts w:ascii="Arial Narrow" w:hAnsi="Arial Narrow" w:cs="Tahoma"/>
          <w:sz w:val="22"/>
        </w:rPr>
        <w:t>поређењу</w:t>
      </w:r>
      <w:proofErr w:type="spellEnd"/>
      <w:r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 xml:space="preserve">са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мартом</w:t>
      </w:r>
      <w:r w:rsidRPr="006C2415">
        <w:rPr>
          <w:rFonts w:ascii="Arial Narrow" w:hAnsi="Arial Narrow" w:cs="Tahoma"/>
          <w:spacing w:val="-2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>201</w:t>
      </w:r>
      <w:r w:rsidR="00284295" w:rsidRPr="006C2415">
        <w:rPr>
          <w:rFonts w:ascii="Arial Narrow" w:hAnsi="Arial Narrow" w:cs="Tahoma"/>
          <w:sz w:val="22"/>
          <w:lang w:val="ru-RU"/>
        </w:rPr>
        <w:t>4</w:t>
      </w:r>
      <w:r w:rsidRPr="006C2415">
        <w:rPr>
          <w:rFonts w:ascii="Arial Narrow" w:hAnsi="Arial Narrow" w:cs="Tahoma"/>
          <w:sz w:val="22"/>
          <w:lang w:val="ru-RU"/>
        </w:rPr>
        <w:t>.</w:t>
      </w:r>
      <w:r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AC4206" w:rsidRPr="006C2415">
        <w:rPr>
          <w:rFonts w:ascii="Arial Narrow" w:hAnsi="Arial Narrow" w:cs="Tahoma"/>
          <w:sz w:val="22"/>
          <w:lang w:val="sr-Cyrl-CS"/>
        </w:rPr>
        <w:t>3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7</w:t>
      </w:r>
      <w:r w:rsidRPr="006C2415">
        <w:rPr>
          <w:rFonts w:ascii="Arial Narrow" w:hAnsi="Arial Narrow" w:cs="Tahoma"/>
          <w:sz w:val="22"/>
          <w:lang w:val="sr-Cyrl-CS"/>
        </w:rPr>
        <w:t>%.</w:t>
      </w:r>
      <w:r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У</w:t>
      </w:r>
      <w:r w:rsidRPr="006C2415">
        <w:rPr>
          <w:rFonts w:ascii="Arial Narrow" w:hAnsi="Arial Narrow" w:cs="Tahoma"/>
          <w:sz w:val="22"/>
        </w:rPr>
        <w:t xml:space="preserve"> </w:t>
      </w:r>
      <w:r w:rsidR="00284295" w:rsidRPr="006C2415">
        <w:rPr>
          <w:rFonts w:ascii="Arial Narrow" w:hAnsi="Arial Narrow" w:cs="Tahoma"/>
          <w:sz w:val="22"/>
          <w:lang w:val="sr-Cyrl-BA"/>
        </w:rPr>
        <w:t xml:space="preserve">подручју </w:t>
      </w:r>
      <w:proofErr w:type="spellStart"/>
      <w:r w:rsidR="00AC4206" w:rsidRPr="006C2415">
        <w:rPr>
          <w:rFonts w:ascii="Arial Narrow" w:hAnsi="Arial Narrow" w:cs="Tahoma"/>
          <w:i/>
          <w:sz w:val="22"/>
        </w:rPr>
        <w:t>Вађењ</w:t>
      </w:r>
      <w:proofErr w:type="spellEnd"/>
      <w:r w:rsidR="00AC4206" w:rsidRPr="006C2415">
        <w:rPr>
          <w:rFonts w:ascii="Arial Narrow" w:hAnsi="Arial Narrow" w:cs="Tahoma"/>
          <w:i/>
          <w:sz w:val="22"/>
          <w:lang w:val="sr-Cyrl-BA"/>
        </w:rPr>
        <w:t>а</w:t>
      </w:r>
      <w:r w:rsidR="00AC4206" w:rsidRPr="006C2415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AC4206" w:rsidRPr="006C2415">
        <w:rPr>
          <w:rFonts w:ascii="Arial Narrow" w:hAnsi="Arial Narrow" w:cs="Tahoma"/>
          <w:i/>
          <w:sz w:val="22"/>
        </w:rPr>
        <w:t>руда</w:t>
      </w:r>
      <w:proofErr w:type="spellEnd"/>
      <w:r w:rsidR="00AC4206" w:rsidRPr="006C2415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="00AC4206" w:rsidRPr="006C2415">
        <w:rPr>
          <w:rFonts w:ascii="Arial Narrow" w:hAnsi="Arial Narrow" w:cs="Tahoma"/>
          <w:i/>
          <w:sz w:val="22"/>
        </w:rPr>
        <w:t>камена</w:t>
      </w:r>
      <w:proofErr w:type="spellEnd"/>
      <w:r w:rsidR="00AC4206"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остварен је раст</w:t>
      </w:r>
      <w:r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>од</w:t>
      </w:r>
      <w:r w:rsidRPr="006C2415">
        <w:rPr>
          <w:rFonts w:ascii="Arial Narrow" w:hAnsi="Arial Narrow" w:cs="Tahoma"/>
          <w:sz w:val="22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>10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3</w:t>
      </w:r>
      <w:r w:rsidRPr="006C2415">
        <w:rPr>
          <w:rFonts w:ascii="Arial Narrow" w:hAnsi="Arial Narrow" w:cs="Tahoma"/>
          <w:sz w:val="22"/>
        </w:rPr>
        <w:t>%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 и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 xml:space="preserve">у </w:t>
      </w:r>
      <w:proofErr w:type="spellStart"/>
      <w:r w:rsidRPr="006C2415">
        <w:rPr>
          <w:rFonts w:ascii="Arial Narrow" w:hAnsi="Arial Narrow" w:cs="Tahoma"/>
          <w:i/>
          <w:sz w:val="22"/>
        </w:rPr>
        <w:t>Прерађивачкој</w:t>
      </w:r>
      <w:proofErr w:type="spellEnd"/>
      <w:r w:rsidRPr="006C2415">
        <w:rPr>
          <w:rFonts w:ascii="Arial Narrow" w:hAnsi="Arial Narrow" w:cs="Tahoma"/>
          <w:i/>
          <w:sz w:val="22"/>
        </w:rPr>
        <w:t xml:space="preserve"> </w:t>
      </w:r>
      <w:proofErr w:type="spellStart"/>
      <w:r w:rsidRPr="006C2415">
        <w:rPr>
          <w:rFonts w:ascii="Arial Narrow" w:hAnsi="Arial Narrow" w:cs="Tahoma"/>
          <w:i/>
          <w:sz w:val="22"/>
        </w:rPr>
        <w:t>индустрији</w:t>
      </w:r>
      <w:proofErr w:type="spellEnd"/>
      <w:r w:rsidRPr="006C2415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раст</w:t>
      </w:r>
      <w:r w:rsidRPr="006C2415">
        <w:rPr>
          <w:rFonts w:ascii="Arial Narrow" w:hAnsi="Arial Narrow" w:cs="Tahoma"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од</w:t>
      </w:r>
      <w:r w:rsidRPr="006C2415">
        <w:rPr>
          <w:rFonts w:ascii="Arial Narrow" w:hAnsi="Arial Narrow" w:cs="Tahoma"/>
          <w:sz w:val="22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</w:rPr>
        <w:t>%</w:t>
      </w:r>
      <w:r w:rsidR="00AC4206" w:rsidRPr="006C2415">
        <w:rPr>
          <w:rFonts w:ascii="Arial Narrow" w:hAnsi="Arial Narrow" w:cs="Tahoma"/>
          <w:sz w:val="22"/>
          <w:lang w:val="sr-Cyrl-CS"/>
        </w:rPr>
        <w:t>, док је</w:t>
      </w:r>
      <w:r w:rsidRPr="006C2415">
        <w:rPr>
          <w:rFonts w:ascii="Arial Narrow" w:hAnsi="Arial Narrow" w:cs="Tahoma"/>
          <w:sz w:val="22"/>
          <w:lang w:val="sr-Cyrl-CS"/>
        </w:rPr>
        <w:t xml:space="preserve"> у </w:t>
      </w:r>
      <w:r w:rsidR="00284295" w:rsidRPr="006C2415">
        <w:rPr>
          <w:rFonts w:ascii="Arial Narrow" w:hAnsi="Arial Narrow" w:cs="Tahoma"/>
          <w:sz w:val="22"/>
          <w:lang w:val="sr-Cyrl-CS"/>
        </w:rPr>
        <w:t xml:space="preserve">подручју </w:t>
      </w:r>
      <w:r w:rsidR="00AC4206" w:rsidRPr="006C241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C4206" w:rsidRPr="006C2415">
        <w:rPr>
          <w:rFonts w:ascii="Arial Narrow" w:hAnsi="Arial Narrow" w:cs="Tahoma"/>
          <w:i/>
          <w:sz w:val="22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>забиљежен пад о</w:t>
      </w:r>
      <w:r w:rsidRPr="006C2415">
        <w:rPr>
          <w:rFonts w:ascii="Arial Narrow" w:hAnsi="Arial Narrow" w:cs="Tahoma"/>
          <w:sz w:val="22"/>
          <w:lang w:val="sr-Cyrl-CS"/>
        </w:rPr>
        <w:t xml:space="preserve">д </w:t>
      </w:r>
      <w:r w:rsidR="00AC4206" w:rsidRPr="006C2415">
        <w:rPr>
          <w:rFonts w:ascii="Arial Narrow" w:hAnsi="Arial Narrow" w:cs="Tahoma"/>
          <w:sz w:val="22"/>
          <w:lang w:val="sr-Cyrl-CS"/>
        </w:rPr>
        <w:t>4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2</w:t>
      </w:r>
      <w:r w:rsidRPr="006C2415">
        <w:rPr>
          <w:rFonts w:ascii="Arial Narrow" w:hAnsi="Arial Narrow" w:cs="Tahoma"/>
          <w:sz w:val="22"/>
          <w:lang w:val="sr-Cyrl-CS"/>
        </w:rPr>
        <w:t>%</w:t>
      </w:r>
      <w:r w:rsidRPr="006C2415">
        <w:rPr>
          <w:rFonts w:ascii="Arial Narrow" w:hAnsi="Arial Narrow" w:cs="Tahoma"/>
          <w:sz w:val="22"/>
        </w:rPr>
        <w:t xml:space="preserve">. </w:t>
      </w:r>
      <w:r w:rsidRPr="006C2415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C2415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6C2415">
        <w:rPr>
          <w:rFonts w:ascii="Arial Narrow" w:hAnsi="Arial Narrow" w:cs="Tahoma"/>
          <w:sz w:val="22"/>
        </w:rPr>
        <w:t xml:space="preserve">у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6C2415">
        <w:rPr>
          <w:rFonts w:ascii="Arial Narrow" w:hAnsi="Arial Narrow" w:cs="Tahoma"/>
          <w:spacing w:val="-2"/>
          <w:sz w:val="22"/>
        </w:rPr>
        <w:t xml:space="preserve"> </w:t>
      </w:r>
      <w:r w:rsidRPr="006C2415">
        <w:rPr>
          <w:rFonts w:ascii="Arial Narrow" w:hAnsi="Arial Narrow" w:cs="Tahoma"/>
          <w:sz w:val="22"/>
        </w:rPr>
        <w:t>201</w:t>
      </w:r>
      <w:r w:rsidR="00284295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</w:rPr>
        <w:t xml:space="preserve">. </w:t>
      </w:r>
      <w:r w:rsidRPr="006C2415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6C2415">
        <w:rPr>
          <w:rFonts w:ascii="Arial Narrow" w:hAnsi="Arial Narrow" w:cs="Tahoma"/>
          <w:sz w:val="22"/>
        </w:rPr>
        <w:t>одине</w:t>
      </w:r>
      <w:proofErr w:type="spellEnd"/>
      <w:r w:rsidRPr="006C24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</w:rPr>
        <w:t xml:space="preserve">у </w:t>
      </w:r>
      <w:proofErr w:type="spellStart"/>
      <w:r w:rsidRPr="006C2415">
        <w:rPr>
          <w:rFonts w:ascii="Arial Narrow" w:hAnsi="Arial Narrow" w:cs="Tahoma"/>
          <w:sz w:val="22"/>
        </w:rPr>
        <w:t>поређењу</w:t>
      </w:r>
      <w:proofErr w:type="spellEnd"/>
      <w:r w:rsidRPr="006C2415">
        <w:rPr>
          <w:rFonts w:ascii="Arial Narrow" w:hAnsi="Arial Narrow" w:cs="Tahoma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sr-Cyrl-BA"/>
        </w:rPr>
        <w:t xml:space="preserve">са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мартом</w:t>
      </w:r>
      <w:r w:rsidRPr="006C2415">
        <w:rPr>
          <w:rFonts w:ascii="Arial Narrow" w:hAnsi="Arial Narrow" w:cs="Tahoma"/>
          <w:spacing w:val="-2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>201</w:t>
      </w:r>
      <w:r w:rsidR="00284295" w:rsidRPr="006C2415">
        <w:rPr>
          <w:rFonts w:ascii="Arial Narrow" w:hAnsi="Arial Narrow" w:cs="Tahoma"/>
          <w:sz w:val="22"/>
          <w:lang w:val="ru-RU"/>
        </w:rPr>
        <w:t>4</w:t>
      </w:r>
      <w:r w:rsidRPr="006C2415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AC4206" w:rsidRPr="006C2415">
        <w:rPr>
          <w:rFonts w:ascii="Arial Narrow" w:hAnsi="Arial Narrow" w:cs="Tahoma"/>
          <w:sz w:val="22"/>
          <w:lang w:val="sr-Cyrl-CS"/>
        </w:rPr>
        <w:t>15</w:t>
      </w:r>
      <w:r w:rsidRPr="006C2415">
        <w:rPr>
          <w:rFonts w:ascii="Arial Narrow" w:hAnsi="Arial Narrow" w:cs="Tahoma"/>
          <w:sz w:val="22"/>
          <w:lang w:val="bs-Latn-BA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1</w:t>
      </w:r>
      <w:r w:rsidRPr="006C2415">
        <w:rPr>
          <w:rFonts w:ascii="Arial Narrow" w:hAnsi="Arial Narrow" w:cs="Tahoma"/>
          <w:sz w:val="22"/>
          <w:lang w:val="sr-Cyrl-CS"/>
        </w:rPr>
        <w:t xml:space="preserve">%, 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6C2415">
        <w:rPr>
          <w:rFonts w:ascii="Arial Narrow" w:hAnsi="Arial Narrow" w:cs="Tahoma"/>
          <w:sz w:val="22"/>
          <w:lang w:val="sr-Cyrl-CS"/>
        </w:rPr>
        <w:t xml:space="preserve">за </w:t>
      </w:r>
      <w:r w:rsidR="00AC4206" w:rsidRPr="006C2415">
        <w:rPr>
          <w:rFonts w:ascii="Arial Narrow" w:hAnsi="Arial Narrow" w:cs="Tahoma"/>
          <w:sz w:val="22"/>
          <w:lang w:val="sr-Cyrl-CS"/>
        </w:rPr>
        <w:t>13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>%</w:t>
      </w:r>
      <w:r w:rsidR="00284295" w:rsidRPr="006C2415">
        <w:rPr>
          <w:rFonts w:ascii="Arial Narrow" w:hAnsi="Arial Narrow" w:cs="Tahoma"/>
          <w:sz w:val="22"/>
          <w:lang w:val="sr-Cyrl-CS"/>
        </w:rPr>
        <w:t>,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6C2415">
        <w:rPr>
          <w:rFonts w:ascii="Arial Narrow" w:hAnsi="Arial Narrow" w:cs="Tahoma"/>
          <w:sz w:val="22"/>
          <w:lang w:val="sr-Cyrl-CS"/>
        </w:rPr>
        <w:t xml:space="preserve">за </w:t>
      </w:r>
      <w:r w:rsidR="00AC4206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2</w:t>
      </w:r>
      <w:r w:rsidRPr="006C2415">
        <w:rPr>
          <w:rFonts w:ascii="Arial Narrow" w:hAnsi="Arial Narrow" w:cs="Tahoma"/>
          <w:sz w:val="22"/>
          <w:lang w:val="sr-Cyrl-CS"/>
        </w:rPr>
        <w:t>%</w:t>
      </w:r>
      <w:r w:rsidR="00284295" w:rsidRPr="006C2415">
        <w:rPr>
          <w:rFonts w:ascii="Arial Narrow" w:hAnsi="Arial Narrow" w:cs="Tahoma"/>
          <w:sz w:val="22"/>
          <w:lang w:val="sr-Cyrl-CS"/>
        </w:rPr>
        <w:t xml:space="preserve"> и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6C2415">
        <w:rPr>
          <w:rFonts w:ascii="Arial Narrow" w:hAnsi="Arial Narrow" w:cs="Tahoma"/>
          <w:sz w:val="22"/>
          <w:lang w:val="sr-Cyrl-CS"/>
        </w:rPr>
        <w:t xml:space="preserve">за </w:t>
      </w:r>
      <w:r w:rsidR="00AC4206" w:rsidRPr="006C2415">
        <w:rPr>
          <w:rFonts w:ascii="Arial Narrow" w:hAnsi="Arial Narrow" w:cs="Tahoma"/>
          <w:sz w:val="22"/>
          <w:lang w:val="sr-Cyrl-CS"/>
        </w:rPr>
        <w:t>2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%</w:t>
      </w:r>
      <w:r w:rsidR="00284295" w:rsidRPr="006C2415">
        <w:rPr>
          <w:rFonts w:ascii="Arial Narrow" w:hAnsi="Arial Narrow" w:cs="Tahoma"/>
          <w:sz w:val="22"/>
          <w:lang w:val="sr-Cyrl-CS"/>
        </w:rPr>
        <w:t>,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6C2415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6C2415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6C2415">
        <w:rPr>
          <w:rFonts w:ascii="Arial Narrow" w:hAnsi="Arial Narrow" w:cs="Tahoma"/>
          <w:sz w:val="22"/>
          <w:lang w:val="sr-Cyrl-CS"/>
        </w:rPr>
        <w:t xml:space="preserve">за </w:t>
      </w:r>
      <w:r w:rsidR="00AC4206" w:rsidRPr="006C2415">
        <w:rPr>
          <w:rFonts w:ascii="Arial Narrow" w:hAnsi="Arial Narrow" w:cs="Tahoma"/>
          <w:sz w:val="22"/>
          <w:lang w:val="sr-Cyrl-CS"/>
        </w:rPr>
        <w:t>19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%.</w:t>
      </w:r>
    </w:p>
    <w:p w:rsidR="000213F8" w:rsidRPr="006C2415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</w:p>
    <w:p w:rsidR="000213F8" w:rsidRPr="006C2415" w:rsidRDefault="000213F8" w:rsidP="000213F8">
      <w:pPr>
        <w:jc w:val="both"/>
        <w:rPr>
          <w:rFonts w:ascii="Arial Narrow" w:hAnsi="Arial Narrow" w:cs="Tahoma"/>
          <w:sz w:val="22"/>
          <w:lang w:val="sr-Latn-CS"/>
        </w:rPr>
      </w:pPr>
      <w:r w:rsidRPr="006C241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C2415">
        <w:rPr>
          <w:rFonts w:ascii="Arial Narrow" w:hAnsi="Arial Narrow" w:cs="Tahoma"/>
          <w:sz w:val="22"/>
          <w:lang w:val="ru-RU"/>
        </w:rPr>
        <w:t xml:space="preserve"> у </w:t>
      </w:r>
      <w:r w:rsidR="00AC4206" w:rsidRPr="006C2415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="00B85D9D" w:rsidRPr="006C2415">
        <w:rPr>
          <w:rFonts w:ascii="Arial Narrow" w:hAnsi="Arial Narrow" w:cs="Tahoma"/>
          <w:spacing w:val="-2"/>
          <w:sz w:val="22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>201</w:t>
      </w:r>
      <w:r w:rsidR="00B85D9D" w:rsidRPr="006C2415">
        <w:rPr>
          <w:rFonts w:ascii="Arial Narrow" w:hAnsi="Arial Narrow" w:cs="Tahoma"/>
          <w:sz w:val="22"/>
          <w:lang w:val="ru-RU"/>
        </w:rPr>
        <w:t>5</w:t>
      </w:r>
      <w:r w:rsidRPr="006C2415">
        <w:rPr>
          <w:rFonts w:ascii="Arial Narrow" w:hAnsi="Arial Narrow" w:cs="Tahoma"/>
          <w:sz w:val="22"/>
          <w:lang w:val="ru-RU"/>
        </w:rPr>
        <w:t xml:space="preserve">. године </w:t>
      </w:r>
      <w:r w:rsidRPr="006C2415">
        <w:rPr>
          <w:rFonts w:ascii="Arial Narrow" w:hAnsi="Arial Narrow" w:cs="Tahoma"/>
          <w:sz w:val="22"/>
          <w:lang w:val="sr-Cyrl-CS"/>
        </w:rPr>
        <w:t xml:space="preserve">у </w:t>
      </w:r>
      <w:r w:rsidRPr="006C2415">
        <w:rPr>
          <w:rFonts w:ascii="Arial Narrow" w:hAnsi="Arial Narrow" w:cs="Tahoma"/>
          <w:sz w:val="22"/>
          <w:lang w:val="ru-RU"/>
        </w:rPr>
        <w:t xml:space="preserve">односу на </w:t>
      </w:r>
      <w:r w:rsidR="00AC4206" w:rsidRPr="006C2415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 већи</w:t>
      </w:r>
      <w:r w:rsidRPr="006C2415">
        <w:rPr>
          <w:rFonts w:ascii="Arial Narrow" w:hAnsi="Arial Narrow" w:cs="Tahoma"/>
          <w:sz w:val="22"/>
          <w:lang w:val="sr-Latn-CS"/>
        </w:rPr>
        <w:t xml:space="preserve"> је за </w:t>
      </w:r>
      <w:r w:rsidR="00B85D9D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Latn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9</w:t>
      </w:r>
      <w:r w:rsidRPr="006C2415">
        <w:rPr>
          <w:rFonts w:ascii="Arial Narrow" w:hAnsi="Arial Narrow" w:cs="Tahoma"/>
          <w:sz w:val="22"/>
          <w:lang w:val="sr-Latn-CS"/>
        </w:rPr>
        <w:t>%</w:t>
      </w:r>
      <w:r w:rsidR="00AC4206" w:rsidRPr="006C2415">
        <w:rPr>
          <w:rFonts w:ascii="Arial Narrow" w:hAnsi="Arial Narrow" w:cs="Tahoma"/>
          <w:sz w:val="22"/>
          <w:lang w:val="sr-Cyrl-CS"/>
        </w:rPr>
        <w:t>,</w:t>
      </w:r>
      <w:r w:rsidRPr="006C2415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AC4206" w:rsidRPr="006C2415">
        <w:rPr>
          <w:rFonts w:ascii="Arial Narrow" w:hAnsi="Arial Narrow" w:cs="Tahoma"/>
          <w:sz w:val="22"/>
          <w:lang w:val="sr-Cyrl-CS"/>
        </w:rPr>
        <w:t>фебруар 2015.</w:t>
      </w:r>
      <w:r w:rsidR="00AC4206" w:rsidRPr="006C2415">
        <w:rPr>
          <w:rFonts w:ascii="Arial Narrow" w:hAnsi="Arial Narrow" w:cs="Tahoma"/>
          <w:sz w:val="22"/>
          <w:lang w:val="ru-RU"/>
        </w:rPr>
        <w:t xml:space="preserve"> године </w:t>
      </w:r>
      <w:r w:rsidRPr="006C2415">
        <w:rPr>
          <w:rFonts w:ascii="Arial Narrow" w:hAnsi="Arial Narrow" w:cs="Tahoma"/>
          <w:sz w:val="22"/>
          <w:lang w:val="sr-Cyrl-CS"/>
        </w:rPr>
        <w:t xml:space="preserve">за </w:t>
      </w:r>
      <w:r w:rsidR="00B85D9D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6% и</w:t>
      </w:r>
      <w:r w:rsidRPr="006C2415">
        <w:rPr>
          <w:rFonts w:ascii="Arial Narrow" w:hAnsi="Arial Narrow" w:cs="Tahoma"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AC4206" w:rsidRPr="006C2415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AC4206" w:rsidRPr="006C2415">
        <w:rPr>
          <w:rFonts w:ascii="Arial Narrow" w:hAnsi="Arial Narrow" w:cs="Tahoma"/>
          <w:sz w:val="22"/>
          <w:lang w:val="sr-Cyrl-CS"/>
        </w:rPr>
        <w:t>4</w:t>
      </w:r>
      <w:r w:rsidR="00AC4206" w:rsidRPr="006C2415">
        <w:rPr>
          <w:rFonts w:ascii="Arial Narrow" w:hAnsi="Arial Narrow" w:cs="Tahoma"/>
          <w:sz w:val="22"/>
          <w:lang w:val="sr-Latn-CS"/>
        </w:rPr>
        <w:t xml:space="preserve">. </w:t>
      </w:r>
      <w:r w:rsidR="00AC4206" w:rsidRPr="006C2415">
        <w:rPr>
          <w:rFonts w:ascii="Arial Narrow" w:hAnsi="Arial Narrow" w:cs="Tahoma"/>
          <w:sz w:val="22"/>
          <w:lang w:val="sr-Cyrl-CS"/>
        </w:rPr>
        <w:t>г</w:t>
      </w:r>
      <w:r w:rsidR="00AC4206" w:rsidRPr="006C2415">
        <w:rPr>
          <w:rFonts w:ascii="Arial Narrow" w:hAnsi="Arial Narrow" w:cs="Tahoma"/>
          <w:sz w:val="22"/>
          <w:lang w:val="sr-Latn-CS"/>
        </w:rPr>
        <w:t>одини</w:t>
      </w:r>
      <w:r w:rsidR="00AC4206" w:rsidRPr="006C2415">
        <w:rPr>
          <w:rFonts w:ascii="Arial Narrow" w:hAnsi="Arial Narrow" w:cs="Tahoma"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>за</w:t>
      </w:r>
      <w:r w:rsidRPr="006C2415">
        <w:rPr>
          <w:rFonts w:ascii="Arial Narrow" w:hAnsi="Arial Narrow" w:cs="Tahoma"/>
          <w:sz w:val="22"/>
          <w:lang w:val="sr-Latn-CS"/>
        </w:rPr>
        <w:t xml:space="preserve"> </w:t>
      </w:r>
      <w:r w:rsidR="00B85D9D" w:rsidRPr="006C2415">
        <w:rPr>
          <w:rFonts w:ascii="Arial Narrow" w:hAnsi="Arial Narrow" w:cs="Tahoma"/>
          <w:sz w:val="22"/>
          <w:lang w:val="sr-Cyrl-CS"/>
        </w:rPr>
        <w:t>0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AC4206" w:rsidRPr="006C2415">
        <w:rPr>
          <w:rFonts w:ascii="Arial Narrow" w:hAnsi="Arial Narrow" w:cs="Tahoma"/>
          <w:sz w:val="22"/>
          <w:lang w:val="sr-Cyrl-CS"/>
        </w:rPr>
        <w:t>1</w:t>
      </w:r>
      <w:r w:rsidRPr="006C2415">
        <w:rPr>
          <w:rFonts w:ascii="Arial Narrow" w:hAnsi="Arial Narrow" w:cs="Tahoma"/>
          <w:sz w:val="22"/>
          <w:lang w:val="sr-Cyrl-CS"/>
        </w:rPr>
        <w:t>%.</w:t>
      </w:r>
      <w:r w:rsidRPr="006C2415">
        <w:rPr>
          <w:rFonts w:ascii="Arial Narrow" w:hAnsi="Arial Narrow" w:cs="Tahoma"/>
          <w:sz w:val="22"/>
          <w:lang w:val="sr-Latn-CS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C2415">
        <w:rPr>
          <w:rFonts w:ascii="Arial Narrow" w:hAnsi="Arial Narrow" w:cs="Tahoma"/>
          <w:sz w:val="22"/>
          <w:lang w:val="sr-Cyrl-CS"/>
        </w:rPr>
        <w:t xml:space="preserve">у </w:t>
      </w:r>
      <w:r w:rsidRPr="006C2415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AC4206" w:rsidRPr="006C2415">
        <w:rPr>
          <w:rFonts w:ascii="Arial Narrow" w:hAnsi="Arial Narrow" w:cs="Tahoma"/>
          <w:sz w:val="22"/>
          <w:lang w:val="ru-RU"/>
        </w:rPr>
        <w:t>март</w:t>
      </w:r>
      <w:r w:rsidRPr="006C2415">
        <w:rPr>
          <w:rFonts w:ascii="Arial Narrow" w:hAnsi="Arial Narrow" w:cs="Tahoma"/>
          <w:sz w:val="22"/>
          <w:lang w:val="sr-Cyrl-CS"/>
        </w:rPr>
        <w:t xml:space="preserve"> 201</w:t>
      </w:r>
      <w:r w:rsidR="00B85D9D" w:rsidRPr="006C2415">
        <w:rPr>
          <w:rFonts w:ascii="Arial Narrow" w:hAnsi="Arial Narrow" w:cs="Tahoma"/>
          <w:sz w:val="22"/>
          <w:lang w:val="sr-Cyrl-CS"/>
        </w:rPr>
        <w:t>5</w:t>
      </w:r>
      <w:r w:rsidRPr="006C2415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B85D9D" w:rsidRPr="006C2415">
        <w:rPr>
          <w:rFonts w:ascii="Arial Narrow" w:hAnsi="Arial Narrow" w:cs="Tahoma"/>
          <w:sz w:val="22"/>
          <w:szCs w:val="22"/>
          <w:lang w:val="ru-RU"/>
        </w:rPr>
        <w:t>0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6C2415">
        <w:rPr>
          <w:rFonts w:ascii="Arial Narrow" w:hAnsi="Arial Narrow" w:cs="Tahoma"/>
          <w:sz w:val="22"/>
          <w:lang w:val="sr-Cyrl-CS"/>
        </w:rPr>
        <w:t>у</w:t>
      </w:r>
      <w:r w:rsidRPr="006C2415">
        <w:rPr>
          <w:rFonts w:ascii="Tahoma" w:hAnsi="Tahoma" w:cs="Tahoma"/>
          <w:sz w:val="22"/>
          <w:lang w:val="sr-Cyrl-CS"/>
        </w:rPr>
        <w:t xml:space="preserve"> </w:t>
      </w:r>
      <w:r w:rsidR="00B85D9D" w:rsidRPr="006C2415">
        <w:rPr>
          <w:rFonts w:ascii="Arial Narrow" w:hAnsi="Arial Narrow" w:cs="Tahoma"/>
          <w:sz w:val="22"/>
          <w:lang w:val="ru-RU"/>
        </w:rPr>
        <w:t xml:space="preserve">подручју </w:t>
      </w:r>
      <w:r w:rsidR="00B85D9D" w:rsidRPr="006C241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6C2415">
        <w:rPr>
          <w:rFonts w:ascii="Arial Narrow" w:hAnsi="Arial Narrow" w:cs="Tahoma"/>
          <w:sz w:val="22"/>
          <w:lang w:val="sr-Cyrl-CS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>остварен је раст од 5</w:t>
      </w:r>
      <w:r w:rsidRPr="006C2415">
        <w:rPr>
          <w:rFonts w:ascii="Arial Narrow" w:hAnsi="Arial Narrow" w:cs="Tahoma"/>
          <w:sz w:val="22"/>
          <w:lang w:val="ru-RU"/>
        </w:rPr>
        <w:t>,</w:t>
      </w:r>
      <w:r w:rsidR="00AC4206" w:rsidRPr="006C2415">
        <w:rPr>
          <w:rFonts w:ascii="Arial Narrow" w:hAnsi="Arial Narrow" w:cs="Tahoma"/>
          <w:sz w:val="22"/>
          <w:lang w:val="ru-RU"/>
        </w:rPr>
        <w:t>2</w:t>
      </w:r>
      <w:r w:rsidRPr="006C2415">
        <w:rPr>
          <w:rFonts w:ascii="Arial Narrow" w:hAnsi="Arial Narrow" w:cs="Tahoma"/>
          <w:sz w:val="22"/>
          <w:lang w:val="ru-RU"/>
        </w:rPr>
        <w:t>%,</w:t>
      </w:r>
      <w:r w:rsidRPr="006C2415">
        <w:rPr>
          <w:rFonts w:ascii="Arial Narrow" w:hAnsi="Arial Narrow" w:cs="Tahoma"/>
          <w:sz w:val="22"/>
          <w:lang w:val="sr-Latn-CS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 xml:space="preserve">у </w:t>
      </w:r>
      <w:r w:rsidR="00B85D9D" w:rsidRPr="006C2415">
        <w:rPr>
          <w:rFonts w:ascii="Arial Narrow" w:hAnsi="Arial Narrow" w:cs="Tahoma"/>
          <w:sz w:val="22"/>
          <w:lang w:val="sr-Cyrl-CS"/>
        </w:rPr>
        <w:t xml:space="preserve">подручју </w:t>
      </w:r>
      <w:r w:rsidR="00B85D9D" w:rsidRPr="006C2415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B85D9D" w:rsidRPr="006C2415">
        <w:rPr>
          <w:rFonts w:ascii="Arial Narrow" w:hAnsi="Arial Narrow" w:cs="Tahoma"/>
          <w:i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ru-RU"/>
        </w:rPr>
        <w:t xml:space="preserve">раст </w:t>
      </w:r>
      <w:r w:rsidRPr="006C2415">
        <w:rPr>
          <w:rFonts w:ascii="Arial Narrow" w:hAnsi="Arial Narrow" w:cs="Tahoma"/>
          <w:sz w:val="22"/>
          <w:lang w:val="sr-Cyrl-CS"/>
        </w:rPr>
        <w:t xml:space="preserve">од </w:t>
      </w:r>
      <w:r w:rsidR="00B85D9D" w:rsidRPr="006C2415">
        <w:rPr>
          <w:rFonts w:ascii="Arial Narrow" w:hAnsi="Arial Narrow" w:cs="Tahoma"/>
          <w:sz w:val="22"/>
          <w:lang w:val="sr-Cyrl-CS"/>
        </w:rPr>
        <w:t>3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B85D9D" w:rsidRPr="006C2415">
        <w:rPr>
          <w:rFonts w:ascii="Arial Narrow" w:hAnsi="Arial Narrow" w:cs="Tahoma"/>
          <w:sz w:val="22"/>
          <w:lang w:val="sr-Cyrl-CS"/>
        </w:rPr>
        <w:t>1</w:t>
      </w:r>
      <w:r w:rsidRPr="006C2415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6C241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 xml:space="preserve">раст </w:t>
      </w:r>
      <w:r w:rsidRPr="006C2415">
        <w:rPr>
          <w:rFonts w:ascii="Arial Narrow" w:hAnsi="Arial Narrow" w:cs="Tahoma"/>
          <w:sz w:val="22"/>
          <w:lang w:val="ru-RU"/>
        </w:rPr>
        <w:t>од 0,</w:t>
      </w:r>
      <w:r w:rsidR="00B85D9D" w:rsidRPr="006C2415">
        <w:rPr>
          <w:rFonts w:ascii="Arial Narrow" w:hAnsi="Arial Narrow" w:cs="Tahoma"/>
          <w:sz w:val="22"/>
          <w:lang w:val="ru-RU"/>
        </w:rPr>
        <w:t>1</w:t>
      </w:r>
      <w:r w:rsidRPr="006C2415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6C2415" w:rsidRDefault="00783BE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6C2415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>
            <wp:extent cx="6480810" cy="309196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6C2415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6C2415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CE2F01" w:rsidRPr="006C2415">
        <w:rPr>
          <w:rFonts w:ascii="Arial Narrow" w:hAnsi="Arial Narrow" w:cs="Tahoma"/>
          <w:sz w:val="16"/>
          <w:szCs w:val="16"/>
          <w:lang w:val="sr-Latn-CS"/>
        </w:rPr>
        <w:t>3</w:t>
      </w:r>
      <w:r w:rsidRPr="006C2415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AC4206" w:rsidRPr="006C2415">
        <w:rPr>
          <w:rFonts w:ascii="Arial Narrow" w:hAnsi="Arial Narrow" w:cs="Tahoma"/>
          <w:sz w:val="16"/>
          <w:szCs w:val="16"/>
          <w:lang w:val="sr-Cyrl-CS"/>
        </w:rPr>
        <w:t>март</w:t>
      </w:r>
      <w:r w:rsidRPr="006C2415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6C2415">
        <w:rPr>
          <w:rFonts w:ascii="Arial Narrow" w:hAnsi="Arial Narrow" w:cs="Tahoma"/>
          <w:sz w:val="16"/>
          <w:szCs w:val="16"/>
        </w:rPr>
        <w:t>1</w:t>
      </w:r>
      <w:r w:rsidRPr="006C2415">
        <w:rPr>
          <w:rFonts w:ascii="Arial Narrow" w:hAnsi="Arial Narrow" w:cs="Tahoma"/>
          <w:sz w:val="16"/>
          <w:szCs w:val="16"/>
          <w:lang w:val="sr-Cyrl-CS"/>
        </w:rPr>
        <w:t>1</w:t>
      </w:r>
      <w:r w:rsidRPr="006C241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AC4206" w:rsidRPr="006C2415">
        <w:rPr>
          <w:rFonts w:ascii="Arial Narrow" w:hAnsi="Arial Narrow" w:cs="Tahoma"/>
          <w:sz w:val="16"/>
          <w:szCs w:val="16"/>
          <w:lang w:val="sr-Cyrl-CS"/>
        </w:rPr>
        <w:t>март</w:t>
      </w:r>
      <w:r w:rsidRPr="006C241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6C2415">
        <w:rPr>
          <w:rFonts w:ascii="Arial Narrow" w:hAnsi="Arial Narrow" w:cs="Tahoma"/>
          <w:sz w:val="16"/>
          <w:szCs w:val="16"/>
          <w:lang w:val="sr-Cyrl-CS"/>
        </w:rPr>
        <w:t>5</w:t>
      </w:r>
      <w:r w:rsidRPr="006C2415">
        <w:rPr>
          <w:rFonts w:ascii="Arial Narrow" w:hAnsi="Arial Narrow" w:cs="Tahoma"/>
          <w:sz w:val="16"/>
          <w:szCs w:val="16"/>
          <w:lang w:val="sr-Latn-CS"/>
        </w:rPr>
        <w:t>. (</w:t>
      </w:r>
      <w:r w:rsidRPr="006C241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C2415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6C24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40F41" w:rsidRPr="006C2415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Cs w:val="30"/>
        </w:rPr>
      </w:pPr>
    </w:p>
    <w:p w:rsidR="00055304" w:rsidRPr="00170CA9" w:rsidRDefault="00055304" w:rsidP="00055304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170CA9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170CA9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170CA9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170CA9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170CA9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170CA9">
        <w:rPr>
          <w:rFonts w:ascii="Arial Narrow" w:hAnsi="Arial Narrow" w:cs="Tahoma"/>
          <w:b/>
          <w:sz w:val="30"/>
          <w:szCs w:val="30"/>
        </w:rPr>
        <w:t>II</w:t>
      </w:r>
      <w:r w:rsidR="009831F8" w:rsidRPr="00170CA9">
        <w:rPr>
          <w:rFonts w:ascii="Arial Narrow" w:hAnsi="Arial Narrow" w:cs="Tahoma"/>
          <w:b/>
          <w:sz w:val="30"/>
          <w:szCs w:val="30"/>
        </w:rPr>
        <w:t>I</w:t>
      </w:r>
      <w:r w:rsidRPr="00170CA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170CA9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170CA9">
        <w:rPr>
          <w:rFonts w:ascii="Arial Narrow" w:hAnsi="Arial Narrow" w:cs="Tahoma"/>
          <w:b/>
          <w:sz w:val="30"/>
          <w:szCs w:val="30"/>
        </w:rPr>
        <w:t>5.</w:t>
      </w:r>
      <w:r w:rsidRPr="00170CA9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170CA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831F8" w:rsidRPr="00170CA9">
        <w:rPr>
          <w:rFonts w:ascii="Arial Narrow" w:hAnsi="Arial Narrow" w:cs="Tahoma"/>
          <w:b/>
          <w:sz w:val="30"/>
          <w:szCs w:val="30"/>
          <w:lang w:val="hr-HR"/>
        </w:rPr>
        <w:t>60</w:t>
      </w:r>
      <w:r w:rsidRPr="00170CA9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831F8" w:rsidRPr="00170CA9">
        <w:rPr>
          <w:rFonts w:ascii="Arial Narrow" w:hAnsi="Arial Narrow" w:cs="Tahoma"/>
          <w:b/>
          <w:sz w:val="30"/>
          <w:szCs w:val="30"/>
          <w:lang w:val="hr-HR"/>
        </w:rPr>
        <w:t>1</w:t>
      </w:r>
      <w:r w:rsidRPr="00170CA9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055304" w:rsidRPr="006C2415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55304" w:rsidRPr="006C2415" w:rsidRDefault="00055304" w:rsidP="00055304">
      <w:pPr>
        <w:jc w:val="both"/>
        <w:rPr>
          <w:rFonts w:ascii="Arial Narrow" w:hAnsi="Arial Narrow" w:cs="Tahoma"/>
          <w:sz w:val="22"/>
          <w:lang w:val="sr-Cyrl-BA"/>
        </w:rPr>
      </w:pPr>
      <w:r w:rsidRPr="006C2415">
        <w:rPr>
          <w:rFonts w:ascii="Arial Narrow" w:hAnsi="Arial Narrow" w:cs="Tahoma"/>
          <w:sz w:val="22"/>
          <w:lang w:val="sr-Cyrl-BA"/>
        </w:rPr>
        <w:t xml:space="preserve">У </w:t>
      </w:r>
      <w:r w:rsidR="009831F8" w:rsidRPr="006C2415">
        <w:rPr>
          <w:rFonts w:ascii="Arial Narrow" w:hAnsi="Arial Narrow" w:cs="Tahoma"/>
          <w:sz w:val="22"/>
          <w:lang w:val="sr-Cyrl-BA"/>
        </w:rPr>
        <w:t>марту</w:t>
      </w:r>
      <w:r w:rsidRPr="006C2415">
        <w:rPr>
          <w:rFonts w:ascii="Arial Narrow" w:hAnsi="Arial Narrow" w:cs="Tahoma"/>
          <w:sz w:val="22"/>
          <w:lang w:val="sr-Cyrl-BA"/>
        </w:rPr>
        <w:t xml:space="preserve"> 201</w:t>
      </w:r>
      <w:r w:rsidRPr="006C2415">
        <w:rPr>
          <w:rFonts w:ascii="Arial Narrow" w:hAnsi="Arial Narrow" w:cs="Tahoma"/>
          <w:sz w:val="22"/>
          <w:lang w:val="sr-Latn-CS"/>
        </w:rPr>
        <w:t>5</w:t>
      </w:r>
      <w:r w:rsidRPr="006C2415">
        <w:rPr>
          <w:rFonts w:ascii="Arial Narrow" w:hAnsi="Arial Narrow" w:cs="Tahoma"/>
          <w:sz w:val="22"/>
          <w:lang w:val="sr-Cyrl-BA"/>
        </w:rPr>
        <w:t>. године остварен је извоз у вриједности 2</w:t>
      </w:r>
      <w:r w:rsidR="009831F8" w:rsidRPr="006C2415">
        <w:rPr>
          <w:rFonts w:ascii="Arial Narrow" w:hAnsi="Arial Narrow" w:cs="Tahoma"/>
          <w:sz w:val="22"/>
          <w:lang w:val="sr-Cyrl-BA"/>
        </w:rPr>
        <w:t>13</w:t>
      </w:r>
      <w:r w:rsidRPr="006C2415">
        <w:rPr>
          <w:rFonts w:ascii="Arial Narrow" w:hAnsi="Arial Narrow" w:cs="Tahoma"/>
          <w:sz w:val="22"/>
          <w:lang w:val="sr-Cyrl-BA"/>
        </w:rPr>
        <w:t xml:space="preserve"> милион</w:t>
      </w:r>
      <w:r w:rsidR="009831F8" w:rsidRPr="006C2415">
        <w:rPr>
          <w:rFonts w:ascii="Arial Narrow" w:hAnsi="Arial Narrow" w:cs="Tahoma"/>
          <w:sz w:val="22"/>
          <w:lang w:val="sr-Cyrl-BA"/>
        </w:rPr>
        <w:t>а</w:t>
      </w:r>
      <w:r w:rsidRPr="006C2415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9831F8" w:rsidRPr="006C2415">
        <w:rPr>
          <w:rFonts w:ascii="Arial Narrow" w:hAnsi="Arial Narrow" w:cs="Tahoma"/>
          <w:sz w:val="22"/>
          <w:lang w:val="sr-Cyrl-BA"/>
        </w:rPr>
        <w:t>402</w:t>
      </w:r>
      <w:r w:rsidRPr="006C2415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055304" w:rsidRPr="006C2415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6C2415" w:rsidRDefault="00055304" w:rsidP="00055304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6C241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C2415">
        <w:rPr>
          <w:rFonts w:ascii="Arial Narrow" w:hAnsi="Arial Narrow" w:cs="Tahoma"/>
          <w:sz w:val="22"/>
          <w:lang w:val="bs-Cyrl-BA"/>
        </w:rPr>
        <w:t>е</w:t>
      </w:r>
      <w:r w:rsidRPr="006C241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C241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C2415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7D21F0" w:rsidRPr="006C2415">
        <w:rPr>
          <w:rFonts w:ascii="Arial Narrow" w:hAnsi="Arial Narrow" w:cs="Tahoma"/>
          <w:sz w:val="22"/>
          <w:lang w:val="sr-Cyrl-BA"/>
        </w:rPr>
        <w:t>марту</w:t>
      </w:r>
      <w:r w:rsidRPr="006C2415">
        <w:rPr>
          <w:rFonts w:ascii="Arial Narrow" w:hAnsi="Arial Narrow" w:cs="Tahoma"/>
          <w:sz w:val="22"/>
          <w:lang w:val="sr-Cyrl-BA"/>
        </w:rPr>
        <w:t xml:space="preserve"> ове године, проценат покривености увоза извозом износио је 5</w:t>
      </w:r>
      <w:r w:rsidR="007D21F0" w:rsidRPr="006C2415">
        <w:rPr>
          <w:rFonts w:ascii="Arial Narrow" w:hAnsi="Arial Narrow" w:cs="Tahoma"/>
          <w:sz w:val="22"/>
          <w:lang w:val="sr-Cyrl-BA"/>
        </w:rPr>
        <w:t>2</w:t>
      </w:r>
      <w:r w:rsidRPr="006C2415">
        <w:rPr>
          <w:rFonts w:ascii="Arial Narrow" w:hAnsi="Arial Narrow" w:cs="Tahoma"/>
          <w:sz w:val="22"/>
          <w:lang w:val="sr-Cyrl-BA"/>
        </w:rPr>
        <w:t>,</w:t>
      </w:r>
      <w:r w:rsidR="007D21F0" w:rsidRPr="006C2415">
        <w:rPr>
          <w:rFonts w:ascii="Arial Narrow" w:hAnsi="Arial Narrow" w:cs="Tahoma"/>
          <w:sz w:val="22"/>
          <w:lang w:val="sr-Cyrl-BA"/>
        </w:rPr>
        <w:t>9</w:t>
      </w:r>
      <w:r w:rsidRPr="006C2415">
        <w:rPr>
          <w:rFonts w:ascii="Arial Narrow" w:hAnsi="Arial Narrow" w:cs="Tahoma"/>
          <w:sz w:val="22"/>
          <w:lang w:val="sr-Cyrl-BA"/>
        </w:rPr>
        <w:t xml:space="preserve">%. 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прва </w:t>
      </w:r>
      <w:r w:rsidR="007D21F0" w:rsidRPr="006C2415">
        <w:rPr>
          <w:rFonts w:ascii="Arial Narrow" w:hAnsi="Arial Narrow" w:cs="Tahoma"/>
          <w:sz w:val="22"/>
          <w:szCs w:val="22"/>
          <w:lang w:val="ru-RU"/>
        </w:rPr>
        <w:t>три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 мјесеца текуће године износио је 6</w:t>
      </w:r>
      <w:r w:rsidR="007D21F0" w:rsidRPr="006C2415">
        <w:rPr>
          <w:rFonts w:ascii="Arial Narrow" w:hAnsi="Arial Narrow" w:cs="Tahoma"/>
          <w:sz w:val="22"/>
          <w:szCs w:val="22"/>
          <w:lang w:val="ru-RU"/>
        </w:rPr>
        <w:t>0</w:t>
      </w:r>
      <w:r w:rsidRPr="006C2415">
        <w:rPr>
          <w:rFonts w:ascii="Arial Narrow" w:hAnsi="Arial Narrow" w:cs="Tahoma"/>
          <w:sz w:val="22"/>
          <w:szCs w:val="22"/>
          <w:lang w:val="ru-RU"/>
        </w:rPr>
        <w:t>,</w:t>
      </w:r>
      <w:r w:rsidR="007D21F0" w:rsidRPr="006C2415">
        <w:rPr>
          <w:rFonts w:ascii="Arial Narrow" w:hAnsi="Arial Narrow" w:cs="Tahoma"/>
          <w:sz w:val="22"/>
          <w:szCs w:val="22"/>
          <w:lang w:val="ru-RU"/>
        </w:rPr>
        <w:t>1</w:t>
      </w:r>
      <w:r w:rsidRPr="006C2415">
        <w:rPr>
          <w:rFonts w:ascii="Arial Narrow" w:hAnsi="Arial Narrow" w:cs="Tahoma"/>
          <w:sz w:val="22"/>
          <w:szCs w:val="22"/>
          <w:lang w:val="ru-RU"/>
        </w:rPr>
        <w:t>%.</w:t>
      </w:r>
    </w:p>
    <w:p w:rsidR="00055304" w:rsidRPr="006C2415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6C2415" w:rsidRDefault="00055304" w:rsidP="00055304">
      <w:pPr>
        <w:jc w:val="both"/>
        <w:rPr>
          <w:rFonts w:ascii="Tahoma" w:hAnsi="Tahoma" w:cs="Tahoma"/>
          <w:lang w:val="ru-RU"/>
        </w:rPr>
      </w:pPr>
      <w:r w:rsidRPr="006C2415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7D21F0" w:rsidRPr="006C2415">
        <w:rPr>
          <w:rFonts w:ascii="Arial Narrow" w:hAnsi="Arial Narrow" w:cs="Tahoma"/>
          <w:sz w:val="22"/>
          <w:lang w:val="ru-RU"/>
        </w:rPr>
        <w:t>март</w:t>
      </w:r>
      <w:r w:rsidRPr="006C2415">
        <w:rPr>
          <w:rFonts w:ascii="Arial Narrow" w:hAnsi="Arial Narrow" w:cs="Tahoma"/>
          <w:sz w:val="22"/>
          <w:lang w:val="ru-RU"/>
        </w:rPr>
        <w:t xml:space="preserve"> 2015. остварен је извоз у вриједности од </w:t>
      </w:r>
      <w:r w:rsidR="007D21F0" w:rsidRPr="006C2415">
        <w:rPr>
          <w:rFonts w:ascii="Arial Narrow" w:hAnsi="Arial Narrow" w:cs="Tahoma"/>
          <w:sz w:val="22"/>
          <w:lang w:val="ru-RU"/>
        </w:rPr>
        <w:t>583</w:t>
      </w:r>
      <w:r w:rsidRPr="006C2415">
        <w:rPr>
          <w:rFonts w:ascii="Arial Narrow" w:hAnsi="Arial Narrow" w:cs="Tahoma"/>
          <w:sz w:val="22"/>
          <w:lang w:val="ru-RU"/>
        </w:rPr>
        <w:t xml:space="preserve"> милион</w:t>
      </w:r>
      <w:r w:rsidR="007D21F0" w:rsidRPr="006C2415">
        <w:rPr>
          <w:rFonts w:ascii="Arial Narrow" w:hAnsi="Arial Narrow" w:cs="Tahoma"/>
          <w:sz w:val="22"/>
          <w:lang w:val="ru-RU"/>
        </w:rPr>
        <w:t>а КМ, што је за 8,2</w:t>
      </w:r>
      <w:r w:rsidRPr="006C2415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7D21F0" w:rsidRPr="006C2415">
        <w:rPr>
          <w:rFonts w:ascii="Arial Narrow" w:hAnsi="Arial Narrow" w:cs="Tahoma"/>
          <w:sz w:val="22"/>
          <w:lang w:val="ru-RU"/>
        </w:rPr>
        <w:t>971</w:t>
      </w:r>
      <w:r w:rsidR="007D4692" w:rsidRPr="006C2415">
        <w:rPr>
          <w:rFonts w:ascii="Arial Narrow" w:hAnsi="Arial Narrow" w:cs="Tahoma"/>
          <w:sz w:val="22"/>
          <w:lang w:val="ru-RU"/>
        </w:rPr>
        <w:t xml:space="preserve"> милион</w:t>
      </w:r>
      <w:r w:rsidRPr="006C2415">
        <w:rPr>
          <w:rFonts w:ascii="Arial Narrow" w:hAnsi="Arial Narrow" w:cs="Tahoma"/>
          <w:sz w:val="22"/>
          <w:lang w:val="ru-RU"/>
        </w:rPr>
        <w:t xml:space="preserve"> КМ, што је за </w:t>
      </w:r>
      <w:r w:rsidRPr="006C2415">
        <w:rPr>
          <w:rFonts w:ascii="Arial Narrow" w:hAnsi="Arial Narrow" w:cs="Tahoma"/>
          <w:sz w:val="22"/>
          <w:lang w:val="sr-Latn-CS"/>
        </w:rPr>
        <w:t>1</w:t>
      </w:r>
      <w:r w:rsidR="007D21F0" w:rsidRPr="006C2415">
        <w:rPr>
          <w:rFonts w:ascii="Arial Narrow" w:hAnsi="Arial Narrow" w:cs="Tahoma"/>
          <w:sz w:val="22"/>
          <w:lang w:val="sr-Cyrl-BA"/>
        </w:rPr>
        <w:t>1</w:t>
      </w:r>
      <w:r w:rsidRPr="006C2415">
        <w:rPr>
          <w:rFonts w:ascii="Arial Narrow" w:hAnsi="Arial Narrow" w:cs="Tahoma"/>
          <w:sz w:val="22"/>
          <w:lang w:val="sr-Latn-CS"/>
        </w:rPr>
        <w:t>,</w:t>
      </w:r>
      <w:r w:rsidR="007D21F0" w:rsidRPr="006C2415">
        <w:rPr>
          <w:rFonts w:ascii="Arial Narrow" w:hAnsi="Arial Narrow" w:cs="Tahoma"/>
          <w:sz w:val="22"/>
          <w:lang w:val="sr-Cyrl-BA"/>
        </w:rPr>
        <w:t>7</w:t>
      </w:r>
      <w:r w:rsidRPr="006C2415">
        <w:rPr>
          <w:rFonts w:ascii="Arial Narrow" w:hAnsi="Arial Narrow" w:cs="Tahoma"/>
          <w:sz w:val="22"/>
          <w:lang w:val="ru-RU"/>
        </w:rPr>
        <w:t xml:space="preserve">% </w:t>
      </w:r>
      <w:r w:rsidRPr="006C2415">
        <w:rPr>
          <w:rFonts w:ascii="Arial Narrow" w:hAnsi="Arial Narrow" w:cs="Tahoma"/>
          <w:sz w:val="22"/>
          <w:lang w:val="sr-Latn-CS"/>
        </w:rPr>
        <w:t>мање</w:t>
      </w:r>
      <w:r w:rsidRPr="006C2415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055304" w:rsidRPr="006C2415" w:rsidRDefault="00055304" w:rsidP="00055304">
      <w:pPr>
        <w:jc w:val="both"/>
        <w:rPr>
          <w:rFonts w:ascii="Arial Narrow" w:hAnsi="Arial Narrow" w:cs="Tahoma"/>
          <w:sz w:val="22"/>
          <w:lang w:val="ru-RU"/>
        </w:rPr>
      </w:pPr>
    </w:p>
    <w:p w:rsidR="00055304" w:rsidRPr="006C2415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Latn-BA"/>
        </w:rPr>
      </w:pPr>
      <w:r w:rsidRPr="006C241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C2415">
        <w:rPr>
          <w:rFonts w:ascii="Arial Narrow" w:hAnsi="Arial Narrow" w:cs="Tahoma"/>
          <w:sz w:val="22"/>
        </w:rPr>
        <w:t>e</w:t>
      </w:r>
      <w:r w:rsidRPr="006C2415">
        <w:rPr>
          <w:rFonts w:ascii="Arial Narrow" w:hAnsi="Arial Narrow" w:cs="Tahoma"/>
          <w:sz w:val="22"/>
          <w:lang w:val="ru-RU"/>
        </w:rPr>
        <w:t xml:space="preserve"> Српск</w:t>
      </w:r>
      <w:r w:rsidRPr="006C2415">
        <w:rPr>
          <w:rFonts w:ascii="Arial Narrow" w:hAnsi="Arial Narrow" w:cs="Tahoma"/>
          <w:sz w:val="22"/>
        </w:rPr>
        <w:t>e</w:t>
      </w:r>
      <w:r w:rsidRPr="006C2415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7D21F0" w:rsidRPr="006C2415">
        <w:rPr>
          <w:rFonts w:ascii="Arial Narrow" w:hAnsi="Arial Narrow" w:cs="Tahoma"/>
          <w:sz w:val="22"/>
          <w:lang w:val="ru-RU"/>
        </w:rPr>
        <w:t>март</w:t>
      </w:r>
      <w:r w:rsidRPr="006C2415">
        <w:rPr>
          <w:rFonts w:ascii="Arial Narrow" w:hAnsi="Arial Narrow" w:cs="Tahoma"/>
          <w:sz w:val="22"/>
          <w:lang w:val="ru-RU"/>
        </w:rPr>
        <w:t xml:space="preserve"> </w:t>
      </w:r>
      <w:r w:rsidRPr="006C2415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вриједности од </w:t>
      </w:r>
      <w:r w:rsidR="00B831CA" w:rsidRPr="006C2415">
        <w:rPr>
          <w:rFonts w:ascii="Arial Narrow" w:hAnsi="Arial Narrow" w:cs="Tahoma"/>
          <w:sz w:val="22"/>
          <w:lang w:val="sr-Cyrl-CS"/>
        </w:rPr>
        <w:t>110</w:t>
      </w:r>
      <w:r w:rsidRPr="006C2415">
        <w:rPr>
          <w:rFonts w:ascii="Arial Narrow" w:hAnsi="Arial Narrow" w:cs="Tahoma"/>
          <w:sz w:val="22"/>
          <w:lang w:val="sr-Cyrl-CS"/>
        </w:rPr>
        <w:t xml:space="preserve"> милион</w:t>
      </w:r>
      <w:r w:rsidR="00B831CA" w:rsidRPr="006C2415">
        <w:rPr>
          <w:rFonts w:ascii="Arial Narrow" w:hAnsi="Arial Narrow" w:cs="Tahoma"/>
          <w:sz w:val="22"/>
          <w:lang w:val="sr-Cyrl-CS"/>
        </w:rPr>
        <w:t>а</w:t>
      </w:r>
      <w:r w:rsidRPr="006C241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B831CA" w:rsidRPr="006C2415">
        <w:rPr>
          <w:rFonts w:ascii="Arial Narrow" w:hAnsi="Arial Narrow" w:cs="Tahoma"/>
          <w:sz w:val="22"/>
          <w:lang w:val="sr-Cyrl-CS"/>
        </w:rPr>
        <w:t>8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B831CA" w:rsidRPr="006C2415">
        <w:rPr>
          <w:rFonts w:ascii="Arial Narrow" w:hAnsi="Arial Narrow" w:cs="Tahoma"/>
          <w:sz w:val="22"/>
          <w:lang w:val="sr-Cyrl-CS"/>
        </w:rPr>
        <w:t>8</w:t>
      </w:r>
      <w:r w:rsidRPr="006C2415">
        <w:rPr>
          <w:rFonts w:ascii="Arial Narrow" w:hAnsi="Arial Narrow" w:cs="Tahoma"/>
          <w:sz w:val="22"/>
          <w:lang w:val="sr-Cyrl-CS"/>
        </w:rPr>
        <w:t>%</w:t>
      </w:r>
      <w:r w:rsidRPr="006C2415">
        <w:rPr>
          <w:rFonts w:ascii="Arial Narrow" w:hAnsi="Arial Narrow" w:cs="Tahoma"/>
          <w:sz w:val="22"/>
          <w:lang w:val="ru-RU"/>
        </w:rPr>
        <w:t xml:space="preserve">, </w:t>
      </w:r>
      <w:r w:rsidR="00B831CA" w:rsidRPr="006C2415">
        <w:rPr>
          <w:rFonts w:ascii="Arial Narrow" w:hAnsi="Arial Narrow" w:cs="Tahoma"/>
          <w:sz w:val="22"/>
          <w:lang w:val="sr-Cyrl-CS"/>
        </w:rPr>
        <w:t>те у Србију 7</w:t>
      </w:r>
      <w:r w:rsidRPr="006C2415">
        <w:rPr>
          <w:rFonts w:ascii="Arial Narrow" w:hAnsi="Arial Narrow" w:cs="Tahoma"/>
          <w:sz w:val="22"/>
          <w:lang w:val="sr-Cyrl-CS"/>
        </w:rPr>
        <w:t>7 милиона КМ, односно 1</w:t>
      </w:r>
      <w:r w:rsidR="00B831CA" w:rsidRPr="006C2415">
        <w:rPr>
          <w:rFonts w:ascii="Arial Narrow" w:hAnsi="Arial Narrow" w:cs="Tahoma"/>
          <w:sz w:val="22"/>
          <w:lang w:val="sr-Cyrl-CS"/>
        </w:rPr>
        <w:t>3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B831CA" w:rsidRPr="006C2415">
        <w:rPr>
          <w:rFonts w:ascii="Arial Narrow" w:hAnsi="Arial Narrow" w:cs="Tahoma"/>
          <w:sz w:val="22"/>
          <w:lang w:val="sr-Cyrl-CS"/>
        </w:rPr>
        <w:t>3</w:t>
      </w:r>
      <w:r w:rsidRPr="006C2415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FF3A7B" w:rsidRPr="006C2415" w:rsidRDefault="00FF3A7B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Latn-BA"/>
        </w:rPr>
      </w:pPr>
    </w:p>
    <w:p w:rsidR="00055304" w:rsidRPr="006C2415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C2415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6C2415">
        <w:rPr>
          <w:rFonts w:ascii="Arial Narrow" w:hAnsi="Arial Narrow" w:cs="Tahoma"/>
          <w:sz w:val="22"/>
          <w:lang w:val="sr-Cyrl-BA"/>
        </w:rPr>
        <w:t>н</w:t>
      </w:r>
      <w:r w:rsidRPr="006C2415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B85E7F" w:rsidRPr="006C2415">
        <w:rPr>
          <w:rFonts w:ascii="Arial Narrow" w:hAnsi="Arial Narrow" w:cs="Tahoma"/>
          <w:sz w:val="22"/>
          <w:lang w:val="sr-Cyrl-CS"/>
        </w:rPr>
        <w:t>163</w:t>
      </w:r>
      <w:r w:rsidRPr="006C241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B85E7F" w:rsidRPr="006C2415">
        <w:rPr>
          <w:rFonts w:ascii="Arial Narrow" w:hAnsi="Arial Narrow" w:cs="Tahoma"/>
          <w:sz w:val="22"/>
          <w:lang w:val="sr-Cyrl-CS"/>
        </w:rPr>
        <w:t>6</w:t>
      </w:r>
      <w:r w:rsidRPr="006C2415">
        <w:rPr>
          <w:rFonts w:ascii="Arial Narrow" w:hAnsi="Arial Narrow" w:cs="Tahoma"/>
          <w:sz w:val="22"/>
          <w:lang w:val="sr-Cyrl-CS"/>
        </w:rPr>
        <w:t>,</w:t>
      </w:r>
      <w:r w:rsidR="00B85E7F" w:rsidRPr="006C2415">
        <w:rPr>
          <w:rFonts w:ascii="Arial Narrow" w:hAnsi="Arial Narrow" w:cs="Tahoma"/>
          <w:sz w:val="22"/>
          <w:lang w:val="sr-Cyrl-CS"/>
        </w:rPr>
        <w:t>8</w:t>
      </w:r>
      <w:r w:rsidRPr="006C2415">
        <w:rPr>
          <w:rFonts w:ascii="Arial Narrow" w:hAnsi="Arial Narrow" w:cs="Tahoma"/>
          <w:sz w:val="22"/>
          <w:lang w:val="sr-Cyrl-CS"/>
        </w:rPr>
        <w:t>% и и</w:t>
      </w:r>
      <w:r w:rsidR="00B85E7F" w:rsidRPr="006C2415">
        <w:rPr>
          <w:rFonts w:ascii="Arial Narrow" w:hAnsi="Arial Narrow" w:cs="Tahoma"/>
          <w:sz w:val="22"/>
          <w:lang w:val="sr-Cyrl-CS"/>
        </w:rPr>
        <w:t xml:space="preserve">з </w:t>
      </w:r>
      <w:r w:rsidR="00746277" w:rsidRPr="006C2415">
        <w:rPr>
          <w:rFonts w:ascii="Arial Narrow" w:hAnsi="Arial Narrow" w:cs="Tahoma"/>
          <w:sz w:val="22"/>
          <w:lang w:val="sr-Cyrl-CS"/>
        </w:rPr>
        <w:t>Русије</w:t>
      </w:r>
      <w:r w:rsidR="00B85E7F" w:rsidRPr="006C2415">
        <w:rPr>
          <w:rFonts w:ascii="Arial Narrow" w:hAnsi="Arial Narrow" w:cs="Tahoma"/>
          <w:sz w:val="22"/>
          <w:lang w:val="sr-Cyrl-CS"/>
        </w:rPr>
        <w:t>, у вриједности од 127 милиона КМ, односно 13,1</w:t>
      </w:r>
      <w:r w:rsidRPr="006C241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055304" w:rsidRPr="006C2415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55304" w:rsidRPr="006C2415" w:rsidRDefault="00055304" w:rsidP="0005530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C2415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6C2415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B85E7F" w:rsidRPr="006C2415">
        <w:rPr>
          <w:rFonts w:ascii="Arial Narrow" w:hAnsi="Arial Narrow" w:cs="Tahoma"/>
          <w:sz w:val="22"/>
          <w:szCs w:val="22"/>
          <w:lang w:val="ru-RU"/>
        </w:rPr>
        <w:t>март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2015. године, највеће учешће у извозу остварују в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јештачки корунд, алуминијум оксид и алуминијум хидроксид </w:t>
      </w:r>
      <w:r w:rsidRPr="006C2415">
        <w:rPr>
          <w:rFonts w:ascii="Arial Narrow" w:hAnsi="Arial Narrow" w:cs="Tahoma"/>
          <w:sz w:val="22"/>
          <w:szCs w:val="22"/>
          <w:lang w:val="sr-Cyrl-CS"/>
        </w:rPr>
        <w:t>са ук</w:t>
      </w:r>
      <w:r w:rsidR="00505EBA" w:rsidRPr="006C2415">
        <w:rPr>
          <w:rFonts w:ascii="Arial Narrow" w:hAnsi="Arial Narrow" w:cs="Tahoma"/>
          <w:sz w:val="22"/>
          <w:szCs w:val="22"/>
          <w:lang w:val="sr-Cyrl-CS"/>
        </w:rPr>
        <w:t>упном вриједношћу од 36 милиона КМ, што износи 6,3</w:t>
      </w:r>
      <w:r w:rsidRPr="006C241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н</w:t>
      </w:r>
      <w:r w:rsidRPr="006C2415">
        <w:rPr>
          <w:rFonts w:ascii="Arial Narrow" w:hAnsi="Arial Narrow" w:cs="Tahoma"/>
          <w:sz w:val="22"/>
          <w:szCs w:val="22"/>
          <w:lang w:val="ru-RU"/>
        </w:rPr>
        <w:t>афт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6C2415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6C2415">
        <w:rPr>
          <w:rFonts w:ascii="Arial Narrow" w:hAnsi="Arial Narrow" w:cs="Tahoma"/>
          <w:sz w:val="22"/>
          <w:szCs w:val="22"/>
          <w:lang w:val="ru-RU"/>
        </w:rPr>
        <w:t>сиров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505EBA" w:rsidRPr="006C2415">
        <w:rPr>
          <w:rFonts w:ascii="Arial Narrow" w:hAnsi="Arial Narrow" w:cs="Tahoma"/>
          <w:sz w:val="22"/>
          <w:szCs w:val="22"/>
          <w:lang w:val="sr-Cyrl-BA"/>
        </w:rPr>
        <w:t>120</w:t>
      </w:r>
      <w:r w:rsidRPr="006C2415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505EBA" w:rsidRPr="006C2415">
        <w:rPr>
          <w:rFonts w:ascii="Arial Narrow" w:hAnsi="Arial Narrow" w:cs="Tahoma"/>
          <w:sz w:val="22"/>
          <w:szCs w:val="22"/>
          <w:lang w:val="sr-Cyrl-BA"/>
        </w:rPr>
        <w:t>12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,</w:t>
      </w:r>
      <w:r w:rsidR="00505EBA" w:rsidRPr="006C2415">
        <w:rPr>
          <w:rFonts w:ascii="Arial Narrow" w:hAnsi="Arial Narrow" w:cs="Tahoma"/>
          <w:sz w:val="22"/>
          <w:szCs w:val="22"/>
          <w:lang w:val="sr-Cyrl-BA"/>
        </w:rPr>
        <w:t>3</w:t>
      </w:r>
      <w:r w:rsidRPr="006C241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C241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6C241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6C2415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6C2415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C415AF" w:rsidRPr="006C2415" w:rsidRDefault="00B3535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  <w:r w:rsidRPr="00B3535B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5.2pt;margin-top:4pt;width:64.2pt;height:19.75pt;z-index:251664384;mso-width-relative:margin;mso-height-relative:margin" stroked="f">
            <v:textbox style="mso-next-textbox:#_x0000_s1068">
              <w:txbxContent>
                <w:p w:rsidR="006C2415" w:rsidRPr="000A1309" w:rsidRDefault="006C241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657311" w:rsidRPr="006C2415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657311" w:rsidRPr="006C2415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C2415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657727" cy="2524125"/>
            <wp:effectExtent l="0" t="0" r="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43E2" w:rsidRPr="006C2415" w:rsidRDefault="00B3535B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B3535B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6.25pt;margin-top:2.5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6C2415" w:rsidRPr="000A1309" w:rsidRDefault="006C241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B3535B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6.45pt;margin-top:2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6C2415" w:rsidRPr="000A1309" w:rsidRDefault="006C241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A1822" w:rsidRPr="006C2415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B54316" w:rsidRPr="006C2415" w:rsidRDefault="00B54316" w:rsidP="00777348">
      <w:pPr>
        <w:tabs>
          <w:tab w:val="left" w:pos="2535"/>
        </w:tabs>
        <w:jc w:val="center"/>
        <w:rPr>
          <w:rFonts w:ascii="Arial Narrow" w:hAnsi="Arial Narrow" w:cs="Tahoma"/>
          <w:sz w:val="22"/>
          <w:szCs w:val="22"/>
          <w:lang w:val="ru-RU"/>
        </w:rPr>
      </w:pPr>
    </w:p>
    <w:p w:rsidR="00777348" w:rsidRPr="006C241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C241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CE2F01" w:rsidRPr="006C2415">
        <w:rPr>
          <w:rFonts w:ascii="Arial Narrow" w:hAnsi="Arial Narrow" w:cs="Tahoma"/>
          <w:sz w:val="16"/>
          <w:szCs w:val="22"/>
          <w:lang w:val="sr-Latn-BA"/>
        </w:rPr>
        <w:t>4</w:t>
      </w:r>
      <w:r w:rsidRPr="006C241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C241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C241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C241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C241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15CDB" w:rsidRPr="006C241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6C2415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6C2415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Pr="006C2415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CE2F01" w:rsidRDefault="00CE2F0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FF3A7B" w:rsidRPr="00CE2F01" w:rsidRDefault="00FF3A7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F17452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C241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C2415" w:rsidRPr="006C2415" w:rsidRDefault="006C2415" w:rsidP="006C241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C241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националних рачуна</w:t>
            </w:r>
          </w:p>
          <w:p w:rsidR="006C2415" w:rsidRPr="006C2415" w:rsidRDefault="006C2415" w:rsidP="006C2415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6C2415">
              <w:rPr>
                <w:rFonts w:ascii="Arial Narrow" w:hAnsi="Arial Narrow" w:cs="Tahoma"/>
                <w:sz w:val="18"/>
                <w:szCs w:val="18"/>
                <w:lang w:val="sr-Cyrl-BA"/>
              </w:rPr>
              <w:t>Жана Алагић</w:t>
            </w:r>
          </w:p>
          <w:p w:rsidR="006C2415" w:rsidRPr="006C2415" w:rsidRDefault="00B3535B" w:rsidP="006C2415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4" w:history="1">
              <w:r w:rsidR="006C2415" w:rsidRPr="006C241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zana.alagic@rzs.rs.ba</w:t>
              </w:r>
            </w:hyperlink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9062FA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9062FA" w:rsidRDefault="00B3535B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9062FA" w:rsidRDefault="00B3535B" w:rsidP="006C2415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9062FA" w:rsidRDefault="00B3535B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9062FA" w:rsidRDefault="00B3535B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8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4A2B" w:rsidRDefault="009F4A2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4A2B" w:rsidRDefault="009F4A2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4A2B" w:rsidRDefault="009F4A2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4A2B" w:rsidRPr="009062FA" w:rsidRDefault="009F4A2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B3535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B3535B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DB5870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9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B3535B" w:rsidP="009E2A9A">
      <w:pPr>
        <w:rPr>
          <w:rFonts w:ascii="Tahoma" w:hAnsi="Tahoma" w:cs="Tahoma"/>
          <w:lang w:val="sr-Cyrl-BA"/>
        </w:rPr>
      </w:pPr>
      <w:r w:rsidRPr="00B3535B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15" w:rsidRDefault="006C2415">
      <w:r>
        <w:separator/>
      </w:r>
    </w:p>
  </w:endnote>
  <w:endnote w:type="continuationSeparator" w:id="0">
    <w:p w:rsidR="006C2415" w:rsidRDefault="006C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5" w:rsidRDefault="00B3535B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6C2415" w:rsidRPr="00175687" w:rsidRDefault="00B3535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C241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70CA9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15" w:rsidRDefault="00B3535B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6C2415" w:rsidRPr="00175687" w:rsidRDefault="00B3535B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C241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70CA9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15" w:rsidRDefault="006C2415">
      <w:r>
        <w:separator/>
      </w:r>
    </w:p>
  </w:footnote>
  <w:footnote w:type="continuationSeparator" w:id="0">
    <w:p w:rsidR="006C2415" w:rsidRDefault="006C2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6C241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C2415" w:rsidRPr="00DB5870" w:rsidRDefault="006C241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6C2415" w:rsidRPr="00DB5870" w:rsidRDefault="006C241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6C2415" w:rsidRPr="005D5311" w:rsidRDefault="006C2415" w:rsidP="00F174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април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4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C2415" w:rsidRDefault="00B3535B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B3535B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0A7D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78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0CA9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343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423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B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2415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29AD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3320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BED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2B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35B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AA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4BF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A7B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zana.alagi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Mart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5\mart%202015\za%20Graf%20III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IV 2013</c:v>
                </c:pt>
                <c:pt idx="1">
                  <c:v>I 2014¹</c:v>
                </c:pt>
                <c:pt idx="2">
                  <c:v>II 2014¹</c:v>
                </c:pt>
                <c:pt idx="3">
                  <c:v>III 2014¹</c:v>
                </c:pt>
                <c:pt idx="4">
                  <c:v>IV 2014¹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1.8</c:v>
                </c:pt>
                <c:pt idx="1">
                  <c:v>0.5</c:v>
                </c:pt>
                <c:pt idx="2" formatCode="0.0">
                  <c:v>-1</c:v>
                </c:pt>
                <c:pt idx="3" formatCode="0.0">
                  <c:v>0.1</c:v>
                </c:pt>
                <c:pt idx="4" formatCode="0.0">
                  <c:v>1.4</c:v>
                </c:pt>
              </c:numCache>
            </c:numRef>
          </c:val>
        </c:ser>
        <c:axId val="42158720"/>
        <c:axId val="42172800"/>
      </c:barChart>
      <c:catAx>
        <c:axId val="4215872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42172800"/>
        <c:crosses val="autoZero"/>
        <c:auto val="1"/>
        <c:lblAlgn val="ctr"/>
        <c:lblOffset val="100"/>
      </c:catAx>
      <c:valAx>
        <c:axId val="42172800"/>
        <c:scaling>
          <c:orientation val="minMax"/>
        </c:scaling>
        <c:axPos val="l"/>
        <c:majorGridlines>
          <c:spPr>
            <a:ln w="3175"/>
          </c:spPr>
        </c:majorGridlines>
        <c:numFmt formatCode="General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42158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815</c:v>
                </c:pt>
                <c:pt idx="1">
                  <c:v>821</c:v>
                </c:pt>
                <c:pt idx="2">
                  <c:v>818</c:v>
                </c:pt>
                <c:pt idx="3">
                  <c:v>837</c:v>
                </c:pt>
                <c:pt idx="4">
                  <c:v>830</c:v>
                </c:pt>
                <c:pt idx="5">
                  <c:v>825</c:v>
                </c:pt>
                <c:pt idx="6">
                  <c:v>831</c:v>
                </c:pt>
                <c:pt idx="7">
                  <c:v>826</c:v>
                </c:pt>
                <c:pt idx="8">
                  <c:v>827</c:v>
                </c:pt>
                <c:pt idx="9">
                  <c:v>836</c:v>
                </c:pt>
                <c:pt idx="10">
                  <c:v>812</c:v>
                </c:pt>
                <c:pt idx="11">
                  <c:v>834</c:v>
                </c:pt>
                <c:pt idx="12">
                  <c:v>831</c:v>
                </c:pt>
              </c:numCache>
            </c:numRef>
          </c:val>
        </c:ser>
        <c:marker val="1"/>
        <c:axId val="42184064"/>
        <c:axId val="46826624"/>
      </c:lineChart>
      <c:catAx>
        <c:axId val="42184064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6826624"/>
        <c:crosses val="autoZero"/>
        <c:auto val="1"/>
        <c:lblAlgn val="ctr"/>
        <c:lblOffset val="100"/>
      </c:catAx>
      <c:valAx>
        <c:axId val="46826624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21840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2011</c:v>
                  </c:pt>
                  <c:pt idx="10">
                    <c:v>2012</c:v>
                  </c:pt>
                  <c:pt idx="22">
                    <c:v>2013</c:v>
                  </c:pt>
                  <c:pt idx="34">
                    <c:v>2014</c:v>
                  </c:pt>
                  <c:pt idx="46">
                    <c:v>2015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103.38357911072698</c:v>
                </c:pt>
                <c:pt idx="1">
                  <c:v>101.1055830655083</c:v>
                </c:pt>
                <c:pt idx="2">
                  <c:v>103.64356420451089</c:v>
                </c:pt>
                <c:pt idx="3">
                  <c:v>105.58253925539366</c:v>
                </c:pt>
                <c:pt idx="4">
                  <c:v>110.49966902251705</c:v>
                </c:pt>
                <c:pt idx="5">
                  <c:v>108.00528379489954</c:v>
                </c:pt>
                <c:pt idx="6">
                  <c:v>98.988644418227963</c:v>
                </c:pt>
                <c:pt idx="7">
                  <c:v>104.43439455945064</c:v>
                </c:pt>
                <c:pt idx="8">
                  <c:v>103.42209892370241</c:v>
                </c:pt>
                <c:pt idx="9">
                  <c:v>100.25514085163138</c:v>
                </c:pt>
                <c:pt idx="10">
                  <c:v>102.52181630596536</c:v>
                </c:pt>
                <c:pt idx="11">
                  <c:v>97.489712985546134</c:v>
                </c:pt>
                <c:pt idx="12">
                  <c:v>101.279136638314</c:v>
                </c:pt>
                <c:pt idx="13">
                  <c:v>101.55733795957248</c:v>
                </c:pt>
                <c:pt idx="14">
                  <c:v>99.652195460552619</c:v>
                </c:pt>
                <c:pt idx="15">
                  <c:v>99.772691603205942</c:v>
                </c:pt>
                <c:pt idx="16">
                  <c:v>93.403396282610913</c:v>
                </c:pt>
                <c:pt idx="17">
                  <c:v>99.879989056767528</c:v>
                </c:pt>
                <c:pt idx="18">
                  <c:v>105.79465975836452</c:v>
                </c:pt>
                <c:pt idx="19">
                  <c:v>100.47435219630604</c:v>
                </c:pt>
                <c:pt idx="20">
                  <c:v>98.97188024078001</c:v>
                </c:pt>
                <c:pt idx="21">
                  <c:v>101.99409887223081</c:v>
                </c:pt>
                <c:pt idx="22">
                  <c:v>101.2308377398155</c:v>
                </c:pt>
                <c:pt idx="23">
                  <c:v>100.42374695541318</c:v>
                </c:pt>
                <c:pt idx="24">
                  <c:v>100.73232445513069</c:v>
                </c:pt>
                <c:pt idx="25">
                  <c:v>109.13406189487023</c:v>
                </c:pt>
                <c:pt idx="26">
                  <c:v>103.4635822737217</c:v>
                </c:pt>
                <c:pt idx="27">
                  <c:v>105.22238152484063</c:v>
                </c:pt>
                <c:pt idx="28">
                  <c:v>110.14178446918409</c:v>
                </c:pt>
                <c:pt idx="29">
                  <c:v>107.19175239128518</c:v>
                </c:pt>
                <c:pt idx="30">
                  <c:v>100.23225553836259</c:v>
                </c:pt>
                <c:pt idx="31">
                  <c:v>101.64340674124591</c:v>
                </c:pt>
                <c:pt idx="32">
                  <c:v>104.61505902204287</c:v>
                </c:pt>
                <c:pt idx="33">
                  <c:v>105.62942238307176</c:v>
                </c:pt>
                <c:pt idx="34">
                  <c:v>105.319943720523</c:v>
                </c:pt>
                <c:pt idx="35">
                  <c:v>105.37689299965903</c:v>
                </c:pt>
                <c:pt idx="36">
                  <c:v>103.16840172601614</c:v>
                </c:pt>
                <c:pt idx="37">
                  <c:v>102.97419886710584</c:v>
                </c:pt>
                <c:pt idx="38">
                  <c:v>103.95961575354357</c:v>
                </c:pt>
                <c:pt idx="39">
                  <c:v>104.54440451882974</c:v>
                </c:pt>
                <c:pt idx="40">
                  <c:v>105.60137776850257</c:v>
                </c:pt>
                <c:pt idx="41">
                  <c:v>100.62046908227087</c:v>
                </c:pt>
                <c:pt idx="42">
                  <c:v>108.42718696665209</c:v>
                </c:pt>
                <c:pt idx="43">
                  <c:v>107.53384291799608</c:v>
                </c:pt>
                <c:pt idx="44">
                  <c:v>106.66686188440165</c:v>
                </c:pt>
                <c:pt idx="45">
                  <c:v>104.72616065392266</c:v>
                </c:pt>
                <c:pt idx="46">
                  <c:v>106.07439025657482</c:v>
                </c:pt>
                <c:pt idx="47">
                  <c:v>111.23153959085577</c:v>
                </c:pt>
                <c:pt idx="48">
                  <c:v>107.20043455874644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2011</c:v>
                  </c:pt>
                  <c:pt idx="10">
                    <c:v>2012</c:v>
                  </c:pt>
                  <c:pt idx="22">
                    <c:v>2013</c:v>
                  </c:pt>
                  <c:pt idx="34">
                    <c:v>2014</c:v>
                  </c:pt>
                  <c:pt idx="46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102.20914791882163</c:v>
                </c:pt>
                <c:pt idx="1">
                  <c:v>102.4541034472672</c:v>
                </c:pt>
                <c:pt idx="2">
                  <c:v>102.70825210736224</c:v>
                </c:pt>
                <c:pt idx="3">
                  <c:v>102.94501416016752</c:v>
                </c:pt>
                <c:pt idx="4">
                  <c:v>103.06207332525445</c:v>
                </c:pt>
                <c:pt idx="5">
                  <c:v>102.92452366340829</c:v>
                </c:pt>
                <c:pt idx="6">
                  <c:v>102.63791246269462</c:v>
                </c:pt>
                <c:pt idx="7">
                  <c:v>102.41946667194745</c:v>
                </c:pt>
                <c:pt idx="8">
                  <c:v>102.1650771896993</c:v>
                </c:pt>
                <c:pt idx="9">
                  <c:v>101.86857645559805</c:v>
                </c:pt>
                <c:pt idx="10">
                  <c:v>101.59897257782544</c:v>
                </c:pt>
                <c:pt idx="11">
                  <c:v>101.34687830926133</c:v>
                </c:pt>
                <c:pt idx="12">
                  <c:v>101.19089993487722</c:v>
                </c:pt>
                <c:pt idx="13">
                  <c:v>101.06048949491873</c:v>
                </c:pt>
                <c:pt idx="14">
                  <c:v>100.92132057710732</c:v>
                </c:pt>
                <c:pt idx="15">
                  <c:v>100.81010000379115</c:v>
                </c:pt>
                <c:pt idx="16">
                  <c:v>100.78865624720922</c:v>
                </c:pt>
                <c:pt idx="17">
                  <c:v>100.99747153647631</c:v>
                </c:pt>
                <c:pt idx="18">
                  <c:v>101.26538501562237</c:v>
                </c:pt>
                <c:pt idx="19">
                  <c:v>101.40854118723698</c:v>
                </c:pt>
                <c:pt idx="20">
                  <c:v>101.57615046927442</c:v>
                </c:pt>
                <c:pt idx="21">
                  <c:v>101.83283106777149</c:v>
                </c:pt>
                <c:pt idx="22">
                  <c:v>102.11022547976989</c:v>
                </c:pt>
                <c:pt idx="23">
                  <c:v>102.41166760697666</c:v>
                </c:pt>
                <c:pt idx="24">
                  <c:v>102.81424306761063</c:v>
                </c:pt>
                <c:pt idx="25">
                  <c:v>103.24605361138244</c:v>
                </c:pt>
                <c:pt idx="26">
                  <c:v>103.54663806532929</c:v>
                </c:pt>
                <c:pt idx="27">
                  <c:v>103.80867161674897</c:v>
                </c:pt>
                <c:pt idx="28">
                  <c:v>104.02830216476903</c:v>
                </c:pt>
                <c:pt idx="29">
                  <c:v>104.0476957093217</c:v>
                </c:pt>
                <c:pt idx="30">
                  <c:v>103.97637542124463</c:v>
                </c:pt>
                <c:pt idx="31">
                  <c:v>104.01893481667433</c:v>
                </c:pt>
                <c:pt idx="32">
                  <c:v>104.16198592957319</c:v>
                </c:pt>
                <c:pt idx="33">
                  <c:v>104.2961901286001</c:v>
                </c:pt>
                <c:pt idx="34">
                  <c:v>104.39465952521121</c:v>
                </c:pt>
                <c:pt idx="35">
                  <c:v>104.46003219491668</c:v>
                </c:pt>
                <c:pt idx="36">
                  <c:v>104.51138251295257</c:v>
                </c:pt>
                <c:pt idx="37">
                  <c:v>104.61293299184759</c:v>
                </c:pt>
                <c:pt idx="38">
                  <c:v>104.78005284223575</c:v>
                </c:pt>
                <c:pt idx="39">
                  <c:v>104.99787667553323</c:v>
                </c:pt>
                <c:pt idx="40">
                  <c:v>105.21993658010349</c:v>
                </c:pt>
                <c:pt idx="41">
                  <c:v>105.48909506471237</c:v>
                </c:pt>
                <c:pt idx="42">
                  <c:v>105.87895753419993</c:v>
                </c:pt>
                <c:pt idx="43">
                  <c:v>106.24707004712263</c:v>
                </c:pt>
                <c:pt idx="44">
                  <c:v>106.55425968129829</c:v>
                </c:pt>
                <c:pt idx="45">
                  <c:v>106.88315622358159</c:v>
                </c:pt>
                <c:pt idx="46">
                  <c:v>107.29803497346501</c:v>
                </c:pt>
                <c:pt idx="47">
                  <c:v>107.74770431360648</c:v>
                </c:pt>
                <c:pt idx="48">
                  <c:v>108.12723539846922</c:v>
                </c:pt>
              </c:numCache>
            </c:numRef>
          </c:val>
        </c:ser>
        <c:marker val="1"/>
        <c:axId val="46843392"/>
        <c:axId val="46844928"/>
      </c:lineChart>
      <c:catAx>
        <c:axId val="46843392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6844928"/>
        <c:crosses val="autoZero"/>
        <c:auto val="1"/>
        <c:lblAlgn val="ctr"/>
        <c:lblOffset val="100"/>
      </c:catAx>
      <c:valAx>
        <c:axId val="46844928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4684339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992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zaMart2015!$A$2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zaMart2015!$B$1:$N$1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zaMart2015!$B$2:$N$2</c:f>
              <c:numCache>
                <c:formatCode>General</c:formatCode>
                <c:ptCount val="13"/>
                <c:pt idx="0">
                  <c:v>422057</c:v>
                </c:pt>
                <c:pt idx="1">
                  <c:v>347841</c:v>
                </c:pt>
                <c:pt idx="2">
                  <c:v>430360</c:v>
                </c:pt>
                <c:pt idx="3">
                  <c:v>414297</c:v>
                </c:pt>
                <c:pt idx="4">
                  <c:v>412801</c:v>
                </c:pt>
                <c:pt idx="5">
                  <c:v>444841</c:v>
                </c:pt>
                <c:pt idx="6">
                  <c:v>421218</c:v>
                </c:pt>
                <c:pt idx="7">
                  <c:v>508654</c:v>
                </c:pt>
                <c:pt idx="8">
                  <c:v>432236</c:v>
                </c:pt>
                <c:pt idx="9">
                  <c:v>434262</c:v>
                </c:pt>
                <c:pt idx="10">
                  <c:v>223470</c:v>
                </c:pt>
                <c:pt idx="11">
                  <c:v>345422</c:v>
                </c:pt>
                <c:pt idx="12">
                  <c:v>401757</c:v>
                </c:pt>
              </c:numCache>
            </c:numRef>
          </c:val>
        </c:ser>
        <c:ser>
          <c:idx val="1"/>
          <c:order val="1"/>
          <c:tx>
            <c:strRef>
              <c:f>zaMart2015!$A$3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zaMart2015!$B$1:$N$1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zaMart2015!$B$3:$N$3</c:f>
              <c:numCache>
                <c:formatCode>General</c:formatCode>
                <c:ptCount val="13"/>
                <c:pt idx="0">
                  <c:v>229938</c:v>
                </c:pt>
                <c:pt idx="1">
                  <c:v>218972</c:v>
                </c:pt>
                <c:pt idx="2">
                  <c:v>202886</c:v>
                </c:pt>
                <c:pt idx="3">
                  <c:v>241773</c:v>
                </c:pt>
                <c:pt idx="4">
                  <c:v>258199</c:v>
                </c:pt>
                <c:pt idx="5">
                  <c:v>196460</c:v>
                </c:pt>
                <c:pt idx="6">
                  <c:v>249428</c:v>
                </c:pt>
                <c:pt idx="7">
                  <c:v>254890</c:v>
                </c:pt>
                <c:pt idx="8" formatCode="0">
                  <c:v>229750</c:v>
                </c:pt>
                <c:pt idx="9" formatCode="0">
                  <c:v>206445</c:v>
                </c:pt>
                <c:pt idx="10" formatCode="0">
                  <c:v>169534</c:v>
                </c:pt>
                <c:pt idx="11" formatCode="0">
                  <c:v>200956</c:v>
                </c:pt>
                <c:pt idx="12" formatCode="0">
                  <c:v>212656</c:v>
                </c:pt>
              </c:numCache>
            </c:numRef>
          </c:val>
        </c:ser>
        <c:marker val="1"/>
        <c:axId val="47990272"/>
        <c:axId val="47991808"/>
      </c:lineChart>
      <c:catAx>
        <c:axId val="47990272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7991808"/>
        <c:crosses val="autoZero"/>
        <c:auto val="1"/>
        <c:lblAlgn val="ctr"/>
        <c:lblOffset val="100"/>
      </c:catAx>
      <c:valAx>
        <c:axId val="47991808"/>
        <c:scaling>
          <c:orientation val="minMax"/>
        </c:scaling>
        <c:axPos val="l"/>
        <c:majorGridlines>
          <c:spPr>
            <a:ln w="3175"/>
          </c:spPr>
        </c:majorGridlines>
        <c:numFmt formatCode="#,##0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4799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777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EF0E-E4DB-4499-8686-5316C967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</Pages>
  <Words>1211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9294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338</cp:revision>
  <cp:lastPrinted>2014-07-21T12:04:00Z</cp:lastPrinted>
  <dcterms:created xsi:type="dcterms:W3CDTF">2014-03-14T12:01:00Z</dcterms:created>
  <dcterms:modified xsi:type="dcterms:W3CDTF">2015-04-23T06:48:00Z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