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EA7171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1B4D8E">
              <w:rPr>
                <w:rFonts w:ascii="Arial Narrow" w:hAnsi="Arial Narrow" w:cs="Tahoma"/>
                <w:color w:val="1F497D" w:themeColor="text2"/>
                <w:sz w:val="18"/>
                <w:lang w:val="sr-Latn-BA"/>
              </w:rPr>
              <w:t>3</w:t>
            </w:r>
            <w:proofErr w:type="spellStart"/>
            <w:r w:rsidR="00EA7171" w:rsidRPr="00EA7171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rd</w:t>
            </w:r>
            <w:proofErr w:type="spellEnd"/>
            <w:r w:rsidR="00EA7171">
              <w:rPr>
                <w:rFonts w:ascii="Arial Narrow" w:hAnsi="Arial Narrow" w:cs="Tahoma"/>
                <w:color w:val="1F497D" w:themeColor="text2"/>
                <w:sz w:val="18"/>
              </w:rPr>
              <w:t xml:space="preserve"> September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1B4D8E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9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EA7171" w:rsidRDefault="00EA7171" w:rsidP="00542435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September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EA7171" w:rsidRDefault="00EA7171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7D2CAE" w:rsidRPr="000057E1" w:rsidRDefault="007D2CAE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016810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EC3AB0">
        <w:rPr>
          <w:rFonts w:ascii="Arial Narrow" w:hAnsi="Arial Narrow" w:cs="Tahoma"/>
          <w:b/>
          <w:sz w:val="30"/>
          <w:szCs w:val="30"/>
        </w:rPr>
        <w:t>Average net wage in August</w:t>
      </w:r>
      <w:r w:rsidR="00E33D13" w:rsidRPr="00016810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016810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625174" w:rsidRPr="00016810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016810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016810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016810" w:rsidRDefault="00EC3AB0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7E517E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7E517E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7E517E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</w:t>
      </w:r>
      <w:r>
        <w:rPr>
          <w:rFonts w:ascii="Arial Narrow" w:hAnsi="Arial Narrow" w:cs="Tahoma"/>
          <w:b/>
          <w:sz w:val="28"/>
          <w:szCs w:val="28"/>
        </w:rPr>
        <w:t>,</w:t>
      </w:r>
      <w:r w:rsidR="00E33D13" w:rsidRPr="00016810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AF6800" w:rsidRPr="00016810">
        <w:rPr>
          <w:rFonts w:ascii="Arial Narrow" w:hAnsi="Arial Narrow" w:cs="Tahoma"/>
          <w:b/>
          <w:sz w:val="28"/>
          <w:szCs w:val="28"/>
          <w:lang w:val="ru-RU"/>
        </w:rPr>
        <w:t>58</w:t>
      </w:r>
      <w:r w:rsidR="00E33D13"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="00E33D13"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="0048741A" w:rsidRPr="00016810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016810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AF6800" w:rsidRPr="00016810">
        <w:rPr>
          <w:rFonts w:ascii="Arial Narrow" w:hAnsi="Arial Narrow" w:cs="Tahoma"/>
          <w:b/>
          <w:sz w:val="28"/>
          <w:szCs w:val="28"/>
          <w:lang w:val="sr-Cyrl-BA"/>
        </w:rPr>
        <w:t>13</w:t>
      </w:r>
      <w:r w:rsidR="00E33D13" w:rsidRPr="00016810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016810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016810">
        <w:rPr>
          <w:rFonts w:ascii="Tahoma" w:hAnsi="Tahoma" w:cs="Tahoma"/>
          <w:b/>
          <w:lang w:val="sr-Cyrl-CS"/>
        </w:rPr>
        <w:tab/>
      </w:r>
      <w:r w:rsidRPr="00016810">
        <w:rPr>
          <w:rFonts w:ascii="Tahoma" w:hAnsi="Tahoma" w:cs="Tahoma"/>
          <w:b/>
          <w:lang w:val="sr-Cyrl-CS"/>
        </w:rPr>
        <w:tab/>
      </w:r>
    </w:p>
    <w:p w:rsidR="00B82005" w:rsidRDefault="00EC3AB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 w:rsidR="00E33D13" w:rsidRPr="00016810">
        <w:rPr>
          <w:rFonts w:ascii="Arial Narrow" w:hAnsi="Arial Narrow" w:cs="Tahoma"/>
          <w:b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paid in August 2015</w:t>
      </w:r>
      <w:r w:rsidR="00E33D13" w:rsidRPr="00016810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016810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016810">
        <w:rPr>
          <w:rFonts w:ascii="Arial Narrow" w:hAnsi="Arial Narrow" w:cs="Tahoma"/>
          <w:sz w:val="22"/>
          <w:lang w:val="sr-Cyrl-CS"/>
        </w:rPr>
        <w:t>8</w:t>
      </w:r>
      <w:r w:rsidR="00625174" w:rsidRPr="00016810">
        <w:rPr>
          <w:rFonts w:ascii="Arial Narrow" w:hAnsi="Arial Narrow" w:cs="Tahoma"/>
          <w:sz w:val="22"/>
          <w:lang w:val="sr-Cyrl-CS"/>
        </w:rPr>
        <w:t>34</w:t>
      </w:r>
      <w:r w:rsidR="00E33D13" w:rsidRPr="00016810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016810">
        <w:rPr>
          <w:rFonts w:ascii="Arial Narrow" w:hAnsi="Arial Narrow" w:cs="Tahoma"/>
          <w:sz w:val="22"/>
          <w:lang w:val="hr-HR"/>
        </w:rPr>
        <w:t>,</w:t>
      </w:r>
      <w:r w:rsidR="00E33D13" w:rsidRPr="00016810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016810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</w:rPr>
        <w:t>,</w:t>
      </w:r>
      <w:r w:rsidR="00E33D13" w:rsidRPr="00016810">
        <w:rPr>
          <w:rFonts w:ascii="Arial Narrow" w:hAnsi="Arial Narrow" w:cs="Tahoma"/>
          <w:sz w:val="22"/>
          <w:lang w:val="sr-Cyrl-CS"/>
        </w:rPr>
        <w:t>3</w:t>
      </w:r>
      <w:r w:rsidR="00625174" w:rsidRPr="00016810">
        <w:rPr>
          <w:rFonts w:ascii="Arial Narrow" w:hAnsi="Arial Narrow" w:cs="Tahoma"/>
          <w:sz w:val="22"/>
          <w:lang w:val="sr-Cyrl-CS"/>
        </w:rPr>
        <w:t>4</w:t>
      </w:r>
      <w:r w:rsidR="00AF6800" w:rsidRPr="00016810">
        <w:rPr>
          <w:rFonts w:ascii="Arial Narrow" w:hAnsi="Arial Narrow" w:cs="Tahoma"/>
          <w:sz w:val="22"/>
          <w:lang w:val="sr-Cyrl-CS"/>
        </w:rPr>
        <w:t>5</w:t>
      </w:r>
      <w:r w:rsidR="00E33D13" w:rsidRPr="00016810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016810">
        <w:rPr>
          <w:rFonts w:ascii="Arial Narrow" w:hAnsi="Arial Narrow" w:cs="Tahoma"/>
          <w:sz w:val="22"/>
          <w:lang w:val="sr-Cyrl-CS"/>
        </w:rPr>
        <w:t xml:space="preserve"> </w:t>
      </w:r>
    </w:p>
    <w:p w:rsidR="00294434" w:rsidRDefault="0029443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94434" w:rsidRPr="00294434" w:rsidRDefault="00294434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August 2014, average net wage paid in August 2015 was really 2.7% higher, while compared to July 2015 it remained unchanged in real terms. </w:t>
      </w:r>
    </w:p>
    <w:p w:rsidR="00B82005" w:rsidRPr="00016810" w:rsidRDefault="00B82005" w:rsidP="00A25FC2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82005" w:rsidRPr="00294434" w:rsidRDefault="00294434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August 2015, the highest average net wage, by section of activities, was paid in the section </w:t>
      </w:r>
      <w:r w:rsidRPr="007E517E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and it amounted to 1,258 KM. On the other hand, the lowest average net wage in August 2015 was the one paid in the section </w:t>
      </w:r>
      <w:r w:rsidRPr="00294434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sz w:val="22"/>
        </w:rPr>
        <w:t xml:space="preserve"> 513 KM. </w:t>
      </w:r>
    </w:p>
    <w:p w:rsidR="00E33D13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4205E9" w:rsidRPr="004205E9" w:rsidRDefault="004205E9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August 2015, compared to July 2015, the highest nominal increase in net wages was recorded in the section </w:t>
      </w:r>
      <w:r w:rsidRPr="004205E9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3.9%, followed by </w:t>
      </w:r>
      <w:r w:rsidRPr="004205E9">
        <w:rPr>
          <w:rFonts w:ascii="Arial Narrow" w:hAnsi="Arial Narrow" w:cs="Tahoma"/>
          <w:i/>
          <w:sz w:val="22"/>
        </w:rPr>
        <w:t xml:space="preserve">Water supply, sewerage, waste management and remediation </w:t>
      </w:r>
      <w:r>
        <w:rPr>
          <w:rFonts w:ascii="Arial Narrow" w:hAnsi="Arial Narrow" w:cs="Tahoma"/>
          <w:sz w:val="22"/>
        </w:rPr>
        <w:t xml:space="preserve">1.0% and </w:t>
      </w:r>
      <w:proofErr w:type="gramStart"/>
      <w:r w:rsidRPr="004205E9">
        <w:rPr>
          <w:rFonts w:ascii="Arial Narrow" w:hAnsi="Arial Narrow" w:cs="Tahoma"/>
          <w:i/>
          <w:sz w:val="22"/>
        </w:rPr>
        <w:t>Other</w:t>
      </w:r>
      <w:proofErr w:type="gramEnd"/>
      <w:r w:rsidRPr="004205E9">
        <w:rPr>
          <w:rFonts w:ascii="Arial Narrow" w:hAnsi="Arial Narrow" w:cs="Tahoma"/>
          <w:i/>
          <w:sz w:val="22"/>
        </w:rPr>
        <w:t xml:space="preserve"> service activities </w:t>
      </w:r>
      <w:r>
        <w:rPr>
          <w:rFonts w:ascii="Arial Narrow" w:hAnsi="Arial Narrow" w:cs="Tahoma"/>
          <w:sz w:val="22"/>
        </w:rPr>
        <w:t xml:space="preserve">0.6%. </w:t>
      </w:r>
    </w:p>
    <w:p w:rsidR="00C804D3" w:rsidRPr="00016810" w:rsidRDefault="00C804D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16810" w:rsidRDefault="004205E9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>
        <w:rPr>
          <w:rFonts w:ascii="Arial Narrow" w:hAnsi="Arial Narrow" w:cs="Tahoma"/>
          <w:sz w:val="22"/>
          <w:szCs w:val="22"/>
        </w:rPr>
        <w:t>A decrease in nominal wages was recorded in the sections</w:t>
      </w:r>
      <w:r w:rsidR="007073F3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Real estate activities</w:t>
      </w:r>
      <w:r w:rsidR="00AF6800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  <w:lang w:val="sr-Cyrl-BA"/>
        </w:rPr>
        <w:t>4</w:t>
      </w:r>
      <w:r>
        <w:rPr>
          <w:rFonts w:ascii="Arial Narrow" w:hAnsi="Arial Narrow" w:cs="Tahoma"/>
          <w:sz w:val="22"/>
          <w:szCs w:val="22"/>
        </w:rPr>
        <w:t>.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 xml:space="preserve">2%, </w:t>
      </w:r>
      <w:r>
        <w:rPr>
          <w:rFonts w:ascii="Arial Narrow" w:hAnsi="Arial Narrow" w:cs="Tahoma"/>
          <w:i/>
          <w:sz w:val="22"/>
          <w:szCs w:val="22"/>
        </w:rPr>
        <w:t>Mining and quarrying</w:t>
      </w:r>
      <w:r w:rsidR="00625174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2</w:t>
      </w:r>
      <w:r>
        <w:rPr>
          <w:rFonts w:ascii="Arial Narrow" w:hAnsi="Arial Narrow" w:cs="Tahoma"/>
          <w:sz w:val="22"/>
          <w:szCs w:val="22"/>
        </w:rPr>
        <w:t>.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8</w:t>
      </w:r>
      <w:r w:rsidR="00625174" w:rsidRPr="00016810">
        <w:rPr>
          <w:rFonts w:ascii="Arial Narrow" w:hAnsi="Arial Narrow" w:cs="Tahoma"/>
          <w:sz w:val="22"/>
          <w:szCs w:val="22"/>
          <w:lang w:val="sr-Cyrl-BA"/>
        </w:rPr>
        <w:t>%</w:t>
      </w:r>
      <w:r w:rsidR="00F72492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and</w:t>
      </w:r>
      <w:r w:rsidR="00470221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>Arts, entertainment and recreation</w:t>
      </w:r>
      <w:r w:rsidR="00470221" w:rsidRPr="00016810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1</w:t>
      </w:r>
      <w:r>
        <w:rPr>
          <w:rFonts w:ascii="Arial Narrow" w:hAnsi="Arial Narrow" w:cs="Tahoma"/>
          <w:sz w:val="22"/>
          <w:szCs w:val="22"/>
        </w:rPr>
        <w:t>.</w:t>
      </w:r>
      <w:r w:rsidR="00AF6800" w:rsidRPr="00016810">
        <w:rPr>
          <w:rFonts w:ascii="Arial Narrow" w:hAnsi="Arial Narrow" w:cs="Tahoma"/>
          <w:sz w:val="22"/>
          <w:szCs w:val="22"/>
          <w:lang w:val="sr-Cyrl-BA"/>
        </w:rPr>
        <w:t>9</w:t>
      </w:r>
      <w:r w:rsidR="00470221" w:rsidRPr="00016810">
        <w:rPr>
          <w:rFonts w:ascii="Arial Narrow" w:hAnsi="Arial Narrow" w:cs="Tahoma"/>
          <w:sz w:val="22"/>
          <w:szCs w:val="22"/>
          <w:lang w:val="sr-Cyrl-BA"/>
        </w:rPr>
        <w:t>%.</w:t>
      </w:r>
      <w:r w:rsidR="002812C3" w:rsidRPr="00016810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96802" w:rsidRDefault="0039680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016810" w:rsidRPr="00016810" w:rsidRDefault="00016810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E33D13" w:rsidRPr="00016810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16810">
        <w:rPr>
          <w:rFonts w:ascii="Tahoma" w:hAnsi="Tahoma" w:cs="Tahoma"/>
          <w:i/>
          <w:sz w:val="14"/>
          <w:lang w:val="sr-Cyrl-CS"/>
        </w:rPr>
        <w:t xml:space="preserve"> </w:t>
      </w:r>
      <w:r w:rsidRPr="00016810">
        <w:rPr>
          <w:rFonts w:ascii="Tahoma" w:hAnsi="Tahoma" w:cs="Tahoma"/>
          <w:sz w:val="14"/>
          <w:lang w:val="sr-Cyrl-CS"/>
        </w:rPr>
        <w:t xml:space="preserve">   </w:t>
      </w:r>
      <w:r w:rsidRPr="00016810">
        <w:rPr>
          <w:rFonts w:ascii="Tahoma" w:hAnsi="Tahoma" w:cs="Tahoma"/>
          <w:sz w:val="14"/>
          <w:lang w:val="sr-Latn-CS"/>
        </w:rPr>
        <w:tab/>
      </w:r>
      <w:r w:rsidRPr="00016810">
        <w:rPr>
          <w:rFonts w:ascii="Tahoma" w:hAnsi="Tahoma" w:cs="Tahoma"/>
          <w:sz w:val="14"/>
          <w:lang w:val="sr-Latn-CS"/>
        </w:rPr>
        <w:tab/>
      </w:r>
      <w:r w:rsidRPr="00016810">
        <w:rPr>
          <w:rFonts w:ascii="Tahoma" w:hAnsi="Tahoma" w:cs="Tahoma"/>
          <w:sz w:val="14"/>
        </w:rPr>
        <w:t xml:space="preserve">            </w:t>
      </w:r>
      <w:r w:rsidR="00F85AAC" w:rsidRPr="00016810">
        <w:rPr>
          <w:rFonts w:ascii="Tahoma" w:hAnsi="Tahoma" w:cs="Tahoma"/>
          <w:sz w:val="14"/>
          <w:lang w:val="sr-Cyrl-BA"/>
        </w:rPr>
        <w:t xml:space="preserve">   </w:t>
      </w:r>
      <w:r w:rsidRPr="00016810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016810" w:rsidRDefault="007D2CAE" w:rsidP="00E33D13">
      <w:pPr>
        <w:jc w:val="center"/>
        <w:rPr>
          <w:rFonts w:ascii="Tahoma" w:hAnsi="Tahoma" w:cs="Tahoma"/>
        </w:rPr>
      </w:pPr>
      <w:r w:rsidRPr="00016810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32640" behindDoc="0" locked="0" layoutInCell="1" allowOverlap="1" wp14:anchorId="43A3F279" wp14:editId="0399DDEF">
            <wp:simplePos x="0" y="0"/>
            <wp:positionH relativeFrom="column">
              <wp:posOffset>976630</wp:posOffset>
            </wp:positionH>
            <wp:positionV relativeFrom="paragraph">
              <wp:posOffset>2062480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016810">
        <w:rPr>
          <w:rFonts w:ascii="Tahoma" w:hAnsi="Tahoma" w:cs="Tahoma"/>
          <w:szCs w:val="18"/>
        </w:rPr>
        <w:t xml:space="preserve"> </w:t>
      </w:r>
      <w:r w:rsidR="00AF6800" w:rsidRPr="00016810">
        <w:rPr>
          <w:noProof/>
        </w:rPr>
        <w:drawing>
          <wp:inline distT="0" distB="0" distL="0" distR="0" wp14:anchorId="40E3D95D" wp14:editId="00169FD4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016810">
        <w:rPr>
          <w:rFonts w:ascii="Tahoma" w:hAnsi="Tahoma" w:cs="Tahoma"/>
          <w:szCs w:val="18"/>
        </w:rPr>
        <w:t xml:space="preserve">  </w:t>
      </w:r>
    </w:p>
    <w:p w:rsidR="00E33D13" w:rsidRPr="00016810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EA7171" w:rsidRDefault="00EA7171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E33D13" w:rsidRPr="0001681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="0066022A" w:rsidRPr="00016810">
        <w:rPr>
          <w:rFonts w:ascii="Arial Narrow" w:hAnsi="Arial Narrow" w:cs="Tahoma"/>
          <w:sz w:val="16"/>
          <w:szCs w:val="22"/>
          <w:lang w:val="sr-Latn-BA"/>
        </w:rPr>
        <w:t>1</w:t>
      </w:r>
      <w:r w:rsidR="00E33D13" w:rsidRPr="00016810">
        <w:rPr>
          <w:rFonts w:ascii="Arial Narrow" w:hAnsi="Arial Narrow" w:cs="Tahoma"/>
          <w:sz w:val="16"/>
          <w:szCs w:val="22"/>
          <w:lang w:val="sr-Cyrl-CS"/>
        </w:rPr>
        <w:t>.</w:t>
      </w:r>
      <w:r w:rsidR="00E33D13" w:rsidRPr="00016810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016810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016810" w:rsidRDefault="00EB2F3C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016810" w:rsidRDefault="007D2CAE">
      <w:pPr>
        <w:rPr>
          <w:rFonts w:ascii="Arial Narrow" w:hAnsi="Arial Narrow" w:cs="Tahoma"/>
          <w:sz w:val="22"/>
          <w:lang w:val="sr-Latn-BA"/>
        </w:rPr>
      </w:pPr>
    </w:p>
    <w:p w:rsidR="00763D11" w:rsidRPr="00016810" w:rsidRDefault="00763D11">
      <w:pPr>
        <w:rPr>
          <w:rFonts w:ascii="Arial Narrow" w:hAnsi="Arial Narrow" w:cs="Tahoma"/>
          <w:sz w:val="22"/>
          <w:lang w:val="sr-Latn-BA"/>
        </w:rPr>
      </w:pPr>
    </w:p>
    <w:p w:rsidR="00783DB8" w:rsidRPr="00CD2A0F" w:rsidRDefault="00CD2A0F" w:rsidP="00783DB8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 xml:space="preserve">Monthly inflation </w:t>
      </w:r>
      <w:r>
        <w:rPr>
          <w:rFonts w:ascii="Arial Narrow" w:hAnsi="Arial Narrow" w:cs="Tahoma"/>
          <w:b/>
          <w:sz w:val="30"/>
          <w:szCs w:val="30"/>
          <w:lang w:val="sr-Cyrl-BA"/>
        </w:rPr>
        <w:t>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783DB8" w:rsidRPr="00016810">
        <w:rPr>
          <w:rFonts w:ascii="Arial Narrow" w:hAnsi="Arial Narrow" w:cs="Tahoma"/>
          <w:b/>
          <w:sz w:val="30"/>
          <w:szCs w:val="30"/>
          <w:lang w:val="sr-Cyrl-BA"/>
        </w:rPr>
        <w:t>0%</w:t>
      </w:r>
      <w:r>
        <w:rPr>
          <w:rFonts w:ascii="Arial Narrow" w:hAnsi="Arial Narrow" w:cs="Tahoma"/>
          <w:b/>
          <w:sz w:val="30"/>
          <w:szCs w:val="30"/>
        </w:rPr>
        <w:t xml:space="preserve"> in August 2015</w:t>
      </w:r>
    </w:p>
    <w:p w:rsidR="00783DB8" w:rsidRPr="00016810" w:rsidRDefault="00CD2A0F" w:rsidP="00783DB8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783DB8" w:rsidRPr="00016810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August</w:t>
      </w:r>
      <w:r w:rsidR="00783DB8" w:rsidRPr="00016810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>
        <w:rPr>
          <w:rFonts w:ascii="Arial Narrow" w:hAnsi="Arial Narrow" w:cs="Tahoma"/>
          <w:b/>
          <w:sz w:val="30"/>
          <w:szCs w:val="30"/>
          <w:lang w:val="sr-Latn-BA"/>
        </w:rPr>
        <w:t>August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2014) -1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783DB8" w:rsidRPr="00016810">
        <w:rPr>
          <w:rFonts w:ascii="Arial Narrow" w:hAnsi="Arial Narrow" w:cs="Tahoma"/>
          <w:b/>
          <w:sz w:val="30"/>
          <w:szCs w:val="30"/>
          <w:lang w:val="sr-Cyrl-BA"/>
        </w:rPr>
        <w:t>6%</w:t>
      </w:r>
    </w:p>
    <w:p w:rsidR="00783DB8" w:rsidRPr="00016810" w:rsidRDefault="00783DB8" w:rsidP="00783DB8">
      <w:pPr>
        <w:spacing w:after="120"/>
        <w:jc w:val="both"/>
        <w:rPr>
          <w:rFonts w:ascii="Tahoma" w:hAnsi="Tahoma" w:cs="Tahoma"/>
          <w:lang w:val="sr-Cyrl-BA"/>
        </w:rPr>
      </w:pPr>
    </w:p>
    <w:p w:rsidR="00354A31" w:rsidRDefault="00354A31" w:rsidP="00783DB8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 w:rsidRPr="007E517E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7E517E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7E517E">
        <w:rPr>
          <w:rFonts w:ascii="Arial Narrow" w:hAnsi="Arial Narrow" w:cs="Tahoma"/>
          <w:sz w:val="22"/>
          <w:szCs w:val="22"/>
        </w:rPr>
        <w:t>Srpska</w:t>
      </w:r>
      <w:proofErr w:type="spellEnd"/>
      <w:r w:rsidRPr="007E517E">
        <w:rPr>
          <w:rFonts w:ascii="Arial Narrow" w:hAnsi="Arial Narrow" w:cs="Tahoma"/>
          <w:sz w:val="22"/>
          <w:szCs w:val="22"/>
        </w:rPr>
        <w:t>, measured with the consumer price index, in</w:t>
      </w:r>
      <w:r>
        <w:rPr>
          <w:rFonts w:ascii="Arial Narrow" w:hAnsi="Arial Narrow" w:cs="Tahoma"/>
          <w:sz w:val="22"/>
          <w:szCs w:val="22"/>
        </w:rPr>
        <w:t xml:space="preserve"> August 2015, compared to the previous month, remained on the average at the same level, while they were 1.6% lower at the annual level. </w:t>
      </w:r>
    </w:p>
    <w:p w:rsidR="007D0280" w:rsidRDefault="007D0280" w:rsidP="00783DB8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main 12 divisions of products and services, an increase in prices was recorded in two divisions, a decrease was recorded in five divisions, while prices in five divisions remained on the average at the same level. </w:t>
      </w:r>
    </w:p>
    <w:p w:rsidR="007D0280" w:rsidRDefault="007D0280" w:rsidP="00783DB8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was recorded in the division </w:t>
      </w:r>
      <w:r w:rsidRPr="005609A1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(0.4%), due to higher prices in the group oils and fats (3.3%), in the group sugar, jam, honey and other products (1.2%) and in the group non-alcoholic beverages (1.1%). </w:t>
      </w:r>
      <w:r w:rsidR="00713E3C">
        <w:rPr>
          <w:rFonts w:ascii="Arial Narrow" w:hAnsi="Arial Narrow" w:cs="Tahoma"/>
          <w:sz w:val="22"/>
          <w:szCs w:val="22"/>
        </w:rPr>
        <w:t xml:space="preserve">Higher prices were also recorded in the division </w:t>
      </w:r>
      <w:r w:rsidR="00713E3C" w:rsidRPr="00AC15C5">
        <w:rPr>
          <w:rFonts w:ascii="Arial Narrow" w:hAnsi="Arial Narrow" w:cs="Tahoma"/>
          <w:i/>
          <w:sz w:val="22"/>
          <w:szCs w:val="22"/>
        </w:rPr>
        <w:t>Housing</w:t>
      </w:r>
      <w:r w:rsidR="00713E3C">
        <w:rPr>
          <w:rFonts w:ascii="Arial Narrow" w:hAnsi="Arial Narrow" w:cs="Tahoma"/>
          <w:sz w:val="22"/>
          <w:szCs w:val="22"/>
        </w:rPr>
        <w:t xml:space="preserve"> (0.2%), due to higher prices in the group </w:t>
      </w:r>
      <w:r w:rsidR="00AC15C5">
        <w:rPr>
          <w:rFonts w:ascii="Arial Narrow" w:hAnsi="Arial Narrow" w:cs="Tahoma"/>
          <w:sz w:val="22"/>
          <w:szCs w:val="22"/>
        </w:rPr>
        <w:t xml:space="preserve">water supply and other utility services (2.8%). </w:t>
      </w:r>
    </w:p>
    <w:p w:rsidR="00783DB8" w:rsidRDefault="00AC15C5" w:rsidP="00783DB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divisions </w:t>
      </w:r>
      <w:r w:rsidRPr="00D57179">
        <w:rPr>
          <w:rFonts w:ascii="Arial Narrow" w:hAnsi="Arial Narrow" w:cs="Tahoma"/>
          <w:i/>
          <w:sz w:val="22"/>
        </w:rPr>
        <w:t>Furnishings and other equipment</w:t>
      </w:r>
      <w:r>
        <w:rPr>
          <w:rFonts w:ascii="Arial Narrow" w:hAnsi="Arial Narrow" w:cs="Tahoma"/>
          <w:sz w:val="22"/>
        </w:rPr>
        <w:t xml:space="preserve">, </w:t>
      </w:r>
      <w:r w:rsidRPr="00D57179">
        <w:rPr>
          <w:rFonts w:ascii="Arial Narrow" w:hAnsi="Arial Narrow" w:cs="Tahoma"/>
          <w:i/>
          <w:sz w:val="22"/>
        </w:rPr>
        <w:t>Health care</w:t>
      </w:r>
      <w:r>
        <w:rPr>
          <w:rFonts w:ascii="Arial Narrow" w:hAnsi="Arial Narrow" w:cs="Tahoma"/>
          <w:sz w:val="22"/>
        </w:rPr>
        <w:t xml:space="preserve">, </w:t>
      </w:r>
      <w:r w:rsidRPr="00D57179">
        <w:rPr>
          <w:rFonts w:ascii="Arial Narrow" w:hAnsi="Arial Narrow" w:cs="Tahoma"/>
          <w:i/>
          <w:sz w:val="22"/>
        </w:rPr>
        <w:t>Communications</w:t>
      </w:r>
      <w:r>
        <w:rPr>
          <w:rFonts w:ascii="Arial Narrow" w:hAnsi="Arial Narrow" w:cs="Tahoma"/>
          <w:sz w:val="22"/>
        </w:rPr>
        <w:t xml:space="preserve">, </w:t>
      </w:r>
      <w:proofErr w:type="spellStart"/>
      <w:r w:rsidRPr="00D57179">
        <w:rPr>
          <w:rFonts w:ascii="Arial Narrow" w:hAnsi="Arial Narrow" w:cs="Tahoma"/>
          <w:i/>
          <w:sz w:val="22"/>
        </w:rPr>
        <w:t>Recreartion</w:t>
      </w:r>
      <w:proofErr w:type="spellEnd"/>
      <w:r w:rsidRPr="00D57179">
        <w:rPr>
          <w:rFonts w:ascii="Arial Narrow" w:hAnsi="Arial Narrow" w:cs="Tahoma"/>
          <w:i/>
          <w:sz w:val="22"/>
        </w:rPr>
        <w:t xml:space="preserve"> and culture </w:t>
      </w:r>
      <w:r>
        <w:rPr>
          <w:rFonts w:ascii="Arial Narrow" w:hAnsi="Arial Narrow" w:cs="Tahoma"/>
          <w:sz w:val="22"/>
        </w:rPr>
        <w:t xml:space="preserve">and </w:t>
      </w:r>
      <w:r w:rsidRPr="00D57179">
        <w:rPr>
          <w:rFonts w:ascii="Arial Narrow" w:hAnsi="Arial Narrow" w:cs="Tahoma"/>
          <w:i/>
          <w:sz w:val="22"/>
        </w:rPr>
        <w:t>Education</w:t>
      </w:r>
      <w:r>
        <w:rPr>
          <w:rFonts w:ascii="Arial Narrow" w:hAnsi="Arial Narrow" w:cs="Tahoma"/>
          <w:sz w:val="22"/>
        </w:rPr>
        <w:t xml:space="preserve">, </w:t>
      </w:r>
      <w:r w:rsidR="00D57179">
        <w:rPr>
          <w:rFonts w:ascii="Arial Narrow" w:hAnsi="Arial Narrow" w:cs="Tahoma"/>
          <w:sz w:val="22"/>
        </w:rPr>
        <w:t xml:space="preserve">remained on the average at the same level. </w:t>
      </w:r>
    </w:p>
    <w:p w:rsidR="00D57179" w:rsidRDefault="00D57179" w:rsidP="00783DB8">
      <w:pPr>
        <w:jc w:val="both"/>
        <w:rPr>
          <w:rFonts w:ascii="Arial Narrow" w:hAnsi="Arial Narrow" w:cs="Tahoma"/>
          <w:sz w:val="22"/>
        </w:rPr>
      </w:pPr>
    </w:p>
    <w:p w:rsidR="00D57179" w:rsidRPr="00AC15C5" w:rsidRDefault="00366DFA" w:rsidP="00783DB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decrease in prices in August was recorded in the division </w:t>
      </w:r>
      <w:r w:rsidRPr="00366DFA">
        <w:rPr>
          <w:rFonts w:ascii="Arial Narrow" w:hAnsi="Arial Narrow" w:cs="Tahoma"/>
          <w:i/>
          <w:sz w:val="22"/>
        </w:rPr>
        <w:t>Transport</w:t>
      </w:r>
      <w:r>
        <w:rPr>
          <w:rFonts w:ascii="Arial Narrow" w:hAnsi="Arial Narrow" w:cs="Tahoma"/>
          <w:sz w:val="22"/>
        </w:rPr>
        <w:t xml:space="preserve"> (0.6%), due to lower prices in the group fuels and lubricants (1.2%). A decrease in prices was also recorded in the division </w:t>
      </w:r>
      <w:r w:rsidRPr="00366DFA">
        <w:rPr>
          <w:rFonts w:ascii="Arial Narrow" w:hAnsi="Arial Narrow" w:cs="Tahoma"/>
          <w:i/>
          <w:sz w:val="22"/>
        </w:rPr>
        <w:t>Clothing and footwear</w:t>
      </w:r>
      <w:r>
        <w:rPr>
          <w:rFonts w:ascii="Arial Narrow" w:hAnsi="Arial Narrow" w:cs="Tahoma"/>
          <w:sz w:val="22"/>
        </w:rPr>
        <w:t xml:space="preserve"> (0.5%), due to further seasonal discounts, and in the division </w:t>
      </w:r>
      <w:r w:rsidRPr="00366DFA">
        <w:rPr>
          <w:rFonts w:ascii="Arial Narrow" w:hAnsi="Arial Narrow" w:cs="Tahoma"/>
          <w:i/>
          <w:sz w:val="22"/>
        </w:rPr>
        <w:t>Other goods and services</w:t>
      </w:r>
      <w:r>
        <w:rPr>
          <w:rFonts w:ascii="Arial Narrow" w:hAnsi="Arial Narrow" w:cs="Tahoma"/>
          <w:sz w:val="22"/>
        </w:rPr>
        <w:t xml:space="preserve"> (0.2%), due to lower (seasonal) prices in the group personal care products (0.3%). </w:t>
      </w:r>
    </w:p>
    <w:p w:rsidR="007B3C79" w:rsidRPr="00016810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B2F3C" w:rsidRPr="00016810" w:rsidRDefault="00EB2F3C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016810" w:rsidRDefault="00A0767C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Working-day adjusted industrial production</w:t>
      </w:r>
      <w:r w:rsidR="000213F8"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August</w:t>
      </w:r>
      <w:r w:rsidR="000213F8"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0213F8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284295" w:rsidRPr="00016810">
        <w:rPr>
          <w:rFonts w:ascii="Arial Narrow" w:hAnsi="Arial Narrow" w:cs="Tahoma"/>
          <w:b/>
          <w:sz w:val="28"/>
          <w:szCs w:val="28"/>
        </w:rPr>
        <w:t>5</w:t>
      </w:r>
      <w:r w:rsidR="000213F8"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>
        <w:rPr>
          <w:rFonts w:ascii="Arial Narrow" w:hAnsi="Arial Narrow" w:cs="Tahoma"/>
          <w:b/>
          <w:sz w:val="28"/>
          <w:szCs w:val="28"/>
        </w:rPr>
        <w:t>August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0213F8"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284295" w:rsidRPr="00016810">
        <w:rPr>
          <w:rFonts w:ascii="Arial Narrow" w:hAnsi="Arial Narrow" w:cs="Tahoma"/>
          <w:b/>
          <w:bCs/>
          <w:sz w:val="28"/>
          <w:szCs w:val="28"/>
        </w:rPr>
        <w:t>4</w:t>
      </w:r>
      <w:r w:rsidR="000213F8" w:rsidRPr="00016810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="000213F8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 w:rsidR="000213F8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>1</w:t>
      </w:r>
      <w:r w:rsidR="00F50BA9" w:rsidRPr="00016810">
        <w:rPr>
          <w:rFonts w:ascii="Arial Narrow" w:hAnsi="Arial Narrow" w:cs="Tahoma"/>
          <w:b/>
          <w:bCs/>
          <w:sz w:val="28"/>
          <w:szCs w:val="28"/>
        </w:rPr>
        <w:t>1</w:t>
      </w:r>
      <w:r>
        <w:rPr>
          <w:rFonts w:ascii="Arial Narrow" w:hAnsi="Arial Narrow" w:cs="Tahoma"/>
          <w:b/>
          <w:bCs/>
          <w:sz w:val="28"/>
          <w:szCs w:val="28"/>
        </w:rPr>
        <w:t>.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>1</w:t>
      </w:r>
      <w:r w:rsidR="000213F8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3E0D24" w:rsidRPr="00016810" w:rsidRDefault="00A0767C" w:rsidP="003E0D2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Seasonally adjusted industrial production</w:t>
      </w:r>
      <w:r w:rsidR="003E0D24" w:rsidRPr="00016810">
        <w:rPr>
          <w:rFonts w:ascii="Arial Narrow" w:hAnsi="Arial Narrow" w:cs="Tahoma"/>
          <w:b/>
          <w:sz w:val="28"/>
          <w:szCs w:val="28"/>
          <w:lang w:val="sr-Cyrl-CS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August</w:t>
      </w:r>
      <w:r w:rsidR="003E0D24"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3E0D24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3E0D24" w:rsidRPr="00016810">
        <w:rPr>
          <w:rFonts w:ascii="Arial Narrow" w:hAnsi="Arial Narrow" w:cs="Tahoma"/>
          <w:b/>
          <w:sz w:val="28"/>
          <w:szCs w:val="28"/>
        </w:rPr>
        <w:t>5</w:t>
      </w:r>
      <w:r w:rsidR="003E0D24"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>
        <w:rPr>
          <w:rFonts w:ascii="Arial Narrow" w:hAnsi="Arial Narrow" w:cs="Tahoma"/>
          <w:b/>
          <w:sz w:val="28"/>
          <w:szCs w:val="28"/>
        </w:rPr>
        <w:t>July</w:t>
      </w:r>
      <w:r w:rsidR="003E0D24" w:rsidRPr="00016810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3E0D24"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2015</w:t>
      </w:r>
      <w:r w:rsidR="003E0D24" w:rsidRPr="00016810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="003E0D24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2</w:t>
      </w:r>
      <w:r>
        <w:rPr>
          <w:rFonts w:ascii="Arial Narrow" w:hAnsi="Arial Narrow" w:cs="Tahoma"/>
          <w:b/>
          <w:bCs/>
          <w:sz w:val="28"/>
          <w:szCs w:val="28"/>
        </w:rPr>
        <w:t>.</w:t>
      </w:r>
      <w:r w:rsidR="003E0D24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>8%</w:t>
      </w:r>
    </w:p>
    <w:p w:rsidR="000213F8" w:rsidRPr="00016810" w:rsidRDefault="00A0767C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>
        <w:rPr>
          <w:rFonts w:ascii="Arial Narrow" w:hAnsi="Arial Narrow" w:cs="Tahoma"/>
          <w:b/>
          <w:sz w:val="28"/>
          <w:szCs w:val="28"/>
        </w:rPr>
        <w:t>Number of employees in industry</w:t>
      </w:r>
      <w:r w:rsidR="000213F8"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F50BA9" w:rsidRPr="00016810">
        <w:rPr>
          <w:rFonts w:ascii="Arial Narrow" w:hAnsi="Arial Narrow" w:cs="Tahoma"/>
          <w:b/>
          <w:sz w:val="28"/>
          <w:szCs w:val="28"/>
          <w:lang w:val="sr-Cyrl-CS"/>
        </w:rPr>
        <w:t>(</w:t>
      </w:r>
      <w:r>
        <w:rPr>
          <w:rFonts w:ascii="Arial Narrow" w:hAnsi="Arial Narrow" w:cs="Tahoma"/>
          <w:b/>
          <w:sz w:val="28"/>
          <w:szCs w:val="28"/>
        </w:rPr>
        <w:t>August</w:t>
      </w:r>
      <w:r w:rsidR="00F50BA9" w:rsidRPr="00016810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F50BA9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F50BA9" w:rsidRPr="00016810">
        <w:rPr>
          <w:rFonts w:ascii="Arial Narrow" w:hAnsi="Arial Narrow" w:cs="Tahoma"/>
          <w:b/>
          <w:sz w:val="28"/>
          <w:szCs w:val="28"/>
        </w:rPr>
        <w:t>5</w:t>
      </w:r>
      <w:r w:rsidR="00F50BA9" w:rsidRPr="00016810">
        <w:rPr>
          <w:rFonts w:ascii="Arial Narrow" w:hAnsi="Arial Narrow" w:cs="Tahoma"/>
          <w:b/>
          <w:sz w:val="28"/>
          <w:szCs w:val="28"/>
          <w:lang w:val="sr-Latn-BA"/>
        </w:rPr>
        <w:t>/</w:t>
      </w:r>
      <w:r>
        <w:rPr>
          <w:rFonts w:ascii="Arial Narrow" w:hAnsi="Arial Narrow" w:cs="Tahoma"/>
          <w:b/>
          <w:sz w:val="28"/>
          <w:szCs w:val="28"/>
        </w:rPr>
        <w:t>August</w:t>
      </w:r>
      <w:r w:rsidR="00F50BA9" w:rsidRPr="00016810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F50BA9" w:rsidRPr="00016810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>
        <w:rPr>
          <w:rFonts w:ascii="Arial Narrow" w:hAnsi="Arial Narrow" w:cs="Tahoma"/>
          <w:b/>
          <w:bCs/>
          <w:sz w:val="28"/>
          <w:szCs w:val="28"/>
        </w:rPr>
        <w:t>4</w:t>
      </w:r>
      <w:r w:rsidR="00F50BA9" w:rsidRPr="00016810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="000213F8"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increased by</w:t>
      </w:r>
      <w:r w:rsidR="000213F8" w:rsidRPr="00016810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CF171D" w:rsidRPr="00016810">
        <w:rPr>
          <w:rFonts w:ascii="Arial Narrow" w:hAnsi="Arial Narrow" w:cs="Tahoma"/>
          <w:b/>
          <w:sz w:val="28"/>
          <w:szCs w:val="28"/>
          <w:lang w:val="sr-Cyrl-CS"/>
        </w:rPr>
        <w:t>1</w:t>
      </w:r>
      <w:r>
        <w:rPr>
          <w:rFonts w:ascii="Arial Narrow" w:hAnsi="Arial Narrow" w:cs="Tahoma"/>
          <w:b/>
          <w:sz w:val="28"/>
          <w:szCs w:val="28"/>
        </w:rPr>
        <w:t>.</w:t>
      </w:r>
      <w:r w:rsidR="00F50BA9" w:rsidRPr="00016810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="000213F8" w:rsidRPr="00016810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0213F8" w:rsidRPr="00016810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2A1571" w:rsidRPr="005E5C9D" w:rsidRDefault="003B5A3D" w:rsidP="000213F8">
      <w:pPr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b/>
          <w:sz w:val="22"/>
        </w:rPr>
        <w:t>Working-day adjusted industrial production</w:t>
      </w:r>
      <w:r w:rsidRPr="007E517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in August</w:t>
      </w:r>
      <w:r w:rsidR="000213F8"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="000213F8" w:rsidRPr="00016810">
        <w:rPr>
          <w:rFonts w:ascii="Arial Narrow" w:hAnsi="Arial Narrow" w:cs="Tahoma"/>
          <w:sz w:val="22"/>
          <w:szCs w:val="22"/>
        </w:rPr>
        <w:t>201</w:t>
      </w:r>
      <w:r w:rsidR="00284295" w:rsidRPr="00016810">
        <w:rPr>
          <w:rFonts w:ascii="Arial Narrow" w:hAnsi="Arial Narrow" w:cs="Tahoma"/>
          <w:sz w:val="22"/>
          <w:szCs w:val="22"/>
          <w:lang w:val="sr-Cyrl-CS"/>
        </w:rPr>
        <w:t>5</w:t>
      </w:r>
      <w:r w:rsidR="002D345C">
        <w:rPr>
          <w:rFonts w:ascii="Arial Narrow" w:hAnsi="Arial Narrow" w:cs="Tahoma"/>
          <w:sz w:val="22"/>
          <w:szCs w:val="22"/>
        </w:rPr>
        <w:t xml:space="preserve">, </w:t>
      </w:r>
      <w:r w:rsidR="00867BAC">
        <w:rPr>
          <w:rFonts w:ascii="Arial Narrow" w:hAnsi="Arial Narrow" w:cs="Tahoma"/>
          <w:sz w:val="22"/>
          <w:szCs w:val="22"/>
        </w:rPr>
        <w:t xml:space="preserve">compared to August </w:t>
      </w:r>
      <w:r w:rsidR="000213F8" w:rsidRPr="00016810">
        <w:rPr>
          <w:rFonts w:ascii="Arial Narrow" w:hAnsi="Arial Narrow" w:cs="Tahoma"/>
          <w:sz w:val="22"/>
          <w:szCs w:val="22"/>
          <w:lang w:val="ru-RU"/>
        </w:rPr>
        <w:t>201</w:t>
      </w:r>
      <w:r w:rsidR="00284295" w:rsidRPr="00016810">
        <w:rPr>
          <w:rFonts w:ascii="Arial Narrow" w:hAnsi="Arial Narrow" w:cs="Tahoma"/>
          <w:sz w:val="22"/>
          <w:szCs w:val="22"/>
          <w:lang w:val="ru-RU"/>
        </w:rPr>
        <w:t>4</w:t>
      </w:r>
      <w:r w:rsidR="00867BAC">
        <w:rPr>
          <w:rFonts w:ascii="Arial Narrow" w:hAnsi="Arial Narrow" w:cs="Tahoma"/>
          <w:sz w:val="22"/>
          <w:szCs w:val="22"/>
        </w:rPr>
        <w:t>, increased by</w:t>
      </w:r>
      <w:r w:rsidR="000213F8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9E747F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867BAC">
        <w:rPr>
          <w:rFonts w:ascii="Arial Narrow" w:hAnsi="Arial Narrow" w:cs="Tahoma"/>
          <w:sz w:val="22"/>
          <w:szCs w:val="22"/>
        </w:rPr>
        <w:t>.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111766">
        <w:rPr>
          <w:rFonts w:ascii="Arial Narrow" w:hAnsi="Arial Narrow" w:cs="Tahoma"/>
          <w:sz w:val="22"/>
          <w:szCs w:val="22"/>
        </w:rPr>
        <w:t xml:space="preserve">%. </w:t>
      </w:r>
      <w:r w:rsidR="00867BAC">
        <w:rPr>
          <w:rFonts w:ascii="Arial Narrow" w:hAnsi="Arial Narrow" w:cs="Tahoma"/>
          <w:sz w:val="22"/>
          <w:szCs w:val="22"/>
        </w:rPr>
        <w:t xml:space="preserve">In the section </w:t>
      </w:r>
      <w:r w:rsidR="00867BAC" w:rsidRPr="00111766">
        <w:rPr>
          <w:rFonts w:ascii="Arial Narrow" w:hAnsi="Arial Narrow" w:cs="Tahoma"/>
          <w:i/>
          <w:sz w:val="22"/>
          <w:szCs w:val="22"/>
        </w:rPr>
        <w:t>Manufacturing</w:t>
      </w:r>
      <w:r w:rsidR="00867BAC">
        <w:rPr>
          <w:rFonts w:ascii="Arial Narrow" w:hAnsi="Arial Narrow" w:cs="Tahoma"/>
          <w:sz w:val="22"/>
          <w:szCs w:val="22"/>
        </w:rPr>
        <w:t xml:space="preserve"> an increase by</w:t>
      </w:r>
      <w:r w:rsidR="00A403F5" w:rsidRPr="00016810">
        <w:rPr>
          <w:rFonts w:ascii="Arial Narrow" w:hAnsi="Arial Narrow" w:cs="Tahoma"/>
          <w:sz w:val="22"/>
          <w:szCs w:val="22"/>
          <w:lang w:val="sr-Cyrl-BA"/>
        </w:rPr>
        <w:t xml:space="preserve"> 14</w:t>
      </w:r>
      <w:r w:rsidR="00867BAC">
        <w:rPr>
          <w:rFonts w:ascii="Arial Narrow" w:hAnsi="Arial Narrow" w:cs="Tahoma"/>
          <w:sz w:val="22"/>
          <w:szCs w:val="22"/>
        </w:rPr>
        <w:t>.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="00A403F5" w:rsidRPr="00016810">
        <w:rPr>
          <w:rFonts w:ascii="Arial Narrow" w:hAnsi="Arial Narrow" w:cs="Tahoma"/>
          <w:sz w:val="22"/>
          <w:szCs w:val="22"/>
        </w:rPr>
        <w:t>%</w:t>
      </w:r>
      <w:r w:rsidR="00867BAC">
        <w:rPr>
          <w:rFonts w:ascii="Arial Narrow" w:hAnsi="Arial Narrow" w:cs="Tahoma"/>
          <w:sz w:val="22"/>
          <w:szCs w:val="22"/>
        </w:rPr>
        <w:t xml:space="preserve"> was recorded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, </w:t>
      </w:r>
      <w:r w:rsidR="00867BAC">
        <w:rPr>
          <w:rFonts w:ascii="Arial Narrow" w:hAnsi="Arial Narrow" w:cs="Tahoma"/>
          <w:sz w:val="22"/>
          <w:szCs w:val="22"/>
        </w:rPr>
        <w:t>in the section</w:t>
      </w:r>
      <w:r w:rsidR="00CF5080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67BAC">
        <w:rPr>
          <w:rFonts w:ascii="Arial Narrow" w:hAnsi="Arial Narrow" w:cs="Tahoma"/>
          <w:i/>
          <w:sz w:val="22"/>
          <w:szCs w:val="22"/>
        </w:rPr>
        <w:t>Mining and quarrying</w:t>
      </w:r>
      <w:r w:rsidR="0082153B" w:rsidRPr="00016810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="00867BAC">
        <w:rPr>
          <w:rFonts w:ascii="Arial Narrow" w:hAnsi="Arial Narrow" w:cs="Tahoma"/>
          <w:sz w:val="22"/>
          <w:szCs w:val="22"/>
        </w:rPr>
        <w:t>an increase</w:t>
      </w:r>
      <w:r w:rsidR="00111766">
        <w:rPr>
          <w:rFonts w:ascii="Arial Narrow" w:hAnsi="Arial Narrow" w:cs="Tahoma"/>
          <w:sz w:val="22"/>
          <w:szCs w:val="22"/>
        </w:rPr>
        <w:t xml:space="preserve"> by</w:t>
      </w:r>
      <w:r w:rsidR="000213F8" w:rsidRPr="00016810">
        <w:rPr>
          <w:rFonts w:ascii="Arial Narrow" w:hAnsi="Arial Narrow" w:cs="Tahoma"/>
          <w:sz w:val="22"/>
          <w:szCs w:val="22"/>
        </w:rPr>
        <w:t xml:space="preserve"> </w:t>
      </w:r>
      <w:r w:rsidR="009E747F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2</w:t>
      </w:r>
      <w:r w:rsidR="00867BAC">
        <w:rPr>
          <w:rFonts w:ascii="Arial Narrow" w:hAnsi="Arial Narrow" w:cs="Tahoma"/>
          <w:sz w:val="22"/>
          <w:szCs w:val="22"/>
        </w:rPr>
        <w:t>.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="000213F8" w:rsidRPr="00016810">
        <w:rPr>
          <w:rFonts w:ascii="Arial Narrow" w:hAnsi="Arial Narrow" w:cs="Tahoma"/>
          <w:sz w:val="22"/>
          <w:szCs w:val="22"/>
        </w:rPr>
        <w:t>%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867BAC">
        <w:rPr>
          <w:rFonts w:ascii="Arial Narrow" w:hAnsi="Arial Narrow" w:cs="Tahoma"/>
          <w:sz w:val="22"/>
          <w:szCs w:val="22"/>
        </w:rPr>
        <w:t xml:space="preserve">and in the section </w:t>
      </w:r>
      <w:r w:rsidR="00867BAC" w:rsidRPr="007E517E">
        <w:rPr>
          <w:rFonts w:ascii="Arial Narrow" w:hAnsi="Arial Narrow" w:cs="Tahoma"/>
          <w:i/>
          <w:sz w:val="22"/>
          <w:szCs w:val="22"/>
        </w:rPr>
        <w:t xml:space="preserve">Electricity, gas, steam and air-conditioning supply </w:t>
      </w:r>
      <w:r w:rsidR="00867BAC">
        <w:rPr>
          <w:rFonts w:ascii="Arial Narrow" w:hAnsi="Arial Narrow" w:cs="Tahoma"/>
          <w:sz w:val="22"/>
          <w:szCs w:val="22"/>
        </w:rPr>
        <w:t xml:space="preserve">an increase by 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 w:rsidR="00867BAC">
        <w:rPr>
          <w:rFonts w:ascii="Arial Narrow" w:hAnsi="Arial Narrow" w:cs="Tahoma"/>
          <w:sz w:val="22"/>
          <w:szCs w:val="22"/>
        </w:rPr>
        <w:t>.</w:t>
      </w:r>
      <w:r w:rsidR="00A403F5" w:rsidRPr="00016810">
        <w:rPr>
          <w:rFonts w:ascii="Arial Narrow" w:hAnsi="Arial Narrow" w:cs="Tahoma"/>
          <w:sz w:val="22"/>
          <w:szCs w:val="22"/>
          <w:lang w:val="sr-Cyrl-CS"/>
        </w:rPr>
        <w:t>7</w:t>
      </w:r>
      <w:r w:rsidR="007C0B34" w:rsidRPr="00016810">
        <w:rPr>
          <w:rFonts w:ascii="Arial Narrow" w:hAnsi="Arial Narrow" w:cs="Tahoma"/>
          <w:sz w:val="22"/>
          <w:szCs w:val="22"/>
        </w:rPr>
        <w:t>%</w:t>
      </w:r>
      <w:r w:rsidR="007C0B34" w:rsidRPr="00016810">
        <w:rPr>
          <w:rFonts w:ascii="Arial Narrow" w:hAnsi="Arial Narrow" w:cs="Tahoma"/>
          <w:sz w:val="22"/>
          <w:szCs w:val="22"/>
          <w:lang w:val="sr-Cyrl-CS"/>
        </w:rPr>
        <w:t>.</w:t>
      </w:r>
      <w:r w:rsidR="002A1571" w:rsidRPr="00016810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E5C9D">
        <w:rPr>
          <w:rFonts w:ascii="Arial Narrow" w:hAnsi="Arial Narrow" w:cs="Tahoma"/>
          <w:sz w:val="22"/>
          <w:szCs w:val="22"/>
        </w:rPr>
        <w:t xml:space="preserve">By main industrial group, based on economic purpose of products, working-day adjusted production of energy in August 2015, compared to August 2014, was 18.9% higher, production of intermediate goods was 9.9% higher, production of consumer non-durables was 9.1% higher and production of capital goods was 7.7% higher, while production of consumer durables was 12.6% lower. </w:t>
      </w:r>
    </w:p>
    <w:p w:rsidR="007B2F2F" w:rsidRPr="00016810" w:rsidRDefault="007B2F2F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B727E2" w:rsidRPr="001E53C1" w:rsidRDefault="00B727E2" w:rsidP="000213F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pacing w:val="-2"/>
          <w:sz w:val="22"/>
          <w:szCs w:val="22"/>
        </w:rPr>
        <w:t>Seasonally adjusted industrial production</w:t>
      </w:r>
      <w:r w:rsidR="002A1571" w:rsidRPr="00016810">
        <w:rPr>
          <w:rFonts w:ascii="Arial Narrow" w:hAnsi="Arial Narrow" w:cs="Tahoma"/>
          <w:b/>
          <w:sz w:val="22"/>
          <w:szCs w:val="22"/>
          <w:lang w:val="sr-Cyrl-CS"/>
        </w:rPr>
        <w:t xml:space="preserve"> </w:t>
      </w:r>
      <w:r>
        <w:rPr>
          <w:rFonts w:ascii="Arial Narrow" w:hAnsi="Arial Narrow" w:cs="Tahoma"/>
          <w:sz w:val="22"/>
          <w:szCs w:val="22"/>
        </w:rPr>
        <w:t>in August</w:t>
      </w:r>
      <w:r w:rsidR="002A1571" w:rsidRPr="00016810">
        <w:rPr>
          <w:rFonts w:ascii="Arial Narrow" w:hAnsi="Arial Narrow" w:cs="Tahoma"/>
          <w:sz w:val="22"/>
          <w:szCs w:val="22"/>
        </w:rPr>
        <w:t xml:space="preserve"> </w:t>
      </w:r>
      <w:r w:rsidR="002A1571" w:rsidRPr="00016810">
        <w:rPr>
          <w:rFonts w:ascii="Arial Narrow" w:hAnsi="Arial Narrow" w:cs="Tahoma"/>
          <w:spacing w:val="-2"/>
          <w:sz w:val="22"/>
          <w:szCs w:val="22"/>
        </w:rPr>
        <w:t>201</w:t>
      </w:r>
      <w:r w:rsidR="002A1571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5</w:t>
      </w:r>
      <w:r>
        <w:rPr>
          <w:rFonts w:ascii="Arial Narrow" w:hAnsi="Arial Narrow" w:cs="Tahoma"/>
          <w:spacing w:val="-2"/>
          <w:sz w:val="22"/>
          <w:szCs w:val="22"/>
        </w:rPr>
        <w:t>,</w:t>
      </w:r>
      <w:r w:rsidR="002A1571"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>
        <w:rPr>
          <w:rFonts w:ascii="Arial Narrow" w:hAnsi="Arial Narrow" w:cs="Tahoma"/>
          <w:spacing w:val="-2"/>
          <w:sz w:val="22"/>
          <w:szCs w:val="22"/>
        </w:rPr>
        <w:t>compared to July 2015</w:t>
      </w:r>
      <w:r w:rsidR="00D7079A" w:rsidRPr="00016810">
        <w:rPr>
          <w:rFonts w:ascii="Arial Narrow" w:hAnsi="Arial Narrow" w:cs="Tahoma"/>
          <w:spacing w:val="-2"/>
          <w:sz w:val="22"/>
          <w:szCs w:val="22"/>
          <w:lang w:val="sr-Cyrl-CS"/>
        </w:rPr>
        <w:t>,</w:t>
      </w:r>
      <w:r w:rsidR="002A1571" w:rsidRPr="00016810">
        <w:rPr>
          <w:rFonts w:ascii="Arial Narrow" w:hAnsi="Arial Narrow" w:cs="Tahoma"/>
          <w:spacing w:val="-2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pacing w:val="-2"/>
          <w:sz w:val="22"/>
          <w:szCs w:val="22"/>
        </w:rPr>
        <w:t>increased by</w:t>
      </w:r>
      <w:r>
        <w:rPr>
          <w:rFonts w:ascii="Arial Narrow" w:hAnsi="Arial Narrow" w:cs="Tahoma"/>
          <w:sz w:val="22"/>
          <w:szCs w:val="22"/>
          <w:lang w:val="sr-Cyrl-CS"/>
        </w:rPr>
        <w:t xml:space="preserve"> 2</w:t>
      </w:r>
      <w:r>
        <w:rPr>
          <w:rFonts w:ascii="Arial Narrow" w:hAnsi="Arial Narrow" w:cs="Tahoma"/>
          <w:sz w:val="22"/>
          <w:szCs w:val="22"/>
        </w:rPr>
        <w:t>.</w:t>
      </w:r>
      <w:r w:rsidR="002A1571" w:rsidRPr="00016810">
        <w:rPr>
          <w:rFonts w:ascii="Arial Narrow" w:hAnsi="Arial Narrow" w:cs="Tahoma"/>
          <w:sz w:val="22"/>
          <w:szCs w:val="22"/>
          <w:lang w:val="sr-Cyrl-CS"/>
        </w:rPr>
        <w:t>8%</w:t>
      </w:r>
      <w:r w:rsidR="00D7079A" w:rsidRPr="00016810">
        <w:rPr>
          <w:rFonts w:ascii="Arial Narrow" w:hAnsi="Arial Narrow" w:cs="Tahoma"/>
          <w:sz w:val="22"/>
          <w:szCs w:val="22"/>
          <w:lang w:val="sr-Cyrl-CS"/>
        </w:rPr>
        <w:t xml:space="preserve">. </w:t>
      </w:r>
      <w:r w:rsidR="001E53C1">
        <w:rPr>
          <w:rFonts w:ascii="Arial Narrow" w:hAnsi="Arial Narrow" w:cs="Tahoma"/>
          <w:sz w:val="22"/>
          <w:szCs w:val="22"/>
        </w:rPr>
        <w:t xml:space="preserve">In the section </w:t>
      </w:r>
      <w:r w:rsidR="001E53C1" w:rsidRPr="007E517E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="001E53C1">
        <w:rPr>
          <w:rFonts w:ascii="Arial Narrow" w:hAnsi="Arial Narrow" w:cs="Tahoma"/>
          <w:i/>
          <w:sz w:val="22"/>
          <w:szCs w:val="22"/>
        </w:rPr>
        <w:t xml:space="preserve"> </w:t>
      </w:r>
      <w:r w:rsidR="001E53C1">
        <w:rPr>
          <w:rFonts w:ascii="Arial Narrow" w:hAnsi="Arial Narrow" w:cs="Tahoma"/>
          <w:sz w:val="22"/>
          <w:szCs w:val="22"/>
        </w:rPr>
        <w:t xml:space="preserve">an increase by 1.2% was recorded, while in the section </w:t>
      </w:r>
      <w:r w:rsidR="001E53C1" w:rsidRPr="00111766">
        <w:rPr>
          <w:rFonts w:ascii="Arial Narrow" w:hAnsi="Arial Narrow" w:cs="Tahoma"/>
          <w:i/>
          <w:sz w:val="22"/>
          <w:szCs w:val="22"/>
        </w:rPr>
        <w:t>Manufacturing</w:t>
      </w:r>
      <w:r w:rsidR="001E53C1">
        <w:rPr>
          <w:rFonts w:ascii="Arial Narrow" w:hAnsi="Arial Narrow" w:cs="Tahoma"/>
          <w:i/>
          <w:sz w:val="22"/>
          <w:szCs w:val="22"/>
        </w:rPr>
        <w:t xml:space="preserve"> </w:t>
      </w:r>
      <w:r w:rsidR="001E53C1">
        <w:rPr>
          <w:rFonts w:ascii="Arial Narrow" w:hAnsi="Arial Narrow" w:cs="Tahoma"/>
          <w:sz w:val="22"/>
          <w:szCs w:val="22"/>
        </w:rPr>
        <w:t xml:space="preserve">a decrease by 0.9% was recorded and in the section </w:t>
      </w:r>
      <w:r w:rsidR="001E53C1">
        <w:rPr>
          <w:rFonts w:ascii="Arial Narrow" w:hAnsi="Arial Narrow" w:cs="Tahoma"/>
          <w:i/>
          <w:sz w:val="22"/>
          <w:szCs w:val="22"/>
        </w:rPr>
        <w:t xml:space="preserve">Mining and quarrying </w:t>
      </w:r>
      <w:r w:rsidR="001E53C1">
        <w:rPr>
          <w:rFonts w:ascii="Arial Narrow" w:hAnsi="Arial Narrow" w:cs="Tahoma"/>
          <w:sz w:val="22"/>
          <w:szCs w:val="22"/>
        </w:rPr>
        <w:t xml:space="preserve">a decrease by 5.9%. </w:t>
      </w:r>
      <w:r w:rsidR="00AD7A73">
        <w:rPr>
          <w:rFonts w:ascii="Arial Narrow" w:hAnsi="Arial Narrow" w:cs="Tahoma"/>
          <w:sz w:val="22"/>
          <w:szCs w:val="22"/>
        </w:rPr>
        <w:t xml:space="preserve">By main industrial group, based on economic purpose of products, seasonally adjusted production of energy in August 2015, compared to July 2015, </w:t>
      </w:r>
      <w:r w:rsidR="00BC0143">
        <w:rPr>
          <w:rFonts w:ascii="Arial Narrow" w:hAnsi="Arial Narrow" w:cs="Tahoma"/>
          <w:sz w:val="22"/>
          <w:szCs w:val="22"/>
        </w:rPr>
        <w:t xml:space="preserve">was 8.2% higher and production of capital goods was 7.7% higher, while production of intermediate goods was 2.0% lower, production of consumer non-durables was 5.7% lower and production of consumer durables was 10.4% lower. </w:t>
      </w:r>
    </w:p>
    <w:p w:rsidR="007B2F2F" w:rsidRPr="00016810" w:rsidRDefault="007B2F2F" w:rsidP="000213F8">
      <w:pPr>
        <w:jc w:val="both"/>
        <w:rPr>
          <w:rFonts w:ascii="Arial Narrow" w:hAnsi="Arial Narrow" w:cs="Tahoma"/>
          <w:b/>
          <w:sz w:val="22"/>
          <w:szCs w:val="22"/>
          <w:lang w:val="ru-RU"/>
        </w:rPr>
      </w:pPr>
    </w:p>
    <w:p w:rsidR="003F41C0" w:rsidRPr="003F41C0" w:rsidRDefault="003F41C0" w:rsidP="000213F8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Number of employees in industry</w:t>
      </w:r>
      <w:r w:rsidR="000213F8"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sz w:val="22"/>
          <w:szCs w:val="22"/>
        </w:rPr>
        <w:t>in August</w:t>
      </w:r>
      <w:r w:rsidR="00B85D9D" w:rsidRPr="00016810">
        <w:rPr>
          <w:rFonts w:ascii="Arial Narrow" w:hAnsi="Arial Narrow" w:cs="Tahoma"/>
          <w:spacing w:val="-2"/>
          <w:sz w:val="22"/>
          <w:szCs w:val="22"/>
        </w:rPr>
        <w:t xml:space="preserve"> </w:t>
      </w:r>
      <w:r w:rsidR="000213F8" w:rsidRPr="00016810">
        <w:rPr>
          <w:rFonts w:ascii="Arial Narrow" w:hAnsi="Arial Narrow" w:cs="Tahoma"/>
          <w:sz w:val="22"/>
          <w:szCs w:val="22"/>
          <w:lang w:val="ru-RU"/>
        </w:rPr>
        <w:t>201</w:t>
      </w:r>
      <w:r w:rsidR="00B85D9D" w:rsidRPr="00016810">
        <w:rPr>
          <w:rFonts w:ascii="Arial Narrow" w:hAnsi="Arial Narrow" w:cs="Tahoma"/>
          <w:sz w:val="22"/>
          <w:szCs w:val="22"/>
          <w:lang w:val="ru-RU"/>
        </w:rPr>
        <w:t>5</w:t>
      </w:r>
      <w:r>
        <w:rPr>
          <w:rFonts w:ascii="Arial Narrow" w:hAnsi="Arial Narrow" w:cs="Tahoma"/>
          <w:sz w:val="22"/>
          <w:szCs w:val="22"/>
        </w:rPr>
        <w:t>,</w:t>
      </w:r>
      <w:r w:rsidR="000213F8"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sz w:val="22"/>
          <w:szCs w:val="22"/>
        </w:rPr>
        <w:t>compared to the same month of the previous year, increased by</w:t>
      </w:r>
      <w:r w:rsidR="000213F8" w:rsidRPr="00016810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872B6D" w:rsidRPr="00016810">
        <w:rPr>
          <w:rFonts w:ascii="Arial Narrow" w:hAnsi="Arial Narrow" w:cs="Tahoma"/>
          <w:sz w:val="22"/>
          <w:szCs w:val="22"/>
          <w:lang w:val="sr-Cyrl-CS"/>
        </w:rPr>
        <w:t>1</w:t>
      </w:r>
      <w:r>
        <w:rPr>
          <w:rFonts w:ascii="Arial Narrow" w:hAnsi="Arial Narrow" w:cs="Tahoma"/>
          <w:sz w:val="22"/>
          <w:szCs w:val="22"/>
          <w:lang w:val="sr-Latn-CS"/>
        </w:rPr>
        <w:t>.</w:t>
      </w:r>
      <w:r w:rsidR="009A0F96" w:rsidRPr="00016810">
        <w:rPr>
          <w:rFonts w:ascii="Arial Narrow" w:hAnsi="Arial Narrow" w:cs="Tahoma"/>
          <w:sz w:val="22"/>
          <w:szCs w:val="22"/>
          <w:lang w:val="sr-Cyrl-CS"/>
        </w:rPr>
        <w:t>8</w:t>
      </w:r>
      <w:r w:rsidR="000213F8" w:rsidRPr="00016810">
        <w:rPr>
          <w:rFonts w:ascii="Arial Narrow" w:hAnsi="Arial Narrow" w:cs="Tahoma"/>
          <w:sz w:val="22"/>
          <w:szCs w:val="22"/>
          <w:lang w:val="sr-Latn-CS"/>
        </w:rPr>
        <w:t>%</w:t>
      </w:r>
      <w:r>
        <w:rPr>
          <w:rFonts w:ascii="Arial Narrow" w:hAnsi="Arial Narrow" w:cs="Tahoma"/>
          <w:sz w:val="22"/>
          <w:szCs w:val="22"/>
        </w:rPr>
        <w:t xml:space="preserve">. Compared to the average monthly number of employed persons in 2014 it was 2.1% higher and compared to July 2015 it was 0.4% higher. Number of employees in industry in the period January – August 2015, compared to the same period of the previous year, was 1.4% higher. During the same period, in the section </w:t>
      </w:r>
      <w:r w:rsidRPr="007E517E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 xml:space="preserve">an increase by 4.3% was recorded, in the section </w:t>
      </w:r>
      <w:r w:rsidRPr="007E517E">
        <w:rPr>
          <w:rFonts w:ascii="Arial Narrow" w:hAnsi="Arial Narrow" w:cs="Tahoma"/>
          <w:i/>
          <w:spacing w:val="-2"/>
          <w:sz w:val="22"/>
        </w:rPr>
        <w:t xml:space="preserve">Mining and quarrying </w:t>
      </w:r>
      <w:r w:rsidRPr="007E517E">
        <w:rPr>
          <w:rFonts w:ascii="Arial Narrow" w:hAnsi="Arial Narrow" w:cs="Tahoma"/>
          <w:spacing w:val="-2"/>
          <w:sz w:val="22"/>
        </w:rPr>
        <w:t>an increase by 2.</w:t>
      </w:r>
      <w:r>
        <w:rPr>
          <w:rFonts w:ascii="Arial Narrow" w:hAnsi="Arial Narrow" w:cs="Tahoma"/>
          <w:spacing w:val="-2"/>
          <w:sz w:val="22"/>
        </w:rPr>
        <w:t xml:space="preserve">5% and in the section </w:t>
      </w:r>
      <w:r w:rsidRPr="007E517E">
        <w:rPr>
          <w:rFonts w:ascii="Arial Narrow" w:hAnsi="Arial Narrow" w:cs="Tahoma"/>
          <w:i/>
          <w:spacing w:val="-2"/>
          <w:sz w:val="22"/>
        </w:rPr>
        <w:t>Manufacturing</w:t>
      </w:r>
      <w:r>
        <w:rPr>
          <w:rFonts w:ascii="Arial Narrow" w:hAnsi="Arial Narrow" w:cs="Tahoma"/>
          <w:i/>
          <w:spacing w:val="-2"/>
          <w:sz w:val="22"/>
        </w:rPr>
        <w:t xml:space="preserve"> </w:t>
      </w:r>
      <w:r>
        <w:rPr>
          <w:rFonts w:ascii="Arial Narrow" w:hAnsi="Arial Narrow" w:cs="Tahoma"/>
          <w:spacing w:val="-2"/>
          <w:sz w:val="22"/>
        </w:rPr>
        <w:t xml:space="preserve">an increase by 0.9% was recorded. </w:t>
      </w:r>
    </w:p>
    <w:p w:rsidR="000213F8" w:rsidRPr="00016810" w:rsidRDefault="00B83CED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>
        <w:rPr>
          <w:rFonts w:ascii="Tahoma" w:hAnsi="Tahoma" w:cs="Tahoma"/>
          <w:noProof/>
          <w:sz w:val="16"/>
          <w:szCs w:val="16"/>
        </w:rPr>
        <w:lastRenderedPageBreak/>
        <w:drawing>
          <wp:anchor distT="0" distB="0" distL="114300" distR="114300" simplePos="0" relativeHeight="251681792" behindDoc="0" locked="0" layoutInCell="1" allowOverlap="1" wp14:anchorId="2534456C" wp14:editId="6157F7D4">
            <wp:simplePos x="0" y="0"/>
            <wp:positionH relativeFrom="column">
              <wp:posOffset>-146299</wp:posOffset>
            </wp:positionH>
            <wp:positionV relativeFrom="paragraph">
              <wp:posOffset>2087182</wp:posOffset>
            </wp:positionV>
            <wp:extent cx="6759590" cy="4825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90" cy="48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7A7B" w:rsidRPr="00437A7B">
        <w:rPr>
          <w:noProof/>
        </w:rPr>
        <w:drawing>
          <wp:inline distT="0" distB="0" distL="0" distR="0" wp14:anchorId="12A6700A" wp14:editId="1624F398">
            <wp:extent cx="6480810" cy="3053118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016810" w:rsidRDefault="00997234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proofErr w:type="spellStart"/>
      <w:r>
        <w:rPr>
          <w:rFonts w:ascii="Arial Narrow" w:hAnsi="Arial Narrow" w:cs="Tahoma"/>
          <w:sz w:val="16"/>
          <w:szCs w:val="16"/>
          <w:lang w:val="sr-Latn-CS"/>
        </w:rPr>
        <w:t>Graph</w:t>
      </w:r>
      <w:proofErr w:type="spellEnd"/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66022A" w:rsidRPr="00016810">
        <w:rPr>
          <w:rFonts w:ascii="Arial Narrow" w:hAnsi="Arial Narrow" w:cs="Tahoma"/>
          <w:sz w:val="16"/>
          <w:szCs w:val="16"/>
          <w:lang w:val="sr-Latn-CS"/>
        </w:rPr>
        <w:t>2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>
        <w:rPr>
          <w:rFonts w:ascii="Arial Narrow" w:hAnsi="Arial Narrow" w:cs="Tahoma"/>
          <w:sz w:val="16"/>
          <w:szCs w:val="16"/>
          <w:lang w:val="sr-Latn-CS"/>
        </w:rPr>
        <w:t>Indices</w:t>
      </w:r>
      <w:proofErr w:type="spellEnd"/>
      <w:r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16"/>
          <w:szCs w:val="16"/>
          <w:lang w:val="sr-Latn-CS"/>
        </w:rPr>
        <w:t>of</w:t>
      </w:r>
      <w:proofErr w:type="spellEnd"/>
      <w:r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16"/>
          <w:szCs w:val="16"/>
          <w:lang w:val="sr-Latn-CS"/>
        </w:rPr>
        <w:t>industrial</w:t>
      </w:r>
      <w:proofErr w:type="spellEnd"/>
      <w:r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>
        <w:rPr>
          <w:rFonts w:ascii="Arial Narrow" w:hAnsi="Arial Narrow" w:cs="Tahoma"/>
          <w:sz w:val="16"/>
          <w:szCs w:val="16"/>
          <w:lang w:val="sr-Latn-CS"/>
        </w:rPr>
        <w:t>production</w:t>
      </w:r>
      <w:proofErr w:type="spellEnd"/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437A7B">
        <w:rPr>
          <w:rFonts w:ascii="Arial Narrow" w:hAnsi="Arial Narrow" w:cs="Tahoma"/>
          <w:sz w:val="16"/>
          <w:szCs w:val="16"/>
        </w:rPr>
        <w:t>August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B85D9D" w:rsidRPr="00016810">
        <w:rPr>
          <w:rFonts w:ascii="Arial Narrow" w:hAnsi="Arial Narrow" w:cs="Tahoma"/>
          <w:sz w:val="16"/>
          <w:szCs w:val="16"/>
        </w:rPr>
        <w:t>1</w:t>
      </w:r>
      <w:r w:rsidR="00B85D9D" w:rsidRPr="00016810">
        <w:rPr>
          <w:rFonts w:ascii="Arial Narrow" w:hAnsi="Arial Narrow" w:cs="Tahoma"/>
          <w:sz w:val="16"/>
          <w:szCs w:val="16"/>
          <w:lang w:val="sr-Cyrl-CS"/>
        </w:rPr>
        <w:t>1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37A7B">
        <w:rPr>
          <w:rFonts w:ascii="Arial Narrow" w:hAnsi="Arial Narrow" w:cs="Tahoma"/>
          <w:sz w:val="16"/>
          <w:szCs w:val="16"/>
        </w:rPr>
        <w:t>August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85D9D" w:rsidRPr="00016810">
        <w:rPr>
          <w:rFonts w:ascii="Arial Narrow" w:hAnsi="Arial Narrow" w:cs="Tahoma"/>
          <w:sz w:val="16"/>
          <w:szCs w:val="16"/>
          <w:lang w:val="sr-Cyrl-CS"/>
        </w:rPr>
        <w:t>5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016810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016810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016810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83187D" w:rsidRPr="007E517E" w:rsidRDefault="0083187D" w:rsidP="0083187D">
      <w:pPr>
        <w:rPr>
          <w:rFonts w:ascii="Arial Narrow" w:hAnsi="Arial Narrow" w:cs="Tahoma"/>
          <w:b/>
          <w:sz w:val="30"/>
          <w:szCs w:val="30"/>
        </w:rPr>
      </w:pPr>
      <w:r w:rsidRPr="007E517E">
        <w:rPr>
          <w:rFonts w:ascii="Arial Narrow" w:hAnsi="Arial Narrow" w:cs="Tahoma"/>
          <w:b/>
          <w:sz w:val="30"/>
          <w:szCs w:val="30"/>
        </w:rPr>
        <w:t>Coverage of import with export (in the period January-</w:t>
      </w:r>
      <w:r>
        <w:rPr>
          <w:rFonts w:ascii="Arial Narrow" w:hAnsi="Arial Narrow" w:cs="Tahoma"/>
          <w:b/>
          <w:sz w:val="30"/>
          <w:szCs w:val="30"/>
        </w:rPr>
        <w:t>August</w:t>
      </w:r>
      <w:r w:rsidRPr="007E517E">
        <w:rPr>
          <w:rFonts w:ascii="Arial Narrow" w:hAnsi="Arial Narrow" w:cs="Tahoma"/>
          <w:b/>
          <w:sz w:val="30"/>
          <w:szCs w:val="30"/>
        </w:rPr>
        <w:t xml:space="preserve"> 2015) 58.</w:t>
      </w:r>
      <w:r>
        <w:rPr>
          <w:rFonts w:ascii="Arial Narrow" w:hAnsi="Arial Narrow" w:cs="Tahoma"/>
          <w:b/>
          <w:sz w:val="30"/>
          <w:szCs w:val="30"/>
        </w:rPr>
        <w:t>7</w:t>
      </w:r>
      <w:r w:rsidRPr="007E517E">
        <w:rPr>
          <w:rFonts w:ascii="Arial Narrow" w:hAnsi="Arial Narrow" w:cs="Tahoma"/>
          <w:b/>
          <w:sz w:val="30"/>
          <w:szCs w:val="30"/>
        </w:rPr>
        <w:t xml:space="preserve">% </w:t>
      </w: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F442FA" w:rsidRPr="00016810" w:rsidRDefault="0000779D" w:rsidP="00F442FA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>In August</w:t>
      </w:r>
      <w:r w:rsidR="00F442FA" w:rsidRPr="00016810">
        <w:rPr>
          <w:rFonts w:ascii="Arial Narrow" w:hAnsi="Arial Narrow" w:cs="Tahoma"/>
          <w:sz w:val="22"/>
          <w:lang w:val="sr-Cyrl-BA"/>
        </w:rPr>
        <w:t xml:space="preserve"> 201</w:t>
      </w:r>
      <w:r w:rsidR="00F442FA" w:rsidRPr="00016810">
        <w:rPr>
          <w:rFonts w:ascii="Arial Narrow" w:hAnsi="Arial Narrow" w:cs="Tahoma"/>
          <w:sz w:val="22"/>
          <w:lang w:val="sr-Latn-CS"/>
        </w:rPr>
        <w:t>5</w:t>
      </w:r>
      <w:r>
        <w:rPr>
          <w:rFonts w:ascii="Arial Narrow" w:hAnsi="Arial Narrow" w:cs="Tahoma"/>
          <w:sz w:val="22"/>
        </w:rPr>
        <w:t>,</w:t>
      </w:r>
      <w:r w:rsidR="00F442FA" w:rsidRPr="00016810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</w:rPr>
        <w:t>the value of export amounted to</w:t>
      </w:r>
      <w:r w:rsidR="00F442FA" w:rsidRPr="00016810">
        <w:rPr>
          <w:rFonts w:ascii="Arial Narrow" w:hAnsi="Arial Narrow" w:cs="Tahoma"/>
          <w:sz w:val="22"/>
          <w:lang w:val="sr-Cyrl-BA"/>
        </w:rPr>
        <w:t xml:space="preserve"> 201 </w:t>
      </w:r>
      <w:r>
        <w:rPr>
          <w:rFonts w:ascii="Arial Narrow" w:hAnsi="Arial Narrow" w:cs="Tahoma"/>
          <w:sz w:val="22"/>
        </w:rPr>
        <w:t>million</w:t>
      </w:r>
      <w:r w:rsidR="00F442FA" w:rsidRPr="00016810">
        <w:rPr>
          <w:rFonts w:ascii="Arial Narrow" w:hAnsi="Arial Narrow" w:cs="Tahoma"/>
          <w:sz w:val="22"/>
          <w:lang w:val="sr-Cyrl-BA"/>
        </w:rPr>
        <w:t xml:space="preserve"> КМ </w:t>
      </w:r>
      <w:r>
        <w:rPr>
          <w:rFonts w:ascii="Arial Narrow" w:hAnsi="Arial Narrow" w:cs="Tahoma"/>
          <w:sz w:val="22"/>
        </w:rPr>
        <w:t>and the value of import was</w:t>
      </w:r>
      <w:r>
        <w:rPr>
          <w:rFonts w:ascii="Arial Narrow" w:hAnsi="Arial Narrow" w:cs="Tahoma"/>
          <w:sz w:val="22"/>
          <w:lang w:val="sr-Cyrl-BA"/>
        </w:rPr>
        <w:t xml:space="preserve"> 335 </w:t>
      </w:r>
      <w:r>
        <w:rPr>
          <w:rFonts w:ascii="Arial Narrow" w:hAnsi="Arial Narrow" w:cs="Tahoma"/>
          <w:sz w:val="22"/>
        </w:rPr>
        <w:t>million</w:t>
      </w:r>
      <w:r w:rsidR="00F442FA" w:rsidRPr="00016810">
        <w:rPr>
          <w:rFonts w:ascii="Arial Narrow" w:hAnsi="Arial Narrow" w:cs="Tahoma"/>
          <w:sz w:val="22"/>
          <w:lang w:val="sr-Cyrl-BA"/>
        </w:rPr>
        <w:t xml:space="preserve"> КМ.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676177" w:rsidRPr="007E517E" w:rsidRDefault="00676177" w:rsidP="00676177">
      <w:pPr>
        <w:jc w:val="both"/>
        <w:rPr>
          <w:rFonts w:ascii="Arial Narrow" w:hAnsi="Arial Narrow" w:cs="Tahoma"/>
          <w:sz w:val="22"/>
        </w:rPr>
      </w:pPr>
      <w:r w:rsidRPr="007E517E"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 w:rsidRPr="007E517E">
        <w:rPr>
          <w:rFonts w:ascii="Arial Narrow" w:hAnsi="Arial Narrow" w:cs="Tahoma"/>
          <w:sz w:val="22"/>
        </w:rPr>
        <w:t>Republika</w:t>
      </w:r>
      <w:proofErr w:type="spellEnd"/>
      <w:r w:rsidRPr="007E517E">
        <w:rPr>
          <w:rFonts w:ascii="Arial Narrow" w:hAnsi="Arial Narrow" w:cs="Tahoma"/>
          <w:sz w:val="22"/>
        </w:rPr>
        <w:t xml:space="preserve"> </w:t>
      </w:r>
      <w:proofErr w:type="spellStart"/>
      <w:r w:rsidRPr="007E517E">
        <w:rPr>
          <w:rFonts w:ascii="Arial Narrow" w:hAnsi="Arial Narrow" w:cs="Tahoma"/>
          <w:sz w:val="22"/>
        </w:rPr>
        <w:t>Srpska</w:t>
      </w:r>
      <w:proofErr w:type="spellEnd"/>
      <w:r w:rsidRPr="007E517E">
        <w:rPr>
          <w:rFonts w:ascii="Arial Narrow" w:hAnsi="Arial Narrow" w:cs="Tahoma"/>
          <w:sz w:val="22"/>
        </w:rPr>
        <w:t xml:space="preserve"> in </w:t>
      </w:r>
      <w:r>
        <w:rPr>
          <w:rFonts w:ascii="Arial Narrow" w:hAnsi="Arial Narrow" w:cs="Tahoma"/>
          <w:sz w:val="22"/>
        </w:rPr>
        <w:t>August</w:t>
      </w:r>
      <w:r w:rsidRPr="007E517E">
        <w:rPr>
          <w:rFonts w:ascii="Arial Narrow" w:hAnsi="Arial Narrow" w:cs="Tahoma"/>
          <w:sz w:val="22"/>
        </w:rPr>
        <w:t xml:space="preserve"> of the current year, the percentage of coverage of import with export was </w:t>
      </w:r>
      <w:r>
        <w:rPr>
          <w:rFonts w:ascii="Arial Narrow" w:hAnsi="Arial Narrow" w:cs="Tahoma"/>
          <w:sz w:val="22"/>
        </w:rPr>
        <w:t>60.2</w:t>
      </w:r>
      <w:r w:rsidRPr="007E517E">
        <w:rPr>
          <w:rFonts w:ascii="Arial Narrow" w:hAnsi="Arial Narrow" w:cs="Tahoma"/>
          <w:sz w:val="22"/>
        </w:rPr>
        <w:t xml:space="preserve">%. The percentage of coverage of import with export in the first </w:t>
      </w:r>
      <w:r>
        <w:rPr>
          <w:rFonts w:ascii="Arial Narrow" w:hAnsi="Arial Narrow" w:cs="Tahoma"/>
          <w:sz w:val="22"/>
        </w:rPr>
        <w:t>eight</w:t>
      </w:r>
      <w:r w:rsidRPr="007E517E">
        <w:rPr>
          <w:rFonts w:ascii="Arial Narrow" w:hAnsi="Arial Narrow" w:cs="Tahoma"/>
          <w:sz w:val="22"/>
        </w:rPr>
        <w:t xml:space="preserve"> mon</w:t>
      </w:r>
      <w:r>
        <w:rPr>
          <w:rFonts w:ascii="Arial Narrow" w:hAnsi="Arial Narrow" w:cs="Tahoma"/>
          <w:sz w:val="22"/>
        </w:rPr>
        <w:t>ths of the current year was 58.7</w:t>
      </w:r>
      <w:r w:rsidRPr="007E517E">
        <w:rPr>
          <w:rFonts w:ascii="Arial Narrow" w:hAnsi="Arial Narrow" w:cs="Tahoma"/>
          <w:sz w:val="22"/>
        </w:rPr>
        <w:t xml:space="preserve">%. </w:t>
      </w:r>
    </w:p>
    <w:p w:rsidR="00676177" w:rsidRDefault="00676177" w:rsidP="00F442FA">
      <w:pPr>
        <w:jc w:val="both"/>
        <w:rPr>
          <w:rFonts w:ascii="Arial Narrow" w:hAnsi="Arial Narrow" w:cs="Tahoma"/>
          <w:sz w:val="22"/>
        </w:rPr>
      </w:pPr>
    </w:p>
    <w:p w:rsidR="00676177" w:rsidRPr="007E517E" w:rsidRDefault="00676177" w:rsidP="00676177">
      <w:pPr>
        <w:jc w:val="both"/>
        <w:rPr>
          <w:rFonts w:ascii="Arial Narrow" w:hAnsi="Arial Narrow" w:cs="Tahoma"/>
          <w:sz w:val="22"/>
        </w:rPr>
      </w:pPr>
      <w:r w:rsidRPr="007E517E">
        <w:rPr>
          <w:rFonts w:ascii="Arial Narrow" w:hAnsi="Arial Narrow" w:cs="Tahoma"/>
          <w:sz w:val="22"/>
        </w:rPr>
        <w:t xml:space="preserve">In the period January – </w:t>
      </w:r>
      <w:r>
        <w:rPr>
          <w:rFonts w:ascii="Arial Narrow" w:hAnsi="Arial Narrow" w:cs="Tahoma"/>
          <w:sz w:val="22"/>
        </w:rPr>
        <w:t>August</w:t>
      </w:r>
      <w:r w:rsidRPr="007E517E">
        <w:rPr>
          <w:rFonts w:ascii="Arial Narrow" w:hAnsi="Arial Narrow" w:cs="Tahoma"/>
          <w:sz w:val="22"/>
        </w:rPr>
        <w:t xml:space="preserve"> 2015, the value of export was </w:t>
      </w:r>
      <w:r w:rsidR="00701BBA">
        <w:rPr>
          <w:rFonts w:ascii="Arial Narrow" w:hAnsi="Arial Narrow" w:cs="Tahoma"/>
          <w:sz w:val="22"/>
        </w:rPr>
        <w:t>one</w:t>
      </w:r>
      <w:r w:rsidRPr="007E517E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682</w:t>
      </w:r>
      <w:r w:rsidRPr="007E517E">
        <w:rPr>
          <w:rFonts w:ascii="Arial Narrow" w:hAnsi="Arial Narrow" w:cs="Tahoma"/>
          <w:sz w:val="22"/>
        </w:rPr>
        <w:t xml:space="preserve"> million KM, whi</w:t>
      </w:r>
      <w:r>
        <w:rPr>
          <w:rFonts w:ascii="Arial Narrow" w:hAnsi="Arial Narrow" w:cs="Tahoma"/>
          <w:sz w:val="22"/>
        </w:rPr>
        <w:t>ch represented a decrease by 4.0</w:t>
      </w:r>
      <w:r w:rsidRPr="007E517E">
        <w:rPr>
          <w:rFonts w:ascii="Arial Narrow" w:hAnsi="Arial Narrow" w:cs="Tahoma"/>
          <w:sz w:val="22"/>
        </w:rPr>
        <w:t xml:space="preserve">% compared to the same period of the previous year. During the same period, the value of import was </w:t>
      </w:r>
      <w:r w:rsidR="00701BBA">
        <w:rPr>
          <w:rFonts w:ascii="Arial Narrow" w:hAnsi="Arial Narrow" w:cs="Tahoma"/>
          <w:sz w:val="22"/>
        </w:rPr>
        <w:t>two</w:t>
      </w:r>
      <w:r w:rsidRPr="007E517E">
        <w:rPr>
          <w:rFonts w:ascii="Arial Narrow" w:hAnsi="Arial Narrow" w:cs="Tahoma"/>
          <w:sz w:val="22"/>
        </w:rPr>
        <w:t xml:space="preserve"> billion and </w:t>
      </w:r>
      <w:r>
        <w:rPr>
          <w:rFonts w:ascii="Arial Narrow" w:hAnsi="Arial Narrow" w:cs="Tahoma"/>
          <w:sz w:val="22"/>
        </w:rPr>
        <w:t>868</w:t>
      </w:r>
      <w:r w:rsidRPr="007E517E">
        <w:rPr>
          <w:rFonts w:ascii="Arial Narrow" w:hAnsi="Arial Narrow" w:cs="Tahoma"/>
          <w:sz w:val="22"/>
        </w:rPr>
        <w:t xml:space="preserve"> million KM, whi</w:t>
      </w:r>
      <w:r>
        <w:rPr>
          <w:rFonts w:ascii="Arial Narrow" w:hAnsi="Arial Narrow" w:cs="Tahoma"/>
          <w:sz w:val="22"/>
        </w:rPr>
        <w:t>ch represented a decrease by 9.0</w:t>
      </w:r>
      <w:r w:rsidRPr="007E517E">
        <w:rPr>
          <w:rFonts w:ascii="Arial Narrow" w:hAnsi="Arial Narrow" w:cs="Tahoma"/>
          <w:sz w:val="22"/>
        </w:rPr>
        <w:t xml:space="preserve">% compared to the same period of the previous year. 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676177" w:rsidRPr="007E517E" w:rsidRDefault="00676177" w:rsidP="00676177">
      <w:pPr>
        <w:jc w:val="both"/>
        <w:rPr>
          <w:rFonts w:ascii="Arial Narrow" w:hAnsi="Arial Narrow" w:cs="Tahoma"/>
          <w:sz w:val="22"/>
        </w:rPr>
      </w:pPr>
      <w:r w:rsidRPr="007E517E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E517E">
        <w:rPr>
          <w:rFonts w:ascii="Arial Narrow" w:hAnsi="Arial Narrow" w:cs="Tahoma"/>
          <w:sz w:val="22"/>
        </w:rPr>
        <w:t>Republika</w:t>
      </w:r>
      <w:proofErr w:type="spellEnd"/>
      <w:r w:rsidRPr="007E517E">
        <w:rPr>
          <w:rFonts w:ascii="Arial Narrow" w:hAnsi="Arial Narrow" w:cs="Tahoma"/>
          <w:sz w:val="22"/>
        </w:rPr>
        <w:t xml:space="preserve"> </w:t>
      </w:r>
      <w:proofErr w:type="spellStart"/>
      <w:r w:rsidRPr="007E517E">
        <w:rPr>
          <w:rFonts w:ascii="Arial Narrow" w:hAnsi="Arial Narrow" w:cs="Tahoma"/>
          <w:sz w:val="22"/>
        </w:rPr>
        <w:t>Srpska</w:t>
      </w:r>
      <w:proofErr w:type="spellEnd"/>
      <w:r w:rsidRPr="007E517E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August</w:t>
      </w:r>
      <w:r w:rsidRPr="007E517E">
        <w:rPr>
          <w:rFonts w:ascii="Arial Narrow" w:hAnsi="Arial Narrow" w:cs="Tahoma"/>
          <w:sz w:val="22"/>
        </w:rPr>
        <w:t xml:space="preserve"> 2015, the highest value of export was that of export to Italy, with </w:t>
      </w:r>
      <w:r>
        <w:rPr>
          <w:rFonts w:ascii="Arial Narrow" w:hAnsi="Arial Narrow" w:cs="Tahoma"/>
          <w:sz w:val="22"/>
        </w:rPr>
        <w:t>314 million KM or 18.7</w:t>
      </w:r>
      <w:r w:rsidRPr="007E517E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223 million KM or 13.3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495</w:t>
      </w:r>
      <w:r w:rsidRPr="007E517E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17.3</w:t>
      </w:r>
      <w:r w:rsidRPr="007E517E">
        <w:rPr>
          <w:rFonts w:ascii="Arial Narrow" w:hAnsi="Arial Narrow" w:cs="Tahoma"/>
          <w:sz w:val="22"/>
        </w:rPr>
        <w:t xml:space="preserve">%, followed by Russia, with </w:t>
      </w:r>
      <w:r>
        <w:rPr>
          <w:rFonts w:ascii="Arial Narrow" w:hAnsi="Arial Narrow" w:cs="Tahoma"/>
          <w:sz w:val="22"/>
        </w:rPr>
        <w:t>485</w:t>
      </w:r>
      <w:r w:rsidRPr="007E517E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16.9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import.</w:t>
      </w:r>
    </w:p>
    <w:p w:rsidR="00F442FA" w:rsidRPr="00016810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676177" w:rsidRPr="007E517E" w:rsidRDefault="00676177" w:rsidP="00676177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</w:rPr>
      </w:pPr>
      <w:r w:rsidRPr="007E517E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August</w:t>
      </w:r>
      <w:r w:rsidRPr="007E517E">
        <w:rPr>
          <w:rFonts w:ascii="Arial Narrow" w:hAnsi="Arial Narrow" w:cs="Tahoma"/>
          <w:sz w:val="22"/>
        </w:rPr>
        <w:t xml:space="preserve"> 2015, the highest share in export </w:t>
      </w:r>
      <w:r w:rsidRPr="00676177">
        <w:rPr>
          <w:rFonts w:ascii="Arial Narrow" w:hAnsi="Arial Narrow" w:cs="Tahoma"/>
          <w:sz w:val="22"/>
        </w:rPr>
        <w:t>was that of processed wood with</w:t>
      </w:r>
      <w:r w:rsidRPr="007E517E">
        <w:rPr>
          <w:rFonts w:ascii="Arial Narrow" w:hAnsi="Arial Narrow" w:cs="Tahoma"/>
          <w:sz w:val="22"/>
        </w:rPr>
        <w:t xml:space="preserve"> the total value of </w:t>
      </w:r>
      <w:r>
        <w:rPr>
          <w:rFonts w:ascii="Arial Narrow" w:hAnsi="Arial Narrow" w:cs="Tahoma"/>
          <w:sz w:val="22"/>
        </w:rPr>
        <w:t>107 million KM, which was 6.4</w:t>
      </w:r>
      <w:r w:rsidRPr="007E517E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452 million KM, which was 15.7</w:t>
      </w:r>
      <w:r w:rsidRPr="007E517E">
        <w:rPr>
          <w:rFonts w:ascii="Arial Narrow" w:hAnsi="Arial Narrow" w:cs="Tahoma"/>
          <w:sz w:val="22"/>
        </w:rPr>
        <w:t xml:space="preserve">% of the total import. </w:t>
      </w:r>
    </w:p>
    <w:p w:rsidR="00F442FA" w:rsidRPr="00016810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15CDB" w:rsidRPr="00016810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01BBA" w:rsidRDefault="00701B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01BBA" w:rsidRDefault="00701B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01BBA" w:rsidRDefault="00701B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01BBA" w:rsidRPr="00016810" w:rsidRDefault="00701B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016810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016810" w:rsidRDefault="00701BB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8.3pt;margin-top:8.95pt;width:64.2pt;height:19.75pt;z-index:251664384;mso-width-relative:margin;mso-height-relative:margin" stroked="f">
            <v:textbox style="mso-next-textbox:#_x0000_s1068">
              <w:txbxContent>
                <w:p w:rsidR="003B5A3D" w:rsidRPr="000A1309" w:rsidRDefault="003B5A3D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252DE1" w:rsidRPr="00016810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016810" w:rsidRDefault="00F442F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016810">
        <w:rPr>
          <w:noProof/>
        </w:rPr>
        <w:drawing>
          <wp:inline distT="0" distB="0" distL="0" distR="0">
            <wp:extent cx="4477110" cy="2475781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  <w:r w:rsidR="00701BBA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0pt;margin-top:192.4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B5A3D" w:rsidRPr="000A1309" w:rsidRDefault="003B5A3D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701BBA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93.9pt;margin-top:192.4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B5A3D" w:rsidRPr="000A1309" w:rsidRDefault="003B5A3D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4E6814" w:rsidRPr="0001681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016810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115CDB" w:rsidRPr="00EA7171" w:rsidRDefault="00EA717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016810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66022A" w:rsidRPr="00016810">
        <w:rPr>
          <w:rFonts w:ascii="Arial Narrow" w:hAnsi="Arial Narrow" w:cs="Tahoma"/>
          <w:sz w:val="16"/>
          <w:szCs w:val="22"/>
          <w:lang w:val="sr-Latn-BA"/>
        </w:rPr>
        <w:t>3</w:t>
      </w:r>
      <w:r w:rsidR="00777348" w:rsidRPr="00016810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15CDB" w:rsidRPr="00016810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016810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016810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1B4D8E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1B4D8E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1B4D8E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1B4D8E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1B4D8E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1B4D8E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1B4D8E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763D11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252DE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EA7171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7E517E"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66022A" w:rsidRPr="00252DE1" w:rsidRDefault="00701BB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66022A" w:rsidRPr="00252DE1" w:rsidRDefault="00701BBA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66022A" w:rsidRPr="00252DE1" w:rsidRDefault="00701BBA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EA7171" w:rsidRPr="007E517E" w:rsidRDefault="00EA7171" w:rsidP="00EA717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EA7171" w:rsidRPr="007E517E" w:rsidRDefault="00C22321" w:rsidP="00EA717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 xml:space="preserve">Jelena </w:t>
            </w:r>
            <w:proofErr w:type="spellStart"/>
            <w:r>
              <w:rPr>
                <w:rFonts w:ascii="Arial Narrow" w:hAnsi="Arial Narrow" w:cs="Tahoma"/>
                <w:sz w:val="18"/>
                <w:szCs w:val="18"/>
              </w:rPr>
              <w:t>Glamočika</w:t>
            </w:r>
            <w:proofErr w:type="spellEnd"/>
          </w:p>
          <w:p w:rsidR="0066022A" w:rsidRPr="00252DE1" w:rsidRDefault="00701BB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jelena.glamocika</w:t>
              </w:r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  <w:lang w:val="sr-Cyrl-CS"/>
                </w:rPr>
                <w:t>@</w:t>
              </w:r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rzs</w:t>
              </w:r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  <w:lang w:val="sr-Cyrl-CS"/>
                </w:rPr>
                <w:t>.</w:t>
              </w:r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rs</w:t>
              </w:r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C22321" w:rsidRPr="00AA16D8">
                <w:rPr>
                  <w:rStyle w:val="Hyperlink"/>
                  <w:rFonts w:ascii="Arial Narrow" w:hAnsi="Arial Narrow" w:cs="Tahoma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EA7171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7E517E"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A7171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EA7171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EA7171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701BB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EA7171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7E517E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EA7171" w:rsidRPr="007E517E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Vladan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EA7171" w:rsidRPr="007E517E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EA7171" w:rsidRPr="007E517E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EA7171" w:rsidRPr="007E517E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EA7171" w:rsidRPr="007E517E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CA19B5" w:rsidRDefault="00EA7171" w:rsidP="00EA717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7" w:history="1">
              <w:r w:rsidRPr="007E51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EA7171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7E517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701BBA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3D" w:rsidRDefault="003B5A3D">
      <w:r>
        <w:separator/>
      </w:r>
    </w:p>
  </w:endnote>
  <w:endnote w:type="continuationSeparator" w:id="0">
    <w:p w:rsidR="003B5A3D" w:rsidRDefault="003B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3D" w:rsidRDefault="00701BBA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B5A3D" w:rsidRPr="00175687" w:rsidRDefault="007346AA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3B5A3D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01BBA">
                    <w:rPr>
                      <w:rFonts w:ascii="Tahoma" w:hAnsi="Tahoma" w:cs="Tahoma"/>
                      <w:noProof/>
                      <w:color w:val="FFFFFF"/>
                    </w:rPr>
                    <w:t>3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3D" w:rsidRDefault="00701BBA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B5A3D" w:rsidRPr="00175687" w:rsidRDefault="007346AA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3B5A3D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01BB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3D" w:rsidRDefault="003B5A3D">
      <w:r>
        <w:separator/>
      </w:r>
    </w:p>
  </w:footnote>
  <w:footnote w:type="continuationSeparator" w:id="0">
    <w:p w:rsidR="003B5A3D" w:rsidRDefault="003B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B5A3D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B5A3D" w:rsidRPr="00EA7171" w:rsidRDefault="003B5A3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3B5A3D" w:rsidRPr="00EA7171" w:rsidRDefault="003B5A3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B5A3D" w:rsidRPr="005D5311" w:rsidRDefault="003B5A3D" w:rsidP="00EA717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3</w:t>
          </w:r>
          <w:proofErr w:type="spellStart"/>
          <w:r w:rsidRPr="00EA7171">
            <w:rPr>
              <w:rFonts w:ascii="Arial Narrow" w:hAnsi="Arial Narrow" w:cs="Tahoma"/>
              <w:color w:val="0070C0"/>
              <w:sz w:val="18"/>
              <w:vertAlign w:val="superscript"/>
            </w:rPr>
            <w:t>rd</w:t>
          </w:r>
          <w:proofErr w:type="spellEnd"/>
          <w:r>
            <w:rPr>
              <w:rFonts w:ascii="Arial Narrow" w:hAnsi="Arial Narrow" w:cs="Tahoma"/>
              <w:color w:val="0070C0"/>
              <w:sz w:val="18"/>
            </w:rPr>
            <w:t xml:space="preserve"> September 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9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B5A3D" w:rsidRDefault="00701BB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79D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810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914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766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8D0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3C1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434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45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A31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DFA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A3D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1C0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5E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7B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9A1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C9D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617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DB0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1BBA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3C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6AA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280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187D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BAC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234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67C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5FC2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5C5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D7A73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2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3CED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0143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471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321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28E"/>
    <w:rsid w:val="00CD26E9"/>
    <w:rsid w:val="00CD26F2"/>
    <w:rsid w:val="00CD2A0F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179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0D6"/>
    <w:rsid w:val="00EA7171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3AB0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D5DE5009-AAFC-40AB-8321-6915482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.glamocika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2014</c:v>
                  </c:pt>
                  <c:pt idx="5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825</c:v>
                </c:pt>
                <c:pt idx="1">
                  <c:v>831</c:v>
                </c:pt>
                <c:pt idx="2">
                  <c:v>826</c:v>
                </c:pt>
                <c:pt idx="3">
                  <c:v>827</c:v>
                </c:pt>
                <c:pt idx="4">
                  <c:v>836</c:v>
                </c:pt>
                <c:pt idx="5">
                  <c:v>812</c:v>
                </c:pt>
                <c:pt idx="6">
                  <c:v>834</c:v>
                </c:pt>
                <c:pt idx="7">
                  <c:v>831</c:v>
                </c:pt>
                <c:pt idx="8">
                  <c:v>835</c:v>
                </c:pt>
                <c:pt idx="9">
                  <c:v>832</c:v>
                </c:pt>
                <c:pt idx="10">
                  <c:v>843</c:v>
                </c:pt>
                <c:pt idx="11">
                  <c:v>834</c:v>
                </c:pt>
                <c:pt idx="12">
                  <c:v>834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624280"/>
        <c:axId val="143626712"/>
      </c:lineChart>
      <c:catAx>
        <c:axId val="1436242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3626712"/>
        <c:crosses val="autoZero"/>
        <c:auto val="1"/>
        <c:lblAlgn val="ctr"/>
        <c:lblOffset val="100"/>
        <c:noMultiLvlLbl val="0"/>
      </c:catAx>
      <c:valAx>
        <c:axId val="14362671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436242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2011</c:v>
                  </c:pt>
                  <c:pt idx="5">
                    <c:v>2012</c:v>
                  </c:pt>
                  <c:pt idx="17">
                    <c:v>2013</c:v>
                  </c:pt>
                  <c:pt idx="29">
                    <c:v>2014</c:v>
                  </c:pt>
                  <c:pt idx="41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General</c:formatCode>
                <c:ptCount val="48"/>
                <c:pt idx="0">
                  <c:v>98.985540118654384</c:v>
                </c:pt>
                <c:pt idx="1">
                  <c:v>104.43405666486136</c:v>
                </c:pt>
                <c:pt idx="2">
                  <c:v>103.44058400264986</c:v>
                </c:pt>
                <c:pt idx="3">
                  <c:v>100.27423862159394</c:v>
                </c:pt>
                <c:pt idx="4">
                  <c:v>102.55481709377371</c:v>
                </c:pt>
                <c:pt idx="5">
                  <c:v>97.492649007686708</c:v>
                </c:pt>
                <c:pt idx="6">
                  <c:v>101.30960478833617</c:v>
                </c:pt>
                <c:pt idx="7">
                  <c:v>101.69447937226487</c:v>
                </c:pt>
                <c:pt idx="8">
                  <c:v>99.481521536790254</c:v>
                </c:pt>
                <c:pt idx="9">
                  <c:v>99.805552390612789</c:v>
                </c:pt>
                <c:pt idx="10">
                  <c:v>93.618911985108326</c:v>
                </c:pt>
                <c:pt idx="11">
                  <c:v>99.849626130611014</c:v>
                </c:pt>
                <c:pt idx="12">
                  <c:v>105.72678322036947</c:v>
                </c:pt>
                <c:pt idx="13">
                  <c:v>100.49093945519515</c:v>
                </c:pt>
                <c:pt idx="14">
                  <c:v>98.98708502859597</c:v>
                </c:pt>
                <c:pt idx="15">
                  <c:v>101.99507383371925</c:v>
                </c:pt>
                <c:pt idx="16">
                  <c:v>101.26048905497454</c:v>
                </c:pt>
                <c:pt idx="17">
                  <c:v>100.46765098994342</c:v>
                </c:pt>
                <c:pt idx="18">
                  <c:v>100.75139669523745</c:v>
                </c:pt>
                <c:pt idx="19">
                  <c:v>109.44097703354051</c:v>
                </c:pt>
                <c:pt idx="20">
                  <c:v>103.09428757060671</c:v>
                </c:pt>
                <c:pt idx="21">
                  <c:v>105.23569199011686</c:v>
                </c:pt>
                <c:pt idx="22">
                  <c:v>110.62935507641652</c:v>
                </c:pt>
                <c:pt idx="23">
                  <c:v>107.07928554271935</c:v>
                </c:pt>
                <c:pt idx="24">
                  <c:v>100.11716187716776</c:v>
                </c:pt>
                <c:pt idx="25">
                  <c:v>101.63966606539429</c:v>
                </c:pt>
                <c:pt idx="26">
                  <c:v>104.60785069363341</c:v>
                </c:pt>
                <c:pt idx="27">
                  <c:v>105.6350223888106</c:v>
                </c:pt>
                <c:pt idx="28">
                  <c:v>105.33381495854151</c:v>
                </c:pt>
                <c:pt idx="29">
                  <c:v>105.41068626862669</c:v>
                </c:pt>
                <c:pt idx="30">
                  <c:v>103.19237787652487</c:v>
                </c:pt>
                <c:pt idx="31">
                  <c:v>103.52168955379257</c:v>
                </c:pt>
                <c:pt idx="32">
                  <c:v>103.17889046374358</c:v>
                </c:pt>
                <c:pt idx="33">
                  <c:v>104.60256186834398</c:v>
                </c:pt>
                <c:pt idx="34">
                  <c:v>106.48144182639219</c:v>
                </c:pt>
                <c:pt idx="35">
                  <c:v>100.38258117687903</c:v>
                </c:pt>
                <c:pt idx="36">
                  <c:v>108.18039910073946</c:v>
                </c:pt>
                <c:pt idx="37">
                  <c:v>107.49639601732358</c:v>
                </c:pt>
                <c:pt idx="38">
                  <c:v>106.62594317508329</c:v>
                </c:pt>
                <c:pt idx="39">
                  <c:v>104.72608011705955</c:v>
                </c:pt>
                <c:pt idx="40">
                  <c:v>106.08214398278371</c:v>
                </c:pt>
                <c:pt idx="41">
                  <c:v>111.27171311012683</c:v>
                </c:pt>
                <c:pt idx="42">
                  <c:v>107.31743583803124</c:v>
                </c:pt>
                <c:pt idx="43">
                  <c:v>106.65260684576791</c:v>
                </c:pt>
                <c:pt idx="44">
                  <c:v>110.9976946471669</c:v>
                </c:pt>
                <c:pt idx="45">
                  <c:v>109.80406920515122</c:v>
                </c:pt>
                <c:pt idx="46">
                  <c:v>108.6664397081874</c:v>
                </c:pt>
                <c:pt idx="47">
                  <c:v>111.67303321745568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2011</c:v>
                  </c:pt>
                  <c:pt idx="5">
                    <c:v>2012</c:v>
                  </c:pt>
                  <c:pt idx="17">
                    <c:v>2013</c:v>
                  </c:pt>
                  <c:pt idx="29">
                    <c:v>2014</c:v>
                  </c:pt>
                  <c:pt idx="41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102.92797460231591</c:v>
                </c:pt>
                <c:pt idx="1">
                  <c:v>102.63860401042714</c:v>
                </c:pt>
                <c:pt idx="2">
                  <c:v>102.41860261701692</c:v>
                </c:pt>
                <c:pt idx="3">
                  <c:v>102.16326680597629</c:v>
                </c:pt>
                <c:pt idx="4">
                  <c:v>101.86608586918108</c:v>
                </c:pt>
                <c:pt idx="5">
                  <c:v>101.59575875887685</c:v>
                </c:pt>
                <c:pt idx="6">
                  <c:v>101.34261049640115</c:v>
                </c:pt>
                <c:pt idx="7">
                  <c:v>101.18645471679032</c:v>
                </c:pt>
                <c:pt idx="8">
                  <c:v>101.05446035842088</c:v>
                </c:pt>
                <c:pt idx="9">
                  <c:v>100.91182491651163</c:v>
                </c:pt>
                <c:pt idx="10">
                  <c:v>100.80188380446828</c:v>
                </c:pt>
                <c:pt idx="11">
                  <c:v>100.78157808130537</c:v>
                </c:pt>
                <c:pt idx="12">
                  <c:v>100.98544238002955</c:v>
                </c:pt>
                <c:pt idx="13">
                  <c:v>101.2491065531409</c:v>
                </c:pt>
                <c:pt idx="14">
                  <c:v>101.39109457565131</c:v>
                </c:pt>
                <c:pt idx="15">
                  <c:v>101.55785929364519</c:v>
                </c:pt>
                <c:pt idx="16">
                  <c:v>101.8137640969007</c:v>
                </c:pt>
                <c:pt idx="17">
                  <c:v>102.09120563486672</c:v>
                </c:pt>
                <c:pt idx="18">
                  <c:v>102.39197093742929</c:v>
                </c:pt>
                <c:pt idx="19">
                  <c:v>102.79450900009986</c:v>
                </c:pt>
                <c:pt idx="20">
                  <c:v>103.2234289488563</c:v>
                </c:pt>
                <c:pt idx="21">
                  <c:v>103.51676286703459</c:v>
                </c:pt>
                <c:pt idx="22">
                  <c:v>103.78119478341382</c:v>
                </c:pt>
                <c:pt idx="23">
                  <c:v>104.00399667854963</c:v>
                </c:pt>
                <c:pt idx="24">
                  <c:v>104.01476799972683</c:v>
                </c:pt>
                <c:pt idx="25">
                  <c:v>103.93687082814031</c:v>
                </c:pt>
                <c:pt idx="26">
                  <c:v>103.97879179493947</c:v>
                </c:pt>
                <c:pt idx="27">
                  <c:v>104.1225274720767</c:v>
                </c:pt>
                <c:pt idx="28">
                  <c:v>104.25858719153983</c:v>
                </c:pt>
                <c:pt idx="29">
                  <c:v>104.3606615216146</c:v>
                </c:pt>
                <c:pt idx="30">
                  <c:v>104.42964596394606</c:v>
                </c:pt>
                <c:pt idx="31">
                  <c:v>104.48802548813353</c:v>
                </c:pt>
                <c:pt idx="32">
                  <c:v>104.59187408756326</c:v>
                </c:pt>
                <c:pt idx="33">
                  <c:v>104.75433857106565</c:v>
                </c:pt>
                <c:pt idx="34">
                  <c:v>104.98890013581095</c:v>
                </c:pt>
                <c:pt idx="35">
                  <c:v>105.23029391781628</c:v>
                </c:pt>
                <c:pt idx="36">
                  <c:v>105.49799537287637</c:v>
                </c:pt>
                <c:pt idx="37">
                  <c:v>105.89394983496948</c:v>
                </c:pt>
                <c:pt idx="38">
                  <c:v>106.28357101522884</c:v>
                </c:pt>
                <c:pt idx="39">
                  <c:v>106.61949765547509</c:v>
                </c:pt>
                <c:pt idx="40">
                  <c:v>106.98607889918517</c:v>
                </c:pt>
                <c:pt idx="41">
                  <c:v>107.44695365717138</c:v>
                </c:pt>
                <c:pt idx="42">
                  <c:v>107.95535901433048</c:v>
                </c:pt>
                <c:pt idx="43">
                  <c:v>108.40004578362907</c:v>
                </c:pt>
                <c:pt idx="44">
                  <c:v>108.88617281745788</c:v>
                </c:pt>
                <c:pt idx="45">
                  <c:v>109.45929652256248</c:v>
                </c:pt>
                <c:pt idx="46">
                  <c:v>110.01713887824799</c:v>
                </c:pt>
                <c:pt idx="47">
                  <c:v>110.60037251315356</c:v>
                </c:pt>
                <c:pt idx="48">
                  <c:v>111.26087777923722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389488"/>
        <c:axId val="144389872"/>
      </c:lineChart>
      <c:catAx>
        <c:axId val="14438948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4389872"/>
        <c:crosses val="autoZero"/>
        <c:auto val="1"/>
        <c:lblAlgn val="ctr"/>
        <c:lblOffset val="100"/>
        <c:noMultiLvlLbl val="0"/>
      </c:catAx>
      <c:valAx>
        <c:axId val="144389872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4438948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6.678983318799199E-2"/>
          <c:w val="0.63815586393901458"/>
          <c:h val="0.81723060319147811"/>
        </c:manualLayout>
      </c:layout>
      <c:lineChart>
        <c:grouping val="standard"/>
        <c:varyColors val="0"/>
        <c:ser>
          <c:idx val="0"/>
          <c:order val="0"/>
          <c:tx>
            <c:strRef>
              <c:f>zaJul2015!$A$2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zaJul2015!$B$2:$N$2</c:f>
              <c:numCache>
                <c:formatCode>General</c:formatCode>
                <c:ptCount val="13"/>
                <c:pt idx="0">
                  <c:v>444841</c:v>
                </c:pt>
                <c:pt idx="1">
                  <c:v>421218</c:v>
                </c:pt>
                <c:pt idx="2">
                  <c:v>508654</c:v>
                </c:pt>
                <c:pt idx="3">
                  <c:v>432236</c:v>
                </c:pt>
                <c:pt idx="4">
                  <c:v>434262</c:v>
                </c:pt>
                <c:pt idx="5">
                  <c:v>223487</c:v>
                </c:pt>
                <c:pt idx="6">
                  <c:v>345476</c:v>
                </c:pt>
                <c:pt idx="7">
                  <c:v>403130</c:v>
                </c:pt>
                <c:pt idx="8">
                  <c:v>354876</c:v>
                </c:pt>
                <c:pt idx="9">
                  <c:v>392249</c:v>
                </c:pt>
                <c:pt idx="10">
                  <c:v>372531</c:v>
                </c:pt>
                <c:pt idx="11">
                  <c:v>441257</c:v>
                </c:pt>
                <c:pt idx="12">
                  <c:v>334662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zaJul2015!$A$3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zaJul2015!$B$1:$N$1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zaJul2015!$B$3:$N$3</c:f>
              <c:numCache>
                <c:formatCode>General</c:formatCode>
                <c:ptCount val="13"/>
                <c:pt idx="0">
                  <c:v>195984</c:v>
                </c:pt>
                <c:pt idx="1">
                  <c:v>248813</c:v>
                </c:pt>
                <c:pt idx="2">
                  <c:v>254767</c:v>
                </c:pt>
                <c:pt idx="3" formatCode="0">
                  <c:v>229828</c:v>
                </c:pt>
                <c:pt idx="4" formatCode="0">
                  <c:v>206415</c:v>
                </c:pt>
                <c:pt idx="5" formatCode="0">
                  <c:v>169568</c:v>
                </c:pt>
                <c:pt idx="6" formatCode="0">
                  <c:v>201039</c:v>
                </c:pt>
                <c:pt idx="7" formatCode="0">
                  <c:v>213208</c:v>
                </c:pt>
                <c:pt idx="8" formatCode="0">
                  <c:v>208576</c:v>
                </c:pt>
                <c:pt idx="9" formatCode="0">
                  <c:v>207040</c:v>
                </c:pt>
                <c:pt idx="10" formatCode="0">
                  <c:v>238732</c:v>
                </c:pt>
                <c:pt idx="11" formatCode="0">
                  <c:v>242893</c:v>
                </c:pt>
                <c:pt idx="12">
                  <c:v>201362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4438400"/>
        <c:axId val="144438784"/>
      </c:lineChart>
      <c:catAx>
        <c:axId val="14443840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spPr>
          <a:ln w="3175"/>
        </c:spPr>
        <c:crossAx val="144438784"/>
        <c:crosses val="autoZero"/>
        <c:auto val="1"/>
        <c:lblAlgn val="ctr"/>
        <c:lblOffset val="100"/>
        <c:noMultiLvlLbl val="0"/>
      </c:catAx>
      <c:valAx>
        <c:axId val="1444387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spPr>
          <a:ln w="3175"/>
        </c:spPr>
        <c:crossAx val="14443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88940633578407"/>
          <c:y val="0.34220861281228737"/>
          <c:w val="0.22187147512569488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0.84586</cdr:x>
      <cdr:y>0.33788</cdr:y>
    </cdr:from>
    <cdr:to>
      <cdr:x>1</cdr:x>
      <cdr:y>0.44019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86997" y="836519"/>
          <a:ext cx="690113" cy="25329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0.84393</cdr:x>
      <cdr:y>0.43554</cdr:y>
    </cdr:from>
    <cdr:to>
      <cdr:x>0.96339</cdr:x>
      <cdr:y>0.55401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778370" y="1078302"/>
          <a:ext cx="534813" cy="29329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FD61-7D82-4F3D-8E06-6CFF6A3F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8513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489</cp:revision>
  <cp:lastPrinted>2014-07-21T12:04:00Z</cp:lastPrinted>
  <dcterms:created xsi:type="dcterms:W3CDTF">2014-03-14T12:01:00Z</dcterms:created>
  <dcterms:modified xsi:type="dcterms:W3CDTF">2015-09-22T11:34:00Z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