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D503FD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4C3AAF">
              <w:rPr>
                <w:rFonts w:ascii="Arial Narrow" w:hAnsi="Arial Narrow" w:cs="Tahoma"/>
                <w:color w:val="1F497D" w:themeColor="text2"/>
                <w:sz w:val="18"/>
              </w:rPr>
              <w:t>3</w:t>
            </w:r>
            <w:r w:rsidR="00D503FD" w:rsidRPr="00D503FD">
              <w:rPr>
                <w:rFonts w:ascii="Arial Narrow" w:hAnsi="Arial Narrow" w:cs="Tahoma"/>
                <w:color w:val="1F497D" w:themeColor="text2"/>
                <w:sz w:val="18"/>
                <w:vertAlign w:val="superscript"/>
                <w:lang w:val="bs-Cyrl-BA"/>
              </w:rPr>
              <w:t>r</w:t>
            </w:r>
            <w:r w:rsidR="00D503FD" w:rsidRPr="00D503FD">
              <w:rPr>
                <w:rFonts w:ascii="Arial Narrow" w:hAnsi="Arial Narrow" w:cs="Tahoma"/>
                <w:color w:val="1F497D" w:themeColor="text2"/>
                <w:sz w:val="18"/>
                <w:vertAlign w:val="superscript"/>
              </w:rPr>
              <w:t>d</w:t>
            </w:r>
            <w:r w:rsidR="00D503FD">
              <w:rPr>
                <w:rFonts w:ascii="Arial Narrow" w:hAnsi="Arial Narrow" w:cs="Tahoma"/>
                <w:color w:val="1F497D" w:themeColor="text2"/>
                <w:sz w:val="18"/>
              </w:rPr>
              <w:t xml:space="preserve"> November </w:t>
            </w:r>
            <w:r w:rsidR="00A15386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9430A7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5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377E3D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1</w:t>
            </w:r>
            <w:r w:rsidR="004C3AAF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1</w:t>
            </w:r>
            <w:r w:rsidR="00A975F3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9430A7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5</w:t>
            </w:r>
            <w:r w:rsidR="00A975F3" w:rsidRPr="001D2CF2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D503FD" w:rsidP="00377E3D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November</w:t>
            </w:r>
            <w:r w:rsidR="007E158B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9430A7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5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503FD" w:rsidRDefault="00D503FD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</w:p>
        </w:tc>
      </w:tr>
    </w:tbl>
    <w:p w:rsidR="00777348" w:rsidRDefault="00777348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7D2CAE" w:rsidRPr="000057E1" w:rsidRDefault="007D2CAE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E33D13" w:rsidRPr="00D20AF8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C3AAF">
        <w:rPr>
          <w:rFonts w:ascii="Arial Narrow" w:hAnsi="Arial Narrow" w:cs="Tahoma"/>
          <w:b/>
          <w:sz w:val="30"/>
          <w:szCs w:val="30"/>
          <w:lang w:val="sr-Cyrl-CS"/>
        </w:rPr>
        <w:t xml:space="preserve">  </w:t>
      </w:r>
      <w:r w:rsidR="002578BE">
        <w:rPr>
          <w:rFonts w:ascii="Arial Narrow" w:hAnsi="Arial Narrow" w:cs="Tahoma"/>
          <w:b/>
          <w:sz w:val="30"/>
          <w:szCs w:val="30"/>
        </w:rPr>
        <w:t>Average net wage in October</w:t>
      </w:r>
      <w:r w:rsidR="00E33D13" w:rsidRPr="00D20AF8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D20AF8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FF3EA0" w:rsidRPr="00D20AF8">
        <w:rPr>
          <w:rFonts w:ascii="Arial Narrow" w:hAnsi="Arial Narrow" w:cs="Tahoma"/>
          <w:b/>
          <w:sz w:val="30"/>
          <w:szCs w:val="30"/>
          <w:lang w:val="sr-Cyrl-CS"/>
        </w:rPr>
        <w:t>2</w:t>
      </w:r>
      <w:r w:rsidR="00625174" w:rsidRPr="00D20AF8">
        <w:rPr>
          <w:rFonts w:ascii="Arial Narrow" w:hAnsi="Arial Narrow" w:cs="Tahoma"/>
          <w:b/>
          <w:sz w:val="30"/>
          <w:szCs w:val="30"/>
          <w:lang w:val="sr-Cyrl-CS"/>
        </w:rPr>
        <w:t>4</w:t>
      </w:r>
      <w:r w:rsidR="00E33D13" w:rsidRPr="00D20AF8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D20AF8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D20AF8" w:rsidRDefault="002578BE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>
        <w:rPr>
          <w:rFonts w:ascii="Arial Narrow" w:hAnsi="Arial Narrow" w:cs="Tahoma"/>
          <w:b/>
          <w:sz w:val="28"/>
          <w:szCs w:val="28"/>
        </w:rPr>
        <w:t>The highest average net wage was that in the section</w:t>
      </w:r>
      <w:r w:rsidRPr="005A735F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>
        <w:rPr>
          <w:rFonts w:ascii="Arial Narrow" w:hAnsi="Arial Narrow" w:cs="Tahoma"/>
          <w:b/>
          <w:i/>
          <w:sz w:val="28"/>
          <w:szCs w:val="28"/>
        </w:rPr>
        <w:t xml:space="preserve">Financial and insurance activities </w:t>
      </w:r>
      <w:r>
        <w:rPr>
          <w:rFonts w:ascii="Arial Narrow" w:hAnsi="Arial Narrow" w:cs="Tahoma"/>
          <w:b/>
          <w:sz w:val="28"/>
          <w:szCs w:val="28"/>
          <w:lang w:val="ru-RU"/>
        </w:rPr>
        <w:t>1,</w:t>
      </w:r>
      <w:r w:rsidR="00E33D13" w:rsidRPr="00D20AF8">
        <w:rPr>
          <w:rFonts w:ascii="Arial Narrow" w:hAnsi="Arial Narrow" w:cs="Tahoma"/>
          <w:b/>
          <w:sz w:val="28"/>
          <w:szCs w:val="28"/>
          <w:lang w:val="ru-RU"/>
        </w:rPr>
        <w:t>2</w:t>
      </w:r>
      <w:r w:rsidR="00FF3EA0" w:rsidRPr="00D20AF8">
        <w:rPr>
          <w:rFonts w:ascii="Arial Narrow" w:hAnsi="Arial Narrow" w:cs="Tahoma"/>
          <w:b/>
          <w:sz w:val="28"/>
          <w:szCs w:val="28"/>
          <w:lang w:val="ru-RU"/>
        </w:rPr>
        <w:t>59</w:t>
      </w:r>
      <w:r w:rsidR="00E33D13" w:rsidRPr="00D20AF8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="00E33D13" w:rsidRPr="00D20AF8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>
        <w:rPr>
          <w:rFonts w:ascii="Arial Narrow" w:hAnsi="Arial Narrow" w:cs="Tahoma"/>
          <w:b/>
          <w:sz w:val="28"/>
          <w:szCs w:val="28"/>
        </w:rPr>
        <w:t>while the lowest one was that in the section</w:t>
      </w:r>
      <w:r w:rsidRPr="005A735F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>
        <w:rPr>
          <w:rFonts w:ascii="Arial Narrow" w:hAnsi="Arial Narrow" w:cs="Tahoma"/>
          <w:b/>
          <w:i/>
          <w:sz w:val="28"/>
          <w:szCs w:val="28"/>
        </w:rPr>
        <w:t>Administrative and support service activities</w:t>
      </w:r>
      <w:r w:rsidRPr="005A735F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="00E33D13" w:rsidRPr="00D20AF8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FF3EA0" w:rsidRPr="00D20AF8">
        <w:rPr>
          <w:rFonts w:ascii="Arial Narrow" w:hAnsi="Arial Narrow" w:cs="Tahoma"/>
          <w:b/>
          <w:sz w:val="28"/>
          <w:szCs w:val="28"/>
          <w:lang w:val="sr-Cyrl-BA"/>
        </w:rPr>
        <w:t>17</w:t>
      </w:r>
      <w:r w:rsidR="00E33D13" w:rsidRPr="00D20AF8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D20AF8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D20AF8">
        <w:rPr>
          <w:rFonts w:ascii="Tahoma" w:hAnsi="Tahoma" w:cs="Tahoma"/>
          <w:b/>
          <w:lang w:val="sr-Cyrl-CS"/>
        </w:rPr>
        <w:tab/>
      </w:r>
      <w:r w:rsidRPr="00D20AF8">
        <w:rPr>
          <w:rFonts w:ascii="Tahoma" w:hAnsi="Tahoma" w:cs="Tahoma"/>
          <w:b/>
          <w:lang w:val="sr-Cyrl-CS"/>
        </w:rPr>
        <w:tab/>
      </w:r>
    </w:p>
    <w:p w:rsidR="00B82005" w:rsidRDefault="0036448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>
        <w:rPr>
          <w:rFonts w:ascii="Arial Narrow" w:hAnsi="Arial Narrow" w:cs="Tahoma"/>
          <w:sz w:val="22"/>
        </w:rPr>
        <w:t xml:space="preserve">Average monthly net wage of employed persons in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 w:rsidRPr="00016810">
        <w:rPr>
          <w:rFonts w:ascii="Arial Narrow" w:hAnsi="Arial Narrow" w:cs="Tahoma"/>
          <w:b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paid in</w:t>
      </w:r>
      <w:r w:rsidRPr="00D20AF8">
        <w:rPr>
          <w:rFonts w:ascii="Arial Narrow" w:hAnsi="Arial Narrow" w:cs="Tahoma"/>
          <w:sz w:val="22"/>
          <w:lang w:val="sr-Cyrl-CS"/>
        </w:rPr>
        <w:t xml:space="preserve"> </w:t>
      </w:r>
      <w:r>
        <w:rPr>
          <w:rFonts w:ascii="Arial Narrow" w:hAnsi="Arial Narrow" w:cs="Tahoma"/>
          <w:sz w:val="22"/>
        </w:rPr>
        <w:t>October</w:t>
      </w:r>
      <w:r w:rsidR="00E33D13" w:rsidRPr="00D20AF8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D20AF8">
        <w:rPr>
          <w:rFonts w:ascii="Arial Narrow" w:hAnsi="Arial Narrow" w:cs="Tahoma"/>
          <w:sz w:val="22"/>
          <w:lang w:val="sr-Cyrl-CS"/>
        </w:rPr>
        <w:t>5</w:t>
      </w:r>
      <w:r w:rsidR="00E33D13" w:rsidRPr="00D20AF8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was</w:t>
      </w:r>
      <w:r w:rsidR="00E33D13" w:rsidRPr="00D20AF8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E33D13" w:rsidRPr="00D20AF8">
        <w:rPr>
          <w:rFonts w:ascii="Arial Narrow" w:hAnsi="Arial Narrow" w:cs="Tahoma"/>
          <w:sz w:val="22"/>
          <w:lang w:val="sr-Cyrl-CS"/>
        </w:rPr>
        <w:t>8</w:t>
      </w:r>
      <w:r w:rsidR="00FF3EA0" w:rsidRPr="00D20AF8">
        <w:rPr>
          <w:rFonts w:ascii="Arial Narrow" w:hAnsi="Arial Narrow" w:cs="Tahoma"/>
          <w:sz w:val="22"/>
          <w:lang w:val="sr-Cyrl-CS"/>
        </w:rPr>
        <w:t>2</w:t>
      </w:r>
      <w:r w:rsidR="00625174" w:rsidRPr="00D20AF8">
        <w:rPr>
          <w:rFonts w:ascii="Arial Narrow" w:hAnsi="Arial Narrow" w:cs="Tahoma"/>
          <w:sz w:val="22"/>
          <w:lang w:val="sr-Cyrl-CS"/>
        </w:rPr>
        <w:t>4</w:t>
      </w:r>
      <w:r w:rsidR="00E33D13" w:rsidRPr="00D20AF8">
        <w:rPr>
          <w:rFonts w:ascii="Arial Narrow" w:hAnsi="Arial Narrow" w:cs="Tahoma"/>
          <w:sz w:val="22"/>
          <w:lang w:val="sr-Cyrl-CS"/>
        </w:rPr>
        <w:t xml:space="preserve"> КМ</w:t>
      </w:r>
      <w:r w:rsidR="00E33D13" w:rsidRPr="00D20AF8">
        <w:rPr>
          <w:rFonts w:ascii="Arial Narrow" w:hAnsi="Arial Narrow" w:cs="Tahoma"/>
          <w:sz w:val="22"/>
          <w:lang w:val="hr-HR"/>
        </w:rPr>
        <w:t>,</w:t>
      </w:r>
      <w:r w:rsidR="00E33D13" w:rsidRPr="00D20AF8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</w:rPr>
        <w:t>while average monthly gross wage was</w:t>
      </w:r>
      <w:r w:rsidR="00E33D13" w:rsidRPr="00D20AF8">
        <w:rPr>
          <w:rFonts w:ascii="Arial Narrow" w:hAnsi="Arial Narrow" w:cs="Tahoma"/>
          <w:sz w:val="22"/>
          <w:lang w:val="ru-RU"/>
        </w:rPr>
        <w:t xml:space="preserve"> </w:t>
      </w:r>
      <w:r>
        <w:rPr>
          <w:rFonts w:ascii="Arial Narrow" w:hAnsi="Arial Narrow" w:cs="Tahoma"/>
          <w:sz w:val="22"/>
          <w:lang w:val="sr-Cyrl-CS"/>
        </w:rPr>
        <w:t>1,</w:t>
      </w:r>
      <w:r w:rsidR="00E33D13" w:rsidRPr="00D20AF8">
        <w:rPr>
          <w:rFonts w:ascii="Arial Narrow" w:hAnsi="Arial Narrow" w:cs="Tahoma"/>
          <w:sz w:val="22"/>
          <w:lang w:val="sr-Cyrl-CS"/>
        </w:rPr>
        <w:t>3</w:t>
      </w:r>
      <w:r w:rsidR="00FF3EA0" w:rsidRPr="00D20AF8">
        <w:rPr>
          <w:rFonts w:ascii="Arial Narrow" w:hAnsi="Arial Narrow" w:cs="Tahoma"/>
          <w:sz w:val="22"/>
          <w:lang w:val="sr-Cyrl-CS"/>
        </w:rPr>
        <w:t>26</w:t>
      </w:r>
      <w:r w:rsidR="00E33D13" w:rsidRPr="00D20AF8">
        <w:rPr>
          <w:rFonts w:ascii="Arial Narrow" w:hAnsi="Arial Narrow" w:cs="Tahoma"/>
          <w:sz w:val="22"/>
          <w:lang w:val="sr-Cyrl-CS"/>
        </w:rPr>
        <w:t xml:space="preserve"> КМ.</w:t>
      </w:r>
      <w:r w:rsidR="00B82005" w:rsidRPr="00D20AF8">
        <w:rPr>
          <w:rFonts w:ascii="Arial Narrow" w:hAnsi="Arial Narrow" w:cs="Tahoma"/>
          <w:sz w:val="22"/>
          <w:lang w:val="sr-Cyrl-CS"/>
        </w:rPr>
        <w:t xml:space="preserve"> </w:t>
      </w:r>
    </w:p>
    <w:p w:rsidR="00364482" w:rsidRDefault="0036448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64482" w:rsidRPr="00364482" w:rsidRDefault="00364482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Compared to October 2014, average net wage paid in October 2015 was really 1.9% higher, while compared to September 2015 it was really 2.1% lower. </w:t>
      </w:r>
    </w:p>
    <w:p w:rsidR="00B82005" w:rsidRPr="00D20AF8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22017B" w:rsidRDefault="00364482" w:rsidP="00FF3EA0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The decrease in the average net wage in October 2015, compared to September 2015, occurred mainly due to </w:t>
      </w:r>
      <w:r w:rsidR="0022017B" w:rsidRPr="007E517E">
        <w:rPr>
          <w:rFonts w:ascii="Arial Narrow" w:hAnsi="Arial Narrow" w:cs="Tahoma"/>
          <w:sz w:val="22"/>
        </w:rPr>
        <w:t xml:space="preserve">a lower number of paid overtime hours of work in the sections </w:t>
      </w:r>
      <w:r w:rsidR="0022017B">
        <w:rPr>
          <w:rFonts w:ascii="Arial Narrow" w:hAnsi="Arial Narrow" w:cs="Tahoma"/>
          <w:sz w:val="22"/>
        </w:rPr>
        <w:t xml:space="preserve">Mining and quarrying and Electricity, gas, steam and air-conditioning supply. </w:t>
      </w:r>
    </w:p>
    <w:p w:rsidR="00FF3EA0" w:rsidRPr="00D20AF8" w:rsidRDefault="00FF3EA0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22017B" w:rsidRDefault="0022017B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</w:rPr>
      </w:pPr>
      <w:r>
        <w:rPr>
          <w:rFonts w:ascii="Arial Narrow" w:hAnsi="Arial Narrow" w:cs="Tahoma"/>
          <w:sz w:val="22"/>
        </w:rPr>
        <w:t xml:space="preserve">In October 2015, the highest average net wage, by section of activities, was paid in the section </w:t>
      </w:r>
      <w:r w:rsidRPr="007E517E">
        <w:rPr>
          <w:rFonts w:ascii="Arial Narrow" w:hAnsi="Arial Narrow" w:cs="Tahoma"/>
          <w:i/>
          <w:sz w:val="22"/>
        </w:rPr>
        <w:t>Financial and insurance activities</w:t>
      </w:r>
      <w:r>
        <w:rPr>
          <w:rFonts w:ascii="Arial Narrow" w:hAnsi="Arial Narrow" w:cs="Tahoma"/>
          <w:sz w:val="22"/>
        </w:rPr>
        <w:t xml:space="preserve"> and it amounted to 1,259 KM.</w:t>
      </w:r>
      <w:r w:rsidRPr="0022017B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</w:rPr>
        <w:t xml:space="preserve">On the other hand, the lowest average net wage in October 2015 was the one paid in the section </w:t>
      </w:r>
      <w:r w:rsidRPr="00294434">
        <w:rPr>
          <w:rFonts w:ascii="Arial Narrow" w:hAnsi="Arial Narrow" w:cs="Tahoma"/>
          <w:i/>
          <w:sz w:val="22"/>
        </w:rPr>
        <w:t>Administrative and support service activities</w:t>
      </w:r>
      <w:r>
        <w:rPr>
          <w:rFonts w:ascii="Arial Narrow" w:hAnsi="Arial Narrow" w:cs="Tahoma"/>
          <w:i/>
          <w:sz w:val="22"/>
        </w:rPr>
        <w:t xml:space="preserve"> </w:t>
      </w:r>
      <w:r w:rsidRPr="0022017B">
        <w:rPr>
          <w:rFonts w:ascii="Arial Narrow" w:hAnsi="Arial Narrow" w:cs="Tahoma"/>
          <w:sz w:val="22"/>
        </w:rPr>
        <w:t>517 KM.</w:t>
      </w:r>
      <w:r>
        <w:rPr>
          <w:rFonts w:ascii="Arial Narrow" w:hAnsi="Arial Narrow" w:cs="Tahoma"/>
          <w:i/>
          <w:sz w:val="22"/>
        </w:rPr>
        <w:t xml:space="preserve"> </w:t>
      </w:r>
    </w:p>
    <w:p w:rsidR="0022017B" w:rsidRDefault="0022017B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</w:rPr>
      </w:pPr>
    </w:p>
    <w:p w:rsidR="0022017B" w:rsidRPr="0022017B" w:rsidRDefault="0022017B" w:rsidP="00E33D13">
      <w:pPr>
        <w:tabs>
          <w:tab w:val="left" w:pos="4343"/>
        </w:tabs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October 2015, compared to September 2015, a nominal increase in net wages was recorded in the sections </w:t>
      </w:r>
      <w:r w:rsidRPr="0022017B">
        <w:rPr>
          <w:rFonts w:ascii="Arial Narrow" w:hAnsi="Arial Narrow" w:cs="Tahoma"/>
          <w:i/>
          <w:sz w:val="22"/>
        </w:rPr>
        <w:t>Manufacturing</w:t>
      </w:r>
      <w:r>
        <w:rPr>
          <w:rFonts w:ascii="Arial Narrow" w:hAnsi="Arial Narrow" w:cs="Tahoma"/>
          <w:sz w:val="22"/>
        </w:rPr>
        <w:t xml:space="preserve"> 1.8%, </w:t>
      </w:r>
      <w:proofErr w:type="gramStart"/>
      <w:r w:rsidRPr="0022017B">
        <w:rPr>
          <w:rFonts w:ascii="Arial Narrow" w:hAnsi="Arial Narrow" w:cs="Tahoma"/>
          <w:i/>
          <w:sz w:val="22"/>
        </w:rPr>
        <w:t>Other</w:t>
      </w:r>
      <w:proofErr w:type="gramEnd"/>
      <w:r w:rsidRPr="0022017B">
        <w:rPr>
          <w:rFonts w:ascii="Arial Narrow" w:hAnsi="Arial Narrow" w:cs="Tahoma"/>
          <w:i/>
          <w:sz w:val="22"/>
        </w:rPr>
        <w:t xml:space="preserve"> service activities</w:t>
      </w:r>
      <w:r>
        <w:rPr>
          <w:rFonts w:ascii="Arial Narrow" w:hAnsi="Arial Narrow" w:cs="Tahoma"/>
          <w:sz w:val="22"/>
        </w:rPr>
        <w:t xml:space="preserve"> 1.3% and </w:t>
      </w:r>
      <w:r w:rsidRPr="0022017B">
        <w:rPr>
          <w:rFonts w:ascii="Arial Narrow" w:hAnsi="Arial Narrow" w:cs="Tahoma"/>
          <w:i/>
          <w:sz w:val="22"/>
        </w:rPr>
        <w:t>Accommodation and food service activities</w:t>
      </w:r>
      <w:r>
        <w:rPr>
          <w:rFonts w:ascii="Arial Narrow" w:hAnsi="Arial Narrow" w:cs="Tahoma"/>
          <w:sz w:val="22"/>
        </w:rPr>
        <w:t xml:space="preserve"> 0.8%. </w:t>
      </w:r>
    </w:p>
    <w:p w:rsidR="00E33D13" w:rsidRPr="00D20AF8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22017B" w:rsidRDefault="0022017B" w:rsidP="00E33D13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A decrease in nominal wages was recorded in the sections </w:t>
      </w:r>
      <w:r w:rsidRPr="0022017B">
        <w:rPr>
          <w:rFonts w:ascii="Arial Narrow" w:hAnsi="Arial Narrow" w:cs="Tahoma"/>
          <w:i/>
          <w:sz w:val="22"/>
        </w:rPr>
        <w:t>Mining and quarrying</w:t>
      </w:r>
      <w:r>
        <w:rPr>
          <w:rFonts w:ascii="Arial Narrow" w:hAnsi="Arial Narrow" w:cs="Tahoma"/>
          <w:sz w:val="22"/>
        </w:rPr>
        <w:t xml:space="preserve"> 4.4%, </w:t>
      </w:r>
      <w:r w:rsidRPr="0022017B">
        <w:rPr>
          <w:rFonts w:ascii="Arial Narrow" w:hAnsi="Arial Narrow" w:cs="Tahoma"/>
          <w:i/>
          <w:sz w:val="22"/>
        </w:rPr>
        <w:t>Information and communication</w:t>
      </w:r>
      <w:r>
        <w:rPr>
          <w:rFonts w:ascii="Arial Narrow" w:hAnsi="Arial Narrow" w:cs="Tahoma"/>
          <w:sz w:val="22"/>
        </w:rPr>
        <w:t xml:space="preserve"> 3.5% and </w:t>
      </w:r>
      <w:r w:rsidRPr="0022017B">
        <w:rPr>
          <w:rFonts w:ascii="Arial Narrow" w:hAnsi="Arial Narrow" w:cs="Tahoma"/>
          <w:i/>
          <w:sz w:val="22"/>
        </w:rPr>
        <w:t>Human health and social work activities</w:t>
      </w:r>
      <w:r>
        <w:rPr>
          <w:rFonts w:ascii="Arial Narrow" w:hAnsi="Arial Narrow" w:cs="Tahoma"/>
          <w:sz w:val="22"/>
        </w:rPr>
        <w:t xml:space="preserve"> 2.0%. </w:t>
      </w:r>
    </w:p>
    <w:p w:rsidR="00396802" w:rsidRPr="00D20AF8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D20AF8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D20AF8">
        <w:rPr>
          <w:rFonts w:ascii="Tahoma" w:hAnsi="Tahoma" w:cs="Tahoma"/>
          <w:i/>
          <w:sz w:val="14"/>
          <w:lang w:val="sr-Cyrl-CS"/>
        </w:rPr>
        <w:t xml:space="preserve"> </w:t>
      </w:r>
      <w:r w:rsidRPr="00D20AF8">
        <w:rPr>
          <w:rFonts w:ascii="Tahoma" w:hAnsi="Tahoma" w:cs="Tahoma"/>
          <w:sz w:val="14"/>
          <w:lang w:val="sr-Cyrl-CS"/>
        </w:rPr>
        <w:t xml:space="preserve">   </w:t>
      </w:r>
      <w:r w:rsidRPr="00D20AF8">
        <w:rPr>
          <w:rFonts w:ascii="Tahoma" w:hAnsi="Tahoma" w:cs="Tahoma"/>
          <w:sz w:val="14"/>
          <w:lang w:val="sr-Latn-CS"/>
        </w:rPr>
        <w:tab/>
      </w:r>
      <w:r w:rsidRPr="00D20AF8">
        <w:rPr>
          <w:rFonts w:ascii="Tahoma" w:hAnsi="Tahoma" w:cs="Tahoma"/>
          <w:sz w:val="14"/>
          <w:lang w:val="sr-Latn-CS"/>
        </w:rPr>
        <w:tab/>
      </w:r>
      <w:r w:rsidRPr="00D20AF8">
        <w:rPr>
          <w:rFonts w:ascii="Tahoma" w:hAnsi="Tahoma" w:cs="Tahoma"/>
          <w:sz w:val="14"/>
        </w:rPr>
        <w:t xml:space="preserve">            </w:t>
      </w:r>
      <w:r w:rsidR="00F85AAC" w:rsidRPr="00D20AF8">
        <w:rPr>
          <w:rFonts w:ascii="Tahoma" w:hAnsi="Tahoma" w:cs="Tahoma"/>
          <w:sz w:val="14"/>
          <w:lang w:val="sr-Cyrl-BA"/>
        </w:rPr>
        <w:t xml:space="preserve">   </w:t>
      </w:r>
      <w:r w:rsidRPr="00D20AF8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D20AF8" w:rsidRDefault="00AD485B" w:rsidP="00E33D13">
      <w:pPr>
        <w:jc w:val="center"/>
        <w:rPr>
          <w:rFonts w:ascii="Tahoma" w:hAnsi="Tahoma" w:cs="Tahoma"/>
        </w:rPr>
      </w:pPr>
      <w:r w:rsidRPr="00D20AF8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955040</wp:posOffset>
            </wp:positionH>
            <wp:positionV relativeFrom="paragraph">
              <wp:posOffset>2057771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069" w:rsidRPr="00D20AF8">
        <w:rPr>
          <w:noProof/>
        </w:rPr>
        <w:drawing>
          <wp:inline distT="0" distB="0" distL="0" distR="0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33D13" w:rsidRPr="00D20AF8">
        <w:rPr>
          <w:rFonts w:ascii="Tahoma" w:hAnsi="Tahoma" w:cs="Tahoma"/>
          <w:szCs w:val="18"/>
        </w:rPr>
        <w:t xml:space="preserve">   </w:t>
      </w:r>
    </w:p>
    <w:p w:rsidR="00E33D13" w:rsidRPr="00D20AF8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F01955" w:rsidRPr="005A735F" w:rsidRDefault="00F01955" w:rsidP="00F01955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>
        <w:rPr>
          <w:rFonts w:ascii="Arial Narrow" w:hAnsi="Arial Narrow" w:cs="Tahoma"/>
          <w:sz w:val="16"/>
          <w:szCs w:val="22"/>
        </w:rPr>
        <w:t>Graph</w:t>
      </w:r>
      <w:r w:rsidRPr="005A735F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5A735F">
        <w:rPr>
          <w:rFonts w:ascii="Arial Narrow" w:hAnsi="Arial Narrow" w:cs="Tahoma"/>
          <w:sz w:val="16"/>
          <w:szCs w:val="22"/>
          <w:lang w:val="sr-Latn-BA"/>
        </w:rPr>
        <w:t>1</w:t>
      </w:r>
      <w:r w:rsidRPr="005A735F">
        <w:rPr>
          <w:rFonts w:ascii="Arial Narrow" w:hAnsi="Arial Narrow" w:cs="Tahoma"/>
          <w:sz w:val="16"/>
          <w:szCs w:val="22"/>
          <w:lang w:val="sr-Cyrl-CS"/>
        </w:rPr>
        <w:t>.</w:t>
      </w:r>
      <w:r w:rsidRPr="005A735F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>
        <w:rPr>
          <w:rFonts w:ascii="Arial Narrow" w:hAnsi="Arial Narrow" w:cs="Tahoma"/>
          <w:sz w:val="16"/>
          <w:szCs w:val="22"/>
        </w:rPr>
        <w:t>Average net wages of employed persons by month</w:t>
      </w:r>
    </w:p>
    <w:p w:rsidR="00BE051D" w:rsidRPr="00D20AF8" w:rsidRDefault="00BE051D">
      <w:pPr>
        <w:rPr>
          <w:rFonts w:ascii="Arial Narrow" w:hAnsi="Arial Narrow" w:cs="Tahoma"/>
          <w:sz w:val="22"/>
          <w:lang w:val="sr-Latn-BA"/>
        </w:rPr>
      </w:pPr>
    </w:p>
    <w:p w:rsidR="00EB2F3C" w:rsidRPr="00D20AF8" w:rsidRDefault="00EB2F3C">
      <w:pPr>
        <w:rPr>
          <w:rFonts w:ascii="Arial Narrow" w:hAnsi="Arial Narrow" w:cs="Tahoma"/>
          <w:sz w:val="22"/>
          <w:lang w:val="sr-Latn-BA"/>
        </w:rPr>
      </w:pPr>
    </w:p>
    <w:p w:rsidR="007D2CAE" w:rsidRPr="00D20AF8" w:rsidRDefault="007D2CAE">
      <w:pPr>
        <w:rPr>
          <w:rFonts w:ascii="Arial Narrow" w:hAnsi="Arial Narrow" w:cs="Tahoma"/>
          <w:sz w:val="22"/>
          <w:lang w:val="sr-Latn-BA"/>
        </w:rPr>
      </w:pPr>
    </w:p>
    <w:p w:rsidR="007D2CAE" w:rsidRPr="00D20AF8" w:rsidRDefault="007D2CAE">
      <w:pPr>
        <w:rPr>
          <w:rFonts w:ascii="Arial Narrow" w:hAnsi="Arial Narrow" w:cs="Tahoma"/>
          <w:sz w:val="22"/>
          <w:lang w:val="sr-Latn-BA"/>
        </w:rPr>
      </w:pPr>
    </w:p>
    <w:p w:rsidR="007D2CAE" w:rsidRPr="00D20AF8" w:rsidRDefault="007D2CAE">
      <w:pPr>
        <w:rPr>
          <w:rFonts w:ascii="Arial Narrow" w:hAnsi="Arial Narrow" w:cs="Tahoma"/>
          <w:sz w:val="22"/>
          <w:lang w:val="sr-Latn-BA"/>
        </w:rPr>
      </w:pPr>
    </w:p>
    <w:p w:rsidR="00681010" w:rsidRPr="00681010" w:rsidRDefault="00681010" w:rsidP="00E045B0">
      <w:pPr>
        <w:rPr>
          <w:rFonts w:ascii="Arial Narrow" w:hAnsi="Arial Narrow" w:cs="Tahoma"/>
          <w:b/>
          <w:sz w:val="30"/>
          <w:szCs w:val="30"/>
        </w:rPr>
      </w:pPr>
      <w:r>
        <w:rPr>
          <w:rFonts w:ascii="Arial Narrow" w:hAnsi="Arial Narrow" w:cs="Tahoma"/>
          <w:b/>
          <w:sz w:val="30"/>
          <w:szCs w:val="30"/>
        </w:rPr>
        <w:t>Monthly inflation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0.</w:t>
      </w:r>
      <w:r w:rsidR="00E045B0" w:rsidRPr="00D20AF8">
        <w:rPr>
          <w:rFonts w:ascii="Arial Narrow" w:hAnsi="Arial Narrow" w:cs="Tahoma"/>
          <w:b/>
          <w:sz w:val="30"/>
          <w:szCs w:val="30"/>
          <w:lang w:val="sr-Cyrl-BA"/>
        </w:rPr>
        <w:t>9%</w:t>
      </w:r>
      <w:r>
        <w:rPr>
          <w:rFonts w:ascii="Arial Narrow" w:hAnsi="Arial Narrow" w:cs="Tahoma"/>
          <w:b/>
          <w:sz w:val="30"/>
          <w:szCs w:val="30"/>
        </w:rPr>
        <w:t xml:space="preserve"> in October 2015</w:t>
      </w:r>
    </w:p>
    <w:p w:rsidR="00E045B0" w:rsidRPr="00681010" w:rsidRDefault="00681010" w:rsidP="00E045B0">
      <w:pPr>
        <w:rPr>
          <w:rFonts w:ascii="Arial Narrow" w:hAnsi="Arial Narrow" w:cs="Tahoma"/>
          <w:b/>
          <w:sz w:val="30"/>
          <w:szCs w:val="30"/>
          <w:lang w:val="sr-Latn-CS"/>
        </w:rPr>
      </w:pPr>
      <w:r>
        <w:rPr>
          <w:rFonts w:ascii="Arial Narrow" w:hAnsi="Arial Narrow" w:cs="Tahoma"/>
          <w:b/>
          <w:sz w:val="30"/>
          <w:szCs w:val="30"/>
        </w:rPr>
        <w:t>Annual inflation</w:t>
      </w:r>
      <w:r w:rsidR="00E045B0" w:rsidRPr="00D20AF8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>
        <w:rPr>
          <w:rFonts w:ascii="Arial Narrow" w:hAnsi="Arial Narrow" w:cs="Tahoma"/>
          <w:b/>
          <w:sz w:val="30"/>
          <w:szCs w:val="30"/>
          <w:lang w:val="sr-Latn-BA"/>
        </w:rPr>
        <w:t>October</w:t>
      </w:r>
      <w:r w:rsidR="00E045B0" w:rsidRPr="00D20AF8">
        <w:rPr>
          <w:rFonts w:ascii="Arial Narrow" w:hAnsi="Arial Narrow" w:cs="Tahoma"/>
          <w:b/>
          <w:sz w:val="30"/>
          <w:szCs w:val="30"/>
          <w:lang w:val="sr-Cyrl-BA"/>
        </w:rPr>
        <w:t xml:space="preserve"> 2015/</w:t>
      </w:r>
      <w:r>
        <w:rPr>
          <w:rFonts w:ascii="Arial Narrow" w:hAnsi="Arial Narrow" w:cs="Tahoma"/>
          <w:b/>
          <w:sz w:val="30"/>
          <w:szCs w:val="30"/>
          <w:lang w:val="sr-Latn-BA"/>
        </w:rPr>
        <w:t>October</w:t>
      </w:r>
      <w:r>
        <w:rPr>
          <w:rFonts w:ascii="Arial Narrow" w:hAnsi="Arial Narrow" w:cs="Tahoma"/>
          <w:b/>
          <w:sz w:val="30"/>
          <w:szCs w:val="30"/>
          <w:lang w:val="sr-Cyrl-BA"/>
        </w:rPr>
        <w:t xml:space="preserve"> 2014) -2.</w:t>
      </w:r>
      <w:r w:rsidR="00E045B0" w:rsidRPr="00D20AF8">
        <w:rPr>
          <w:rFonts w:ascii="Arial Narrow" w:hAnsi="Arial Narrow" w:cs="Tahoma"/>
          <w:b/>
          <w:sz w:val="30"/>
          <w:szCs w:val="30"/>
          <w:lang w:val="sr-Cyrl-BA"/>
        </w:rPr>
        <w:t>1%</w:t>
      </w:r>
    </w:p>
    <w:p w:rsidR="00E045B0" w:rsidRPr="00D20AF8" w:rsidRDefault="00E045B0" w:rsidP="00E045B0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636F19" w:rsidRPr="00636F19" w:rsidRDefault="00636F19" w:rsidP="00636F19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 w:rsidRPr="00636F19">
        <w:rPr>
          <w:rFonts w:ascii="Arial Narrow" w:hAnsi="Arial Narrow" w:cs="Tahoma"/>
          <w:sz w:val="22"/>
          <w:szCs w:val="22"/>
        </w:rPr>
        <w:t xml:space="preserve">Prices of products and services for personal consumption in </w:t>
      </w:r>
      <w:proofErr w:type="spellStart"/>
      <w:r w:rsidRPr="00636F19">
        <w:rPr>
          <w:rFonts w:ascii="Arial Narrow" w:hAnsi="Arial Narrow" w:cs="Tahoma"/>
          <w:sz w:val="22"/>
          <w:szCs w:val="22"/>
        </w:rPr>
        <w:t>Republika</w:t>
      </w:r>
      <w:proofErr w:type="spellEnd"/>
      <w:r w:rsidRPr="00636F19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636F19">
        <w:rPr>
          <w:rFonts w:ascii="Arial Narrow" w:hAnsi="Arial Narrow" w:cs="Tahoma"/>
          <w:sz w:val="22"/>
          <w:szCs w:val="22"/>
        </w:rPr>
        <w:t>Srpska</w:t>
      </w:r>
      <w:proofErr w:type="spellEnd"/>
      <w:r w:rsidRPr="00636F19">
        <w:rPr>
          <w:rFonts w:ascii="Arial Narrow" w:hAnsi="Arial Narrow" w:cs="Tahoma"/>
          <w:sz w:val="22"/>
          <w:szCs w:val="22"/>
        </w:rPr>
        <w:t xml:space="preserve">, measured with the consumer price index, in </w:t>
      </w:r>
      <w:r>
        <w:rPr>
          <w:rFonts w:ascii="Arial Narrow" w:hAnsi="Arial Narrow" w:cs="Tahoma"/>
          <w:sz w:val="22"/>
          <w:szCs w:val="22"/>
        </w:rPr>
        <w:t>October</w:t>
      </w:r>
      <w:r w:rsidRPr="00636F19">
        <w:rPr>
          <w:rFonts w:ascii="Arial Narrow" w:hAnsi="Arial Narrow" w:cs="Tahoma"/>
          <w:sz w:val="22"/>
          <w:szCs w:val="22"/>
        </w:rPr>
        <w:t xml:space="preserve"> 2015, compared to the previou</w:t>
      </w:r>
      <w:r>
        <w:rPr>
          <w:rFonts w:ascii="Arial Narrow" w:hAnsi="Arial Narrow" w:cs="Tahoma"/>
          <w:sz w:val="22"/>
          <w:szCs w:val="22"/>
        </w:rPr>
        <w:t>s month, were on the average 0.9</w:t>
      </w:r>
      <w:r w:rsidRPr="00636F19">
        <w:rPr>
          <w:rFonts w:ascii="Arial Narrow" w:hAnsi="Arial Narrow" w:cs="Tahoma"/>
          <w:sz w:val="22"/>
          <w:szCs w:val="22"/>
        </w:rPr>
        <w:t xml:space="preserve">% </w:t>
      </w:r>
      <w:r>
        <w:rPr>
          <w:rFonts w:ascii="Arial Narrow" w:hAnsi="Arial Narrow" w:cs="Tahoma"/>
          <w:sz w:val="22"/>
          <w:szCs w:val="22"/>
        </w:rPr>
        <w:t>higher</w:t>
      </w:r>
      <w:r w:rsidRPr="00636F19">
        <w:rPr>
          <w:rFonts w:ascii="Arial Narrow" w:hAnsi="Arial Narrow" w:cs="Tahoma"/>
          <w:sz w:val="22"/>
          <w:szCs w:val="22"/>
        </w:rPr>
        <w:t xml:space="preserve">, while they were 2.1% lower at the annual level. </w:t>
      </w:r>
    </w:p>
    <w:p w:rsidR="00E045B0" w:rsidRDefault="00636F19" w:rsidP="00E045B0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was recorded in three divisions, a decrease was recorded in four divisions, while prices in five divisions remained on the average at the same level. </w:t>
      </w:r>
    </w:p>
    <w:p w:rsidR="00636F19" w:rsidRDefault="00636F19" w:rsidP="00E045B0">
      <w:pPr>
        <w:jc w:val="both"/>
        <w:rPr>
          <w:rFonts w:ascii="Arial Narrow" w:hAnsi="Arial Narrow" w:cs="Tahoma"/>
          <w:sz w:val="22"/>
          <w:szCs w:val="22"/>
        </w:rPr>
      </w:pPr>
    </w:p>
    <w:p w:rsidR="00636F19" w:rsidRDefault="00B0262B" w:rsidP="00A26F9F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increase in prices was recorded in the division </w:t>
      </w:r>
      <w:r w:rsidRPr="00CA18E0">
        <w:rPr>
          <w:rFonts w:ascii="Arial Narrow" w:hAnsi="Arial Narrow" w:cs="Tahoma"/>
          <w:i/>
          <w:sz w:val="22"/>
          <w:szCs w:val="22"/>
        </w:rPr>
        <w:t>Housing</w:t>
      </w:r>
      <w:r>
        <w:rPr>
          <w:rFonts w:ascii="Arial Narrow" w:hAnsi="Arial Narrow" w:cs="Tahoma"/>
          <w:sz w:val="22"/>
          <w:szCs w:val="22"/>
        </w:rPr>
        <w:t xml:space="preserve"> (11.6%), due to higher prices in the group electricity and other energy sources, </w:t>
      </w:r>
      <w:r w:rsidR="00CA18E0">
        <w:rPr>
          <w:rFonts w:ascii="Arial Narrow" w:hAnsi="Arial Narrow" w:cs="Tahoma"/>
          <w:sz w:val="22"/>
        </w:rPr>
        <w:t xml:space="preserve">as a result of the electricity billing at higher (winter) prices. An increase in prices in October was also recorded in the division </w:t>
      </w:r>
      <w:r w:rsidR="00CA18E0" w:rsidRPr="00CA18E0">
        <w:rPr>
          <w:rFonts w:ascii="Arial Narrow" w:hAnsi="Arial Narrow" w:cs="Tahoma"/>
          <w:i/>
          <w:sz w:val="22"/>
        </w:rPr>
        <w:t>Clothing and footwear</w:t>
      </w:r>
      <w:r w:rsidR="00CA18E0">
        <w:rPr>
          <w:rFonts w:ascii="Arial Narrow" w:hAnsi="Arial Narrow" w:cs="Tahoma"/>
          <w:sz w:val="22"/>
        </w:rPr>
        <w:t xml:space="preserve"> (1.2%), due to higher prices of new collections of clothing and footwear, and in the division </w:t>
      </w:r>
      <w:r w:rsidR="00CA18E0" w:rsidRPr="00CA18E0">
        <w:rPr>
          <w:rFonts w:ascii="Arial Narrow" w:hAnsi="Arial Narrow" w:cs="Tahoma"/>
          <w:i/>
          <w:sz w:val="22"/>
        </w:rPr>
        <w:t>Other goods and services</w:t>
      </w:r>
      <w:r w:rsidR="00CA18E0">
        <w:rPr>
          <w:rFonts w:ascii="Arial Narrow" w:hAnsi="Arial Narrow" w:cs="Tahoma"/>
          <w:sz w:val="22"/>
        </w:rPr>
        <w:t xml:space="preserve"> (0.5%), as a result of new purchases and the termination of the discount period in the group personal care products. </w:t>
      </w:r>
    </w:p>
    <w:p w:rsidR="00A26F9F" w:rsidRPr="00A26F9F" w:rsidRDefault="00A26F9F" w:rsidP="00A26F9F">
      <w:pPr>
        <w:jc w:val="both"/>
        <w:rPr>
          <w:rFonts w:ascii="Arial Narrow" w:hAnsi="Arial Narrow" w:cs="Tahoma"/>
          <w:sz w:val="22"/>
          <w:szCs w:val="22"/>
        </w:rPr>
      </w:pPr>
    </w:p>
    <w:p w:rsidR="00CA18E0" w:rsidRDefault="00A26F9F" w:rsidP="00E045B0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In the </w:t>
      </w:r>
      <w:proofErr w:type="gramStart"/>
      <w:r>
        <w:rPr>
          <w:rFonts w:ascii="Arial Narrow" w:hAnsi="Arial Narrow" w:cs="Tahoma"/>
          <w:sz w:val="22"/>
          <w:szCs w:val="22"/>
        </w:rPr>
        <w:t>divisions</w:t>
      </w:r>
      <w:proofErr w:type="gramEnd"/>
      <w:r>
        <w:rPr>
          <w:rFonts w:ascii="Arial Narrow" w:hAnsi="Arial Narrow" w:cs="Tahoma"/>
          <w:sz w:val="22"/>
          <w:szCs w:val="22"/>
        </w:rPr>
        <w:t xml:space="preserve"> </w:t>
      </w:r>
      <w:r w:rsidRPr="00A26F9F">
        <w:rPr>
          <w:rFonts w:ascii="Arial Narrow" w:hAnsi="Arial Narrow" w:cs="Tahoma"/>
          <w:i/>
          <w:sz w:val="22"/>
          <w:szCs w:val="22"/>
        </w:rPr>
        <w:t>Health care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A26F9F">
        <w:rPr>
          <w:rFonts w:ascii="Arial Narrow" w:hAnsi="Arial Narrow" w:cs="Tahoma"/>
          <w:i/>
          <w:sz w:val="22"/>
          <w:szCs w:val="22"/>
        </w:rPr>
        <w:t>Communication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A26F9F">
        <w:rPr>
          <w:rFonts w:ascii="Arial Narrow" w:hAnsi="Arial Narrow" w:cs="Tahoma"/>
          <w:i/>
          <w:sz w:val="22"/>
          <w:szCs w:val="22"/>
        </w:rPr>
        <w:t>Recreation and culture</w:t>
      </w:r>
      <w:r>
        <w:rPr>
          <w:rFonts w:ascii="Arial Narrow" w:hAnsi="Arial Narrow" w:cs="Tahoma"/>
          <w:sz w:val="22"/>
          <w:szCs w:val="22"/>
        </w:rPr>
        <w:t xml:space="preserve">, </w:t>
      </w:r>
      <w:r w:rsidRPr="00A26F9F">
        <w:rPr>
          <w:rFonts w:ascii="Arial Narrow" w:hAnsi="Arial Narrow" w:cs="Tahoma"/>
          <w:i/>
          <w:sz w:val="22"/>
          <w:szCs w:val="22"/>
        </w:rPr>
        <w:t>Education</w:t>
      </w:r>
      <w:r>
        <w:rPr>
          <w:rFonts w:ascii="Arial Narrow" w:hAnsi="Arial Narrow" w:cs="Tahoma"/>
          <w:sz w:val="22"/>
          <w:szCs w:val="22"/>
        </w:rPr>
        <w:t xml:space="preserve">, and </w:t>
      </w:r>
      <w:r w:rsidRPr="00A26F9F">
        <w:rPr>
          <w:rFonts w:ascii="Arial Narrow" w:hAnsi="Arial Narrow" w:cs="Tahoma"/>
          <w:i/>
          <w:sz w:val="22"/>
          <w:szCs w:val="22"/>
        </w:rPr>
        <w:t>Restaurants and hotels</w:t>
      </w:r>
      <w:r>
        <w:rPr>
          <w:rFonts w:ascii="Arial Narrow" w:hAnsi="Arial Narrow" w:cs="Tahoma"/>
          <w:sz w:val="22"/>
          <w:szCs w:val="22"/>
        </w:rPr>
        <w:t xml:space="preserve"> prices remained on the average at the same level.</w:t>
      </w:r>
    </w:p>
    <w:p w:rsidR="00A26F9F" w:rsidRPr="00A26F9F" w:rsidRDefault="00A26F9F" w:rsidP="00E045B0">
      <w:pPr>
        <w:spacing w:after="12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The highest decrease in prices in October was recorded in the division </w:t>
      </w:r>
      <w:r w:rsidRPr="00A26F9F">
        <w:rPr>
          <w:rFonts w:ascii="Arial Narrow" w:hAnsi="Arial Narrow" w:cs="Tahoma"/>
          <w:i/>
          <w:sz w:val="22"/>
          <w:szCs w:val="22"/>
        </w:rPr>
        <w:t>Food and non-alcoholic beverages</w:t>
      </w:r>
      <w:r>
        <w:rPr>
          <w:rFonts w:ascii="Arial Narrow" w:hAnsi="Arial Narrow" w:cs="Tahoma"/>
          <w:sz w:val="22"/>
          <w:szCs w:val="22"/>
        </w:rPr>
        <w:t xml:space="preserve"> (1.2%), due to seasonal effects in the groups fruit and vegetables, which decreased by 10.3% and 1.3%, respectively, as well as because of lower (discount) prices in the group non-alcoholic beverages (2.1%), namely in the subgroup coffee, tea and cocoa (2.0%). Due to lower purchase prices of fuels and lubricants, a slight decrease was recorded in the division </w:t>
      </w:r>
      <w:r w:rsidRPr="00A26F9F">
        <w:rPr>
          <w:rFonts w:ascii="Arial Narrow" w:hAnsi="Arial Narrow" w:cs="Tahoma"/>
          <w:i/>
          <w:sz w:val="22"/>
          <w:szCs w:val="22"/>
        </w:rPr>
        <w:t>Transport</w:t>
      </w:r>
      <w:r>
        <w:rPr>
          <w:rFonts w:ascii="Arial Narrow" w:hAnsi="Arial Narrow" w:cs="Tahoma"/>
          <w:sz w:val="22"/>
          <w:szCs w:val="22"/>
        </w:rPr>
        <w:t xml:space="preserve"> (0.6%), while few discounts in the </w:t>
      </w:r>
      <w:proofErr w:type="gramStart"/>
      <w:r>
        <w:rPr>
          <w:rFonts w:ascii="Arial Narrow" w:hAnsi="Arial Narrow" w:cs="Tahoma"/>
          <w:sz w:val="22"/>
          <w:szCs w:val="22"/>
        </w:rPr>
        <w:t>groups</w:t>
      </w:r>
      <w:proofErr w:type="gramEnd"/>
      <w:r>
        <w:rPr>
          <w:rFonts w:ascii="Arial Narrow" w:hAnsi="Arial Narrow" w:cs="Tahoma"/>
          <w:sz w:val="22"/>
          <w:szCs w:val="22"/>
        </w:rPr>
        <w:t xml:space="preserve"> furnishings and household equipment resulted in lower prices in the division </w:t>
      </w:r>
      <w:r w:rsidRPr="00A26F9F">
        <w:rPr>
          <w:rFonts w:ascii="Arial Narrow" w:hAnsi="Arial Narrow" w:cs="Tahoma"/>
          <w:i/>
          <w:sz w:val="22"/>
          <w:szCs w:val="22"/>
        </w:rPr>
        <w:t>Furnishings and other equipment</w:t>
      </w:r>
      <w:r>
        <w:rPr>
          <w:rFonts w:ascii="Arial Narrow" w:hAnsi="Arial Narrow" w:cs="Tahoma"/>
          <w:sz w:val="22"/>
          <w:szCs w:val="22"/>
        </w:rPr>
        <w:t xml:space="preserve"> (0.4%). </w:t>
      </w:r>
    </w:p>
    <w:p w:rsidR="007B3C79" w:rsidRPr="00D20AF8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52F07" w:rsidRPr="00D20AF8" w:rsidRDefault="00A26F9F" w:rsidP="00152F07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>Seasonally adjusted industrial production</w:t>
      </w:r>
      <w:r w:rsidR="00152F07" w:rsidRPr="00D20AF8">
        <w:rPr>
          <w:rFonts w:ascii="Arial Narrow" w:hAnsi="Arial Narrow" w:cs="Tahoma"/>
          <w:b/>
          <w:sz w:val="28"/>
          <w:szCs w:val="28"/>
          <w:lang w:val="sr-Cyrl-CS"/>
        </w:rPr>
        <w:t xml:space="preserve"> (</w:t>
      </w:r>
      <w:r>
        <w:rPr>
          <w:rFonts w:ascii="Arial Narrow" w:hAnsi="Arial Narrow" w:cs="Tahoma"/>
          <w:b/>
          <w:sz w:val="28"/>
          <w:szCs w:val="28"/>
        </w:rPr>
        <w:t>October</w:t>
      </w:r>
      <w:r w:rsidR="00152F07" w:rsidRPr="00D20AF8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="00152F07" w:rsidRPr="00D20AF8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152F07" w:rsidRPr="00D20AF8">
        <w:rPr>
          <w:rFonts w:ascii="Arial Narrow" w:hAnsi="Arial Narrow" w:cs="Tahoma"/>
          <w:b/>
          <w:sz w:val="28"/>
          <w:szCs w:val="28"/>
        </w:rPr>
        <w:t>5</w:t>
      </w:r>
      <w:r>
        <w:rPr>
          <w:rFonts w:ascii="Arial Narrow" w:hAnsi="Arial Narrow" w:cs="Tahoma"/>
          <w:b/>
          <w:sz w:val="28"/>
          <w:szCs w:val="28"/>
          <w:lang w:val="sr-Latn-BA"/>
        </w:rPr>
        <w:t>/September</w:t>
      </w:r>
      <w:r w:rsidR="00152F07" w:rsidRPr="00D20AF8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="00152F07" w:rsidRPr="00D20AF8">
        <w:rPr>
          <w:rFonts w:ascii="Arial Narrow" w:hAnsi="Arial Narrow" w:cs="Tahoma"/>
          <w:b/>
          <w:bCs/>
          <w:sz w:val="28"/>
          <w:szCs w:val="28"/>
          <w:lang w:val="ru-RU"/>
        </w:rPr>
        <w:t>2015</w:t>
      </w:r>
      <w:r w:rsidR="00152F07" w:rsidRPr="00D20AF8">
        <w:rPr>
          <w:rFonts w:ascii="Arial Narrow" w:hAnsi="Arial Narrow" w:cs="Tahoma"/>
          <w:b/>
          <w:bCs/>
          <w:sz w:val="28"/>
          <w:szCs w:val="28"/>
          <w:lang w:val="hr-HR"/>
        </w:rPr>
        <w:t>)</w:t>
      </w:r>
      <w:r w:rsidR="00152F07" w:rsidRPr="00D20AF8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28"/>
          <w:szCs w:val="28"/>
        </w:rPr>
        <w:t>increased by</w:t>
      </w:r>
      <w:r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2.</w:t>
      </w:r>
      <w:r w:rsidR="00152F07" w:rsidRPr="00D20AF8">
        <w:rPr>
          <w:rFonts w:ascii="Arial Narrow" w:hAnsi="Arial Narrow" w:cs="Tahoma"/>
          <w:b/>
          <w:bCs/>
          <w:sz w:val="28"/>
          <w:szCs w:val="28"/>
          <w:lang w:val="sr-Cyrl-CS"/>
        </w:rPr>
        <w:t>1%</w:t>
      </w:r>
    </w:p>
    <w:p w:rsidR="000213F8" w:rsidRPr="00D20AF8" w:rsidRDefault="00A26F9F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>Working-day adjusted industrial production</w:t>
      </w:r>
      <w:r w:rsidR="000213F8" w:rsidRPr="00D20AF8">
        <w:rPr>
          <w:rFonts w:ascii="Arial Narrow" w:hAnsi="Arial Narrow" w:cs="Tahoma"/>
          <w:b/>
          <w:sz w:val="28"/>
          <w:szCs w:val="28"/>
          <w:lang w:val="sr-Cyrl-CS"/>
        </w:rPr>
        <w:t xml:space="preserve"> (</w:t>
      </w:r>
      <w:r>
        <w:rPr>
          <w:rFonts w:ascii="Arial Narrow" w:hAnsi="Arial Narrow" w:cs="Tahoma"/>
          <w:b/>
          <w:sz w:val="28"/>
          <w:szCs w:val="28"/>
        </w:rPr>
        <w:t>October</w:t>
      </w:r>
      <w:r w:rsidR="000213F8" w:rsidRPr="00D20AF8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="000213F8" w:rsidRPr="00D20AF8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284295" w:rsidRPr="00D20AF8">
        <w:rPr>
          <w:rFonts w:ascii="Arial Narrow" w:hAnsi="Arial Narrow" w:cs="Tahoma"/>
          <w:b/>
          <w:sz w:val="28"/>
          <w:szCs w:val="28"/>
        </w:rPr>
        <w:t>5</w:t>
      </w:r>
      <w:r w:rsidR="000213F8" w:rsidRPr="00D20AF8">
        <w:rPr>
          <w:rFonts w:ascii="Arial Narrow" w:hAnsi="Arial Narrow" w:cs="Tahoma"/>
          <w:b/>
          <w:sz w:val="28"/>
          <w:szCs w:val="28"/>
          <w:lang w:val="sr-Latn-BA"/>
        </w:rPr>
        <w:t>/</w:t>
      </w:r>
      <w:r>
        <w:rPr>
          <w:rFonts w:ascii="Arial Narrow" w:hAnsi="Arial Narrow" w:cs="Tahoma"/>
          <w:b/>
          <w:sz w:val="28"/>
          <w:szCs w:val="28"/>
        </w:rPr>
        <w:t>October</w:t>
      </w:r>
      <w:r w:rsidR="003E0D24" w:rsidRPr="00D20AF8">
        <w:rPr>
          <w:rFonts w:ascii="Arial Narrow" w:hAnsi="Arial Narrow" w:cs="Tahoma"/>
          <w:b/>
          <w:bCs/>
          <w:sz w:val="28"/>
          <w:szCs w:val="28"/>
        </w:rPr>
        <w:t xml:space="preserve"> </w:t>
      </w:r>
      <w:r w:rsidR="000213F8" w:rsidRPr="00D20AF8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 w:rsidR="00284295" w:rsidRPr="00D20AF8">
        <w:rPr>
          <w:rFonts w:ascii="Arial Narrow" w:hAnsi="Arial Narrow" w:cs="Tahoma"/>
          <w:b/>
          <w:bCs/>
          <w:sz w:val="28"/>
          <w:szCs w:val="28"/>
        </w:rPr>
        <w:t>4</w:t>
      </w:r>
      <w:r w:rsidR="000213F8" w:rsidRPr="00D20AF8">
        <w:rPr>
          <w:rFonts w:ascii="Arial Narrow" w:hAnsi="Arial Narrow" w:cs="Tahoma"/>
          <w:b/>
          <w:bCs/>
          <w:sz w:val="28"/>
          <w:szCs w:val="28"/>
          <w:lang w:val="hr-HR"/>
        </w:rPr>
        <w:t>)</w:t>
      </w:r>
      <w:r w:rsidR="000213F8" w:rsidRPr="00D20AF8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>
        <w:rPr>
          <w:rFonts w:ascii="Arial Narrow" w:hAnsi="Arial Narrow" w:cs="Tahoma"/>
          <w:b/>
          <w:bCs/>
          <w:sz w:val="28"/>
          <w:szCs w:val="28"/>
        </w:rPr>
        <w:t>increased by</w:t>
      </w:r>
      <w:r w:rsidR="000213F8" w:rsidRPr="00D20AF8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="00152F07" w:rsidRPr="00D20AF8">
        <w:rPr>
          <w:rFonts w:ascii="Arial Narrow" w:hAnsi="Arial Narrow" w:cs="Tahoma"/>
          <w:b/>
          <w:bCs/>
          <w:sz w:val="28"/>
          <w:szCs w:val="28"/>
          <w:lang w:val="sr-Cyrl-CS"/>
        </w:rPr>
        <w:t>0</w:t>
      </w:r>
      <w:r>
        <w:rPr>
          <w:rFonts w:ascii="Arial Narrow" w:hAnsi="Arial Narrow" w:cs="Tahoma"/>
          <w:b/>
          <w:bCs/>
          <w:sz w:val="28"/>
          <w:szCs w:val="28"/>
          <w:lang w:val="sr-Cyrl-CS"/>
        </w:rPr>
        <w:t>.</w:t>
      </w:r>
      <w:r w:rsidR="00152F07" w:rsidRPr="00D20AF8">
        <w:rPr>
          <w:rFonts w:ascii="Arial Narrow" w:hAnsi="Arial Narrow" w:cs="Tahoma"/>
          <w:b/>
          <w:bCs/>
          <w:sz w:val="28"/>
          <w:szCs w:val="28"/>
          <w:lang w:val="sr-Cyrl-CS"/>
        </w:rPr>
        <w:t>3</w:t>
      </w:r>
      <w:r w:rsidR="000213F8" w:rsidRPr="00D20AF8">
        <w:rPr>
          <w:rFonts w:ascii="Arial Narrow" w:hAnsi="Arial Narrow" w:cs="Tahoma"/>
          <w:b/>
          <w:bCs/>
          <w:sz w:val="28"/>
          <w:szCs w:val="28"/>
          <w:lang w:val="sr-Cyrl-CS"/>
        </w:rPr>
        <w:t>%</w:t>
      </w:r>
    </w:p>
    <w:p w:rsidR="000213F8" w:rsidRPr="00D20AF8" w:rsidRDefault="00A26F9F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8"/>
          <w:szCs w:val="28"/>
          <w:lang w:val="sr-Cyrl-CS"/>
        </w:rPr>
      </w:pPr>
      <w:r>
        <w:rPr>
          <w:rFonts w:ascii="Arial Narrow" w:hAnsi="Arial Narrow" w:cs="Tahoma"/>
          <w:b/>
          <w:sz w:val="28"/>
          <w:szCs w:val="28"/>
        </w:rPr>
        <w:t>Number of employees in industry</w:t>
      </w:r>
      <w:r w:rsidR="000213F8" w:rsidRPr="00D20AF8">
        <w:rPr>
          <w:rFonts w:ascii="Arial Narrow" w:hAnsi="Arial Narrow" w:cs="Tahoma"/>
          <w:b/>
          <w:sz w:val="28"/>
          <w:szCs w:val="28"/>
          <w:lang w:val="ru-RU"/>
        </w:rPr>
        <w:t xml:space="preserve"> </w:t>
      </w:r>
      <w:r w:rsidR="00F50BA9" w:rsidRPr="00D20AF8">
        <w:rPr>
          <w:rFonts w:ascii="Arial Narrow" w:hAnsi="Arial Narrow" w:cs="Tahoma"/>
          <w:b/>
          <w:sz w:val="28"/>
          <w:szCs w:val="28"/>
          <w:lang w:val="sr-Cyrl-CS"/>
        </w:rPr>
        <w:t>(</w:t>
      </w:r>
      <w:r>
        <w:rPr>
          <w:rFonts w:ascii="Arial Narrow" w:hAnsi="Arial Narrow" w:cs="Tahoma"/>
          <w:b/>
          <w:sz w:val="28"/>
          <w:szCs w:val="28"/>
        </w:rPr>
        <w:t>October</w:t>
      </w:r>
      <w:r w:rsidR="00F50BA9" w:rsidRPr="00D20AF8">
        <w:rPr>
          <w:rFonts w:ascii="Arial Narrow" w:hAnsi="Arial Narrow" w:cs="Tahoma"/>
          <w:b/>
          <w:sz w:val="28"/>
          <w:szCs w:val="28"/>
          <w:lang w:val="sr-Latn-BA"/>
        </w:rPr>
        <w:t xml:space="preserve"> 20</w:t>
      </w:r>
      <w:r w:rsidR="00F50BA9" w:rsidRPr="00D20AF8">
        <w:rPr>
          <w:rFonts w:ascii="Arial Narrow" w:hAnsi="Arial Narrow" w:cs="Tahoma"/>
          <w:b/>
          <w:sz w:val="28"/>
          <w:szCs w:val="28"/>
          <w:lang w:val="sr-Cyrl-CS"/>
        </w:rPr>
        <w:t>1</w:t>
      </w:r>
      <w:r w:rsidR="00F50BA9" w:rsidRPr="00D20AF8">
        <w:rPr>
          <w:rFonts w:ascii="Arial Narrow" w:hAnsi="Arial Narrow" w:cs="Tahoma"/>
          <w:b/>
          <w:sz w:val="28"/>
          <w:szCs w:val="28"/>
        </w:rPr>
        <w:t>5</w:t>
      </w:r>
      <w:r w:rsidR="00F50BA9" w:rsidRPr="00D20AF8">
        <w:rPr>
          <w:rFonts w:ascii="Arial Narrow" w:hAnsi="Arial Narrow" w:cs="Tahoma"/>
          <w:b/>
          <w:sz w:val="28"/>
          <w:szCs w:val="28"/>
          <w:lang w:val="sr-Latn-BA"/>
        </w:rPr>
        <w:t>/</w:t>
      </w:r>
      <w:r>
        <w:rPr>
          <w:rFonts w:ascii="Arial Narrow" w:hAnsi="Arial Narrow" w:cs="Tahoma"/>
          <w:b/>
          <w:sz w:val="28"/>
          <w:szCs w:val="28"/>
        </w:rPr>
        <w:t>October</w:t>
      </w:r>
      <w:r w:rsidR="00F50BA9" w:rsidRPr="00D20AF8">
        <w:rPr>
          <w:rFonts w:ascii="Arial Narrow" w:hAnsi="Arial Narrow" w:cs="Tahoma"/>
          <w:b/>
          <w:bCs/>
          <w:sz w:val="28"/>
          <w:szCs w:val="28"/>
          <w:lang w:val="sr-Cyrl-CS"/>
        </w:rPr>
        <w:t xml:space="preserve"> </w:t>
      </w:r>
      <w:r w:rsidR="00F50BA9" w:rsidRPr="00D20AF8">
        <w:rPr>
          <w:rFonts w:ascii="Arial Narrow" w:hAnsi="Arial Narrow" w:cs="Tahoma"/>
          <w:b/>
          <w:bCs/>
          <w:sz w:val="28"/>
          <w:szCs w:val="28"/>
          <w:lang w:val="ru-RU"/>
        </w:rPr>
        <w:t>201</w:t>
      </w:r>
      <w:r>
        <w:rPr>
          <w:rFonts w:ascii="Arial Narrow" w:hAnsi="Arial Narrow" w:cs="Tahoma"/>
          <w:b/>
          <w:bCs/>
          <w:sz w:val="28"/>
          <w:szCs w:val="28"/>
        </w:rPr>
        <w:t>4</w:t>
      </w:r>
      <w:r w:rsidR="00F50BA9" w:rsidRPr="00D20AF8">
        <w:rPr>
          <w:rFonts w:ascii="Arial Narrow" w:hAnsi="Arial Narrow" w:cs="Tahoma"/>
          <w:b/>
          <w:sz w:val="28"/>
          <w:szCs w:val="28"/>
          <w:lang w:val="ru-RU"/>
        </w:rPr>
        <w:t>)</w:t>
      </w:r>
      <w:r w:rsidR="000213F8" w:rsidRPr="00D20AF8">
        <w:rPr>
          <w:rFonts w:ascii="Arial Narrow" w:hAnsi="Arial Narrow" w:cs="Tahoma"/>
          <w:b/>
          <w:sz w:val="28"/>
          <w:szCs w:val="28"/>
          <w:lang w:val="ru-RU"/>
        </w:rPr>
        <w:t xml:space="preserve"> </w:t>
      </w:r>
      <w:r>
        <w:rPr>
          <w:rFonts w:ascii="Arial Narrow" w:hAnsi="Arial Narrow" w:cs="Tahoma"/>
          <w:b/>
          <w:sz w:val="28"/>
          <w:szCs w:val="28"/>
        </w:rPr>
        <w:t>increased by</w:t>
      </w:r>
      <w:r w:rsidR="000213F8" w:rsidRPr="00D20AF8">
        <w:rPr>
          <w:rFonts w:ascii="Arial Narrow" w:hAnsi="Arial Narrow" w:cs="Tahoma"/>
          <w:b/>
          <w:sz w:val="28"/>
          <w:szCs w:val="28"/>
          <w:lang w:val="ru-RU"/>
        </w:rPr>
        <w:t xml:space="preserve"> </w:t>
      </w:r>
      <w:r w:rsidR="00152F07" w:rsidRPr="00D20AF8">
        <w:rPr>
          <w:rFonts w:ascii="Arial Narrow" w:hAnsi="Arial Narrow" w:cs="Tahoma"/>
          <w:b/>
          <w:sz w:val="28"/>
          <w:szCs w:val="28"/>
          <w:lang w:val="sr-Cyrl-CS"/>
        </w:rPr>
        <w:t>0</w:t>
      </w:r>
      <w:r>
        <w:rPr>
          <w:rFonts w:ascii="Arial Narrow" w:hAnsi="Arial Narrow" w:cs="Tahoma"/>
          <w:b/>
          <w:sz w:val="28"/>
          <w:szCs w:val="28"/>
          <w:lang w:val="ru-RU"/>
        </w:rPr>
        <w:t>.</w:t>
      </w:r>
      <w:r w:rsidR="00152F07" w:rsidRPr="00D20AF8">
        <w:rPr>
          <w:rFonts w:ascii="Arial Narrow" w:hAnsi="Arial Narrow" w:cs="Tahoma"/>
          <w:b/>
          <w:sz w:val="28"/>
          <w:szCs w:val="28"/>
          <w:lang w:val="ru-RU"/>
        </w:rPr>
        <w:t>8</w:t>
      </w:r>
      <w:r w:rsidR="000213F8" w:rsidRPr="00D20AF8">
        <w:rPr>
          <w:rFonts w:ascii="Arial Narrow" w:hAnsi="Arial Narrow" w:cs="Tahoma"/>
          <w:b/>
          <w:sz w:val="28"/>
          <w:szCs w:val="28"/>
          <w:lang w:val="ru-RU"/>
        </w:rPr>
        <w:t>%</w:t>
      </w:r>
    </w:p>
    <w:p w:rsidR="00152F07" w:rsidRPr="00D20AF8" w:rsidRDefault="00152F07" w:rsidP="00152F07">
      <w:pPr>
        <w:jc w:val="both"/>
        <w:rPr>
          <w:rFonts w:ascii="Arial Narrow" w:hAnsi="Arial Narrow" w:cs="Tahoma"/>
          <w:b/>
          <w:sz w:val="22"/>
          <w:szCs w:val="22"/>
          <w:lang w:val="sr-Cyrl-CS"/>
        </w:rPr>
      </w:pPr>
    </w:p>
    <w:p w:rsidR="008A0FB4" w:rsidRDefault="008A0FB4" w:rsidP="00152F07">
      <w:pPr>
        <w:jc w:val="both"/>
        <w:rPr>
          <w:rFonts w:ascii="Arial Narrow" w:hAnsi="Arial Narrow" w:cs="Tahoma"/>
          <w:i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 xml:space="preserve">Seasonally adjusted industrial production </w:t>
      </w:r>
      <w:r w:rsidRPr="008A0FB4">
        <w:rPr>
          <w:rFonts w:ascii="Arial Narrow" w:hAnsi="Arial Narrow" w:cs="Tahoma"/>
          <w:sz w:val="22"/>
          <w:szCs w:val="22"/>
        </w:rPr>
        <w:t>in October 2015</w:t>
      </w:r>
      <w:r>
        <w:rPr>
          <w:rFonts w:ascii="Arial Narrow" w:hAnsi="Arial Narrow" w:cs="Tahoma"/>
          <w:sz w:val="22"/>
          <w:szCs w:val="22"/>
        </w:rPr>
        <w:t xml:space="preserve">, compared to September 2015, increased by 2.1%. </w:t>
      </w:r>
      <w:r w:rsidR="008F35CC">
        <w:rPr>
          <w:rFonts w:ascii="Arial Narrow" w:hAnsi="Arial Narrow" w:cs="Tahoma"/>
          <w:sz w:val="22"/>
          <w:szCs w:val="22"/>
        </w:rPr>
        <w:t xml:space="preserve">In the section </w:t>
      </w:r>
      <w:proofErr w:type="gramStart"/>
      <w:r w:rsidR="008F35CC" w:rsidRPr="008F35CC">
        <w:rPr>
          <w:rFonts w:ascii="Arial Narrow" w:hAnsi="Arial Narrow" w:cs="Tahoma"/>
          <w:i/>
          <w:sz w:val="22"/>
          <w:szCs w:val="22"/>
        </w:rPr>
        <w:t>Manufacturing</w:t>
      </w:r>
      <w:proofErr w:type="gramEnd"/>
      <w:r w:rsidR="008F35CC">
        <w:rPr>
          <w:rFonts w:ascii="Arial Narrow" w:hAnsi="Arial Narrow" w:cs="Tahoma"/>
          <w:sz w:val="22"/>
          <w:szCs w:val="22"/>
        </w:rPr>
        <w:t xml:space="preserve"> an increase by 8.1% was recorded and in the section </w:t>
      </w:r>
      <w:r w:rsidR="008F35CC" w:rsidRPr="008F35CC">
        <w:rPr>
          <w:rFonts w:ascii="Arial Narrow" w:hAnsi="Arial Narrow" w:cs="Tahoma"/>
          <w:i/>
          <w:sz w:val="22"/>
          <w:szCs w:val="22"/>
        </w:rPr>
        <w:t>Mining and quarrying</w:t>
      </w:r>
      <w:r w:rsidR="008F35CC">
        <w:rPr>
          <w:rFonts w:ascii="Arial Narrow" w:hAnsi="Arial Narrow" w:cs="Tahoma"/>
          <w:sz w:val="22"/>
          <w:szCs w:val="22"/>
        </w:rPr>
        <w:t xml:space="preserve"> an increase by 0.2%, while a decrease by 7.1% was recorded in the section </w:t>
      </w:r>
      <w:r w:rsidR="008F35CC" w:rsidRPr="00200154">
        <w:rPr>
          <w:rFonts w:ascii="Arial Narrow" w:hAnsi="Arial Narrow" w:cs="Tahoma"/>
          <w:i/>
          <w:sz w:val="22"/>
          <w:szCs w:val="22"/>
        </w:rPr>
        <w:t>Electricity, gas, steam and air-conditioning</w:t>
      </w:r>
      <w:r w:rsidR="008F35CC">
        <w:rPr>
          <w:rFonts w:ascii="Arial Narrow" w:hAnsi="Arial Narrow" w:cs="Tahoma"/>
          <w:i/>
          <w:sz w:val="22"/>
          <w:szCs w:val="22"/>
        </w:rPr>
        <w:t xml:space="preserve"> supply. </w:t>
      </w:r>
    </w:p>
    <w:p w:rsidR="008F35CC" w:rsidRPr="008F35CC" w:rsidRDefault="008F35CC" w:rsidP="00152F07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By main industrial group, based on economic purpose of products, seasonally adjusted industrial production of consumer non-durables in October 2015, compared to September 2015, was 1.5% lower, production of consumer durables was 3.3% lower and production of intermediate goods was 4.4% lower, while production of capital goods was 15.6% higher and production of energy was 9.2% higher.</w:t>
      </w:r>
    </w:p>
    <w:p w:rsidR="000213F8" w:rsidRDefault="000213F8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spacing w:val="-2"/>
          <w:sz w:val="22"/>
          <w:szCs w:val="22"/>
          <w:lang w:val="sr-Cyrl-CS"/>
        </w:rPr>
      </w:pPr>
    </w:p>
    <w:p w:rsidR="008F35CC" w:rsidRDefault="008F35CC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sz w:val="22"/>
          <w:szCs w:val="22"/>
        </w:rPr>
      </w:pPr>
      <w:r w:rsidRPr="007E517E">
        <w:rPr>
          <w:rFonts w:ascii="Arial Narrow" w:hAnsi="Arial Narrow" w:cs="Tahoma"/>
          <w:b/>
          <w:sz w:val="22"/>
        </w:rPr>
        <w:t>Working-day adjusted industrial production</w:t>
      </w:r>
      <w:r w:rsidRPr="007E517E">
        <w:rPr>
          <w:rFonts w:ascii="Arial Narrow" w:hAnsi="Arial Narrow" w:cs="Tahoma"/>
          <w:sz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in October 2015, compared to October 2014, increased by 0.3%. In the section Mining and quarrying an increase by 7.9% was recorded and in the section  </w:t>
      </w:r>
      <w:r>
        <w:rPr>
          <w:rFonts w:ascii="Arial Narrow" w:hAnsi="Arial Narrow" w:cs="Tahoma"/>
          <w:i/>
          <w:sz w:val="22"/>
          <w:szCs w:val="22"/>
        </w:rPr>
        <w:t xml:space="preserve">Manufacturing </w:t>
      </w:r>
      <w:r>
        <w:rPr>
          <w:rFonts w:ascii="Arial Narrow" w:hAnsi="Arial Narrow" w:cs="Tahoma"/>
          <w:sz w:val="22"/>
          <w:szCs w:val="22"/>
        </w:rPr>
        <w:t xml:space="preserve">an increase by 3.3%, while in the section </w:t>
      </w:r>
      <w:r w:rsidRPr="00200154">
        <w:rPr>
          <w:rFonts w:ascii="Arial Narrow" w:hAnsi="Arial Narrow" w:cs="Tahoma"/>
          <w:i/>
          <w:sz w:val="22"/>
          <w:szCs w:val="22"/>
        </w:rPr>
        <w:t>Electricity, gas, steam and air-conditioning</w:t>
      </w:r>
      <w:r>
        <w:rPr>
          <w:rFonts w:ascii="Arial Narrow" w:hAnsi="Arial Narrow" w:cs="Tahoma"/>
          <w:i/>
          <w:sz w:val="22"/>
          <w:szCs w:val="22"/>
        </w:rPr>
        <w:t xml:space="preserve"> supply</w:t>
      </w:r>
      <w:r>
        <w:rPr>
          <w:rFonts w:ascii="Arial Narrow" w:hAnsi="Arial Narrow" w:cs="Tahoma"/>
          <w:sz w:val="22"/>
          <w:szCs w:val="22"/>
        </w:rPr>
        <w:t xml:space="preserve"> a decrease by 11.3% was recorded. </w:t>
      </w:r>
    </w:p>
    <w:p w:rsidR="008F35CC" w:rsidRPr="008F35CC" w:rsidRDefault="008F35CC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By main industrial group, based on economic purpose of products, </w:t>
      </w:r>
      <w:r w:rsidR="004C24F1">
        <w:rPr>
          <w:rFonts w:ascii="Arial Narrow" w:hAnsi="Arial Narrow" w:cs="Tahoma"/>
          <w:sz w:val="22"/>
          <w:szCs w:val="22"/>
        </w:rPr>
        <w:t xml:space="preserve">working-day adjusted production of intermediate goods in October 2015, compared to October 2014, was 1.6% lower, production of energy was 4.5% lower and production of consumer durables was 4.6% lower, while production of capital goods was 8.2% higher and production of consumer non-durables was 3.1% higher. </w:t>
      </w:r>
    </w:p>
    <w:p w:rsidR="007B2F2F" w:rsidRPr="00D20AF8" w:rsidRDefault="007B2F2F" w:rsidP="000213F8">
      <w:pPr>
        <w:jc w:val="both"/>
        <w:rPr>
          <w:rFonts w:ascii="Arial Narrow" w:hAnsi="Arial Narrow" w:cs="Tahoma"/>
          <w:sz w:val="22"/>
          <w:szCs w:val="22"/>
          <w:lang w:val="sr-Cyrl-CS"/>
        </w:rPr>
      </w:pPr>
    </w:p>
    <w:p w:rsidR="006D1A2E" w:rsidRPr="003F41C0" w:rsidRDefault="004C24F1" w:rsidP="006D1A2E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Number of employees in industry</w:t>
      </w:r>
      <w:r w:rsidRPr="00016810">
        <w:rPr>
          <w:rFonts w:ascii="Arial Narrow" w:hAnsi="Arial Narrow" w:cs="Tahoma"/>
          <w:sz w:val="22"/>
          <w:szCs w:val="22"/>
          <w:lang w:val="ru-RU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in October 2015, compared to the average monthly number of employed persons in 2014, was 2.0% higher. </w:t>
      </w:r>
      <w:r w:rsidR="006D1A2E">
        <w:rPr>
          <w:rFonts w:ascii="Arial Narrow" w:hAnsi="Arial Narrow" w:cs="Tahoma"/>
          <w:sz w:val="22"/>
          <w:szCs w:val="22"/>
        </w:rPr>
        <w:t xml:space="preserve">Compared to the same month of the previous year, it was 0.8% higher, while compared to September 2015 it was 0.5% lower. Number of employees in industry in the period January – October 2015, compared to the same period of the previous year, was 1.4% higher. During the same period, in the section </w:t>
      </w:r>
      <w:r w:rsidR="006D1A2E" w:rsidRPr="007E517E">
        <w:rPr>
          <w:rFonts w:ascii="Arial Narrow" w:hAnsi="Arial Narrow" w:cs="Tahoma"/>
          <w:i/>
          <w:spacing w:val="-2"/>
          <w:sz w:val="22"/>
        </w:rPr>
        <w:t>Electricity, gas, steam and air-conditioning supply</w:t>
      </w:r>
      <w:r w:rsidR="006D1A2E">
        <w:rPr>
          <w:rFonts w:ascii="Arial Narrow" w:hAnsi="Arial Narrow" w:cs="Tahoma"/>
          <w:i/>
          <w:spacing w:val="-2"/>
          <w:sz w:val="22"/>
        </w:rPr>
        <w:t xml:space="preserve"> </w:t>
      </w:r>
      <w:r w:rsidR="006D1A2E">
        <w:rPr>
          <w:rFonts w:ascii="Arial Narrow" w:hAnsi="Arial Narrow" w:cs="Tahoma"/>
          <w:spacing w:val="-2"/>
          <w:sz w:val="22"/>
        </w:rPr>
        <w:t xml:space="preserve">an increase by 3.2% was recorded, in the section </w:t>
      </w:r>
      <w:r w:rsidR="006D1A2E" w:rsidRPr="007E517E">
        <w:rPr>
          <w:rFonts w:ascii="Arial Narrow" w:hAnsi="Arial Narrow" w:cs="Tahoma"/>
          <w:i/>
          <w:spacing w:val="-2"/>
          <w:sz w:val="22"/>
        </w:rPr>
        <w:t xml:space="preserve">Mining and quarrying </w:t>
      </w:r>
      <w:r w:rsidR="006D1A2E" w:rsidRPr="007E517E">
        <w:rPr>
          <w:rFonts w:ascii="Arial Narrow" w:hAnsi="Arial Narrow" w:cs="Tahoma"/>
          <w:spacing w:val="-2"/>
          <w:sz w:val="22"/>
        </w:rPr>
        <w:t>an increase by 2.</w:t>
      </w:r>
      <w:r w:rsidR="006D1A2E">
        <w:rPr>
          <w:rFonts w:ascii="Arial Narrow" w:hAnsi="Arial Narrow" w:cs="Tahoma"/>
          <w:spacing w:val="-2"/>
          <w:sz w:val="22"/>
        </w:rPr>
        <w:t xml:space="preserve">0% and in the section </w:t>
      </w:r>
      <w:r w:rsidR="006D1A2E" w:rsidRPr="007E517E">
        <w:rPr>
          <w:rFonts w:ascii="Arial Narrow" w:hAnsi="Arial Narrow" w:cs="Tahoma"/>
          <w:i/>
          <w:spacing w:val="-2"/>
          <w:sz w:val="22"/>
        </w:rPr>
        <w:t>Manufacturing</w:t>
      </w:r>
      <w:r w:rsidR="006D1A2E">
        <w:rPr>
          <w:rFonts w:ascii="Arial Narrow" w:hAnsi="Arial Narrow" w:cs="Tahoma"/>
          <w:i/>
          <w:spacing w:val="-2"/>
          <w:sz w:val="22"/>
        </w:rPr>
        <w:t xml:space="preserve"> </w:t>
      </w:r>
      <w:r w:rsidR="006D1A2E">
        <w:rPr>
          <w:rFonts w:ascii="Arial Narrow" w:hAnsi="Arial Narrow" w:cs="Tahoma"/>
          <w:spacing w:val="-2"/>
          <w:sz w:val="22"/>
        </w:rPr>
        <w:t xml:space="preserve">an increase by 1.0% was recorded. </w:t>
      </w:r>
    </w:p>
    <w:p w:rsidR="004C24F1" w:rsidRDefault="004C24F1" w:rsidP="000213F8">
      <w:pPr>
        <w:jc w:val="both"/>
        <w:rPr>
          <w:rFonts w:ascii="Arial Narrow" w:hAnsi="Arial Narrow" w:cs="Tahoma"/>
          <w:b/>
          <w:sz w:val="22"/>
          <w:szCs w:val="22"/>
          <w:lang w:val="ru-RU"/>
        </w:rPr>
      </w:pPr>
    </w:p>
    <w:p w:rsidR="000213F8" w:rsidRPr="00D20AF8" w:rsidRDefault="009F43D1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D20AF8">
        <w:rPr>
          <w:rFonts w:ascii="Arial Narrow" w:hAnsi="Arial Narrow" w:cs="Tahoma"/>
          <w:noProof/>
          <w:sz w:val="22"/>
          <w:szCs w:val="22"/>
        </w:rPr>
        <w:lastRenderedPageBreak/>
        <w:drawing>
          <wp:inline distT="0" distB="0" distL="0" distR="0">
            <wp:extent cx="6480810" cy="3053118"/>
            <wp:effectExtent l="0" t="0" r="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D9D" w:rsidRPr="00D20AF8" w:rsidRDefault="00F01955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>
        <w:rPr>
          <w:rFonts w:ascii="Arial Narrow" w:hAnsi="Arial Narrow" w:cs="Tahoma"/>
          <w:sz w:val="16"/>
          <w:szCs w:val="16"/>
          <w:lang w:val="sr-Latn-CS"/>
        </w:rPr>
        <w:t>Graph</w:t>
      </w:r>
      <w:r w:rsidRPr="005A735F">
        <w:rPr>
          <w:rFonts w:ascii="Arial Narrow" w:hAnsi="Arial Narrow" w:cs="Tahoma"/>
          <w:sz w:val="16"/>
          <w:szCs w:val="16"/>
          <w:lang w:val="sr-Latn-CS"/>
        </w:rPr>
        <w:t xml:space="preserve"> 2. </w:t>
      </w:r>
      <w:r>
        <w:rPr>
          <w:rFonts w:ascii="Arial Narrow" w:hAnsi="Arial Narrow" w:cs="Tahoma"/>
          <w:sz w:val="16"/>
          <w:szCs w:val="16"/>
          <w:lang w:val="sr-Latn-CS"/>
        </w:rPr>
        <w:t>Indices of industrial production</w:t>
      </w:r>
      <w:r w:rsidR="00B85D9D" w:rsidRPr="00D20AF8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>
        <w:rPr>
          <w:rFonts w:ascii="Arial Narrow" w:hAnsi="Arial Narrow" w:cs="Tahoma"/>
          <w:sz w:val="16"/>
          <w:szCs w:val="16"/>
        </w:rPr>
        <w:t>October</w:t>
      </w:r>
      <w:r w:rsidR="00B85D9D" w:rsidRPr="00D20AF8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="00B85D9D" w:rsidRPr="00D20AF8">
        <w:rPr>
          <w:rFonts w:ascii="Arial Narrow" w:hAnsi="Arial Narrow" w:cs="Tahoma"/>
          <w:sz w:val="16"/>
          <w:szCs w:val="16"/>
        </w:rPr>
        <w:t>1</w:t>
      </w:r>
      <w:r w:rsidR="00B85D9D" w:rsidRPr="00D20AF8">
        <w:rPr>
          <w:rFonts w:ascii="Arial Narrow" w:hAnsi="Arial Narrow" w:cs="Tahoma"/>
          <w:sz w:val="16"/>
          <w:szCs w:val="16"/>
          <w:lang w:val="sr-Cyrl-CS"/>
        </w:rPr>
        <w:t>1</w:t>
      </w:r>
      <w:r w:rsidR="00B85D9D" w:rsidRPr="00D20AF8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>
        <w:rPr>
          <w:rFonts w:ascii="Arial Narrow" w:hAnsi="Arial Narrow" w:cs="Tahoma"/>
          <w:sz w:val="16"/>
          <w:szCs w:val="16"/>
        </w:rPr>
        <w:t>October</w:t>
      </w:r>
      <w:r w:rsidR="00B85D9D" w:rsidRPr="00D20AF8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85D9D" w:rsidRPr="00D20AF8">
        <w:rPr>
          <w:rFonts w:ascii="Arial Narrow" w:hAnsi="Arial Narrow" w:cs="Tahoma"/>
          <w:sz w:val="16"/>
          <w:szCs w:val="16"/>
          <w:lang w:val="sr-Cyrl-CS"/>
        </w:rPr>
        <w:t>5</w:t>
      </w:r>
      <w:r w:rsidR="00B85D9D" w:rsidRPr="00D20AF8">
        <w:rPr>
          <w:rFonts w:ascii="Arial Narrow" w:hAnsi="Arial Narrow" w:cs="Tahoma"/>
          <w:sz w:val="16"/>
          <w:szCs w:val="16"/>
          <w:lang w:val="sr-Latn-CS"/>
        </w:rPr>
        <w:t xml:space="preserve"> (</w:t>
      </w:r>
      <w:r w:rsidR="00B85D9D" w:rsidRPr="00D20AF8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B85D9D" w:rsidRPr="00D20AF8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Pr="00D20AF8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63D11" w:rsidRPr="00D20AF8" w:rsidRDefault="00763D11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D20AF8" w:rsidRDefault="006474B5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7E517E">
        <w:rPr>
          <w:rFonts w:ascii="Arial Narrow" w:hAnsi="Arial Narrow" w:cs="Tahoma"/>
          <w:b/>
          <w:sz w:val="30"/>
          <w:szCs w:val="30"/>
        </w:rPr>
        <w:t>Coverage of import with export (in the period January</w:t>
      </w:r>
      <w:r>
        <w:rPr>
          <w:rFonts w:ascii="Arial Narrow" w:hAnsi="Arial Narrow" w:cs="Tahoma"/>
          <w:b/>
          <w:sz w:val="30"/>
          <w:szCs w:val="30"/>
        </w:rPr>
        <w:t xml:space="preserve"> </w:t>
      </w:r>
      <w:r w:rsidRPr="005A735F">
        <w:rPr>
          <w:rFonts w:ascii="Arial Narrow" w:hAnsi="Arial Narrow" w:cs="Tahoma"/>
          <w:b/>
          <w:sz w:val="30"/>
          <w:szCs w:val="30"/>
          <w:lang w:val="sr-Cyrl-BA"/>
        </w:rPr>
        <w:t>-</w:t>
      </w:r>
      <w:r>
        <w:rPr>
          <w:rFonts w:ascii="Arial Narrow" w:hAnsi="Arial Narrow" w:cs="Tahoma"/>
          <w:b/>
          <w:sz w:val="30"/>
          <w:szCs w:val="30"/>
        </w:rPr>
        <w:t xml:space="preserve"> October</w:t>
      </w:r>
      <w:r w:rsidRPr="005A735F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5A735F">
        <w:rPr>
          <w:rFonts w:ascii="Arial Narrow" w:hAnsi="Arial Narrow" w:cs="Tahoma"/>
          <w:b/>
          <w:sz w:val="30"/>
          <w:szCs w:val="30"/>
          <w:lang w:val="ru-RU"/>
        </w:rPr>
        <w:t>201</w:t>
      </w:r>
      <w:r>
        <w:rPr>
          <w:rFonts w:ascii="Arial Narrow" w:hAnsi="Arial Narrow" w:cs="Tahoma"/>
          <w:b/>
          <w:sz w:val="30"/>
          <w:szCs w:val="30"/>
        </w:rPr>
        <w:t>5</w:t>
      </w:r>
      <w:r w:rsidRPr="005A735F">
        <w:rPr>
          <w:rFonts w:ascii="Arial Narrow" w:hAnsi="Arial Narrow" w:cs="Tahoma"/>
          <w:b/>
          <w:sz w:val="30"/>
          <w:szCs w:val="30"/>
          <w:lang w:val="sr-Cyrl-BA"/>
        </w:rPr>
        <w:t>)</w:t>
      </w:r>
      <w:r>
        <w:rPr>
          <w:rFonts w:ascii="Arial Narrow" w:hAnsi="Arial Narrow" w:cs="Tahoma"/>
          <w:b/>
          <w:sz w:val="30"/>
          <w:szCs w:val="30"/>
        </w:rPr>
        <w:t xml:space="preserve"> </w:t>
      </w:r>
      <w:r w:rsidR="008F10AE" w:rsidRPr="00D20AF8">
        <w:rPr>
          <w:rFonts w:ascii="Arial Narrow" w:hAnsi="Arial Narrow" w:cs="Tahoma"/>
          <w:b/>
          <w:sz w:val="30"/>
          <w:szCs w:val="30"/>
          <w:lang w:val="hr-HR"/>
        </w:rPr>
        <w:t>5</w:t>
      </w:r>
      <w:r w:rsidR="00E34FF5" w:rsidRPr="00D20AF8">
        <w:rPr>
          <w:rFonts w:ascii="Arial Narrow" w:hAnsi="Arial Narrow" w:cs="Tahoma"/>
          <w:b/>
          <w:sz w:val="30"/>
          <w:szCs w:val="30"/>
          <w:lang w:val="hr-HR"/>
        </w:rPr>
        <w:t>9</w:t>
      </w:r>
      <w:r>
        <w:rPr>
          <w:rFonts w:ascii="Arial Narrow" w:hAnsi="Arial Narrow" w:cs="Tahoma"/>
          <w:b/>
          <w:sz w:val="30"/>
          <w:szCs w:val="30"/>
          <w:lang w:val="hr-HR"/>
        </w:rPr>
        <w:t>.</w:t>
      </w:r>
      <w:r w:rsidR="00E34FF5" w:rsidRPr="00D20AF8">
        <w:rPr>
          <w:rFonts w:ascii="Arial Narrow" w:hAnsi="Arial Narrow" w:cs="Tahoma"/>
          <w:b/>
          <w:sz w:val="30"/>
          <w:szCs w:val="30"/>
          <w:lang w:val="hr-HR"/>
        </w:rPr>
        <w:t>4</w:t>
      </w:r>
      <w:r w:rsidR="00F442FA" w:rsidRPr="00D20AF8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D20AF8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9E5326" w:rsidRDefault="009E5326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October 2015, the value of export was 243 million KM and the value of import was 392 million KM. </w:t>
      </w:r>
    </w:p>
    <w:p w:rsidR="009E5326" w:rsidRDefault="009E5326" w:rsidP="00F442FA">
      <w:pPr>
        <w:jc w:val="both"/>
        <w:rPr>
          <w:rFonts w:ascii="Arial Narrow" w:hAnsi="Arial Narrow" w:cs="Tahoma"/>
          <w:sz w:val="22"/>
        </w:rPr>
      </w:pPr>
    </w:p>
    <w:p w:rsidR="009E5326" w:rsidRPr="009E5326" w:rsidRDefault="009E5326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total external trade of </w:t>
      </w:r>
      <w:proofErr w:type="spellStart"/>
      <w:r>
        <w:rPr>
          <w:rFonts w:ascii="Arial Narrow" w:hAnsi="Arial Narrow" w:cs="Tahoma"/>
          <w:sz w:val="22"/>
        </w:rPr>
        <w:t>Republika</w:t>
      </w:r>
      <w:proofErr w:type="spellEnd"/>
      <w:r>
        <w:rPr>
          <w:rFonts w:ascii="Arial Narrow" w:hAnsi="Arial Narrow" w:cs="Tahoma"/>
          <w:sz w:val="22"/>
        </w:rPr>
        <w:t xml:space="preserve"> </w:t>
      </w:r>
      <w:proofErr w:type="spellStart"/>
      <w:r>
        <w:rPr>
          <w:rFonts w:ascii="Arial Narrow" w:hAnsi="Arial Narrow" w:cs="Tahoma"/>
          <w:sz w:val="22"/>
        </w:rPr>
        <w:t>Srpska</w:t>
      </w:r>
      <w:proofErr w:type="spellEnd"/>
      <w:r>
        <w:rPr>
          <w:rFonts w:ascii="Arial Narrow" w:hAnsi="Arial Narrow" w:cs="Tahoma"/>
          <w:sz w:val="22"/>
        </w:rPr>
        <w:t xml:space="preserve"> in October of the current year</w:t>
      </w:r>
      <w:r w:rsidR="009C1428">
        <w:rPr>
          <w:rFonts w:ascii="Arial Narrow" w:hAnsi="Arial Narrow" w:cs="Tahoma"/>
          <w:sz w:val="22"/>
        </w:rPr>
        <w:t xml:space="preserve">, the percentage of coverage of import with export was 62.1%. The percentage of coverage of import with export in the first ten months of the current year was 59.4%. </w:t>
      </w:r>
    </w:p>
    <w:p w:rsidR="00F442FA" w:rsidRPr="00D20AF8" w:rsidRDefault="00F442FA" w:rsidP="00F442FA">
      <w:pPr>
        <w:jc w:val="both"/>
        <w:rPr>
          <w:rFonts w:ascii="Arial Narrow" w:hAnsi="Arial Narrow" w:cs="Tahoma"/>
          <w:sz w:val="22"/>
        </w:rPr>
      </w:pPr>
    </w:p>
    <w:p w:rsidR="00F442FA" w:rsidRDefault="00AE4875" w:rsidP="00F442FA">
      <w:pPr>
        <w:jc w:val="both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 xml:space="preserve">In the period January – October 2015, the value of export was 2 billion and 181 million KM, which represented a decrease by 3.3% compared to the same period of the previous year. During the same period, the value of import was 3 billion and 669 million KM, which represented a decrease by 10.1% compared to the same period of the previous year. </w:t>
      </w:r>
    </w:p>
    <w:p w:rsidR="00A6761F" w:rsidRDefault="00A6761F" w:rsidP="00F442FA">
      <w:pPr>
        <w:jc w:val="both"/>
        <w:rPr>
          <w:rFonts w:ascii="Arial Narrow" w:hAnsi="Arial Narrow" w:cs="Tahoma"/>
          <w:sz w:val="22"/>
        </w:rPr>
      </w:pPr>
    </w:p>
    <w:p w:rsidR="00A6761F" w:rsidRPr="007E517E" w:rsidRDefault="00A6761F" w:rsidP="00A6761F">
      <w:pPr>
        <w:jc w:val="both"/>
        <w:rPr>
          <w:rFonts w:ascii="Arial Narrow" w:hAnsi="Arial Narrow" w:cs="Tahoma"/>
          <w:sz w:val="22"/>
        </w:rPr>
      </w:pPr>
      <w:r w:rsidRPr="007E517E">
        <w:rPr>
          <w:rFonts w:ascii="Arial Narrow" w:hAnsi="Arial Narrow" w:cs="Tahoma"/>
          <w:sz w:val="22"/>
        </w:rPr>
        <w:t xml:space="preserve">In terms of the geographical distribution of external trade of </w:t>
      </w:r>
      <w:proofErr w:type="spellStart"/>
      <w:r w:rsidRPr="007E517E">
        <w:rPr>
          <w:rFonts w:ascii="Arial Narrow" w:hAnsi="Arial Narrow" w:cs="Tahoma"/>
          <w:sz w:val="22"/>
        </w:rPr>
        <w:t>Republika</w:t>
      </w:r>
      <w:proofErr w:type="spellEnd"/>
      <w:r w:rsidRPr="007E517E">
        <w:rPr>
          <w:rFonts w:ascii="Arial Narrow" w:hAnsi="Arial Narrow" w:cs="Tahoma"/>
          <w:sz w:val="22"/>
        </w:rPr>
        <w:t xml:space="preserve"> </w:t>
      </w:r>
      <w:proofErr w:type="spellStart"/>
      <w:r w:rsidRPr="007E517E">
        <w:rPr>
          <w:rFonts w:ascii="Arial Narrow" w:hAnsi="Arial Narrow" w:cs="Tahoma"/>
          <w:sz w:val="22"/>
        </w:rPr>
        <w:t>Srpska</w:t>
      </w:r>
      <w:proofErr w:type="spellEnd"/>
      <w:r w:rsidRPr="007E517E">
        <w:rPr>
          <w:rFonts w:ascii="Arial Narrow" w:hAnsi="Arial Narrow" w:cs="Tahoma"/>
          <w:sz w:val="22"/>
        </w:rPr>
        <w:t xml:space="preserve">, in the period January – </w:t>
      </w:r>
      <w:r>
        <w:rPr>
          <w:rFonts w:ascii="Arial Narrow" w:hAnsi="Arial Narrow" w:cs="Tahoma"/>
          <w:sz w:val="22"/>
        </w:rPr>
        <w:t>October</w:t>
      </w:r>
      <w:r w:rsidRPr="007E517E">
        <w:rPr>
          <w:rFonts w:ascii="Arial Narrow" w:hAnsi="Arial Narrow" w:cs="Tahoma"/>
          <w:sz w:val="22"/>
        </w:rPr>
        <w:t xml:space="preserve"> 2015, the highest value of export was that of export to Italy, with </w:t>
      </w:r>
      <w:r>
        <w:rPr>
          <w:rFonts w:ascii="Arial Narrow" w:hAnsi="Arial Narrow" w:cs="Tahoma"/>
          <w:sz w:val="22"/>
        </w:rPr>
        <w:t>408 million KM or 18.7</w:t>
      </w:r>
      <w:r w:rsidRPr="007E517E">
        <w:rPr>
          <w:rFonts w:ascii="Arial Narrow" w:hAnsi="Arial Narrow" w:cs="Tahoma"/>
          <w:sz w:val="22"/>
        </w:rPr>
        <w:t xml:space="preserve">%, followed by Serbia, with </w:t>
      </w:r>
      <w:r>
        <w:rPr>
          <w:rFonts w:ascii="Arial Narrow" w:hAnsi="Arial Narrow" w:cs="Tahoma"/>
          <w:sz w:val="22"/>
        </w:rPr>
        <w:t>286 million KM or 13.1</w:t>
      </w:r>
      <w:r w:rsidRPr="007E517E">
        <w:rPr>
          <w:rFonts w:ascii="Arial Narrow" w:hAnsi="Arial Narrow" w:cs="Tahoma"/>
          <w:sz w:val="22"/>
        </w:rPr>
        <w:t xml:space="preserve">% of the total </w:t>
      </w:r>
      <w:proofErr w:type="spellStart"/>
      <w:r w:rsidRPr="007E517E">
        <w:rPr>
          <w:rFonts w:ascii="Arial Narrow" w:hAnsi="Arial Narrow" w:cs="Tahoma"/>
          <w:sz w:val="22"/>
        </w:rPr>
        <w:t>realised</w:t>
      </w:r>
      <w:proofErr w:type="spellEnd"/>
      <w:r w:rsidRPr="007E517E">
        <w:rPr>
          <w:rFonts w:ascii="Arial Narrow" w:hAnsi="Arial Narrow" w:cs="Tahoma"/>
          <w:sz w:val="22"/>
        </w:rPr>
        <w:t xml:space="preserve"> export. During the same period, the highest value of import was that of import from Serbia, with </w:t>
      </w:r>
      <w:r>
        <w:rPr>
          <w:rFonts w:ascii="Arial Narrow" w:hAnsi="Arial Narrow" w:cs="Tahoma"/>
          <w:sz w:val="22"/>
        </w:rPr>
        <w:t>638</w:t>
      </w:r>
      <w:r w:rsidRPr="007E517E">
        <w:rPr>
          <w:rFonts w:ascii="Arial Narrow" w:hAnsi="Arial Narrow" w:cs="Tahoma"/>
          <w:sz w:val="22"/>
        </w:rPr>
        <w:t xml:space="preserve"> million KM or </w:t>
      </w:r>
      <w:r>
        <w:rPr>
          <w:rFonts w:ascii="Arial Narrow" w:hAnsi="Arial Narrow" w:cs="Tahoma"/>
          <w:sz w:val="22"/>
        </w:rPr>
        <w:t>17.4</w:t>
      </w:r>
      <w:r w:rsidRPr="007E517E">
        <w:rPr>
          <w:rFonts w:ascii="Arial Narrow" w:hAnsi="Arial Narrow" w:cs="Tahoma"/>
          <w:sz w:val="22"/>
        </w:rPr>
        <w:t xml:space="preserve">%, followed by Russia, with </w:t>
      </w:r>
      <w:r>
        <w:rPr>
          <w:rFonts w:ascii="Arial Narrow" w:hAnsi="Arial Narrow" w:cs="Tahoma"/>
          <w:sz w:val="22"/>
        </w:rPr>
        <w:t>590</w:t>
      </w:r>
      <w:r w:rsidRPr="007E517E">
        <w:rPr>
          <w:rFonts w:ascii="Arial Narrow" w:hAnsi="Arial Narrow" w:cs="Tahoma"/>
          <w:sz w:val="22"/>
        </w:rPr>
        <w:t xml:space="preserve"> million </w:t>
      </w:r>
      <w:r>
        <w:rPr>
          <w:rFonts w:ascii="Arial Narrow" w:hAnsi="Arial Narrow" w:cs="Tahoma"/>
          <w:sz w:val="22"/>
        </w:rPr>
        <w:t>KM or 16.1</w:t>
      </w:r>
      <w:r w:rsidRPr="007E517E">
        <w:rPr>
          <w:rFonts w:ascii="Arial Narrow" w:hAnsi="Arial Narrow" w:cs="Tahoma"/>
          <w:sz w:val="22"/>
        </w:rPr>
        <w:t xml:space="preserve">% of the total </w:t>
      </w:r>
      <w:proofErr w:type="spellStart"/>
      <w:r w:rsidRPr="007E517E">
        <w:rPr>
          <w:rFonts w:ascii="Arial Narrow" w:hAnsi="Arial Narrow" w:cs="Tahoma"/>
          <w:sz w:val="22"/>
        </w:rPr>
        <w:t>realised</w:t>
      </w:r>
      <w:proofErr w:type="spellEnd"/>
      <w:r w:rsidRPr="007E517E">
        <w:rPr>
          <w:rFonts w:ascii="Arial Narrow" w:hAnsi="Arial Narrow" w:cs="Tahoma"/>
          <w:sz w:val="22"/>
        </w:rPr>
        <w:t xml:space="preserve"> import.</w:t>
      </w:r>
    </w:p>
    <w:p w:rsidR="00A6761F" w:rsidRPr="00AE4875" w:rsidRDefault="00A6761F" w:rsidP="00F442FA">
      <w:pPr>
        <w:jc w:val="both"/>
        <w:rPr>
          <w:rFonts w:ascii="Arial Narrow" w:hAnsi="Arial Narrow" w:cs="Tahoma"/>
          <w:sz w:val="22"/>
        </w:rPr>
      </w:pPr>
    </w:p>
    <w:p w:rsidR="00542DB7" w:rsidRPr="007E517E" w:rsidRDefault="00542DB7" w:rsidP="00542DB7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</w:rPr>
      </w:pPr>
      <w:r w:rsidRPr="007E517E">
        <w:rPr>
          <w:rFonts w:ascii="Arial Narrow" w:hAnsi="Arial Narrow" w:cs="Tahoma"/>
          <w:sz w:val="22"/>
        </w:rPr>
        <w:t xml:space="preserve">By group of products, in the period January – </w:t>
      </w:r>
      <w:r>
        <w:rPr>
          <w:rFonts w:ascii="Arial Narrow" w:hAnsi="Arial Narrow" w:cs="Tahoma"/>
          <w:sz w:val="22"/>
        </w:rPr>
        <w:t>October</w:t>
      </w:r>
      <w:r w:rsidRPr="007E517E">
        <w:rPr>
          <w:rFonts w:ascii="Arial Narrow" w:hAnsi="Arial Narrow" w:cs="Tahoma"/>
          <w:sz w:val="22"/>
        </w:rPr>
        <w:t xml:space="preserve"> 2015, the highest share in export </w:t>
      </w:r>
      <w:r w:rsidRPr="00676177">
        <w:rPr>
          <w:rFonts w:ascii="Arial Narrow" w:hAnsi="Arial Narrow" w:cs="Tahoma"/>
          <w:sz w:val="22"/>
        </w:rPr>
        <w:t>was that of processed wood with</w:t>
      </w:r>
      <w:r w:rsidRPr="007E517E">
        <w:rPr>
          <w:rFonts w:ascii="Arial Narrow" w:hAnsi="Arial Narrow" w:cs="Tahoma"/>
          <w:sz w:val="22"/>
        </w:rPr>
        <w:t xml:space="preserve"> the total value of </w:t>
      </w:r>
      <w:r>
        <w:rPr>
          <w:rFonts w:ascii="Arial Narrow" w:hAnsi="Arial Narrow" w:cs="Tahoma"/>
          <w:sz w:val="22"/>
        </w:rPr>
        <w:t>136 million KM, which was 6.2</w:t>
      </w:r>
      <w:r w:rsidRPr="007E517E">
        <w:rPr>
          <w:rFonts w:ascii="Arial Narrow" w:hAnsi="Arial Narrow" w:cs="Tahoma"/>
          <w:sz w:val="22"/>
        </w:rPr>
        <w:t xml:space="preserve">% of the total export, while the highest share in import was that of petroleum and oils obtained from bituminous minerals (crude), with the total value of </w:t>
      </w:r>
      <w:r>
        <w:rPr>
          <w:rFonts w:ascii="Arial Narrow" w:hAnsi="Arial Narrow" w:cs="Tahoma"/>
          <w:sz w:val="22"/>
        </w:rPr>
        <w:t>546 million KM, which was 14.9</w:t>
      </w:r>
      <w:r w:rsidRPr="007E517E">
        <w:rPr>
          <w:rFonts w:ascii="Arial Narrow" w:hAnsi="Arial Narrow" w:cs="Tahoma"/>
          <w:sz w:val="22"/>
        </w:rPr>
        <w:t xml:space="preserve">% of the total import. </w:t>
      </w:r>
    </w:p>
    <w:p w:rsidR="00F442FA" w:rsidRPr="00D20AF8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115CDB" w:rsidRDefault="00115CDB" w:rsidP="00115CD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542DB7" w:rsidRDefault="00542DB7" w:rsidP="00115CDB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542DB7" w:rsidRPr="00D20AF8" w:rsidRDefault="00542DB7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Pr="00D20AF8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D20AF8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D20AF8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D20AF8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D20AF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D20AF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D20AF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D20AF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D20AF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D20AF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D20AF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D20AF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D20AF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D20AF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D20AF8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52DE1" w:rsidRPr="00D20AF8" w:rsidRDefault="00282FA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113665</wp:posOffset>
                </wp:positionV>
                <wp:extent cx="815340" cy="250825"/>
                <wp:effectExtent l="4445" t="4445" r="0" b="1905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07" w:rsidRPr="000A1309" w:rsidRDefault="00D503FD" w:rsidP="008809BE">
                            <w:pPr>
                              <w:jc w:val="right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thous</w:t>
                            </w:r>
                            <w:proofErr w:type="spellEnd"/>
                            <w:proofErr w:type="gramEnd"/>
                            <w:r w:rsidR="00152F07"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bs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298.3pt;margin-top:8.95pt;width:64.2pt;height: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Q9ggIAABA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" stroked="f">
                <v:textbox>
                  <w:txbxContent>
                    <w:p w:rsidR="00152F07" w:rsidRPr="000A1309" w:rsidRDefault="00D503FD" w:rsidP="008809BE">
                      <w:pPr>
                        <w:jc w:val="right"/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thous</w:t>
                      </w:r>
                      <w:proofErr w:type="spellEnd"/>
                      <w:proofErr w:type="gramEnd"/>
                      <w:r w:rsidR="00152F07" w:rsidRPr="000A1309">
                        <w:rPr>
                          <w:rFonts w:ascii="Arial Narrow" w:hAnsi="Arial Narrow" w:cs="Tahoma"/>
                          <w:sz w:val="16"/>
                          <w:szCs w:val="16"/>
                          <w:lang w:val="bs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252DE1" w:rsidRPr="00D20AF8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D20AF8" w:rsidRDefault="003371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8F62B" wp14:editId="5E28A32A">
                <wp:simplePos x="0" y="0"/>
                <wp:positionH relativeFrom="column">
                  <wp:posOffset>4946014</wp:posOffset>
                </wp:positionH>
                <wp:positionV relativeFrom="paragraph">
                  <wp:posOffset>841231</wp:posOffset>
                </wp:positionV>
                <wp:extent cx="621557" cy="249555"/>
                <wp:effectExtent l="0" t="0" r="7620" b="0"/>
                <wp:wrapNone/>
                <wp:docPr id="20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557" cy="249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5B0970" w:rsidRDefault="005B0970" w:rsidP="005B097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Arial Narrow" w:hAnsi="Arial Narrow" w:cstheme="minorBidi"/>
                                <w:sz w:val="16"/>
                                <w:szCs w:val="16"/>
                              </w:rPr>
                              <w:t>import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8F62B" id="TextBox 1" o:spid="_x0000_s1027" type="#_x0000_t202" style="position:absolute;left:0;text-align:left;margin-left:389.45pt;margin-top:66.25pt;width:48.9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" fillcolor="window" stroked="f">
                <v:path arrowok="t"/>
                <v:textbox>
                  <w:txbxContent>
                    <w:p w:rsidR="005B0970" w:rsidRDefault="005B0970" w:rsidP="005B0970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Arial Narrow" w:hAnsi="Arial Narrow" w:cstheme="minorBidi"/>
                          <w:sz w:val="16"/>
                          <w:szCs w:val="16"/>
                        </w:rPr>
                        <w:t>import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99880" wp14:editId="729C2BBB">
                <wp:simplePos x="0" y="0"/>
                <wp:positionH relativeFrom="column">
                  <wp:posOffset>4942936</wp:posOffset>
                </wp:positionH>
                <wp:positionV relativeFrom="paragraph">
                  <wp:posOffset>1060330</wp:posOffset>
                </wp:positionV>
                <wp:extent cx="563406" cy="295266"/>
                <wp:effectExtent l="0" t="0" r="8255" b="0"/>
                <wp:wrapNone/>
                <wp:docPr id="2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6" cy="2952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337162" w:rsidRDefault="00337162" w:rsidP="003371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Arial Narrow" w:hAnsi="Arial Narrow" w:cstheme="minorBidi"/>
                                <w:sz w:val="16"/>
                                <w:szCs w:val="16"/>
                              </w:rPr>
                              <w:t>export</w:t>
                            </w:r>
                            <w:proofErr w:type="gramEnd"/>
                          </w:p>
                        </w:txbxContent>
                      </wps:txbx>
                      <wps:bodyPr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2E399880" id="_x0000_s1028" type="#_x0000_t202" style="position:absolute;left:0;text-align:left;margin-left:389.2pt;margin-top:83.5pt;width:44.35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" fillcolor="window" stroked="f">
                <v:textbox>
                  <w:txbxContent>
                    <w:p w:rsidR="00337162" w:rsidRDefault="00337162" w:rsidP="00337162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Arial Narrow" w:hAnsi="Arial Narrow" w:cstheme="minorBidi"/>
                          <w:sz w:val="16"/>
                          <w:szCs w:val="16"/>
                        </w:rPr>
                        <w:t>export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82FA1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7E34B" wp14:editId="211794E8">
                <wp:simplePos x="0" y="0"/>
                <wp:positionH relativeFrom="column">
                  <wp:posOffset>3458210</wp:posOffset>
                </wp:positionH>
                <wp:positionV relativeFrom="paragraph">
                  <wp:posOffset>2413000</wp:posOffset>
                </wp:positionV>
                <wp:extent cx="561340" cy="208280"/>
                <wp:effectExtent l="0" t="0" r="1905" b="1905"/>
                <wp:wrapNone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07" w:rsidRPr="000A1309" w:rsidRDefault="00152F07" w:rsidP="00955DB6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7E34B" id="Text Box 43" o:spid="_x0000_s1029" type="#_x0000_t202" style="position:absolute;left:0;text-align:left;margin-left:272.3pt;margin-top:190pt;width:44.2pt;height:16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7dhAIAABc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" stroked="f">
                <v:textbox style="mso-fit-shape-to-text:t">
                  <w:txbxContent>
                    <w:p w:rsidR="00152F07" w:rsidRPr="000A1309" w:rsidRDefault="00152F07" w:rsidP="00955DB6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82FA1">
        <w:rPr>
          <w:rFonts w:ascii="Tahoma" w:hAnsi="Tahoma" w:cs="Tahom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847E6" wp14:editId="58AAFE32">
                <wp:simplePos x="0" y="0"/>
                <wp:positionH relativeFrom="column">
                  <wp:posOffset>1805305</wp:posOffset>
                </wp:positionH>
                <wp:positionV relativeFrom="paragraph">
                  <wp:posOffset>2413000</wp:posOffset>
                </wp:positionV>
                <wp:extent cx="480695" cy="208280"/>
                <wp:effectExtent l="2540" t="0" r="2540" b="1905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07" w:rsidRPr="000A1309" w:rsidRDefault="00152F07" w:rsidP="00115CDB">
                            <w:pP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0A1309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Arial Narrow" w:hAnsi="Arial Narrow" w:cs="Tahoma"/>
                                <w:sz w:val="16"/>
                                <w:szCs w:val="16"/>
                                <w:lang w:val="sr-Cyrl-B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847E6" id="Text Box 42" o:spid="_x0000_s1030" type="#_x0000_t202" style="position:absolute;left:0;text-align:left;margin-left:142.15pt;margin-top:190pt;width:37.85pt;height:16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" stroked="f">
                <v:textbox style="mso-fit-shape-to-text:t">
                  <w:txbxContent>
                    <w:p w:rsidR="00152F07" w:rsidRPr="000A1309" w:rsidRDefault="00152F07" w:rsidP="00115CDB">
                      <w:pP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</w:pPr>
                      <w:r w:rsidRPr="000A1309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Arial Narrow" w:hAnsi="Arial Narrow" w:cs="Tahoma"/>
                          <w:sz w:val="16"/>
                          <w:szCs w:val="16"/>
                          <w:lang w:val="sr-Cyrl-B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34FF5" w:rsidRPr="00D20AF8">
        <w:rPr>
          <w:noProof/>
        </w:rPr>
        <w:drawing>
          <wp:inline distT="0" distB="0" distL="0" distR="0" wp14:anchorId="32E6B47C" wp14:editId="57A6B73C">
            <wp:extent cx="4236720" cy="241554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6814" w:rsidRPr="00D20AF8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4E6814" w:rsidRPr="00D20AF8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D503FD" w:rsidRDefault="00D503F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>
        <w:rPr>
          <w:rFonts w:ascii="Arial Narrow" w:hAnsi="Arial Narrow" w:cs="Tahoma"/>
          <w:sz w:val="16"/>
          <w:szCs w:val="22"/>
        </w:rPr>
        <w:t>Graph</w:t>
      </w:r>
      <w:r w:rsidR="00777348" w:rsidRPr="00D20AF8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66022A" w:rsidRPr="00D20AF8">
        <w:rPr>
          <w:rFonts w:ascii="Arial Narrow" w:hAnsi="Arial Narrow" w:cs="Tahoma"/>
          <w:sz w:val="16"/>
          <w:szCs w:val="22"/>
          <w:lang w:val="sr-Latn-BA"/>
        </w:rPr>
        <w:t>3</w:t>
      </w:r>
      <w:r w:rsidR="00777348" w:rsidRPr="00D20AF8">
        <w:rPr>
          <w:rFonts w:ascii="Arial Narrow" w:hAnsi="Arial Narrow" w:cs="Tahoma"/>
          <w:sz w:val="16"/>
          <w:szCs w:val="22"/>
          <w:lang w:val="ru-RU"/>
        </w:rPr>
        <w:t xml:space="preserve">. </w:t>
      </w:r>
      <w:r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115CDB" w:rsidRPr="00D20AF8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D20AF8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D20AF8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D20AF8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D20AF8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D20AF8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D20AF8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D20AF8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D20AF8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D20AF8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D20AF8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D20AF8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D20AF8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D20AF8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D20AF8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D20AF8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D20AF8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D20AF8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D20AF8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D20AF8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86C13" w:rsidRPr="00D20AF8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C790C" w:rsidRPr="00D20AF8" w:rsidRDefault="00CC79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CC790C" w:rsidRPr="00D20AF8" w:rsidRDefault="00CC79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286C13" w:rsidRPr="00D20AF8" w:rsidRDefault="00286C13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D20AF8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D20AF8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4C3AAF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4C3AAF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4C3AAF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4C3AAF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4C3AAF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4C3AAF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4C3AAF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4C3AAF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4C3AAF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4C3AAF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4C3AAF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4C3AAF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4C3AAF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4C3AAF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7B3C79" w:rsidRPr="004C3AAF" w:rsidRDefault="007B3C79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630207" w:rsidRPr="00252DE1" w:rsidRDefault="00630207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252DE1" w:rsidRPr="00252DE1" w:rsidRDefault="00252DE1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sr-Latn-BA"/>
        </w:rPr>
      </w:pPr>
    </w:p>
    <w:p w:rsidR="000D1CED" w:rsidRPr="00252DE1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4C20B5" w:rsidRPr="00252DE1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52DE1" w:rsidRDefault="00D503FD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>
              <w:rPr>
                <w:rFonts w:ascii="Arial Narrow" w:hAnsi="Arial Narrow" w:cs="Tahoma"/>
                <w:b/>
                <w:sz w:val="22"/>
              </w:rPr>
              <w:lastRenderedPageBreak/>
              <w:t>PREPARED BY</w:t>
            </w:r>
            <w:r w:rsidR="009E2A9A" w:rsidRPr="00252DE1">
              <w:rPr>
                <w:rFonts w:ascii="Arial Narrow" w:hAnsi="Arial Narrow" w:cs="Tahoma"/>
                <w:b/>
                <w:sz w:val="22"/>
                <w:lang w:val="sr-Cyrl-CS"/>
              </w:rPr>
              <w:t xml:space="preserve">: </w:t>
            </w: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6022A" w:rsidRPr="00252DE1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503FD" w:rsidRPr="007E517E" w:rsidRDefault="00D503FD" w:rsidP="00D503F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>Labour</w:t>
            </w:r>
            <w:proofErr w:type="spellEnd"/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 xml:space="preserve"> statistics</w:t>
            </w:r>
          </w:p>
          <w:p w:rsidR="00D503FD" w:rsidRPr="007E517E" w:rsidRDefault="00D503FD" w:rsidP="00D503F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Biljana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Glušac</w:t>
            </w:r>
            <w:proofErr w:type="spellEnd"/>
          </w:p>
          <w:p w:rsidR="0066022A" w:rsidRPr="00252DE1" w:rsidRDefault="009C4E39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3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52DE1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E31BF3" w:rsidRPr="00252DE1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66022A" w:rsidRPr="00252DE1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503FD" w:rsidRPr="007E517E" w:rsidRDefault="00D503FD" w:rsidP="00D503F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D503FD" w:rsidRPr="007E517E" w:rsidRDefault="00D503FD" w:rsidP="00D503F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Biljana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Tešić</w:t>
            </w:r>
            <w:proofErr w:type="spellEnd"/>
          </w:p>
          <w:p w:rsidR="0066022A" w:rsidRPr="00252DE1" w:rsidRDefault="009C4E39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66022A" w:rsidRPr="00252DE1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503FD" w:rsidRPr="007E517E" w:rsidRDefault="00D503FD" w:rsidP="00D503F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D503FD" w:rsidRPr="007E517E" w:rsidRDefault="00D503FD" w:rsidP="00D503F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Mirjana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Bandur</w:t>
            </w:r>
            <w:proofErr w:type="spellEnd"/>
          </w:p>
          <w:p w:rsidR="0066022A" w:rsidRPr="00252DE1" w:rsidRDefault="009C4E39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66022A" w:rsidRPr="00252DE1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503FD" w:rsidRPr="00700714" w:rsidRDefault="00D503FD" w:rsidP="00D503FD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D503FD" w:rsidRPr="00F04972" w:rsidRDefault="00D503FD" w:rsidP="00D503FD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>Sanja Stojčević Uvalić, MSc</w:t>
            </w:r>
          </w:p>
          <w:p w:rsidR="0066022A" w:rsidRPr="00252DE1" w:rsidRDefault="009C4E39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6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CA19B5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503FD" w:rsidRDefault="00D503FD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>
              <w:rPr>
                <w:rFonts w:ascii="Arial Narrow" w:hAnsi="Arial Narrow" w:cs="Tahoma"/>
                <w:b/>
                <w:sz w:val="22"/>
              </w:rPr>
              <w:t>SYMBOLS</w:t>
            </w:r>
          </w:p>
        </w:tc>
      </w:tr>
      <w:tr w:rsidR="009E2A9A" w:rsidRPr="00CA19B5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503FD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</w:rPr>
            </w:pPr>
            <w:r w:rsidRPr="00CC790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CC790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CC790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r w:rsidR="00D503FD">
              <w:rPr>
                <w:rFonts w:ascii="Arial Narrow" w:hAnsi="Arial Narrow" w:cs="Tahoma"/>
                <w:bCs/>
                <w:sz w:val="18"/>
                <w:szCs w:val="16"/>
              </w:rPr>
              <w:t>average</w:t>
            </w:r>
          </w:p>
          <w:p w:rsidR="009E2A9A" w:rsidRPr="00CC790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CC790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</w:t>
            </w:r>
            <w:r w:rsidR="00D503FD">
              <w:rPr>
                <w:rFonts w:ascii="Arial Narrow" w:hAnsi="Arial Narrow" w:cs="Tahoma"/>
                <w:sz w:val="18"/>
                <w:szCs w:val="16"/>
                <w:lang w:eastAsia="sr-Latn-BA"/>
              </w:rPr>
              <w:t>estimate</w:t>
            </w: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CA19B5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2B070E" w:rsidRPr="00CA19B5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2B070E" w:rsidRPr="00CA19B5" w:rsidRDefault="002B07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0A1309" w:rsidRDefault="000A130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B3C79" w:rsidRPr="00CA19B5" w:rsidRDefault="007B3C7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586BCB" w:rsidRPr="0066022A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BA"/>
        </w:rPr>
      </w:pPr>
    </w:p>
    <w:p w:rsidR="00586BCB" w:rsidRPr="00586BCB" w:rsidRDefault="00586BC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CA19B5" w:rsidRDefault="00282FA1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0160" r="18415" b="18415"/>
                <wp:wrapNone/>
                <wp:docPr id="1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EF6C4" id="Line 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cT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tLx3E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D503FD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7E517E">
              <w:rPr>
                <w:rFonts w:ascii="Arial Narrow" w:hAnsi="Arial Narrow" w:cs="Tahoma"/>
                <w:sz w:val="18"/>
              </w:rPr>
              <w:t>The Release prepared by the Publications Division</w:t>
            </w:r>
          </w:p>
        </w:tc>
      </w:tr>
      <w:tr w:rsidR="004C20B5" w:rsidRPr="00CA19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D503FD" w:rsidRPr="007E517E" w:rsidRDefault="00D503FD" w:rsidP="00D503F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Vladan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Sibinović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>, Head of the Division</w:t>
            </w:r>
          </w:p>
          <w:p w:rsidR="00D503FD" w:rsidRPr="007E517E" w:rsidRDefault="00D503FD" w:rsidP="00D503F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Published by the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Institute of Statistics,</w:t>
            </w:r>
          </w:p>
          <w:p w:rsidR="00D503FD" w:rsidRPr="007E517E" w:rsidRDefault="00D503FD" w:rsidP="00D503F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Republika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Srpska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, Banja Luka,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Veljka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Mlađenovića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12d</w:t>
            </w:r>
          </w:p>
          <w:p w:rsidR="00D503FD" w:rsidRPr="007E517E" w:rsidRDefault="00D503FD" w:rsidP="00D503F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Radmila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Pr="007E517E">
              <w:rPr>
                <w:rFonts w:ascii="Arial Narrow" w:hAnsi="Arial Narrow" w:cs="Tahoma"/>
                <w:sz w:val="18"/>
                <w:szCs w:val="18"/>
              </w:rPr>
              <w:t>Čičković</w:t>
            </w:r>
            <w:proofErr w:type="spellEnd"/>
            <w:r w:rsidRPr="007E517E">
              <w:rPr>
                <w:rFonts w:ascii="Arial Narrow" w:hAnsi="Arial Narrow" w:cs="Tahoma"/>
                <w:sz w:val="18"/>
                <w:szCs w:val="18"/>
              </w:rPr>
              <w:t>, PhD, Director General of the Institute</w:t>
            </w:r>
          </w:p>
          <w:p w:rsidR="00D503FD" w:rsidRPr="007E517E" w:rsidRDefault="00D503FD" w:rsidP="00D503F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>The Release is published online at: www.rzs.rs.ba</w:t>
            </w:r>
          </w:p>
          <w:p w:rsidR="009E2A9A" w:rsidRPr="00CA19B5" w:rsidRDefault="00D503FD" w:rsidP="00D503FD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  <w:r w:rsidRPr="007E517E">
              <w:rPr>
                <w:rFonts w:ascii="Arial Narrow" w:hAnsi="Arial Narrow" w:cs="Tahoma"/>
                <w:sz w:val="18"/>
                <w:szCs w:val="18"/>
              </w:rPr>
              <w:t xml:space="preserve">telephone +387 51 332 700; e-mail: </w:t>
            </w:r>
            <w:hyperlink r:id="rId17" w:history="1">
              <w:r w:rsidRPr="007E517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9E2A9A" w:rsidRPr="00CA19B5" w:rsidRDefault="00D503FD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7E517E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CA19B5" w:rsidRDefault="00282FA1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1430" r="15240" b="17145"/>
                <wp:wrapNone/>
                <wp:docPr id="1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FBCBC" id="Line 4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3J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FtELck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p w:rsidR="009E2A9A" w:rsidRPr="00CA19B5" w:rsidRDefault="009E2A9A" w:rsidP="009E2A9A">
      <w:pPr>
        <w:rPr>
          <w:rFonts w:ascii="Tahoma" w:hAnsi="Tahoma" w:cs="Tahoma"/>
          <w:lang w:val="sr-Latn-CS"/>
        </w:rPr>
      </w:pPr>
    </w:p>
    <w:sectPr w:rsidR="009E2A9A" w:rsidRPr="00CA19B5" w:rsidSect="0076768F">
      <w:headerReference w:type="default" r:id="rId18"/>
      <w:footerReference w:type="default" r:id="rId19"/>
      <w:footerReference w:type="first" r:id="rId20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07" w:rsidRDefault="00152F07">
      <w:r>
        <w:separator/>
      </w:r>
    </w:p>
  </w:endnote>
  <w:endnote w:type="continuationSeparator" w:id="0">
    <w:p w:rsidR="00152F07" w:rsidRDefault="0015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07" w:rsidRDefault="00282FA1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1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2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07" w:rsidRPr="00175687" w:rsidRDefault="00152F07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C4E3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9776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">
              <v:group id="Group 21" o:spid="_x0000_s1032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rect id="Rectangle 22" o:spid="_x0000_s1033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JDMMA&#10;AADbAAAADwAAAGRycy9kb3ducmV2LnhtbERP32vCMBB+H+x/CDfwbaZTGF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RJDMMAAADbAAAADwAAAAAAAAAAAAAAAACYAgAAZHJzL2Rv&#10;d25yZXYueG1sUEsFBgAAAAAEAAQA9QAAAIgDAAAAAA==&#10;" fillcolor="#bfbfbf" strokecolor="#bfbfbf"/>
                <v:rect id="Rectangle 23" o:spid="_x0000_s1034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3ReMMA&#10;AADbAAAADwAAAGRycy9kb3ducmV2LnhtbERP32vCMBB+H+x/CDfwbaYTGVpNi4iiA2HMOdC3oznb&#10;uuZSkmi7/34ZCHu7j+/nzfPeNOJGzteWFbwMExDEhdU1lwoOn+vnCQgfkDU2lknBD3nIs8eHOaba&#10;dvxBt30oRQxhn6KCKoQ2ldIXFRn0Q9sSR+5sncEQoSuldtjFcNPIUZK8SoM1x4YKW1pWVHzvr0aB&#10;4+6ySr52m+nh3ezeTpvRdHs0Sg2e+sUMRKA+/Ivv7q2O88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3ReMMAAADbAAAADwAAAAAAAAAAAAAAAACYAgAAZHJzL2Rv&#10;d25yZXYueG1sUEsFBgAAAAAEAAQA9QAAAIgD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GS8IA&#10;AADbAAAADwAAAGRycy9kb3ducmV2LnhtbERPTWvCQBC9F/wPywi9mU0tiqSuIgFbqRdNS+lxyE6z&#10;odnZkN3E9N+7gtDbPN7nrLejbcRAna8dK3hKUhDEpdM1Vwo+P/azFQgfkDU2jknBH3nYbiYPa8y0&#10;u/CZhiJUIoawz1CBCaHNpPSlIYs+cS1x5H5cZzFE2FVSd3iJ4baR8zRdSos1xwaDLeWGyt+itwpe&#10;T0cfzNfbcZf790O+1P03PZNSj9Nx9wIi0Bj+xXf3Qcf5C7j9Eg+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sZLwgAAANsAAAAPAAAAAAAAAAAAAAAAAJgCAABkcnMvZG93&#10;bnJldi54bWxQSwUGAAAAAAQABAD1AAAAhwMAAAAA&#10;" filled="f" stroked="f">
                <v:textbox inset="4.32pt,0,4.32pt,0">
                  <w:txbxContent>
                    <w:p w:rsidR="00152F07" w:rsidRPr="00175687" w:rsidRDefault="00152F07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C4E39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07" w:rsidRDefault="00282FA1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07" w:rsidRPr="00175687" w:rsidRDefault="00152F07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C4E3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">
              <v:group id="Group 16" o:spid="_x0000_s1037" style="position:absolute;left:5753;top:16224;width:401;height:365" coordorigin="5663,16158" coordsize="401,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tangle 17" o:spid="_x0000_s1038" style="position:absolute;left:5663;top:16158;width:40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oyMIA&#10;AADaAAAADwAAAGRycy9kb3ducmV2LnhtbERPz2vCMBS+D/wfwhO8zXQeZK1GGWOjFQRZp7DdHs1b&#10;W21eShJt99+bw2DHj+/3ejuaTtzI+daygqd5AoK4srrlWsHx8/3xGYQPyBo7y6TglzxsN5OHNWba&#10;DvxBtzLUIoawz1BBE0KfSemrhgz6ue2JI/djncEQoauldjjEcNPJRZIspcGWY0ODPb02VF3Kq1Hg&#10;eDi/Jad9nh4PZr/7zhdp8WWUmk3HlxWIQGP4F/+5C60gbo1X4g2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jIwgAAANoAAAAPAAAAAAAAAAAAAAAAAJgCAABkcnMvZG93&#10;bnJldi54bWxQSwUGAAAAAAQABAD1AAAAhwMAAAAA&#10;" fillcolor="#bfbfbf" strokecolor="#bfbfbf"/>
                <v:rect id="Rectangle 18" o:spid="_x0000_s1039" style="position:absolute;left:5663;top:16497;width:40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NU8QA&#10;AADaAAAADwAAAGRycy9kb3ducmV2LnhtbESPQWvCQBSE70L/w/IKvemmOUgTXUMpFS0IRWtBb4/s&#10;M0mbfRt2tyb+e7cgeBxm5htmXgymFWdyvrGs4HmSgCAurW64UrD/Wo5fQPiArLG1TAou5KFYPIzm&#10;mGvb85bOu1CJCGGfo4I6hC6X0pc1GfQT2xFH72SdwRClq6R22Ee4aWWaJFNpsOG4UGNHbzWVv7s/&#10;o8Bx//OefG9W2f7TbD6OqzRbH4xST4/D6wxEoCHcw7f2WivI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zVPEAAAA2gAAAA8AAAAAAAAAAAAAAAAAmAIAAGRycy9k&#10;b3ducmV2LnhtbFBLBQYAAAAABAAEAPUAAACJAw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l08MA&#10;AADbAAAADwAAAGRycy9kb3ducmV2LnhtbESPT2vCQBDF7wW/wzKCt7pRQUp0FQn4h3ppbRGPQ3bM&#10;BrOzIbtq+u07h0JvM7w37/1mue59ox7UxTqwgck4A0VcBltzZeD7a/v6BiomZItNYDLwQxHWq8HL&#10;EnMbnvxJj1OqlIRwzNGAS6nNtY6lI49xHFpi0a6h85hk7SptO3xKuG/0NMvm2mPN0uCwpcJReTvd&#10;vYHdxzEmd94fN0V8PxRze7/QjIwZDfvNAlSiPv2b/64PV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1l08MAAADbAAAADwAAAAAAAAAAAAAAAACYAgAAZHJzL2Rv&#10;d25yZXYueG1sUEsFBgAAAAAEAAQA9QAAAIgDAAAAAA==&#10;" filled="f" stroked="f">
                <v:textbox inset="4.32pt,0,4.32pt,0">
                  <w:txbxContent>
                    <w:p w:rsidR="00152F07" w:rsidRPr="00175687" w:rsidRDefault="00152F07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C4E3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07" w:rsidRDefault="00152F07">
      <w:r>
        <w:separator/>
      </w:r>
    </w:p>
  </w:footnote>
  <w:footnote w:type="continuationSeparator" w:id="0">
    <w:p w:rsidR="00152F07" w:rsidRDefault="0015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01"/>
      <w:gridCol w:w="6906"/>
    </w:tblGrid>
    <w:tr w:rsidR="00152F07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152F07" w:rsidRPr="00D503FD" w:rsidRDefault="00D503FD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</w:t>
          </w:r>
          <w:proofErr w:type="spellStart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Srpska</w:t>
          </w:r>
          <w:proofErr w:type="spellEnd"/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 xml:space="preserve"> Institute of Statistics</w:t>
          </w:r>
        </w:p>
        <w:p w:rsidR="00152F07" w:rsidRPr="00D503FD" w:rsidRDefault="00D503FD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152F07" w:rsidRPr="005D5311" w:rsidRDefault="00152F07" w:rsidP="00D503F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</w:t>
          </w:r>
          <w:r w:rsidRPr="00D503FD">
            <w:rPr>
              <w:rFonts w:ascii="Arial Narrow" w:hAnsi="Arial Narrow" w:cs="Tahoma"/>
              <w:color w:val="0070C0"/>
              <w:sz w:val="18"/>
            </w:rPr>
            <w:t>23</w:t>
          </w:r>
          <w:r w:rsidR="00D503FD" w:rsidRPr="00D503FD">
            <w:rPr>
              <w:rFonts w:ascii="Arial Narrow" w:hAnsi="Arial Narrow" w:cs="Tahoma"/>
              <w:color w:val="0070C0"/>
              <w:sz w:val="18"/>
              <w:vertAlign w:val="superscript"/>
            </w:rPr>
            <w:t>rd</w:t>
          </w:r>
          <w:r w:rsidR="00D503FD" w:rsidRPr="00D503FD">
            <w:rPr>
              <w:rFonts w:ascii="Arial Narrow" w:hAnsi="Arial Narrow" w:cs="Tahoma"/>
              <w:color w:val="0070C0"/>
              <w:sz w:val="18"/>
            </w:rPr>
            <w:t xml:space="preserve"> November </w:t>
          </w:r>
          <w:r w:rsidRPr="00D503FD">
            <w:rPr>
              <w:rFonts w:ascii="Arial Narrow" w:hAnsi="Arial Narrow" w:cs="Tahoma"/>
              <w:color w:val="0070C0"/>
              <w:sz w:val="18"/>
            </w:rPr>
            <w:t>2015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11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152F07" w:rsidRDefault="00282FA1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083B5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3pt" to="515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i9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P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963,#969696,#777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6F3B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17B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578BE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2FA1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162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3E6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482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4F1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2DB7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970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6F19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4B5"/>
    <w:rsid w:val="00647A25"/>
    <w:rsid w:val="0065039F"/>
    <w:rsid w:val="00650699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010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A2E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0FB4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5CC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2E9B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428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E39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326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6F9F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1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875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D55"/>
    <w:rsid w:val="00B0262B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8E0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0AF8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3FD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55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B25"/>
    <w:rsid w:val="00FE4C4E"/>
    <w:rsid w:val="00FE50A9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6E740B08-8FDF-4CCA-AA4C-BA21EBB4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  <w:style w:type="paragraph" w:styleId="NormalWeb">
    <w:name w:val="Normal (Web)"/>
    <w:basedOn w:val="Normal"/>
    <w:uiPriority w:val="99"/>
    <w:semiHidden/>
    <w:unhideWhenUsed/>
    <w:rsid w:val="00D503F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iljana.glusa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tesic@rzs.rs.ba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2014</c:v>
                  </c:pt>
                  <c:pt idx="3">
                    <c:v>2015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826</c:v>
                </c:pt>
                <c:pt idx="1">
                  <c:v>827</c:v>
                </c:pt>
                <c:pt idx="2">
                  <c:v>836</c:v>
                </c:pt>
                <c:pt idx="3">
                  <c:v>812</c:v>
                </c:pt>
                <c:pt idx="4">
                  <c:v>834</c:v>
                </c:pt>
                <c:pt idx="5">
                  <c:v>831</c:v>
                </c:pt>
                <c:pt idx="6">
                  <c:v>835</c:v>
                </c:pt>
                <c:pt idx="7">
                  <c:v>832</c:v>
                </c:pt>
                <c:pt idx="8">
                  <c:v>843</c:v>
                </c:pt>
                <c:pt idx="9">
                  <c:v>834</c:v>
                </c:pt>
                <c:pt idx="10">
                  <c:v>834</c:v>
                </c:pt>
                <c:pt idx="11">
                  <c:v>834</c:v>
                </c:pt>
                <c:pt idx="12">
                  <c:v>824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2853112"/>
        <c:axId val="122849848"/>
      </c:lineChart>
      <c:catAx>
        <c:axId val="12285311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22849848"/>
        <c:crosses val="autoZero"/>
        <c:auto val="1"/>
        <c:lblAlgn val="ctr"/>
        <c:lblOffset val="100"/>
        <c:noMultiLvlLbl val="0"/>
      </c:catAx>
      <c:valAx>
        <c:axId val="122849848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2285311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2011</c:v>
                  </c:pt>
                  <c:pt idx="3">
                    <c:v>2012</c:v>
                  </c:pt>
                  <c:pt idx="15">
                    <c:v>2013</c:v>
                  </c:pt>
                  <c:pt idx="27">
                    <c:v>2014</c:v>
                  </c:pt>
                  <c:pt idx="39">
                    <c:v>2015</c:v>
                  </c:pt>
                </c:lvl>
              </c:multiLvlStrCache>
            </c:multiLvlStrRef>
          </c:cat>
          <c:val>
            <c:numRef>
              <c:f>Sheet2!$C$3:$C$50</c:f>
              <c:numCache>
                <c:formatCode>0.0</c:formatCode>
                <c:ptCount val="48"/>
                <c:pt idx="0">
                  <c:v>103.44729612029352</c:v>
                </c:pt>
                <c:pt idx="1">
                  <c:v>100.27844058098093</c:v>
                </c:pt>
                <c:pt idx="2">
                  <c:v>102.56019654363317</c:v>
                </c:pt>
                <c:pt idx="3">
                  <c:v>97.484614424677929</c:v>
                </c:pt>
                <c:pt idx="4">
                  <c:v>101.28323079971452</c:v>
                </c:pt>
                <c:pt idx="5">
                  <c:v>101.60585461820307</c:v>
                </c:pt>
                <c:pt idx="6">
                  <c:v>99.435552867166948</c:v>
                </c:pt>
                <c:pt idx="7">
                  <c:v>99.735142005483937</c:v>
                </c:pt>
                <c:pt idx="8">
                  <c:v>93.531298540155063</c:v>
                </c:pt>
                <c:pt idx="9">
                  <c:v>99.763888463324818</c:v>
                </c:pt>
                <c:pt idx="10">
                  <c:v>106.12306924354323</c:v>
                </c:pt>
                <c:pt idx="11">
                  <c:v>100.6511980303783</c:v>
                </c:pt>
                <c:pt idx="12">
                  <c:v>98.992107212776958</c:v>
                </c:pt>
                <c:pt idx="13">
                  <c:v>101.96449744684219</c:v>
                </c:pt>
                <c:pt idx="14">
                  <c:v>101.26492790355331</c:v>
                </c:pt>
                <c:pt idx="15">
                  <c:v>100.43850214525713</c:v>
                </c:pt>
                <c:pt idx="16">
                  <c:v>100.6695051632593</c:v>
                </c:pt>
                <c:pt idx="17">
                  <c:v>109.36193200997846</c:v>
                </c:pt>
                <c:pt idx="18">
                  <c:v>103.000987249744</c:v>
                </c:pt>
                <c:pt idx="19">
                  <c:v>105.01565267376391</c:v>
                </c:pt>
                <c:pt idx="20">
                  <c:v>110.46190747375154</c:v>
                </c:pt>
                <c:pt idx="21">
                  <c:v>106.83508035990005</c:v>
                </c:pt>
                <c:pt idx="22">
                  <c:v>100.92301458966587</c:v>
                </c:pt>
                <c:pt idx="23">
                  <c:v>101.91635123014613</c:v>
                </c:pt>
                <c:pt idx="24">
                  <c:v>104.57345601774483</c:v>
                </c:pt>
                <c:pt idx="25">
                  <c:v>105.63640055229045</c:v>
                </c:pt>
                <c:pt idx="26">
                  <c:v>105.29698488353583</c:v>
                </c:pt>
                <c:pt idx="27">
                  <c:v>105.31044457053189</c:v>
                </c:pt>
                <c:pt idx="28">
                  <c:v>103.05271027094729</c:v>
                </c:pt>
                <c:pt idx="29">
                  <c:v>103.38854759108163</c:v>
                </c:pt>
                <c:pt idx="30">
                  <c:v>102.91162454349352</c:v>
                </c:pt>
                <c:pt idx="31">
                  <c:v>104.30514064303944</c:v>
                </c:pt>
                <c:pt idx="32">
                  <c:v>106.13689917290817</c:v>
                </c:pt>
                <c:pt idx="33">
                  <c:v>99.906188452620256</c:v>
                </c:pt>
                <c:pt idx="34">
                  <c:v>109.92245238127586</c:v>
                </c:pt>
                <c:pt idx="35">
                  <c:v>108.04375147766011</c:v>
                </c:pt>
                <c:pt idx="36">
                  <c:v>106.52947567646827</c:v>
                </c:pt>
                <c:pt idx="37">
                  <c:v>104.75604058296324</c:v>
                </c:pt>
                <c:pt idx="38">
                  <c:v>105.97785946919662</c:v>
                </c:pt>
                <c:pt idx="39">
                  <c:v>111.1212188924509</c:v>
                </c:pt>
                <c:pt idx="40">
                  <c:v>107.07687297451558</c:v>
                </c:pt>
                <c:pt idx="41">
                  <c:v>106.29503592834533</c:v>
                </c:pt>
                <c:pt idx="42">
                  <c:v>110.49331722303171</c:v>
                </c:pt>
                <c:pt idx="43">
                  <c:v>109.22397273879839</c:v>
                </c:pt>
                <c:pt idx="44">
                  <c:v>107.87379603051652</c:v>
                </c:pt>
                <c:pt idx="45">
                  <c:v>110.78411662595192</c:v>
                </c:pt>
                <c:pt idx="46">
                  <c:v>106.59450579993572</c:v>
                </c:pt>
                <c:pt idx="47">
                  <c:v>108.83356925155978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2011</c:v>
                  </c:pt>
                  <c:pt idx="3">
                    <c:v>2012</c:v>
                  </c:pt>
                  <c:pt idx="15">
                    <c:v>2013</c:v>
                  </c:pt>
                  <c:pt idx="27">
                    <c:v>2014</c:v>
                  </c:pt>
                  <c:pt idx="39">
                    <c:v>2015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102.47951772934492</c:v>
                </c:pt>
                <c:pt idx="1">
                  <c:v>102.22159333142055</c:v>
                </c:pt>
                <c:pt idx="2">
                  <c:v>101.92256969350839</c:v>
                </c:pt>
                <c:pt idx="3">
                  <c:v>101.65034713148532</c:v>
                </c:pt>
                <c:pt idx="4">
                  <c:v>101.39556559152165</c:v>
                </c:pt>
                <c:pt idx="5">
                  <c:v>101.23803218111377</c:v>
                </c:pt>
                <c:pt idx="6">
                  <c:v>101.10604634889785</c:v>
                </c:pt>
                <c:pt idx="7">
                  <c:v>100.96589486789054</c:v>
                </c:pt>
                <c:pt idx="8">
                  <c:v>100.86068852988241</c:v>
                </c:pt>
                <c:pt idx="9">
                  <c:v>100.84711968306121</c:v>
                </c:pt>
                <c:pt idx="10">
                  <c:v>101.06257713376192</c:v>
                </c:pt>
                <c:pt idx="11">
                  <c:v>101.33871760513431</c:v>
                </c:pt>
                <c:pt idx="12">
                  <c:v>101.48329935305911</c:v>
                </c:pt>
                <c:pt idx="13">
                  <c:v>101.64597361659943</c:v>
                </c:pt>
                <c:pt idx="14">
                  <c:v>101.89842316819312</c:v>
                </c:pt>
                <c:pt idx="15">
                  <c:v>102.17322366285282</c:v>
                </c:pt>
                <c:pt idx="16">
                  <c:v>102.47145974902823</c:v>
                </c:pt>
                <c:pt idx="17">
                  <c:v>102.87220387964459</c:v>
                </c:pt>
                <c:pt idx="18">
                  <c:v>103.30180007686131</c:v>
                </c:pt>
                <c:pt idx="19">
                  <c:v>103.59736251805472</c:v>
                </c:pt>
                <c:pt idx="20">
                  <c:v>103.86777808996278</c:v>
                </c:pt>
                <c:pt idx="21">
                  <c:v>104.1014065612422</c:v>
                </c:pt>
                <c:pt idx="22">
                  <c:v>104.13163346350782</c:v>
                </c:pt>
                <c:pt idx="23">
                  <c:v>104.07420981778186</c:v>
                </c:pt>
                <c:pt idx="24">
                  <c:v>104.11466506798943</c:v>
                </c:pt>
                <c:pt idx="25">
                  <c:v>104.24297703059234</c:v>
                </c:pt>
                <c:pt idx="26">
                  <c:v>104.36427060213209</c:v>
                </c:pt>
                <c:pt idx="27">
                  <c:v>104.44985785952838</c:v>
                </c:pt>
                <c:pt idx="28">
                  <c:v>104.50115833818947</c:v>
                </c:pt>
                <c:pt idx="29">
                  <c:v>104.54205999762641</c:v>
                </c:pt>
                <c:pt idx="30">
                  <c:v>104.62901134591236</c:v>
                </c:pt>
                <c:pt idx="31">
                  <c:v>104.77454961644858</c:v>
                </c:pt>
                <c:pt idx="32">
                  <c:v>104.99628067995589</c:v>
                </c:pt>
                <c:pt idx="33">
                  <c:v>105.22638772517411</c:v>
                </c:pt>
                <c:pt idx="34">
                  <c:v>105.49358425074549</c:v>
                </c:pt>
                <c:pt idx="35">
                  <c:v>105.8847911872888</c:v>
                </c:pt>
                <c:pt idx="36">
                  <c:v>106.21535689061378</c:v>
                </c:pt>
                <c:pt idx="37">
                  <c:v>106.45333304657308</c:v>
                </c:pt>
                <c:pt idx="38">
                  <c:v>106.70993400111854</c:v>
                </c:pt>
                <c:pt idx="39">
                  <c:v>107.04007285922548</c:v>
                </c:pt>
                <c:pt idx="40">
                  <c:v>107.3950941299799</c:v>
                </c:pt>
                <c:pt idx="41">
                  <c:v>107.66127411314304</c:v>
                </c:pt>
                <c:pt idx="42">
                  <c:v>107.93873774741731</c:v>
                </c:pt>
                <c:pt idx="43">
                  <c:v>108.27066399318998</c:v>
                </c:pt>
                <c:pt idx="44">
                  <c:v>108.54759072996747</c:v>
                </c:pt>
                <c:pt idx="45">
                  <c:v>108.81091015496203</c:v>
                </c:pt>
                <c:pt idx="46">
                  <c:v>109.08889234821088</c:v>
                </c:pt>
                <c:pt idx="47">
                  <c:v>109.3553316098749</c:v>
                </c:pt>
                <c:pt idx="48">
                  <c:v>109.69439058804556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2962544"/>
        <c:axId val="122962928"/>
      </c:lineChart>
      <c:catAx>
        <c:axId val="12296254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22962928"/>
        <c:crosses val="autoZero"/>
        <c:auto val="1"/>
        <c:lblAlgn val="ctr"/>
        <c:lblOffset val="100"/>
        <c:noMultiLvlLbl val="0"/>
      </c:catAx>
      <c:valAx>
        <c:axId val="122962928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anose="020B0606020202030204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2296254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700">
              <a:latin typeface="Arial Narrow" panose="020B0606020202030204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88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zaOkt2015!$A$2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dPt>
            <c:idx val="9"/>
            <c:bubble3D val="0"/>
            <c:spPr>
              <a:ln w="25400"/>
            </c:spPr>
          </c:dPt>
          <c:cat>
            <c:strRef>
              <c:f>zaOkt2015!$B$1:$N$1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zaOkt2015!$B$2:$N$2</c:f>
              <c:numCache>
                <c:formatCode>General</c:formatCode>
                <c:ptCount val="13"/>
                <c:pt idx="0">
                  <c:v>508654</c:v>
                </c:pt>
                <c:pt idx="1">
                  <c:v>432236</c:v>
                </c:pt>
                <c:pt idx="2">
                  <c:v>434262</c:v>
                </c:pt>
                <c:pt idx="3">
                  <c:v>224572</c:v>
                </c:pt>
                <c:pt idx="4">
                  <c:v>346328</c:v>
                </c:pt>
                <c:pt idx="5">
                  <c:v>405187</c:v>
                </c:pt>
                <c:pt idx="6">
                  <c:v>356393</c:v>
                </c:pt>
                <c:pt idx="7">
                  <c:v>395224</c:v>
                </c:pt>
                <c:pt idx="8">
                  <c:v>375042</c:v>
                </c:pt>
                <c:pt idx="9">
                  <c:v>444548</c:v>
                </c:pt>
                <c:pt idx="10">
                  <c:v>338033</c:v>
                </c:pt>
                <c:pt idx="11">
                  <c:v>391908</c:v>
                </c:pt>
                <c:pt idx="12">
                  <c:v>392131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zaOkt2015!$A$3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/>
          </c:spPr>
          <c:marker>
            <c:symbol val="none"/>
          </c:marker>
          <c:cat>
            <c:strRef>
              <c:f>zaOkt2015!$B$1:$N$1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zaOkt2015!$B$3:$N$3</c:f>
              <c:numCache>
                <c:formatCode>0</c:formatCode>
                <c:ptCount val="13"/>
                <c:pt idx="0" formatCode="General">
                  <c:v>254767</c:v>
                </c:pt>
                <c:pt idx="1">
                  <c:v>229828</c:v>
                </c:pt>
                <c:pt idx="2">
                  <c:v>206415</c:v>
                </c:pt>
                <c:pt idx="3">
                  <c:v>170852</c:v>
                </c:pt>
                <c:pt idx="4">
                  <c:v>202647</c:v>
                </c:pt>
                <c:pt idx="5">
                  <c:v>215565</c:v>
                </c:pt>
                <c:pt idx="6">
                  <c:v>211716</c:v>
                </c:pt>
                <c:pt idx="7">
                  <c:v>208453</c:v>
                </c:pt>
                <c:pt idx="8">
                  <c:v>241002</c:v>
                </c:pt>
                <c:pt idx="9">
                  <c:v>244786</c:v>
                </c:pt>
                <c:pt idx="10">
                  <c:v>202842</c:v>
                </c:pt>
                <c:pt idx="11">
                  <c:v>239743</c:v>
                </c:pt>
                <c:pt idx="12">
                  <c:v>243322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3250568"/>
        <c:axId val="123250952"/>
      </c:lineChart>
      <c:catAx>
        <c:axId val="123250568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23250952"/>
        <c:crosses val="autoZero"/>
        <c:auto val="1"/>
        <c:lblAlgn val="ctr"/>
        <c:lblOffset val="100"/>
        <c:noMultiLvlLbl val="0"/>
      </c:catAx>
      <c:valAx>
        <c:axId val="123250952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23250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866"/>
          <c:y val="0.34220861281228737"/>
          <c:w val="0.16230180131593139"/>
          <c:h val="0.1901782832701468"/>
        </c:manualLayout>
      </c:layout>
      <c:overlay val="0"/>
      <c:txPr>
        <a:bodyPr/>
        <a:lstStyle/>
        <a:p>
          <a:pPr>
            <a:defRPr sz="800">
              <a:latin typeface="Arial Narrow" panose="020B0606020202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D972-D079-45C7-8C52-DEF29F18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</TotalTime>
  <Pages>5</Pages>
  <Words>1312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9585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dc:description/>
  <cp:lastModifiedBy>Vladan Sibinovic</cp:lastModifiedBy>
  <cp:revision>17</cp:revision>
  <cp:lastPrinted>2014-07-21T12:04:00Z</cp:lastPrinted>
  <dcterms:created xsi:type="dcterms:W3CDTF">2014-03-14T12:01:00Z</dcterms:created>
  <dcterms:modified xsi:type="dcterms:W3CDTF">2015-11-20T11:41:00Z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