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104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9"/>
        <w:gridCol w:w="2299"/>
        <w:gridCol w:w="2852"/>
      </w:tblGrid>
      <w:tr w:rsidR="004C20B5" w:rsidRPr="00CA19B5" w:rsidTr="0059420C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9F66A0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7B244E">
              <w:rPr>
                <w:rFonts w:ascii="Arial Narrow" w:hAnsi="Arial Narrow" w:cs="Tahoma"/>
                <w:color w:val="1F497D" w:themeColor="text2"/>
                <w:sz w:val="18"/>
                <w:lang w:val="sr-Latn-CS"/>
              </w:rPr>
              <w:t>1</w:t>
            </w:r>
            <w:proofErr w:type="spellStart"/>
            <w:r w:rsidR="009F66A0" w:rsidRPr="009F66A0">
              <w:rPr>
                <w:rFonts w:ascii="Arial Narrow" w:hAnsi="Arial Narrow" w:cs="Tahoma"/>
                <w:color w:val="1F497D" w:themeColor="text2"/>
                <w:sz w:val="18"/>
                <w:vertAlign w:val="superscript"/>
              </w:rPr>
              <w:t>st</w:t>
            </w:r>
            <w:proofErr w:type="spellEnd"/>
            <w:r w:rsidR="009F66A0">
              <w:rPr>
                <w:rFonts w:ascii="Arial Narrow" w:hAnsi="Arial Narrow" w:cs="Tahoma"/>
                <w:color w:val="1F497D" w:themeColor="text2"/>
                <w:sz w:val="18"/>
              </w:rPr>
              <w:t xml:space="preserve"> May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9430A7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5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  <w:r w:rsidR="00783A5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Latn-BA"/>
              </w:rPr>
              <w:t>5</w:t>
            </w:r>
            <w:r w:rsidR="00A975F3" w:rsidRPr="001D2CF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9430A7" w:rsidRPr="001D2CF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5</w:t>
            </w:r>
            <w:r w:rsidR="00A975F3" w:rsidRPr="001D2CF2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CA19B5" w:rsidTr="0059420C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490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490"/>
      </w:tblGrid>
      <w:tr w:rsidR="004C20B5" w:rsidRPr="00CA19B5" w:rsidTr="0059420C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9F66A0" w:rsidRDefault="009F66A0" w:rsidP="009430A7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May 2015</w:t>
            </w:r>
          </w:p>
        </w:tc>
      </w:tr>
      <w:tr w:rsidR="004C20B5" w:rsidRPr="00CA19B5" w:rsidTr="0059420C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C24718" w:rsidRDefault="00C24718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</w:p>
        </w:tc>
      </w:tr>
    </w:tbl>
    <w:p w:rsidR="00777348" w:rsidRPr="00CA19B5" w:rsidRDefault="00777348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F85AAC" w:rsidRDefault="00F85AAC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F86972" w:rsidRDefault="00F86972" w:rsidP="00014D96">
      <w:pPr>
        <w:jc w:val="both"/>
        <w:rPr>
          <w:rFonts w:ascii="Arial Narrow" w:hAnsi="Arial Narrow"/>
          <w:b/>
          <w:sz w:val="30"/>
          <w:szCs w:val="30"/>
          <w:lang w:val="sr-Latn-BA"/>
        </w:rPr>
      </w:pPr>
      <w:r>
        <w:rPr>
          <w:rFonts w:ascii="Arial Narrow" w:hAnsi="Arial Narrow"/>
          <w:b/>
          <w:sz w:val="30"/>
          <w:szCs w:val="30"/>
          <w:lang w:val="sr-Latn-BA"/>
        </w:rPr>
        <w:t>Personal computer is used by 44.3% of households and 100% of enterprises in Republika Srpska</w:t>
      </w:r>
    </w:p>
    <w:p w:rsidR="00014D96" w:rsidRPr="00D93E1B" w:rsidRDefault="00014D96" w:rsidP="00014D96">
      <w:pPr>
        <w:jc w:val="both"/>
        <w:rPr>
          <w:rFonts w:ascii="Arial Narrow" w:hAnsi="Arial Narrow"/>
          <w:sz w:val="22"/>
          <w:szCs w:val="22"/>
          <w:lang w:val="sr-Cyrl-BA"/>
        </w:rPr>
      </w:pPr>
    </w:p>
    <w:p w:rsidR="0065523D" w:rsidRDefault="0065523D" w:rsidP="00014D9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 </w:t>
      </w:r>
      <w:proofErr w:type="spellStart"/>
      <w:r>
        <w:rPr>
          <w:rFonts w:ascii="Arial Narrow" w:hAnsi="Arial Narrow"/>
          <w:sz w:val="22"/>
          <w:szCs w:val="22"/>
        </w:rPr>
        <w:t>Republika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Srpska</w:t>
      </w:r>
      <w:proofErr w:type="spellEnd"/>
      <w:r>
        <w:rPr>
          <w:rFonts w:ascii="Arial Narrow" w:hAnsi="Arial Narrow"/>
          <w:sz w:val="22"/>
          <w:szCs w:val="22"/>
        </w:rPr>
        <w:t xml:space="preserve">, 44.3% of households own a personal computer, </w:t>
      </w:r>
      <w:r w:rsidR="00017B5A">
        <w:rPr>
          <w:rFonts w:ascii="Arial Narrow" w:hAnsi="Arial Narrow"/>
          <w:sz w:val="22"/>
          <w:szCs w:val="22"/>
        </w:rPr>
        <w:t xml:space="preserve">while most computer users were persons who completed high or higher education (76.4%). Of all users, 49.2% were persons who completed secondary education and 9.2% were those of a lower level of education. </w:t>
      </w:r>
    </w:p>
    <w:p w:rsidR="00014D96" w:rsidRPr="00D93E1B" w:rsidRDefault="00014D96" w:rsidP="00014D96">
      <w:pPr>
        <w:jc w:val="both"/>
        <w:rPr>
          <w:rFonts w:ascii="Arial Narrow" w:hAnsi="Arial Narrow"/>
          <w:sz w:val="22"/>
          <w:szCs w:val="22"/>
        </w:rPr>
      </w:pPr>
    </w:p>
    <w:p w:rsidR="00017B5A" w:rsidRDefault="00017B5A" w:rsidP="00014D9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Of the total number of households in </w:t>
      </w:r>
      <w:proofErr w:type="spellStart"/>
      <w:r>
        <w:rPr>
          <w:rFonts w:ascii="Arial Narrow" w:hAnsi="Arial Narrow"/>
          <w:sz w:val="22"/>
          <w:szCs w:val="22"/>
        </w:rPr>
        <w:t>Republika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Srpska</w:t>
      </w:r>
      <w:proofErr w:type="spellEnd"/>
      <w:r>
        <w:rPr>
          <w:rFonts w:ascii="Arial Narrow" w:hAnsi="Arial Narrow"/>
          <w:sz w:val="22"/>
          <w:szCs w:val="22"/>
        </w:rPr>
        <w:t xml:space="preserve">, 47.2% have an Internet connection and 68.8% of them use ADSL (DSL). An analysis of the structure of households that have an Internet connection </w:t>
      </w:r>
      <w:r w:rsidRPr="00017B5A">
        <w:rPr>
          <w:rFonts w:ascii="Arial Narrow" w:hAnsi="Arial Narrow"/>
          <w:sz w:val="22"/>
          <w:szCs w:val="22"/>
        </w:rPr>
        <w:t>by their monthly income showed significant differences. Namely, 85.6% of households whose average monthly net income exceeds 1,000 KM have an Internet connection, while the same applies to 29.3% of households whose income is less than 500 KM.</w:t>
      </w:r>
    </w:p>
    <w:p w:rsidR="00014D96" w:rsidRDefault="00014D96" w:rsidP="00014D96">
      <w:pPr>
        <w:jc w:val="both"/>
        <w:rPr>
          <w:rFonts w:ascii="Arial Narrow" w:hAnsi="Arial Narrow"/>
          <w:sz w:val="22"/>
          <w:szCs w:val="22"/>
        </w:rPr>
      </w:pPr>
    </w:p>
    <w:p w:rsidR="008F28E6" w:rsidRDefault="008F28E6" w:rsidP="00014D96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Observing the reference quarter in which the survey was conducted, from July to September </w:t>
      </w:r>
      <w:r w:rsidRPr="008F28E6">
        <w:rPr>
          <w:rFonts w:ascii="Arial Narrow" w:hAnsi="Arial Narrow"/>
          <w:bCs/>
          <w:sz w:val="22"/>
          <w:szCs w:val="22"/>
          <w:lang w:val="sr-Cyrl-BA"/>
        </w:rPr>
        <w:t xml:space="preserve">2014, 38.0% of persons used Internet, with 79.4% of them being daily users. Based on the survey results, </w:t>
      </w:r>
      <w:r>
        <w:rPr>
          <w:rFonts w:ascii="Arial Narrow" w:hAnsi="Arial Narrow"/>
          <w:bCs/>
          <w:sz w:val="22"/>
          <w:szCs w:val="22"/>
        </w:rPr>
        <w:t xml:space="preserve">it can be concluded that among Internet users in the reference quarter, the most common users were persons aged between 16 and </w:t>
      </w:r>
      <w:r w:rsidR="00ED42FC">
        <w:rPr>
          <w:rFonts w:ascii="Arial Narrow" w:hAnsi="Arial Narrow"/>
          <w:bCs/>
          <w:sz w:val="22"/>
          <w:szCs w:val="22"/>
        </w:rPr>
        <w:t xml:space="preserve">24 years (93.6%), students (88.4%) and persons who completed higher education (74.9%). </w:t>
      </w:r>
    </w:p>
    <w:p w:rsidR="005228DF" w:rsidRDefault="005228DF" w:rsidP="00014D96">
      <w:pPr>
        <w:jc w:val="both"/>
        <w:rPr>
          <w:rFonts w:ascii="Arial Narrow" w:hAnsi="Arial Narrow"/>
          <w:bCs/>
          <w:sz w:val="22"/>
          <w:szCs w:val="22"/>
        </w:rPr>
      </w:pPr>
    </w:p>
    <w:p w:rsidR="005228DF" w:rsidRPr="005228DF" w:rsidRDefault="005228DF" w:rsidP="005228DF">
      <w:pPr>
        <w:pStyle w:val="BodyTextIndent3"/>
        <w:tabs>
          <w:tab w:val="left" w:pos="720"/>
        </w:tabs>
        <w:ind w:firstLine="0"/>
        <w:rPr>
          <w:rFonts w:ascii="Arial Narrow" w:hAnsi="Arial Narrow"/>
          <w:sz w:val="22"/>
          <w:szCs w:val="22"/>
        </w:rPr>
      </w:pPr>
      <w:r w:rsidRPr="005228DF">
        <w:rPr>
          <w:rFonts w:ascii="Arial Narrow" w:hAnsi="Arial Narrow"/>
          <w:sz w:val="22"/>
          <w:szCs w:val="22"/>
        </w:rPr>
        <w:t xml:space="preserve">In </w:t>
      </w:r>
      <w:proofErr w:type="spellStart"/>
      <w:r w:rsidRPr="005228DF">
        <w:rPr>
          <w:rFonts w:ascii="Arial Narrow" w:hAnsi="Arial Narrow"/>
          <w:sz w:val="22"/>
          <w:szCs w:val="22"/>
        </w:rPr>
        <w:t>Republika</w:t>
      </w:r>
      <w:proofErr w:type="spellEnd"/>
      <w:r w:rsidRPr="005228DF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228DF">
        <w:rPr>
          <w:rFonts w:ascii="Arial Narrow" w:hAnsi="Arial Narrow"/>
          <w:sz w:val="22"/>
          <w:szCs w:val="22"/>
        </w:rPr>
        <w:t>Srpska</w:t>
      </w:r>
      <w:proofErr w:type="spellEnd"/>
      <w:r w:rsidRPr="005228DF">
        <w:rPr>
          <w:rFonts w:ascii="Arial Narrow" w:hAnsi="Arial Narrow"/>
          <w:sz w:val="22"/>
          <w:szCs w:val="22"/>
        </w:rPr>
        <w:t>, 91.5% of Internet users aged between 16 and 24 years have a social network account (Facebook, Twitter, etc.). Internet users usually electronically exchange data by electronic mail with an attachment (37.1%) and through personal websites and social networks (30.8%), while 44.9% of Internet users do not exchange documents electronically.</w:t>
      </w:r>
    </w:p>
    <w:p w:rsidR="005228DF" w:rsidRPr="007A169C" w:rsidRDefault="005228DF" w:rsidP="005228DF">
      <w:pPr>
        <w:pStyle w:val="BodyTextIndent3"/>
        <w:tabs>
          <w:tab w:val="left" w:pos="720"/>
        </w:tabs>
        <w:ind w:firstLine="0"/>
        <w:rPr>
          <w:rFonts w:ascii="Arial Narrow" w:hAnsi="Arial Narrow"/>
          <w:sz w:val="22"/>
          <w:szCs w:val="22"/>
        </w:rPr>
      </w:pPr>
    </w:p>
    <w:p w:rsidR="005228DF" w:rsidRPr="005228DF" w:rsidRDefault="007A169C" w:rsidP="005228DF">
      <w:pPr>
        <w:pStyle w:val="BodyTextIndent3"/>
        <w:tabs>
          <w:tab w:val="left" w:pos="720"/>
        </w:tabs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The survey has also shown that</w:t>
      </w:r>
      <w:r>
        <w:rPr>
          <w:rFonts w:ascii="Arial Narrow" w:hAnsi="Arial Narrow"/>
          <w:sz w:val="22"/>
          <w:szCs w:val="22"/>
          <w:lang w:val="sr-Cyrl-BA"/>
        </w:rPr>
        <w:t xml:space="preserve"> 76</w:t>
      </w:r>
      <w:r>
        <w:rPr>
          <w:rFonts w:ascii="Arial Narrow" w:hAnsi="Arial Narrow"/>
          <w:sz w:val="22"/>
          <w:szCs w:val="22"/>
        </w:rPr>
        <w:t>.</w:t>
      </w:r>
      <w:r w:rsidR="005228DF">
        <w:rPr>
          <w:rFonts w:ascii="Arial Narrow" w:hAnsi="Arial Narrow"/>
          <w:sz w:val="22"/>
          <w:szCs w:val="22"/>
          <w:lang w:val="sr-Cyrl-BA"/>
        </w:rPr>
        <w:t xml:space="preserve">6% </w:t>
      </w:r>
      <w:r>
        <w:rPr>
          <w:rFonts w:ascii="Arial Narrow" w:hAnsi="Arial Narrow"/>
          <w:sz w:val="22"/>
          <w:szCs w:val="22"/>
        </w:rPr>
        <w:t xml:space="preserve">of citizens in </w:t>
      </w:r>
      <w:proofErr w:type="spellStart"/>
      <w:r>
        <w:rPr>
          <w:rFonts w:ascii="Arial Narrow" w:hAnsi="Arial Narrow"/>
          <w:sz w:val="22"/>
          <w:szCs w:val="22"/>
        </w:rPr>
        <w:t>Republika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Srpska</w:t>
      </w:r>
      <w:proofErr w:type="spellEnd"/>
      <w:r>
        <w:rPr>
          <w:rFonts w:ascii="Arial Narrow" w:hAnsi="Arial Narrow"/>
          <w:sz w:val="22"/>
          <w:szCs w:val="22"/>
        </w:rPr>
        <w:t xml:space="preserve"> use a mobile</w:t>
      </w:r>
      <w:r w:rsidR="005228DF">
        <w:rPr>
          <w:rFonts w:ascii="Arial Narrow" w:hAnsi="Arial Narrow"/>
          <w:sz w:val="22"/>
          <w:szCs w:val="22"/>
          <w:lang w:val="sr-Cyrl-BA"/>
        </w:rPr>
        <w:t xml:space="preserve"> </w:t>
      </w:r>
      <w:r>
        <w:rPr>
          <w:rFonts w:ascii="Arial Narrow" w:hAnsi="Arial Narrow"/>
          <w:sz w:val="22"/>
          <w:szCs w:val="22"/>
        </w:rPr>
        <w:t>phone</w:t>
      </w:r>
      <w:r w:rsidR="005228DF">
        <w:rPr>
          <w:rFonts w:ascii="Arial Narrow" w:hAnsi="Arial Narrow"/>
          <w:sz w:val="22"/>
          <w:szCs w:val="22"/>
          <w:lang w:val="sr-Cyrl-BA"/>
        </w:rPr>
        <w:t>.</w:t>
      </w:r>
    </w:p>
    <w:p w:rsidR="0091501C" w:rsidRDefault="0091501C" w:rsidP="00014D96">
      <w:pPr>
        <w:jc w:val="both"/>
        <w:rPr>
          <w:rFonts w:ascii="Arial Narrow" w:hAnsi="Arial Narrow"/>
          <w:bCs/>
          <w:sz w:val="22"/>
          <w:szCs w:val="22"/>
        </w:rPr>
      </w:pPr>
    </w:p>
    <w:p w:rsidR="0091501C" w:rsidRPr="008F28E6" w:rsidRDefault="0091501C" w:rsidP="00014D9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During 2014, 100% of enterprises in </w:t>
      </w:r>
      <w:proofErr w:type="spellStart"/>
      <w:r>
        <w:rPr>
          <w:rFonts w:ascii="Arial Narrow" w:hAnsi="Arial Narrow"/>
          <w:bCs/>
          <w:sz w:val="22"/>
          <w:szCs w:val="22"/>
        </w:rPr>
        <w:t>Republika</w:t>
      </w:r>
      <w:proofErr w:type="spellEnd"/>
      <w:r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Cs/>
          <w:sz w:val="22"/>
          <w:szCs w:val="22"/>
        </w:rPr>
        <w:t>Srpska</w:t>
      </w:r>
      <w:proofErr w:type="spellEnd"/>
      <w:r>
        <w:rPr>
          <w:rFonts w:ascii="Arial Narrow" w:hAnsi="Arial Narrow"/>
          <w:bCs/>
          <w:sz w:val="22"/>
          <w:szCs w:val="22"/>
        </w:rPr>
        <w:t xml:space="preserve"> used a personal computer for business purposes and 98.7% of them had an Internet connection, while 25.3% of them paid for </w:t>
      </w:r>
      <w:proofErr w:type="spellStart"/>
      <w:r w:rsidRPr="0091501C">
        <w:rPr>
          <w:rFonts w:ascii="Arial Narrow" w:hAnsi="Arial Narrow"/>
          <w:bCs/>
          <w:sz w:val="22"/>
          <w:szCs w:val="22"/>
        </w:rPr>
        <w:t>for</w:t>
      </w:r>
      <w:proofErr w:type="spellEnd"/>
      <w:r w:rsidRPr="0091501C">
        <w:rPr>
          <w:rFonts w:ascii="Arial Narrow" w:hAnsi="Arial Narrow"/>
          <w:bCs/>
          <w:sz w:val="22"/>
          <w:szCs w:val="22"/>
        </w:rPr>
        <w:t xml:space="preserve"> Internet advertising through advertisements, social networks and other websites</w:t>
      </w:r>
      <w:r>
        <w:rPr>
          <w:rFonts w:ascii="Arial Narrow" w:hAnsi="Arial Narrow"/>
          <w:bCs/>
          <w:sz w:val="22"/>
          <w:szCs w:val="22"/>
        </w:rPr>
        <w:t>.</w:t>
      </w:r>
    </w:p>
    <w:p w:rsidR="00014D96" w:rsidRPr="00D93E1B" w:rsidRDefault="00014D96" w:rsidP="00014D96">
      <w:pPr>
        <w:pStyle w:val="BodyTextIndent3"/>
        <w:tabs>
          <w:tab w:val="left" w:pos="720"/>
        </w:tabs>
        <w:ind w:firstLine="0"/>
        <w:jc w:val="center"/>
        <w:rPr>
          <w:rFonts w:ascii="Arial Narrow" w:hAnsi="Arial Narrow"/>
          <w:sz w:val="22"/>
          <w:szCs w:val="22"/>
        </w:rPr>
      </w:pPr>
    </w:p>
    <w:p w:rsidR="001D1C4F" w:rsidRPr="0091501C" w:rsidRDefault="0091501C" w:rsidP="00014D9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 the total number of enterprises, 19.4%</w:t>
      </w:r>
      <w:r w:rsidRPr="0091501C">
        <w:rPr>
          <w:rFonts w:ascii="Arial Narrow" w:hAnsi="Arial Narrow" w:cs="Tahoma"/>
          <w:i/>
          <w:sz w:val="16"/>
          <w:szCs w:val="16"/>
        </w:rPr>
        <w:t xml:space="preserve"> </w:t>
      </w:r>
      <w:r w:rsidRPr="0091501C">
        <w:rPr>
          <w:rFonts w:ascii="Arial Narrow" w:hAnsi="Arial Narrow"/>
          <w:sz w:val="22"/>
          <w:szCs w:val="22"/>
          <w:lang w:val="sr-Cyrl-CS"/>
        </w:rPr>
        <w:t>of enterprises employ ICT professionals.</w:t>
      </w:r>
      <w:r>
        <w:rPr>
          <w:rFonts w:ascii="Arial Narrow" w:hAnsi="Arial Narrow"/>
          <w:sz w:val="22"/>
          <w:szCs w:val="22"/>
        </w:rPr>
        <w:t xml:space="preserve"> Most of them are employed in financial and insurance activities (95%),</w:t>
      </w:r>
      <w:r w:rsidR="001A0F48">
        <w:rPr>
          <w:rFonts w:ascii="Arial Narrow" w:hAnsi="Arial Narrow"/>
          <w:sz w:val="22"/>
          <w:szCs w:val="22"/>
        </w:rPr>
        <w:t xml:space="preserve"> while manufacturing employs the lowest number of them (15.5%).</w:t>
      </w:r>
      <w:r w:rsidRPr="0091501C">
        <w:rPr>
          <w:rFonts w:ascii="Arial Narrow" w:hAnsi="Arial Narrow"/>
          <w:sz w:val="22"/>
          <w:szCs w:val="22"/>
          <w:lang w:val="sr-Cyrl-CS"/>
        </w:rPr>
        <w:t xml:space="preserve"> A majority of ICT professionals are employed in large enterprises (68.2%).</w:t>
      </w:r>
    </w:p>
    <w:p w:rsidR="001D1C4F" w:rsidRDefault="001D1C4F" w:rsidP="00014D96">
      <w:pPr>
        <w:jc w:val="both"/>
        <w:rPr>
          <w:rFonts w:ascii="Arial Narrow" w:hAnsi="Arial Narrow"/>
          <w:sz w:val="22"/>
          <w:szCs w:val="22"/>
        </w:rPr>
      </w:pPr>
    </w:p>
    <w:p w:rsidR="001A0F48" w:rsidRPr="001A0F48" w:rsidRDefault="001A0F48" w:rsidP="00014D9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During the given period, 61% of enterprises in </w:t>
      </w:r>
      <w:proofErr w:type="spellStart"/>
      <w:r>
        <w:rPr>
          <w:rFonts w:ascii="Arial Narrow" w:hAnsi="Arial Narrow"/>
          <w:sz w:val="22"/>
          <w:szCs w:val="22"/>
        </w:rPr>
        <w:t>Republika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Srpska</w:t>
      </w:r>
      <w:proofErr w:type="spellEnd"/>
      <w:r>
        <w:rPr>
          <w:rFonts w:ascii="Arial Narrow" w:hAnsi="Arial Narrow"/>
          <w:sz w:val="22"/>
          <w:szCs w:val="22"/>
        </w:rPr>
        <w:t xml:space="preserve"> had a website. </w:t>
      </w:r>
      <w:r w:rsidRPr="001A0F48">
        <w:rPr>
          <w:rFonts w:ascii="Arial Narrow" w:hAnsi="Arial Narrow"/>
          <w:sz w:val="22"/>
          <w:szCs w:val="22"/>
        </w:rPr>
        <w:t>In the field of finances, information and communication, 100.0% of enterprises have a website. On the other hand, only 36.5% of enterprises engaged in transport, storage and connections have a website</w:t>
      </w:r>
      <w:r>
        <w:rPr>
          <w:rFonts w:ascii="Arial Narrow" w:hAnsi="Arial Narrow"/>
          <w:sz w:val="22"/>
          <w:szCs w:val="22"/>
        </w:rPr>
        <w:t xml:space="preserve">. Of the total number of enterprises that have a website, in 93.7% website content is tailored to regular visitors, in 89.8% visitors are provided with the description of goods, services and price list of the enterprise, while in 65.4% of enterprises visitors are provided with the possibility to file complaints online.  </w:t>
      </w:r>
    </w:p>
    <w:p w:rsidR="00014D96" w:rsidRPr="00D93E1B" w:rsidRDefault="00014D96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014D96" w:rsidRPr="00D93E1B" w:rsidRDefault="00014D96" w:rsidP="00014D96">
      <w:pPr>
        <w:jc w:val="center"/>
        <w:rPr>
          <w:rFonts w:ascii="Arial Narrow" w:hAnsi="Arial Narrow" w:cs="Tahoma"/>
          <w:b/>
          <w:lang w:val="sr-Cyrl-BA"/>
        </w:rPr>
      </w:pPr>
      <w:r w:rsidRPr="00D93E1B">
        <w:rPr>
          <w:rFonts w:ascii="Arial Narrow" w:hAnsi="Arial Narrow" w:cs="Tahoma"/>
          <w:b/>
          <w:noProof/>
        </w:rPr>
        <w:lastRenderedPageBreak/>
        <w:drawing>
          <wp:inline distT="0" distB="0" distL="0" distR="0">
            <wp:extent cx="5943600" cy="2405811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4D96" w:rsidRPr="00BB44B0" w:rsidRDefault="00BB44B0" w:rsidP="00014D96">
      <w:pPr>
        <w:jc w:val="center"/>
        <w:rPr>
          <w:rFonts w:ascii="Arial Narrow" w:hAnsi="Arial Narrow"/>
          <w:sz w:val="16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014D96" w:rsidRPr="00D93E1B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1D1C4F" w:rsidRPr="00D93E1B">
        <w:rPr>
          <w:rFonts w:ascii="Arial Narrow" w:hAnsi="Arial Narrow" w:cs="Tahoma"/>
          <w:sz w:val="16"/>
          <w:szCs w:val="16"/>
          <w:lang w:val="sr-Cyrl-CS"/>
        </w:rPr>
        <w:t>1</w:t>
      </w:r>
      <w:r w:rsidR="00014D96" w:rsidRPr="00D93E1B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r>
        <w:rPr>
          <w:rFonts w:ascii="Arial Narrow" w:hAnsi="Arial Narrow"/>
          <w:sz w:val="16"/>
        </w:rPr>
        <w:t>Employed ICT professionals by section of activities</w:t>
      </w:r>
      <w:r>
        <w:rPr>
          <w:rFonts w:ascii="Arial Narrow" w:hAnsi="Arial Narrow"/>
          <w:sz w:val="16"/>
          <w:lang w:val="sr-Cyrl-CS"/>
        </w:rPr>
        <w:t>, 2014</w:t>
      </w:r>
    </w:p>
    <w:p w:rsidR="00014D96" w:rsidRPr="00D93E1B" w:rsidRDefault="00014D96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014D96" w:rsidRPr="00D93E1B" w:rsidRDefault="00014D96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E33D13" w:rsidRPr="00D93E1B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D93E1B">
        <w:rPr>
          <w:rFonts w:ascii="Arial Narrow" w:hAnsi="Arial Narrow" w:cs="Tahoma"/>
          <w:b/>
          <w:sz w:val="30"/>
          <w:szCs w:val="30"/>
          <w:lang w:val="sr-Cyrl-CS"/>
        </w:rPr>
        <w:t xml:space="preserve">  </w:t>
      </w:r>
      <w:r w:rsidR="00773F9B">
        <w:rPr>
          <w:rFonts w:ascii="Arial Narrow" w:hAnsi="Arial Narrow" w:cs="Tahoma"/>
          <w:b/>
          <w:sz w:val="30"/>
          <w:szCs w:val="30"/>
        </w:rPr>
        <w:t>Average net wage in April</w:t>
      </w:r>
      <w:r w:rsidR="00E33D13" w:rsidRPr="00D93E1B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D93E1B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C70C0F" w:rsidRPr="00D93E1B">
        <w:rPr>
          <w:rFonts w:ascii="Arial Narrow" w:hAnsi="Arial Narrow" w:cs="Tahoma"/>
          <w:b/>
          <w:sz w:val="30"/>
          <w:szCs w:val="30"/>
          <w:lang w:val="sr-Cyrl-CS"/>
        </w:rPr>
        <w:t>3</w:t>
      </w:r>
      <w:r w:rsidR="00C804D3" w:rsidRPr="00D93E1B">
        <w:rPr>
          <w:rFonts w:ascii="Arial Narrow" w:hAnsi="Arial Narrow" w:cs="Tahoma"/>
          <w:b/>
          <w:sz w:val="30"/>
          <w:szCs w:val="30"/>
          <w:lang w:val="sr-Cyrl-CS"/>
        </w:rPr>
        <w:t>5</w:t>
      </w:r>
      <w:r w:rsidR="00E33D13" w:rsidRPr="00D93E1B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D93E1B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D93E1B" w:rsidRDefault="00773F9B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0F6665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0F6665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0F6665">
        <w:rPr>
          <w:rFonts w:ascii="Arial Narrow" w:hAnsi="Arial Narrow" w:cs="Tahoma"/>
          <w:b/>
          <w:sz w:val="28"/>
          <w:szCs w:val="28"/>
        </w:rPr>
        <w:t xml:space="preserve"> </w:t>
      </w:r>
      <w:r w:rsidR="00E33D13" w:rsidRPr="00D93E1B">
        <w:rPr>
          <w:rFonts w:ascii="Arial Narrow" w:hAnsi="Arial Narrow" w:cs="Tahoma"/>
          <w:b/>
          <w:sz w:val="28"/>
          <w:szCs w:val="28"/>
          <w:lang w:val="ru-RU"/>
        </w:rPr>
        <w:t>1</w:t>
      </w:r>
      <w:r>
        <w:rPr>
          <w:rFonts w:ascii="Arial Narrow" w:hAnsi="Arial Narrow" w:cs="Tahoma"/>
          <w:b/>
          <w:sz w:val="28"/>
          <w:szCs w:val="28"/>
        </w:rPr>
        <w:t>,</w:t>
      </w:r>
      <w:r w:rsidR="00E33D13" w:rsidRPr="00D93E1B">
        <w:rPr>
          <w:rFonts w:ascii="Arial Narrow" w:hAnsi="Arial Narrow" w:cs="Tahoma"/>
          <w:b/>
          <w:sz w:val="28"/>
          <w:szCs w:val="28"/>
          <w:lang w:val="ru-RU"/>
        </w:rPr>
        <w:t>2</w:t>
      </w:r>
      <w:r w:rsidR="00C804D3" w:rsidRPr="00D93E1B">
        <w:rPr>
          <w:rFonts w:ascii="Arial Narrow" w:hAnsi="Arial Narrow" w:cs="Tahoma"/>
          <w:b/>
          <w:sz w:val="28"/>
          <w:szCs w:val="28"/>
          <w:lang w:val="sr-Cyrl-BA"/>
        </w:rPr>
        <w:t>67</w:t>
      </w:r>
      <w:r w:rsidR="00E33D13" w:rsidRPr="00D93E1B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D93E1B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>
        <w:rPr>
          <w:rFonts w:ascii="Arial Narrow" w:hAnsi="Arial Narrow" w:cs="Tahoma"/>
          <w:b/>
          <w:sz w:val="28"/>
          <w:szCs w:val="28"/>
        </w:rPr>
        <w:t>while the lowest one was that in the section</w:t>
      </w:r>
      <w:r w:rsidR="00E33D13" w:rsidRPr="00D93E1B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0F6665">
        <w:rPr>
          <w:rFonts w:ascii="Arial Narrow" w:hAnsi="Arial Narrow" w:cs="Tahoma"/>
          <w:b/>
          <w:i/>
          <w:sz w:val="28"/>
          <w:szCs w:val="28"/>
        </w:rPr>
        <w:t>Administrative and support service activities</w:t>
      </w:r>
      <w:r w:rsidR="0048741A" w:rsidRPr="00D93E1B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="00E33D13" w:rsidRPr="00D93E1B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32724B" w:rsidRPr="00D93E1B">
        <w:rPr>
          <w:rFonts w:ascii="Arial Narrow" w:hAnsi="Arial Narrow" w:cs="Tahoma"/>
          <w:b/>
          <w:sz w:val="28"/>
          <w:szCs w:val="28"/>
          <w:lang w:val="sr-Cyrl-BA"/>
        </w:rPr>
        <w:t>1</w:t>
      </w:r>
      <w:r w:rsidR="00C804D3" w:rsidRPr="00D93E1B">
        <w:rPr>
          <w:rFonts w:ascii="Arial Narrow" w:hAnsi="Arial Narrow" w:cs="Tahoma"/>
          <w:b/>
          <w:sz w:val="28"/>
          <w:szCs w:val="28"/>
          <w:lang w:val="sr-Cyrl-BA"/>
        </w:rPr>
        <w:t>0</w:t>
      </w:r>
      <w:r w:rsidR="00E33D13" w:rsidRPr="00D93E1B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D93E1B" w:rsidRDefault="00E33D13" w:rsidP="00E33D13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EB4D71" w:rsidRDefault="00EB4D71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Average monthly net wage of employed persons in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>
        <w:rPr>
          <w:rFonts w:ascii="Arial Narrow" w:hAnsi="Arial Narrow" w:cs="Tahoma"/>
          <w:sz w:val="22"/>
        </w:rPr>
        <w:t xml:space="preserve"> paid in April 2015 was 835 KM, while average gross wage was 1,346 KM. </w:t>
      </w:r>
    </w:p>
    <w:p w:rsidR="00B82005" w:rsidRPr="00D93E1B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EB4D71" w:rsidRDefault="006905A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  <w:r>
        <w:rPr>
          <w:rFonts w:ascii="Arial Narrow" w:hAnsi="Arial Narrow" w:cs="Tahoma"/>
          <w:sz w:val="22"/>
          <w:lang w:val="sr-Latn-CS"/>
        </w:rPr>
        <w:t xml:space="preserve">Compared to April 2014, average net wage paid in April 2015 was really 2.6% higher, while compared to March 2015 it was really 1.6% higher. </w:t>
      </w:r>
    </w:p>
    <w:p w:rsidR="00B82005" w:rsidRPr="00D93E1B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215BE" w:rsidRDefault="00F215BE" w:rsidP="00C804D3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The increase in average net wages in April 2015, compared to March 2015, occurred mainly due to a higher number of paid hours of work </w:t>
      </w:r>
      <w:proofErr w:type="spellStart"/>
      <w:r>
        <w:rPr>
          <w:rFonts w:ascii="Arial Narrow" w:hAnsi="Arial Narrow" w:cs="Tahoma"/>
          <w:sz w:val="22"/>
        </w:rPr>
        <w:t>realised</w:t>
      </w:r>
      <w:proofErr w:type="spellEnd"/>
      <w:r>
        <w:rPr>
          <w:rFonts w:ascii="Arial Narrow" w:hAnsi="Arial Narrow" w:cs="Tahoma"/>
          <w:sz w:val="22"/>
        </w:rPr>
        <w:t xml:space="preserve"> in the sections mining and quarrying and information and communication. </w:t>
      </w:r>
    </w:p>
    <w:p w:rsidR="00E33D13" w:rsidRPr="00D93E1B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F215BE" w:rsidRDefault="00F215BE" w:rsidP="00E33D13">
      <w:pPr>
        <w:tabs>
          <w:tab w:val="left" w:pos="4343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April 2015, the highest average net wage, by section of activities, was paid in the section </w:t>
      </w:r>
      <w:r w:rsidRPr="000F6665">
        <w:rPr>
          <w:rFonts w:ascii="Arial Narrow" w:hAnsi="Arial Narrow" w:cs="Tahoma"/>
          <w:i/>
          <w:sz w:val="22"/>
        </w:rPr>
        <w:t xml:space="preserve">Financial and insurance activities </w:t>
      </w:r>
      <w:r w:rsidRPr="000F6665">
        <w:rPr>
          <w:rFonts w:ascii="Arial Narrow" w:hAnsi="Arial Narrow" w:cs="Tahoma"/>
          <w:sz w:val="22"/>
        </w:rPr>
        <w:t>and it amounted to</w:t>
      </w:r>
      <w:r>
        <w:rPr>
          <w:rFonts w:ascii="Arial Narrow" w:hAnsi="Arial Narrow" w:cs="Tahoma"/>
          <w:sz w:val="22"/>
        </w:rPr>
        <w:t xml:space="preserve"> 1,267 KM. On the other hand, the lowest average net wage in April 2015 was the one paid in the section </w:t>
      </w:r>
      <w:r w:rsidRPr="000F6665">
        <w:rPr>
          <w:rFonts w:ascii="Arial Narrow" w:hAnsi="Arial Narrow" w:cs="Tahoma"/>
          <w:i/>
          <w:sz w:val="22"/>
        </w:rPr>
        <w:t>Administrative and support service activities</w:t>
      </w:r>
      <w:r>
        <w:rPr>
          <w:rFonts w:ascii="Arial Narrow" w:hAnsi="Arial Narrow" w:cs="Tahoma"/>
          <w:i/>
          <w:sz w:val="22"/>
        </w:rPr>
        <w:t xml:space="preserve"> </w:t>
      </w:r>
      <w:r w:rsidRPr="00F215BE">
        <w:rPr>
          <w:rFonts w:ascii="Arial Narrow" w:hAnsi="Arial Narrow" w:cs="Tahoma"/>
          <w:sz w:val="22"/>
        </w:rPr>
        <w:t>510 KM.</w:t>
      </w:r>
      <w:r>
        <w:rPr>
          <w:rFonts w:ascii="Arial Narrow" w:hAnsi="Arial Narrow" w:cs="Tahoma"/>
          <w:i/>
          <w:sz w:val="22"/>
        </w:rPr>
        <w:t xml:space="preserve"> </w:t>
      </w:r>
    </w:p>
    <w:p w:rsidR="00E33D13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215BE" w:rsidRPr="00F215BE" w:rsidRDefault="00F215BE" w:rsidP="00E33D13">
      <w:pPr>
        <w:jc w:val="both"/>
        <w:rPr>
          <w:rFonts w:ascii="Arial Narrow" w:hAnsi="Arial Narrow" w:cs="Tahoma"/>
          <w:sz w:val="22"/>
          <w:lang w:val="sr-Latn-CS"/>
        </w:rPr>
      </w:pPr>
      <w:r>
        <w:rPr>
          <w:rFonts w:ascii="Arial Narrow" w:hAnsi="Arial Narrow" w:cs="Tahoma"/>
          <w:sz w:val="22"/>
          <w:lang w:val="sr-Latn-CS"/>
        </w:rPr>
        <w:t xml:space="preserve">In April 2015, </w:t>
      </w:r>
      <w:proofErr w:type="spellStart"/>
      <w:r>
        <w:rPr>
          <w:rFonts w:ascii="Arial Narrow" w:hAnsi="Arial Narrow" w:cs="Tahoma"/>
          <w:sz w:val="22"/>
          <w:lang w:val="sr-Latn-CS"/>
        </w:rPr>
        <w:t>compared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to March 2015, the highest nominal increase in net wages was recorded in the sections </w:t>
      </w:r>
      <w:r w:rsidRPr="006A5BB2">
        <w:rPr>
          <w:rFonts w:ascii="Arial Narrow" w:hAnsi="Arial Narrow" w:cs="Tahoma"/>
          <w:i/>
          <w:sz w:val="22"/>
          <w:szCs w:val="22"/>
        </w:rPr>
        <w:t>Mining and quarrying</w:t>
      </w:r>
      <w:r>
        <w:rPr>
          <w:rFonts w:ascii="Arial Narrow" w:hAnsi="Arial Narrow" w:cs="Tahoma"/>
          <w:i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4.8%, </w:t>
      </w:r>
      <w:r w:rsidRPr="00F215BE">
        <w:rPr>
          <w:rFonts w:ascii="Arial Narrow" w:hAnsi="Arial Narrow" w:cs="Tahoma"/>
          <w:i/>
          <w:sz w:val="22"/>
          <w:szCs w:val="22"/>
        </w:rPr>
        <w:t>Information and communication</w:t>
      </w:r>
      <w:r>
        <w:rPr>
          <w:rFonts w:ascii="Arial Narrow" w:hAnsi="Arial Narrow" w:cs="Tahoma"/>
          <w:sz w:val="22"/>
          <w:szCs w:val="22"/>
        </w:rPr>
        <w:t xml:space="preserve"> 4.2% and </w:t>
      </w:r>
      <w:r w:rsidRPr="00F215BE">
        <w:rPr>
          <w:rFonts w:ascii="Arial Narrow" w:hAnsi="Arial Narrow" w:cs="Tahoma"/>
          <w:i/>
          <w:sz w:val="22"/>
          <w:szCs w:val="22"/>
        </w:rPr>
        <w:t>Construction</w:t>
      </w:r>
      <w:r>
        <w:rPr>
          <w:rFonts w:ascii="Arial Narrow" w:hAnsi="Arial Narrow" w:cs="Tahoma"/>
          <w:sz w:val="22"/>
          <w:szCs w:val="22"/>
        </w:rPr>
        <w:t xml:space="preserve"> 2.9%. </w:t>
      </w:r>
    </w:p>
    <w:p w:rsidR="00C804D3" w:rsidRDefault="00C804D3" w:rsidP="00E33D13">
      <w:pPr>
        <w:jc w:val="both"/>
        <w:rPr>
          <w:rFonts w:ascii="Arial Narrow" w:hAnsi="Arial Narrow" w:cs="Tahoma"/>
          <w:sz w:val="22"/>
          <w:szCs w:val="22"/>
        </w:rPr>
      </w:pPr>
    </w:p>
    <w:p w:rsidR="00396802" w:rsidRPr="00D93E1B" w:rsidRDefault="00030779" w:rsidP="00E33D13">
      <w:pPr>
        <w:jc w:val="both"/>
        <w:rPr>
          <w:rFonts w:ascii="Tahoma" w:hAnsi="Tahoma" w:cs="Tahoma"/>
          <w:i/>
          <w:sz w:val="14"/>
          <w:lang w:val="sr-Cyrl-C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73" type="#_x0000_t202" style="position:absolute;left:0;text-align:left;margin-left:385.35pt;margin-top:18.1pt;width:29.65pt;height:19.8pt;z-index:2516715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030779" w:rsidRDefault="00030779">
                  <w:r w:rsidRPr="00D93E1B">
                    <w:rPr>
                      <w:rFonts w:ascii="Arial Narrow" w:hAnsi="Arial Narrow" w:cs="Tahoma"/>
                      <w:sz w:val="22"/>
                      <w:szCs w:val="22"/>
                      <w:lang w:val="sr-Cyrl-CS"/>
                    </w:rPr>
                    <w:t>км</w:t>
                  </w:r>
                </w:p>
              </w:txbxContent>
            </v:textbox>
          </v:shape>
        </w:pict>
      </w:r>
      <w:r w:rsidR="00F215BE">
        <w:rPr>
          <w:rFonts w:ascii="Arial Narrow" w:hAnsi="Arial Narrow" w:cs="Tahoma"/>
          <w:sz w:val="22"/>
          <w:szCs w:val="22"/>
        </w:rPr>
        <w:t xml:space="preserve">A decrease in nominal wages was recorded in the sections Real estate activities 3.2%, </w:t>
      </w:r>
      <w:r w:rsidR="00F215BE" w:rsidRPr="00F215BE">
        <w:rPr>
          <w:rFonts w:ascii="Arial Narrow" w:hAnsi="Arial Narrow" w:cs="Tahoma"/>
          <w:i/>
          <w:sz w:val="22"/>
          <w:szCs w:val="22"/>
        </w:rPr>
        <w:t>Human health and social work activities</w:t>
      </w:r>
      <w:r w:rsidR="00F215BE">
        <w:rPr>
          <w:rFonts w:ascii="Arial Narrow" w:hAnsi="Arial Narrow" w:cs="Tahoma"/>
          <w:sz w:val="22"/>
          <w:szCs w:val="22"/>
        </w:rPr>
        <w:t xml:space="preserve"> 2.5% and </w:t>
      </w:r>
      <w:r w:rsidR="00F215BE" w:rsidRPr="006A5BB2">
        <w:rPr>
          <w:rFonts w:ascii="Arial Narrow" w:hAnsi="Arial Narrow" w:cs="Tahoma"/>
          <w:i/>
          <w:sz w:val="22"/>
          <w:szCs w:val="22"/>
        </w:rPr>
        <w:t>Arts, entertainment and recreation</w:t>
      </w:r>
      <w:r w:rsidR="00F215BE">
        <w:rPr>
          <w:rFonts w:ascii="Arial Narrow" w:hAnsi="Arial Narrow" w:cs="Tahoma"/>
          <w:i/>
          <w:sz w:val="22"/>
          <w:szCs w:val="22"/>
        </w:rPr>
        <w:t xml:space="preserve"> </w:t>
      </w:r>
      <w:r w:rsidR="00F215BE" w:rsidRPr="00F215BE">
        <w:rPr>
          <w:rFonts w:ascii="Arial Narrow" w:hAnsi="Arial Narrow" w:cs="Tahoma"/>
          <w:sz w:val="22"/>
          <w:szCs w:val="22"/>
        </w:rPr>
        <w:t xml:space="preserve">1.5%. </w:t>
      </w:r>
    </w:p>
    <w:p w:rsidR="00E33D13" w:rsidRPr="00D93E1B" w:rsidRDefault="00030779" w:rsidP="00030779">
      <w:pPr>
        <w:jc w:val="both"/>
        <w:rPr>
          <w:rFonts w:ascii="Tahoma" w:hAnsi="Tahoma" w:cs="Tahoma"/>
        </w:rPr>
      </w:pPr>
      <w:r w:rsidRPr="00D93E1B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 wp14:anchorId="4E73F6D9" wp14:editId="51D1B913">
            <wp:simplePos x="0" y="0"/>
            <wp:positionH relativeFrom="column">
              <wp:posOffset>1495853</wp:posOffset>
            </wp:positionH>
            <wp:positionV relativeFrom="paragraph">
              <wp:posOffset>1610995</wp:posOffset>
            </wp:positionV>
            <wp:extent cx="379222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22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33D13" w:rsidRPr="00D93E1B">
        <w:rPr>
          <w:rFonts w:ascii="Tahoma" w:hAnsi="Tahoma" w:cs="Tahoma"/>
          <w:i/>
          <w:sz w:val="14"/>
          <w:lang w:val="sr-Cyrl-CS"/>
        </w:rPr>
        <w:t xml:space="preserve"> </w:t>
      </w:r>
      <w:r w:rsidR="00E33D13" w:rsidRPr="00D93E1B">
        <w:rPr>
          <w:rFonts w:ascii="Tahoma" w:hAnsi="Tahoma" w:cs="Tahoma"/>
          <w:sz w:val="14"/>
          <w:lang w:val="sr-Cyrl-CS"/>
        </w:rPr>
        <w:t xml:space="preserve">   </w:t>
      </w:r>
      <w:r w:rsidR="00E33D13" w:rsidRPr="00D93E1B">
        <w:rPr>
          <w:rFonts w:ascii="Tahoma" w:hAnsi="Tahoma" w:cs="Tahoma"/>
          <w:sz w:val="14"/>
          <w:lang w:val="sr-Latn-CS"/>
        </w:rPr>
        <w:tab/>
      </w:r>
      <w:r w:rsidR="00E33D13" w:rsidRPr="00D93E1B">
        <w:rPr>
          <w:rFonts w:ascii="Tahoma" w:hAnsi="Tahoma" w:cs="Tahoma"/>
          <w:sz w:val="14"/>
          <w:lang w:val="sr-Latn-CS"/>
        </w:rPr>
        <w:tab/>
      </w:r>
      <w:r w:rsidR="00E33D13" w:rsidRPr="00D93E1B">
        <w:rPr>
          <w:rFonts w:ascii="Tahoma" w:hAnsi="Tahoma" w:cs="Tahoma"/>
          <w:sz w:val="14"/>
        </w:rPr>
        <w:t xml:space="preserve">            </w:t>
      </w:r>
      <w:r w:rsidR="00F85AAC" w:rsidRPr="00D93E1B">
        <w:rPr>
          <w:rFonts w:ascii="Tahoma" w:hAnsi="Tahoma" w:cs="Tahoma"/>
          <w:sz w:val="14"/>
          <w:lang w:val="sr-Cyrl-BA"/>
        </w:rPr>
        <w:t xml:space="preserve">   </w:t>
      </w:r>
      <w:r w:rsidR="00E33D13" w:rsidRPr="00D93E1B">
        <w:rPr>
          <w:rFonts w:ascii="Tahoma" w:hAnsi="Tahoma" w:cs="Tahoma"/>
          <w:szCs w:val="18"/>
        </w:rPr>
        <w:t xml:space="preserve">   </w:t>
      </w:r>
      <w:r w:rsidR="00C804D3" w:rsidRPr="00D93E1B">
        <w:rPr>
          <w:rFonts w:ascii="Tahoma" w:hAnsi="Tahoma" w:cs="Tahoma"/>
          <w:noProof/>
          <w:szCs w:val="18"/>
        </w:rPr>
        <w:drawing>
          <wp:inline distT="0" distB="0" distL="0" distR="0">
            <wp:extent cx="3792236" cy="226636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E33D13" w:rsidRPr="00AC11F7" w:rsidRDefault="00AC11F7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E33D13" w:rsidRPr="00D93E1B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="00CE2F01" w:rsidRPr="00D93E1B">
        <w:rPr>
          <w:rFonts w:ascii="Arial Narrow" w:hAnsi="Arial Narrow" w:cs="Tahoma"/>
          <w:sz w:val="16"/>
          <w:szCs w:val="22"/>
          <w:lang w:val="sr-Latn-BA"/>
        </w:rPr>
        <w:t>2</w:t>
      </w:r>
      <w:r w:rsidR="00E33D13" w:rsidRPr="00D93E1B">
        <w:rPr>
          <w:rFonts w:ascii="Arial Narrow" w:hAnsi="Arial Narrow" w:cs="Tahoma"/>
          <w:sz w:val="16"/>
          <w:szCs w:val="22"/>
          <w:lang w:val="sr-Cyrl-CS"/>
        </w:rPr>
        <w:t>.</w:t>
      </w:r>
      <w:r w:rsidR="00E33D13" w:rsidRPr="00D93E1B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CA19B5" w:rsidRPr="00D93E1B" w:rsidRDefault="00CA19B5">
      <w:pPr>
        <w:rPr>
          <w:rFonts w:ascii="Tahoma" w:hAnsi="Tahoma" w:cs="Tahoma"/>
          <w:lang w:val="sr-Latn-BA"/>
        </w:rPr>
      </w:pPr>
    </w:p>
    <w:p w:rsidR="007E0E39" w:rsidRPr="00D93E1B" w:rsidRDefault="00C713A6" w:rsidP="007E0E39">
      <w:pPr>
        <w:rPr>
          <w:rFonts w:ascii="Arial Narrow" w:hAnsi="Arial Narrow" w:cs="Tahoma"/>
          <w:b/>
          <w:sz w:val="30"/>
          <w:szCs w:val="30"/>
          <w:lang w:val="sr-Latn-CS"/>
        </w:rPr>
      </w:pPr>
      <w:r>
        <w:rPr>
          <w:rFonts w:ascii="Arial Narrow" w:hAnsi="Arial Narrow" w:cs="Tahoma"/>
          <w:b/>
          <w:sz w:val="30"/>
          <w:szCs w:val="30"/>
        </w:rPr>
        <w:t xml:space="preserve">Monthly inflation </w:t>
      </w:r>
      <w:r>
        <w:rPr>
          <w:rFonts w:ascii="Arial Narrow" w:hAnsi="Arial Narrow" w:cs="Tahoma"/>
          <w:b/>
          <w:sz w:val="30"/>
          <w:szCs w:val="30"/>
          <w:lang w:val="sr-Cyrl-BA"/>
        </w:rPr>
        <w:t>-1</w:t>
      </w:r>
      <w:r>
        <w:rPr>
          <w:rFonts w:ascii="Arial Narrow" w:hAnsi="Arial Narrow" w:cs="Tahoma"/>
          <w:b/>
          <w:sz w:val="30"/>
          <w:szCs w:val="30"/>
        </w:rPr>
        <w:t>.</w:t>
      </w:r>
      <w:r w:rsidRPr="00D93E1B">
        <w:rPr>
          <w:rFonts w:ascii="Arial Narrow" w:hAnsi="Arial Narrow" w:cs="Tahoma"/>
          <w:b/>
          <w:sz w:val="30"/>
          <w:szCs w:val="30"/>
          <w:lang w:val="sr-Cyrl-BA"/>
        </w:rPr>
        <w:t>1%</w:t>
      </w:r>
      <w:r>
        <w:rPr>
          <w:rFonts w:ascii="Arial Narrow" w:hAnsi="Arial Narrow" w:cs="Tahoma"/>
          <w:b/>
          <w:sz w:val="30"/>
          <w:szCs w:val="30"/>
        </w:rPr>
        <w:t xml:space="preserve"> in April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2015</w:t>
      </w:r>
      <w:r w:rsidR="007E0E39" w:rsidRPr="00D93E1B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</w:p>
    <w:p w:rsidR="007E0E39" w:rsidRPr="00D93E1B" w:rsidRDefault="00C713A6" w:rsidP="007E0E39">
      <w:pPr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7E0E39" w:rsidRPr="00D93E1B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28"/>
        </w:rPr>
        <w:t>April</w:t>
      </w:r>
      <w:r w:rsidR="007E0E39" w:rsidRPr="00D93E1B">
        <w:rPr>
          <w:rFonts w:ascii="Arial Narrow" w:hAnsi="Arial Narrow" w:cs="Tahoma"/>
          <w:b/>
          <w:sz w:val="30"/>
          <w:szCs w:val="30"/>
          <w:lang w:val="sr-Cyrl-BA"/>
        </w:rPr>
        <w:t xml:space="preserve"> 2015/</w:t>
      </w:r>
      <w:r>
        <w:rPr>
          <w:rFonts w:ascii="Arial Narrow" w:hAnsi="Arial Narrow" w:cs="Tahoma"/>
          <w:b/>
          <w:sz w:val="28"/>
        </w:rPr>
        <w:t xml:space="preserve">April </w:t>
      </w:r>
      <w:r>
        <w:rPr>
          <w:rFonts w:ascii="Arial Narrow" w:hAnsi="Arial Narrow" w:cs="Tahoma"/>
          <w:b/>
          <w:sz w:val="30"/>
          <w:szCs w:val="30"/>
          <w:lang w:val="sr-Cyrl-BA"/>
        </w:rPr>
        <w:t>2014) -0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7E0E39" w:rsidRPr="00D93E1B">
        <w:rPr>
          <w:rFonts w:ascii="Arial Narrow" w:hAnsi="Arial Narrow" w:cs="Tahoma"/>
          <w:b/>
          <w:sz w:val="30"/>
          <w:szCs w:val="30"/>
          <w:lang w:val="sr-Cyrl-BA"/>
        </w:rPr>
        <w:t>9%</w:t>
      </w:r>
    </w:p>
    <w:p w:rsidR="007E0E39" w:rsidRPr="00D93E1B" w:rsidRDefault="007E0E39" w:rsidP="00CC790C">
      <w:pPr>
        <w:spacing w:after="120"/>
        <w:jc w:val="both"/>
        <w:rPr>
          <w:rFonts w:ascii="Arial Narrow" w:hAnsi="Arial Narrow" w:cs="Tahoma"/>
          <w:lang w:val="sr-Cyrl-BA"/>
        </w:rPr>
      </w:pPr>
    </w:p>
    <w:p w:rsidR="005C20CF" w:rsidRDefault="005C20CF" w:rsidP="00CC790C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Prices of products and services for personal consumption in </w:t>
      </w:r>
      <w:proofErr w:type="spellStart"/>
      <w:r>
        <w:rPr>
          <w:rFonts w:ascii="Arial Narrow" w:hAnsi="Arial Narrow" w:cs="Tahoma"/>
          <w:sz w:val="22"/>
          <w:szCs w:val="22"/>
        </w:rPr>
        <w:t>Republika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</w:rPr>
        <w:t>Srpska</w:t>
      </w:r>
      <w:proofErr w:type="spellEnd"/>
      <w:r>
        <w:rPr>
          <w:rFonts w:ascii="Arial Narrow" w:hAnsi="Arial Narrow" w:cs="Tahoma"/>
          <w:sz w:val="22"/>
          <w:szCs w:val="22"/>
        </w:rPr>
        <w:t>, measured with the consumer price index, in April 2015, compared to the previous month, were on the average 1.1% lower, while at the annual level they were 0.9% lower.</w:t>
      </w:r>
    </w:p>
    <w:p w:rsidR="007E0E39" w:rsidRPr="003E38E5" w:rsidRDefault="003E38E5" w:rsidP="00CC790C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Of the main 12 divisions of products and services, an increase in prices was recorded in four divisions, a decrease also in four of them, while prices in four remaining divisions remained on the average at the same level. </w:t>
      </w:r>
    </w:p>
    <w:p w:rsidR="00AC49F2" w:rsidRDefault="00AC49F2" w:rsidP="00CC790C">
      <w:pPr>
        <w:jc w:val="both"/>
        <w:rPr>
          <w:rFonts w:ascii="Arial Narrow" w:hAnsi="Arial Narrow" w:cs="Tahoma"/>
          <w:sz w:val="22"/>
          <w:szCs w:val="22"/>
        </w:rPr>
      </w:pPr>
    </w:p>
    <w:p w:rsidR="00AC49F2" w:rsidRPr="00292F95" w:rsidRDefault="00AC49F2" w:rsidP="00CC790C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increase in prices was recorded in the divisions </w:t>
      </w:r>
      <w:r w:rsidRPr="00292F95">
        <w:rPr>
          <w:rFonts w:ascii="Arial Narrow" w:hAnsi="Arial Narrow" w:cs="Tahoma"/>
          <w:i/>
          <w:sz w:val="22"/>
          <w:szCs w:val="22"/>
        </w:rPr>
        <w:t>Alcoholic beverages and tobacco</w:t>
      </w:r>
      <w:r>
        <w:rPr>
          <w:rFonts w:ascii="Arial Narrow" w:hAnsi="Arial Narrow" w:cs="Tahoma"/>
          <w:sz w:val="22"/>
          <w:szCs w:val="22"/>
        </w:rPr>
        <w:t xml:space="preserve"> and </w:t>
      </w:r>
      <w:proofErr w:type="gramStart"/>
      <w:r w:rsidRPr="00292F95">
        <w:rPr>
          <w:rFonts w:ascii="Arial Narrow" w:hAnsi="Arial Narrow" w:cs="Tahoma"/>
          <w:i/>
          <w:sz w:val="22"/>
          <w:szCs w:val="22"/>
        </w:rPr>
        <w:t>Other</w:t>
      </w:r>
      <w:proofErr w:type="gramEnd"/>
      <w:r w:rsidRPr="00292F95">
        <w:rPr>
          <w:rFonts w:ascii="Arial Narrow" w:hAnsi="Arial Narrow" w:cs="Tahoma"/>
          <w:i/>
          <w:sz w:val="22"/>
          <w:szCs w:val="22"/>
        </w:rPr>
        <w:t xml:space="preserve"> goods and services</w:t>
      </w:r>
      <w:r>
        <w:rPr>
          <w:rFonts w:ascii="Arial Narrow" w:hAnsi="Arial Narrow" w:cs="Tahoma"/>
          <w:sz w:val="22"/>
          <w:szCs w:val="22"/>
        </w:rPr>
        <w:t xml:space="preserve"> (0.8%). </w:t>
      </w:r>
      <w:r w:rsidR="00292F95">
        <w:rPr>
          <w:rFonts w:ascii="Arial Narrow" w:hAnsi="Arial Narrow" w:cs="Tahoma"/>
          <w:sz w:val="22"/>
          <w:szCs w:val="22"/>
        </w:rPr>
        <w:t xml:space="preserve">The increase in prices in the division </w:t>
      </w:r>
      <w:r w:rsidR="00292F95" w:rsidRPr="00292F95">
        <w:rPr>
          <w:rFonts w:ascii="Arial Narrow" w:hAnsi="Arial Narrow" w:cs="Tahoma"/>
          <w:i/>
          <w:sz w:val="22"/>
          <w:szCs w:val="22"/>
        </w:rPr>
        <w:t>Alcoholic beverages and tobacco</w:t>
      </w:r>
      <w:r w:rsidR="00292F95">
        <w:rPr>
          <w:rFonts w:ascii="Arial Narrow" w:hAnsi="Arial Narrow" w:cs="Tahoma"/>
          <w:i/>
          <w:sz w:val="22"/>
          <w:szCs w:val="22"/>
        </w:rPr>
        <w:t xml:space="preserve"> </w:t>
      </w:r>
      <w:r w:rsidR="00292F95">
        <w:rPr>
          <w:rFonts w:ascii="Arial Narrow" w:hAnsi="Arial Narrow" w:cs="Tahoma"/>
          <w:sz w:val="22"/>
          <w:szCs w:val="22"/>
        </w:rPr>
        <w:t>occurred due to higher prices of cigarettes by 4.2% - increase in producer prices of 1</w:t>
      </w:r>
      <w:r w:rsidR="00292F95" w:rsidRPr="00292F95">
        <w:rPr>
          <w:rFonts w:ascii="Arial Narrow" w:hAnsi="Arial Narrow" w:cs="Tahoma"/>
          <w:sz w:val="22"/>
          <w:szCs w:val="22"/>
          <w:vertAlign w:val="superscript"/>
        </w:rPr>
        <w:t>st</w:t>
      </w:r>
      <w:r w:rsidR="00292F95">
        <w:rPr>
          <w:rFonts w:ascii="Arial Narrow" w:hAnsi="Arial Narrow" w:cs="Tahoma"/>
          <w:sz w:val="22"/>
          <w:szCs w:val="22"/>
        </w:rPr>
        <w:t xml:space="preserve"> April, while the increase in the division </w:t>
      </w:r>
      <w:r w:rsidR="00292F95" w:rsidRPr="00292F95">
        <w:rPr>
          <w:rFonts w:ascii="Arial Narrow" w:hAnsi="Arial Narrow" w:cs="Tahoma"/>
          <w:i/>
          <w:sz w:val="22"/>
          <w:szCs w:val="22"/>
        </w:rPr>
        <w:t>Other goods and services</w:t>
      </w:r>
      <w:r w:rsidR="00292F95">
        <w:rPr>
          <w:rFonts w:ascii="Arial Narrow" w:hAnsi="Arial Narrow" w:cs="Tahoma"/>
          <w:i/>
          <w:sz w:val="22"/>
          <w:szCs w:val="22"/>
        </w:rPr>
        <w:t xml:space="preserve"> </w:t>
      </w:r>
      <w:r w:rsidR="00373E98">
        <w:rPr>
          <w:rFonts w:ascii="Arial Narrow" w:hAnsi="Arial Narrow" w:cs="Tahoma"/>
          <w:sz w:val="22"/>
          <w:szCs w:val="22"/>
        </w:rPr>
        <w:t xml:space="preserve">was recorded as a result of higher prices in the group personal care products (1.5%). A slight increase was also recorded in the division Food </w:t>
      </w:r>
      <w:r w:rsidR="00373E98" w:rsidRPr="00373E98">
        <w:rPr>
          <w:rFonts w:ascii="Arial Narrow" w:hAnsi="Arial Narrow" w:cs="Tahoma"/>
          <w:i/>
          <w:sz w:val="22"/>
          <w:szCs w:val="22"/>
        </w:rPr>
        <w:t>and alcoholic beverages</w:t>
      </w:r>
      <w:r w:rsidR="00373E98">
        <w:rPr>
          <w:rFonts w:ascii="Arial Narrow" w:hAnsi="Arial Narrow" w:cs="Tahoma"/>
          <w:sz w:val="22"/>
          <w:szCs w:val="22"/>
        </w:rPr>
        <w:t xml:space="preserve"> (0.4%), due to higher (seasonal) prices in the </w:t>
      </w:r>
      <w:proofErr w:type="gramStart"/>
      <w:r w:rsidR="00373E98">
        <w:rPr>
          <w:rFonts w:ascii="Arial Narrow" w:hAnsi="Arial Narrow" w:cs="Tahoma"/>
          <w:sz w:val="22"/>
          <w:szCs w:val="22"/>
        </w:rPr>
        <w:t>groups</w:t>
      </w:r>
      <w:proofErr w:type="gramEnd"/>
      <w:r w:rsidR="00373E98">
        <w:rPr>
          <w:rFonts w:ascii="Arial Narrow" w:hAnsi="Arial Narrow" w:cs="Tahoma"/>
          <w:sz w:val="22"/>
          <w:szCs w:val="22"/>
        </w:rPr>
        <w:t xml:space="preserve"> fresh vegetables (5.1%) and fruit (0.7%). </w:t>
      </w:r>
    </w:p>
    <w:p w:rsidR="00B0510C" w:rsidRPr="00D93E1B" w:rsidRDefault="00B0510C" w:rsidP="00CC790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0510C" w:rsidRPr="00373E98" w:rsidRDefault="00373E98" w:rsidP="00B0510C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In the divisions</w:t>
      </w:r>
      <w:r w:rsidR="007E0E39" w:rsidRPr="00D93E1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7327D5">
        <w:rPr>
          <w:rFonts w:ascii="Arial Narrow" w:hAnsi="Arial Narrow" w:cs="Tahoma"/>
          <w:i/>
          <w:sz w:val="22"/>
        </w:rPr>
        <w:t>Furnishings and other equipment</w:t>
      </w:r>
      <w:r w:rsidR="007E0E39" w:rsidRPr="00D93E1B">
        <w:rPr>
          <w:rFonts w:ascii="Arial Narrow" w:hAnsi="Arial Narrow" w:cs="Tahoma"/>
          <w:i/>
          <w:sz w:val="22"/>
          <w:szCs w:val="22"/>
          <w:lang w:val="sr-Cyrl-BA"/>
        </w:rPr>
        <w:t xml:space="preserve">, </w:t>
      </w:r>
      <w:r>
        <w:rPr>
          <w:rFonts w:ascii="Arial Narrow" w:hAnsi="Arial Narrow" w:cs="Tahoma"/>
          <w:i/>
          <w:sz w:val="22"/>
          <w:szCs w:val="22"/>
        </w:rPr>
        <w:t>Health care</w:t>
      </w:r>
      <w:r w:rsidR="007E0E39" w:rsidRPr="00D93E1B">
        <w:rPr>
          <w:rFonts w:ascii="Arial Narrow" w:hAnsi="Arial Narrow" w:cs="Tahoma"/>
          <w:i/>
          <w:sz w:val="22"/>
          <w:szCs w:val="22"/>
          <w:lang w:val="sr-Cyrl-BA"/>
        </w:rPr>
        <w:t xml:space="preserve">, </w:t>
      </w:r>
      <w:r>
        <w:rPr>
          <w:rFonts w:ascii="Arial Narrow" w:eastAsia="Calibri" w:hAnsi="Arial Narrow" w:cs="Tahoma"/>
          <w:i/>
          <w:sz w:val="22"/>
          <w:szCs w:val="22"/>
        </w:rPr>
        <w:t>Education</w:t>
      </w:r>
      <w:r w:rsidR="007E0E39" w:rsidRPr="00D93E1B">
        <w:rPr>
          <w:rFonts w:ascii="Arial Narrow" w:eastAsia="Calibri" w:hAnsi="Arial Narrow" w:cs="Tahoma"/>
          <w:sz w:val="22"/>
          <w:szCs w:val="22"/>
          <w:lang w:val="sr-Cyrl-BA"/>
        </w:rPr>
        <w:t xml:space="preserve"> </w:t>
      </w:r>
      <w:r>
        <w:rPr>
          <w:rFonts w:ascii="Arial Narrow" w:eastAsia="Calibri" w:hAnsi="Arial Narrow" w:cs="Tahoma"/>
          <w:sz w:val="22"/>
          <w:szCs w:val="22"/>
        </w:rPr>
        <w:t>and</w:t>
      </w:r>
      <w:r w:rsidR="007E0E39" w:rsidRPr="00D93E1B">
        <w:rPr>
          <w:rFonts w:ascii="Arial Narrow" w:eastAsia="Calibri" w:hAnsi="Arial Narrow" w:cs="Tahoma"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i/>
          <w:sz w:val="22"/>
          <w:szCs w:val="22"/>
        </w:rPr>
        <w:t>Restaurants and hotels</w:t>
      </w:r>
      <w:r w:rsidR="007E0E39" w:rsidRPr="00D93E1B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prices remained on the average at the same level. </w:t>
      </w:r>
    </w:p>
    <w:p w:rsidR="007E0E39" w:rsidRPr="00D93E1B" w:rsidRDefault="00373E98" w:rsidP="00B0510C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>
        <w:rPr>
          <w:rFonts w:ascii="Arial Narrow" w:hAnsi="Arial Narrow" w:cs="Tahoma"/>
          <w:sz w:val="22"/>
          <w:szCs w:val="22"/>
        </w:rPr>
        <w:t xml:space="preserve">The highest decrease in prices in April was recorded in the division </w:t>
      </w:r>
      <w:r>
        <w:rPr>
          <w:rFonts w:ascii="Arial Narrow" w:hAnsi="Arial Narrow" w:cs="Tahoma"/>
          <w:i/>
          <w:sz w:val="22"/>
          <w:szCs w:val="22"/>
        </w:rPr>
        <w:t>Housing</w:t>
      </w:r>
      <w:r w:rsidR="007E0E39" w:rsidRPr="00D93E1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sz w:val="22"/>
          <w:szCs w:val="22"/>
          <w:lang w:val="sr-Cyrl-BA"/>
        </w:rPr>
        <w:t>(10</w:t>
      </w:r>
      <w:r>
        <w:rPr>
          <w:rFonts w:ascii="Arial Narrow" w:hAnsi="Arial Narrow" w:cs="Tahoma"/>
          <w:sz w:val="22"/>
          <w:szCs w:val="22"/>
        </w:rPr>
        <w:t>.</w:t>
      </w:r>
      <w:r w:rsidR="007E0E39" w:rsidRPr="00D93E1B">
        <w:rPr>
          <w:rFonts w:ascii="Arial Narrow" w:hAnsi="Arial Narrow" w:cs="Tahoma"/>
          <w:sz w:val="22"/>
          <w:szCs w:val="22"/>
          <w:lang w:val="sr-Cyrl-BA"/>
        </w:rPr>
        <w:t>4%)</w:t>
      </w:r>
      <w:r>
        <w:rPr>
          <w:rFonts w:ascii="Arial Narrow" w:hAnsi="Arial Narrow" w:cs="Tahoma"/>
          <w:sz w:val="22"/>
          <w:szCs w:val="22"/>
        </w:rPr>
        <w:t>,</w:t>
      </w:r>
      <w:r w:rsidR="007E0E39" w:rsidRPr="00D93E1B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sz w:val="22"/>
          <w:szCs w:val="22"/>
        </w:rPr>
        <w:t>namely in the group</w:t>
      </w:r>
      <w:r w:rsidR="007E0E39" w:rsidRPr="00D93E1B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sz w:val="22"/>
          <w:szCs w:val="22"/>
        </w:rPr>
        <w:t>electricity and other energy</w:t>
      </w:r>
      <w:r>
        <w:rPr>
          <w:rFonts w:ascii="Arial Narrow" w:hAnsi="Arial Narrow" w:cs="Tahoma"/>
          <w:sz w:val="22"/>
          <w:szCs w:val="22"/>
          <w:lang w:val="sr-Cyrl-BA"/>
        </w:rPr>
        <w:t xml:space="preserve"> (13</w:t>
      </w:r>
      <w:r>
        <w:rPr>
          <w:rFonts w:ascii="Arial Narrow" w:hAnsi="Arial Narrow" w:cs="Tahoma"/>
          <w:sz w:val="22"/>
          <w:szCs w:val="22"/>
        </w:rPr>
        <w:t>.</w:t>
      </w:r>
      <w:r w:rsidR="007E0E39" w:rsidRPr="00D93E1B">
        <w:rPr>
          <w:rFonts w:ascii="Arial Narrow" w:hAnsi="Arial Narrow" w:cs="Tahoma"/>
          <w:sz w:val="22"/>
          <w:szCs w:val="22"/>
          <w:lang w:val="sr-Cyrl-BA"/>
        </w:rPr>
        <w:t>8%)</w:t>
      </w:r>
      <w:r>
        <w:rPr>
          <w:rFonts w:ascii="Arial Narrow" w:hAnsi="Arial Narrow" w:cs="Tahoma"/>
          <w:sz w:val="22"/>
          <w:szCs w:val="22"/>
        </w:rPr>
        <w:t>,</w:t>
      </w:r>
      <w:r w:rsidR="007E0E39" w:rsidRPr="00D93E1B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7924CF">
        <w:rPr>
          <w:rFonts w:ascii="Arial Narrow" w:hAnsi="Arial Narrow" w:cs="Tahoma"/>
          <w:sz w:val="22"/>
          <w:szCs w:val="22"/>
        </w:rPr>
        <w:t>due to lower electricity tariffs beginning with</w:t>
      </w:r>
      <w:r w:rsidR="007E0E39" w:rsidRPr="00D93E1B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7924CF">
        <w:rPr>
          <w:rFonts w:ascii="Arial Narrow" w:hAnsi="Arial Narrow" w:cs="Tahoma"/>
          <w:sz w:val="22"/>
          <w:szCs w:val="22"/>
        </w:rPr>
        <w:t>1</w:t>
      </w:r>
      <w:r w:rsidR="007924CF" w:rsidRPr="007924CF">
        <w:rPr>
          <w:rFonts w:ascii="Arial Narrow" w:hAnsi="Arial Narrow" w:cs="Tahoma"/>
          <w:sz w:val="22"/>
          <w:szCs w:val="22"/>
          <w:vertAlign w:val="superscript"/>
        </w:rPr>
        <w:t>st</w:t>
      </w:r>
      <w:r w:rsidR="007924CF">
        <w:rPr>
          <w:rFonts w:ascii="Arial Narrow" w:hAnsi="Arial Narrow" w:cs="Tahoma"/>
          <w:sz w:val="22"/>
          <w:szCs w:val="22"/>
        </w:rPr>
        <w:t xml:space="preserve"> April</w:t>
      </w:r>
      <w:r w:rsidR="007E0E39" w:rsidRPr="00D93E1B">
        <w:rPr>
          <w:rFonts w:ascii="Arial Narrow" w:hAnsi="Arial Narrow" w:cs="Tahoma"/>
          <w:sz w:val="22"/>
          <w:szCs w:val="22"/>
          <w:lang w:val="sr-Cyrl-BA"/>
        </w:rPr>
        <w:t xml:space="preserve">. </w:t>
      </w:r>
      <w:r w:rsidR="007924CF">
        <w:rPr>
          <w:rFonts w:ascii="Arial Narrow" w:hAnsi="Arial Narrow" w:cs="Tahoma"/>
          <w:sz w:val="22"/>
          <w:szCs w:val="22"/>
        </w:rPr>
        <w:t>Lower prices were also recorded in the division</w:t>
      </w:r>
      <w:r w:rsidR="007E0E39" w:rsidRPr="00D93E1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924CF">
        <w:rPr>
          <w:rFonts w:ascii="Arial Narrow" w:hAnsi="Arial Narrow" w:cs="Tahoma"/>
          <w:i/>
          <w:sz w:val="22"/>
          <w:szCs w:val="22"/>
        </w:rPr>
        <w:t>Transport</w:t>
      </w:r>
      <w:r w:rsidR="007924CF">
        <w:rPr>
          <w:rFonts w:ascii="Arial Narrow" w:hAnsi="Arial Narrow" w:cs="Tahoma"/>
          <w:sz w:val="22"/>
          <w:szCs w:val="22"/>
          <w:lang w:val="sr-Cyrl-BA"/>
        </w:rPr>
        <w:t xml:space="preserve"> (0</w:t>
      </w:r>
      <w:r w:rsidR="007924CF">
        <w:rPr>
          <w:rFonts w:ascii="Arial Narrow" w:hAnsi="Arial Narrow" w:cs="Tahoma"/>
          <w:sz w:val="22"/>
          <w:szCs w:val="22"/>
        </w:rPr>
        <w:t>.</w:t>
      </w:r>
      <w:r w:rsidR="007E0E39" w:rsidRPr="00D93E1B">
        <w:rPr>
          <w:rFonts w:ascii="Arial Narrow" w:hAnsi="Arial Narrow" w:cs="Tahoma"/>
          <w:sz w:val="22"/>
          <w:szCs w:val="22"/>
          <w:lang w:val="sr-Cyrl-BA"/>
        </w:rPr>
        <w:t>3%)</w:t>
      </w:r>
      <w:r w:rsidR="007924CF">
        <w:rPr>
          <w:rFonts w:ascii="Arial Narrow" w:hAnsi="Arial Narrow" w:cs="Tahoma"/>
          <w:sz w:val="22"/>
          <w:szCs w:val="22"/>
        </w:rPr>
        <w:t>,</w:t>
      </w:r>
      <w:r w:rsidR="007E0E39" w:rsidRPr="00D93E1B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7924CF">
        <w:rPr>
          <w:rFonts w:ascii="Arial Narrow" w:hAnsi="Arial Narrow" w:cs="Tahoma"/>
          <w:sz w:val="22"/>
          <w:szCs w:val="22"/>
        </w:rPr>
        <w:t>due to lower purchase prices in the group</w:t>
      </w:r>
      <w:r w:rsidR="007E0E39" w:rsidRPr="00D93E1B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7924CF">
        <w:rPr>
          <w:rFonts w:ascii="Arial Narrow" w:hAnsi="Arial Narrow" w:cs="Tahoma"/>
          <w:sz w:val="22"/>
          <w:szCs w:val="22"/>
        </w:rPr>
        <w:t>fuels and lubricants</w:t>
      </w:r>
      <w:r w:rsidR="007924CF">
        <w:rPr>
          <w:rFonts w:ascii="Arial Narrow" w:hAnsi="Arial Narrow" w:cs="Tahoma"/>
          <w:sz w:val="22"/>
          <w:szCs w:val="22"/>
          <w:lang w:val="sr-Cyrl-BA"/>
        </w:rPr>
        <w:t xml:space="preserve"> (0</w:t>
      </w:r>
      <w:r w:rsidR="007924CF">
        <w:rPr>
          <w:rFonts w:ascii="Arial Narrow" w:hAnsi="Arial Narrow" w:cs="Tahoma"/>
          <w:sz w:val="22"/>
          <w:szCs w:val="22"/>
        </w:rPr>
        <w:t>.</w:t>
      </w:r>
      <w:r w:rsidR="007E0E39" w:rsidRPr="00D93E1B">
        <w:rPr>
          <w:rFonts w:ascii="Arial Narrow" w:hAnsi="Arial Narrow" w:cs="Tahoma"/>
          <w:sz w:val="22"/>
          <w:szCs w:val="22"/>
          <w:lang w:val="sr-Cyrl-BA"/>
        </w:rPr>
        <w:t>6%).</w:t>
      </w:r>
    </w:p>
    <w:p w:rsidR="000213F8" w:rsidRPr="00D93E1B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Pr="00D93E1B" w:rsidRDefault="00A82756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 w:rsidRPr="008E7D6D">
        <w:rPr>
          <w:rFonts w:ascii="Arial Narrow" w:hAnsi="Arial Narrow" w:cs="Tahoma"/>
          <w:b/>
          <w:bCs/>
          <w:sz w:val="28"/>
          <w:szCs w:val="30"/>
        </w:rPr>
        <w:t>Working-day adjusted industrial production</w:t>
      </w:r>
      <w:r w:rsidRPr="008E7D6D">
        <w:rPr>
          <w:rFonts w:ascii="Arial Narrow" w:hAnsi="Arial Narrow" w:cs="Tahoma"/>
          <w:b/>
          <w:sz w:val="28"/>
          <w:szCs w:val="30"/>
          <w:lang w:val="sr-Cyrl-CS"/>
        </w:rPr>
        <w:t xml:space="preserve"> </w:t>
      </w:r>
      <w:r w:rsidR="000213F8" w:rsidRPr="00D93E1B">
        <w:rPr>
          <w:rFonts w:ascii="Arial Narrow" w:hAnsi="Arial Narrow" w:cs="Tahoma"/>
          <w:b/>
          <w:sz w:val="30"/>
          <w:szCs w:val="30"/>
          <w:lang w:val="sr-Cyrl-CS"/>
        </w:rPr>
        <w:t>(</w:t>
      </w:r>
      <w:r>
        <w:rPr>
          <w:rFonts w:ascii="Arial Narrow" w:hAnsi="Arial Narrow" w:cs="Tahoma"/>
          <w:b/>
          <w:sz w:val="30"/>
          <w:szCs w:val="30"/>
        </w:rPr>
        <w:t>April</w:t>
      </w:r>
      <w:r w:rsidR="000213F8" w:rsidRPr="00D93E1B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="000213F8" w:rsidRPr="00D93E1B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284295" w:rsidRPr="00D93E1B">
        <w:rPr>
          <w:rFonts w:ascii="Arial Narrow" w:hAnsi="Arial Narrow" w:cs="Tahoma"/>
          <w:b/>
          <w:sz w:val="30"/>
          <w:szCs w:val="30"/>
        </w:rPr>
        <w:t>5</w:t>
      </w:r>
      <w:r w:rsidR="000213F8" w:rsidRPr="00D93E1B">
        <w:rPr>
          <w:rFonts w:ascii="Arial Narrow" w:hAnsi="Arial Narrow" w:cs="Tahoma"/>
          <w:b/>
          <w:sz w:val="30"/>
          <w:szCs w:val="30"/>
          <w:lang w:val="sr-Latn-BA"/>
        </w:rPr>
        <w:t>/</w:t>
      </w:r>
      <w:r>
        <w:rPr>
          <w:rFonts w:ascii="Arial Narrow" w:hAnsi="Arial Narrow" w:cs="Tahoma"/>
          <w:b/>
          <w:sz w:val="30"/>
          <w:szCs w:val="30"/>
        </w:rPr>
        <w:t>April</w:t>
      </w:r>
      <w:r w:rsidR="000213F8" w:rsidRPr="00D93E1B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0213F8" w:rsidRPr="00D93E1B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284295" w:rsidRPr="00D93E1B">
        <w:rPr>
          <w:rFonts w:ascii="Arial Narrow" w:hAnsi="Arial Narrow" w:cs="Tahoma"/>
          <w:b/>
          <w:bCs/>
          <w:sz w:val="30"/>
          <w:szCs w:val="30"/>
        </w:rPr>
        <w:t>4</w:t>
      </w:r>
      <w:r w:rsidR="000213F8" w:rsidRPr="00D93E1B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0213F8" w:rsidRPr="00D93E1B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 by</w:t>
      </w:r>
      <w:r w:rsidR="000213F8" w:rsidRPr="00D93E1B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CF5080" w:rsidRPr="00D93E1B">
        <w:rPr>
          <w:rFonts w:ascii="Arial Narrow" w:hAnsi="Arial Narrow" w:cs="Tahoma"/>
          <w:b/>
          <w:bCs/>
          <w:sz w:val="30"/>
          <w:szCs w:val="30"/>
          <w:lang w:val="sr-Cyrl-CS"/>
        </w:rPr>
        <w:t>2</w:t>
      </w:r>
      <w:r>
        <w:rPr>
          <w:rFonts w:ascii="Arial Narrow" w:hAnsi="Arial Narrow" w:cs="Tahoma"/>
          <w:b/>
          <w:bCs/>
          <w:sz w:val="30"/>
          <w:szCs w:val="30"/>
        </w:rPr>
        <w:t>.</w:t>
      </w:r>
      <w:r w:rsidR="00CF5080" w:rsidRPr="00D93E1B">
        <w:rPr>
          <w:rFonts w:ascii="Arial Narrow" w:hAnsi="Arial Narrow" w:cs="Tahoma"/>
          <w:b/>
          <w:bCs/>
          <w:sz w:val="30"/>
          <w:szCs w:val="30"/>
          <w:lang w:val="sr-Cyrl-CS"/>
        </w:rPr>
        <w:t>3</w:t>
      </w:r>
      <w:r w:rsidR="000213F8" w:rsidRPr="00D93E1B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0213F8" w:rsidRPr="00D93E1B" w:rsidRDefault="00A82756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296E1F">
        <w:rPr>
          <w:rFonts w:ascii="Arial Narrow" w:hAnsi="Arial Narrow" w:cs="Tahoma"/>
          <w:b/>
          <w:sz w:val="28"/>
        </w:rPr>
        <w:t>Number of employees in industry</w:t>
      </w:r>
      <w:r w:rsidRPr="00296E1F">
        <w:rPr>
          <w:rFonts w:ascii="Arial Narrow" w:hAnsi="Arial Narrow" w:cs="Tahoma"/>
          <w:b/>
          <w:sz w:val="28"/>
          <w:lang w:val="ru-RU"/>
        </w:rPr>
        <w:t xml:space="preserve"> </w:t>
      </w:r>
      <w:r w:rsidR="000213F8" w:rsidRPr="00D93E1B">
        <w:rPr>
          <w:rFonts w:ascii="Arial Narrow" w:hAnsi="Arial Narrow" w:cs="Tahoma"/>
          <w:b/>
          <w:sz w:val="28"/>
          <w:lang w:val="ru-RU"/>
        </w:rPr>
        <w:t>(</w:t>
      </w:r>
      <w:r>
        <w:rPr>
          <w:rFonts w:ascii="Arial Narrow" w:hAnsi="Arial Narrow" w:cs="Tahoma"/>
          <w:b/>
          <w:sz w:val="28"/>
        </w:rPr>
        <w:t>April</w:t>
      </w:r>
      <w:r w:rsidR="000213F8" w:rsidRPr="00D93E1B">
        <w:rPr>
          <w:rFonts w:ascii="Arial Narrow" w:hAnsi="Arial Narrow" w:cs="Tahoma"/>
          <w:b/>
          <w:sz w:val="28"/>
          <w:lang w:val="ru-RU"/>
        </w:rPr>
        <w:t xml:space="preserve"> 201</w:t>
      </w:r>
      <w:r w:rsidR="00284295" w:rsidRPr="00D93E1B">
        <w:rPr>
          <w:rFonts w:ascii="Arial Narrow" w:hAnsi="Arial Narrow" w:cs="Tahoma"/>
          <w:b/>
          <w:sz w:val="28"/>
        </w:rPr>
        <w:t>5</w:t>
      </w:r>
      <w:r w:rsidR="000213F8" w:rsidRPr="00D93E1B">
        <w:rPr>
          <w:rFonts w:ascii="Arial Narrow" w:hAnsi="Arial Narrow" w:cs="Tahoma"/>
          <w:b/>
          <w:sz w:val="28"/>
          <w:lang w:val="ru-RU"/>
        </w:rPr>
        <w:t>/</w:t>
      </w:r>
      <w:r>
        <w:rPr>
          <w:rFonts w:ascii="Arial Narrow" w:hAnsi="Arial Narrow" w:cs="Tahoma"/>
          <w:b/>
          <w:sz w:val="28"/>
        </w:rPr>
        <w:t>April</w:t>
      </w:r>
      <w:r w:rsidR="000213F8" w:rsidRPr="00D93E1B">
        <w:rPr>
          <w:rFonts w:ascii="Arial Narrow" w:hAnsi="Arial Narrow" w:cs="Tahoma"/>
          <w:b/>
          <w:sz w:val="28"/>
          <w:lang w:val="ru-RU"/>
        </w:rPr>
        <w:t xml:space="preserve"> 201</w:t>
      </w:r>
      <w:r w:rsidR="00284295" w:rsidRPr="00D93E1B">
        <w:rPr>
          <w:rFonts w:ascii="Arial Narrow" w:hAnsi="Arial Narrow" w:cs="Tahoma"/>
          <w:b/>
          <w:sz w:val="28"/>
        </w:rPr>
        <w:t>4</w:t>
      </w:r>
      <w:r w:rsidR="000213F8" w:rsidRPr="00D93E1B">
        <w:rPr>
          <w:rFonts w:ascii="Arial Narrow" w:hAnsi="Arial Narrow" w:cs="Tahoma"/>
          <w:b/>
          <w:sz w:val="28"/>
          <w:lang w:val="ru-RU"/>
        </w:rPr>
        <w:t xml:space="preserve">) </w:t>
      </w:r>
      <w:r>
        <w:rPr>
          <w:rFonts w:ascii="Arial Narrow" w:hAnsi="Arial Narrow" w:cs="Tahoma"/>
          <w:b/>
          <w:sz w:val="28"/>
        </w:rPr>
        <w:t>increased by</w:t>
      </w:r>
      <w:r w:rsidR="000213F8" w:rsidRPr="00D93E1B">
        <w:rPr>
          <w:rFonts w:ascii="Arial Narrow" w:hAnsi="Arial Narrow" w:cs="Tahoma"/>
          <w:b/>
          <w:sz w:val="28"/>
          <w:lang w:val="ru-RU"/>
        </w:rPr>
        <w:t xml:space="preserve"> </w:t>
      </w:r>
      <w:r w:rsidR="00CF5080" w:rsidRPr="00D93E1B">
        <w:rPr>
          <w:rFonts w:ascii="Arial Narrow" w:hAnsi="Arial Narrow" w:cs="Tahoma"/>
          <w:b/>
          <w:sz w:val="28"/>
          <w:lang w:val="sr-Cyrl-CS"/>
        </w:rPr>
        <w:t>1</w:t>
      </w:r>
      <w:r>
        <w:rPr>
          <w:rFonts w:ascii="Arial Narrow" w:hAnsi="Arial Narrow" w:cs="Tahoma"/>
          <w:b/>
          <w:sz w:val="28"/>
        </w:rPr>
        <w:t>.</w:t>
      </w:r>
      <w:r w:rsidR="00CF5080" w:rsidRPr="00D93E1B">
        <w:rPr>
          <w:rFonts w:ascii="Arial Narrow" w:hAnsi="Arial Narrow" w:cs="Tahoma"/>
          <w:b/>
          <w:sz w:val="28"/>
          <w:lang w:val="ru-RU"/>
        </w:rPr>
        <w:t>3</w:t>
      </w:r>
      <w:r w:rsidR="000213F8" w:rsidRPr="00D93E1B">
        <w:rPr>
          <w:rFonts w:ascii="Arial Narrow" w:hAnsi="Arial Narrow" w:cs="Tahoma"/>
          <w:b/>
          <w:sz w:val="28"/>
          <w:lang w:val="ru-RU"/>
        </w:rPr>
        <w:t>%</w:t>
      </w:r>
    </w:p>
    <w:p w:rsidR="000213F8" w:rsidRPr="00D93E1B" w:rsidRDefault="000213F8" w:rsidP="000213F8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3273AD" w:rsidRPr="003273AD" w:rsidRDefault="003273AD" w:rsidP="000213F8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b/>
          <w:sz w:val="22"/>
        </w:rPr>
        <w:t>Working-day adjusted industrial production</w:t>
      </w:r>
      <w:r w:rsidRPr="00553FE9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 xml:space="preserve">in April 2015, compared to April 2014, increased by 2.3%. In the section </w:t>
      </w:r>
      <w:r w:rsidRPr="00B23575">
        <w:rPr>
          <w:rFonts w:ascii="Arial Narrow" w:hAnsi="Arial Narrow" w:cs="Tahoma"/>
          <w:i/>
          <w:sz w:val="22"/>
          <w:szCs w:val="22"/>
          <w:lang w:val="sr-Cyrl-CS"/>
        </w:rPr>
        <w:t>Electricity, gas, steam and air-conditioning supply</w:t>
      </w:r>
      <w:r>
        <w:rPr>
          <w:rFonts w:ascii="Arial Narrow" w:hAnsi="Arial Narrow" w:cs="Tahoma"/>
          <w:i/>
          <w:sz w:val="22"/>
          <w:szCs w:val="22"/>
        </w:rPr>
        <w:t xml:space="preserve"> </w:t>
      </w:r>
      <w:r w:rsidRPr="003273AD">
        <w:rPr>
          <w:rFonts w:ascii="Arial Narrow" w:hAnsi="Arial Narrow" w:cs="Tahoma"/>
          <w:sz w:val="22"/>
          <w:szCs w:val="22"/>
        </w:rPr>
        <w:t>an increase by</w:t>
      </w:r>
      <w:r>
        <w:rPr>
          <w:rFonts w:ascii="Arial Narrow" w:hAnsi="Arial Narrow" w:cs="Tahoma"/>
          <w:sz w:val="22"/>
        </w:rPr>
        <w:t xml:space="preserve"> 2.3% was recorded and in the section </w:t>
      </w:r>
      <w:r w:rsidRPr="003273AD">
        <w:rPr>
          <w:rFonts w:ascii="Arial Narrow" w:hAnsi="Arial Narrow" w:cs="Tahoma"/>
          <w:sz w:val="22"/>
        </w:rPr>
        <w:t xml:space="preserve"> </w:t>
      </w:r>
      <w:r w:rsidRPr="00F733CE"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 xml:space="preserve">an increase by 2.5%, while in the section </w:t>
      </w:r>
      <w:r w:rsidRPr="00626597">
        <w:rPr>
          <w:rFonts w:ascii="Arial Narrow" w:hAnsi="Arial Narrow" w:cs="Tahoma"/>
          <w:i/>
          <w:sz w:val="22"/>
        </w:rPr>
        <w:t>Manufacturing</w:t>
      </w:r>
      <w:r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 xml:space="preserve">a decrease by 0.5% was recorded. By </w:t>
      </w:r>
      <w:r>
        <w:rPr>
          <w:rFonts w:ascii="Arial Narrow" w:hAnsi="Arial Narrow" w:cs="Tahoma"/>
          <w:sz w:val="22"/>
          <w:szCs w:val="22"/>
        </w:rPr>
        <w:t xml:space="preserve">main industrial group, based on economic purpose of products, production of consumer non-durables in April 2015, compared to April 2014, was 3.8% higher, production of intermediate goods was 2.4% higher and production of energy was 1.4% higher, while production of consumer durables was 4.2% lower and production of capital goods was 4.4% lower. </w:t>
      </w:r>
    </w:p>
    <w:p w:rsidR="00CF5080" w:rsidRPr="00D93E1B" w:rsidRDefault="00CF5080" w:rsidP="000213F8">
      <w:pPr>
        <w:jc w:val="both"/>
        <w:rPr>
          <w:rFonts w:ascii="Arial Narrow" w:hAnsi="Arial Narrow" w:cs="Tahoma"/>
          <w:sz w:val="22"/>
          <w:lang w:val="sr-Cyrl-CS"/>
        </w:rPr>
      </w:pPr>
    </w:p>
    <w:p w:rsidR="003273AD" w:rsidRDefault="003273AD" w:rsidP="000213F8">
      <w:pPr>
        <w:jc w:val="both"/>
        <w:rPr>
          <w:rFonts w:ascii="Arial Narrow" w:hAnsi="Arial Narrow" w:cs="Tahoma"/>
          <w:b/>
          <w:sz w:val="22"/>
        </w:rPr>
      </w:pPr>
      <w:r w:rsidRPr="00D84BC5">
        <w:rPr>
          <w:rFonts w:ascii="Arial Narrow" w:hAnsi="Arial Narrow" w:cs="Tahoma"/>
          <w:b/>
          <w:sz w:val="22"/>
        </w:rPr>
        <w:t>Number of employees in industry</w:t>
      </w:r>
      <w:r>
        <w:rPr>
          <w:rFonts w:ascii="Arial Narrow" w:hAnsi="Arial Narrow" w:cs="Tahoma"/>
          <w:sz w:val="22"/>
        </w:rPr>
        <w:t xml:space="preserve"> in April 2015, compared to the same month of the previous year, increased by 1.3%. Compared to the average monthly </w:t>
      </w:r>
      <w:proofErr w:type="spellStart"/>
      <w:r>
        <w:rPr>
          <w:rFonts w:ascii="Arial Narrow" w:hAnsi="Arial Narrow" w:cs="Tahoma"/>
          <w:sz w:val="22"/>
        </w:rPr>
        <w:t>nymber</w:t>
      </w:r>
      <w:proofErr w:type="spellEnd"/>
      <w:r>
        <w:rPr>
          <w:rFonts w:ascii="Arial Narrow" w:hAnsi="Arial Narrow" w:cs="Tahoma"/>
          <w:sz w:val="22"/>
        </w:rPr>
        <w:t xml:space="preserve"> of employed persons it was 1.0% higher and compared to March 2015 it was 0.9% higher. Number of employees in industry in the period January – April 2015, compared to the same period of the previous year, was 1.1% higher. During the same period, in the section </w:t>
      </w:r>
      <w:r w:rsidRPr="006664CA">
        <w:rPr>
          <w:rFonts w:ascii="Arial Narrow" w:hAnsi="Arial Narrow" w:cs="Tahoma"/>
          <w:i/>
          <w:spacing w:val="-2"/>
          <w:sz w:val="22"/>
        </w:rPr>
        <w:t>Electricity, gas, steam and air-conditioning supply</w:t>
      </w:r>
      <w:r>
        <w:rPr>
          <w:rFonts w:ascii="Arial Narrow" w:hAnsi="Arial Narrow" w:cs="Tahoma"/>
          <w:i/>
          <w:spacing w:val="-2"/>
          <w:sz w:val="22"/>
        </w:rPr>
        <w:t xml:space="preserve"> </w:t>
      </w:r>
      <w:r>
        <w:rPr>
          <w:rFonts w:ascii="Arial Narrow" w:hAnsi="Arial Narrow" w:cs="Tahoma"/>
          <w:spacing w:val="-2"/>
          <w:sz w:val="22"/>
        </w:rPr>
        <w:t xml:space="preserve">an increase by 5.2% was </w:t>
      </w:r>
      <w:proofErr w:type="spellStart"/>
      <w:r>
        <w:rPr>
          <w:rFonts w:ascii="Arial Narrow" w:hAnsi="Arial Narrow" w:cs="Tahoma"/>
          <w:spacing w:val="-2"/>
          <w:sz w:val="22"/>
        </w:rPr>
        <w:t>realised</w:t>
      </w:r>
      <w:proofErr w:type="spellEnd"/>
      <w:r>
        <w:rPr>
          <w:rFonts w:ascii="Arial Narrow" w:hAnsi="Arial Narrow" w:cs="Tahoma"/>
          <w:spacing w:val="-2"/>
          <w:sz w:val="22"/>
        </w:rPr>
        <w:t xml:space="preserve">, in the section </w:t>
      </w:r>
      <w:r w:rsidRPr="006664CA">
        <w:rPr>
          <w:rFonts w:ascii="Arial Narrow" w:hAnsi="Arial Narrow" w:cs="Tahoma"/>
          <w:i/>
          <w:spacing w:val="-2"/>
          <w:sz w:val="22"/>
        </w:rPr>
        <w:t>Mining and quarrying</w:t>
      </w:r>
      <w:r>
        <w:rPr>
          <w:rFonts w:ascii="Arial Narrow" w:hAnsi="Arial Narrow" w:cs="Tahoma"/>
          <w:i/>
          <w:spacing w:val="-2"/>
          <w:sz w:val="22"/>
        </w:rPr>
        <w:t xml:space="preserve"> </w:t>
      </w:r>
      <w:r>
        <w:rPr>
          <w:rFonts w:ascii="Arial Narrow" w:hAnsi="Arial Narrow" w:cs="Tahoma"/>
          <w:spacing w:val="-2"/>
          <w:sz w:val="22"/>
        </w:rPr>
        <w:t xml:space="preserve">an increase by 3.1% and in the section </w:t>
      </w:r>
      <w:r w:rsidRPr="003956D3">
        <w:rPr>
          <w:rFonts w:ascii="Arial Narrow" w:hAnsi="Arial Narrow" w:cs="Tahoma"/>
          <w:i/>
          <w:spacing w:val="-2"/>
          <w:sz w:val="22"/>
        </w:rPr>
        <w:t>Manufacturing</w:t>
      </w:r>
      <w:r>
        <w:rPr>
          <w:rFonts w:ascii="Arial Narrow" w:hAnsi="Arial Narrow" w:cs="Tahoma"/>
          <w:spacing w:val="-2"/>
          <w:sz w:val="22"/>
        </w:rPr>
        <w:t xml:space="preserve"> an increase by 0.2% was recorded.</w:t>
      </w:r>
    </w:p>
    <w:p w:rsidR="000213F8" w:rsidRPr="00D93E1B" w:rsidRDefault="000213F8" w:rsidP="000213F8">
      <w:pPr>
        <w:jc w:val="both"/>
        <w:rPr>
          <w:rFonts w:ascii="Arial Narrow" w:hAnsi="Arial Narrow" w:cs="Tahoma"/>
          <w:sz w:val="22"/>
          <w:lang w:val="sr-Latn-CS"/>
        </w:rPr>
      </w:pPr>
    </w:p>
    <w:p w:rsidR="000213F8" w:rsidRPr="00D93E1B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Pr="00D93E1B" w:rsidRDefault="00DC2009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 w:rsidRPr="00D93E1B">
        <w:rPr>
          <w:rFonts w:ascii="Arial Narrow" w:hAnsi="Arial Narrow" w:cs="Tahoma"/>
          <w:noProof/>
          <w:sz w:val="22"/>
          <w:szCs w:val="22"/>
        </w:rPr>
        <w:lastRenderedPageBreak/>
        <w:drawing>
          <wp:inline distT="0" distB="0" distL="0" distR="0">
            <wp:extent cx="5943600" cy="2800350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D9D" w:rsidRPr="00D93E1B" w:rsidRDefault="00240CD6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B85D9D" w:rsidRPr="00D93E1B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CE2F01" w:rsidRPr="00D93E1B">
        <w:rPr>
          <w:rFonts w:ascii="Arial Narrow" w:hAnsi="Arial Narrow" w:cs="Tahoma"/>
          <w:sz w:val="16"/>
          <w:szCs w:val="16"/>
          <w:lang w:val="sr-Latn-CS"/>
        </w:rPr>
        <w:t>3</w:t>
      </w:r>
      <w:r w:rsidR="00B85D9D" w:rsidRPr="00D93E1B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r>
        <w:rPr>
          <w:rFonts w:ascii="Arial Narrow" w:hAnsi="Arial Narrow" w:cs="Tahoma"/>
          <w:sz w:val="16"/>
          <w:szCs w:val="16"/>
          <w:lang w:val="sr-Latn-CS"/>
        </w:rPr>
        <w:t>Indices of industrial production</w:t>
      </w:r>
      <w:r w:rsidR="00B85D9D" w:rsidRPr="00D93E1B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>
        <w:rPr>
          <w:rFonts w:ascii="Arial Narrow" w:hAnsi="Arial Narrow" w:cs="Tahoma"/>
          <w:sz w:val="16"/>
          <w:szCs w:val="16"/>
        </w:rPr>
        <w:t>April</w:t>
      </w:r>
      <w:r w:rsidR="00B85D9D" w:rsidRPr="00D93E1B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="00B85D9D" w:rsidRPr="00D93E1B">
        <w:rPr>
          <w:rFonts w:ascii="Arial Narrow" w:hAnsi="Arial Narrow" w:cs="Tahoma"/>
          <w:sz w:val="16"/>
          <w:szCs w:val="16"/>
        </w:rPr>
        <w:t>1</w:t>
      </w:r>
      <w:r w:rsidR="00B85D9D" w:rsidRPr="00D93E1B">
        <w:rPr>
          <w:rFonts w:ascii="Arial Narrow" w:hAnsi="Arial Narrow" w:cs="Tahoma"/>
          <w:sz w:val="16"/>
          <w:szCs w:val="16"/>
          <w:lang w:val="sr-Cyrl-CS"/>
        </w:rPr>
        <w:t>1</w:t>
      </w:r>
      <w:r w:rsidR="00B85D9D" w:rsidRPr="00D93E1B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>
        <w:rPr>
          <w:rFonts w:ascii="Arial Narrow" w:hAnsi="Arial Narrow" w:cs="Tahoma"/>
          <w:sz w:val="16"/>
          <w:szCs w:val="16"/>
        </w:rPr>
        <w:t>April</w:t>
      </w:r>
      <w:r w:rsidR="00B85D9D" w:rsidRPr="00D93E1B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85D9D" w:rsidRPr="00D93E1B">
        <w:rPr>
          <w:rFonts w:ascii="Arial Narrow" w:hAnsi="Arial Narrow" w:cs="Tahoma"/>
          <w:sz w:val="16"/>
          <w:szCs w:val="16"/>
          <w:lang w:val="sr-Cyrl-CS"/>
        </w:rPr>
        <w:t>5</w:t>
      </w:r>
      <w:r w:rsidR="00B85D9D" w:rsidRPr="00D93E1B">
        <w:rPr>
          <w:rFonts w:ascii="Arial Narrow" w:hAnsi="Arial Narrow" w:cs="Tahoma"/>
          <w:sz w:val="16"/>
          <w:szCs w:val="16"/>
          <w:lang w:val="sr-Latn-CS"/>
        </w:rPr>
        <w:t xml:space="preserve"> (</w:t>
      </w:r>
      <w:r w:rsidR="00B85D9D" w:rsidRPr="00D93E1B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B85D9D" w:rsidRPr="00D93E1B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0213F8" w:rsidRPr="00D93E1B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55304" w:rsidRPr="00D93E1B" w:rsidRDefault="00A82756" w:rsidP="00055304">
      <w:pPr>
        <w:rPr>
          <w:rFonts w:ascii="Arial Narrow" w:hAnsi="Arial Narrow" w:cs="Tahoma"/>
          <w:b/>
          <w:sz w:val="30"/>
          <w:szCs w:val="30"/>
          <w:lang w:val="sr-Cyrl-CS"/>
        </w:rPr>
      </w:pPr>
      <w:r>
        <w:rPr>
          <w:rFonts w:ascii="Arial Narrow" w:hAnsi="Arial Narrow" w:cs="Tahoma"/>
          <w:b/>
          <w:sz w:val="30"/>
          <w:szCs w:val="30"/>
        </w:rPr>
        <w:t>Coverage of import with export</w:t>
      </w:r>
      <w:r w:rsidR="00055304" w:rsidRPr="00D93E1B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in the period</w:t>
      </w:r>
      <w:r w:rsidR="00055304" w:rsidRPr="00D93E1B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sr-Latn-CS"/>
        </w:rPr>
        <w:t>January</w:t>
      </w:r>
      <w:r w:rsidR="00055304" w:rsidRPr="00D93E1B">
        <w:rPr>
          <w:rFonts w:ascii="Arial Narrow" w:hAnsi="Arial Narrow" w:cs="Tahoma"/>
          <w:b/>
          <w:sz w:val="30"/>
          <w:szCs w:val="30"/>
          <w:lang w:val="sr-Cyrl-BA"/>
        </w:rPr>
        <w:t>-</w:t>
      </w:r>
      <w:r>
        <w:rPr>
          <w:rFonts w:ascii="Arial Narrow" w:hAnsi="Arial Narrow" w:cs="Tahoma"/>
          <w:b/>
          <w:sz w:val="30"/>
          <w:szCs w:val="30"/>
        </w:rPr>
        <w:t>April</w:t>
      </w:r>
      <w:r w:rsidR="00055304" w:rsidRPr="00D93E1B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055304" w:rsidRPr="00D93E1B">
        <w:rPr>
          <w:rFonts w:ascii="Arial Narrow" w:hAnsi="Arial Narrow" w:cs="Tahoma"/>
          <w:b/>
          <w:sz w:val="30"/>
          <w:szCs w:val="30"/>
          <w:lang w:val="ru-RU"/>
        </w:rPr>
        <w:t>201</w:t>
      </w:r>
      <w:r>
        <w:rPr>
          <w:rFonts w:ascii="Arial Narrow" w:hAnsi="Arial Narrow" w:cs="Tahoma"/>
          <w:b/>
          <w:sz w:val="30"/>
          <w:szCs w:val="30"/>
        </w:rPr>
        <w:t>5</w:t>
      </w:r>
      <w:r w:rsidR="00055304" w:rsidRPr="00D93E1B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055304" w:rsidRPr="00D93E1B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C609AD" w:rsidRPr="00D93E1B">
        <w:rPr>
          <w:rFonts w:ascii="Arial Narrow" w:hAnsi="Arial Narrow" w:cs="Tahoma"/>
          <w:b/>
          <w:sz w:val="30"/>
          <w:szCs w:val="30"/>
          <w:lang w:val="hr-HR"/>
        </w:rPr>
        <w:t>59</w:t>
      </w:r>
      <w:r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="00C609AD" w:rsidRPr="00D93E1B">
        <w:rPr>
          <w:rFonts w:ascii="Arial Narrow" w:hAnsi="Arial Narrow" w:cs="Tahoma"/>
          <w:b/>
          <w:sz w:val="30"/>
          <w:szCs w:val="30"/>
          <w:lang w:val="hr-HR"/>
        </w:rPr>
        <w:t>6</w:t>
      </w:r>
      <w:r w:rsidR="00055304" w:rsidRPr="00D93E1B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055304" w:rsidRPr="00D93E1B" w:rsidRDefault="00055304" w:rsidP="00055304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3273AD" w:rsidRDefault="003273AD" w:rsidP="00055304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April 2015, the value of export amounted to 208 million KM and the value of import was 355 million KM. </w:t>
      </w:r>
    </w:p>
    <w:p w:rsidR="003273AD" w:rsidRDefault="003273AD" w:rsidP="00055304">
      <w:pPr>
        <w:jc w:val="both"/>
        <w:rPr>
          <w:rFonts w:ascii="Arial Narrow" w:hAnsi="Arial Narrow" w:cs="Tahoma"/>
          <w:sz w:val="22"/>
        </w:rPr>
      </w:pPr>
    </w:p>
    <w:p w:rsidR="003273AD" w:rsidRDefault="003273AD" w:rsidP="00055304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total external trade of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>
        <w:rPr>
          <w:rFonts w:ascii="Arial Narrow" w:hAnsi="Arial Narrow" w:cs="Tahoma"/>
          <w:sz w:val="22"/>
        </w:rPr>
        <w:t xml:space="preserve"> in April of the current year, the percentage of coverage of import with export was 58.7%. The percentage of coverage of import with export in the first four months of the current year was 59.6%.</w:t>
      </w:r>
    </w:p>
    <w:p w:rsidR="00055304" w:rsidRPr="00D93E1B" w:rsidRDefault="00055304" w:rsidP="00055304">
      <w:pPr>
        <w:jc w:val="both"/>
        <w:rPr>
          <w:rFonts w:ascii="Arial Narrow" w:hAnsi="Arial Narrow" w:cs="Tahoma"/>
          <w:sz w:val="22"/>
        </w:rPr>
      </w:pPr>
    </w:p>
    <w:p w:rsidR="00055304" w:rsidRPr="00D93E1B" w:rsidRDefault="003273AD" w:rsidP="00055304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period January – April 2015, the value of export was 791 million KM, which represented a decrease by 7.4% compared to the same period of the previous year. During the same period, the value of import was </w:t>
      </w:r>
      <w:r w:rsidR="0074468B">
        <w:rPr>
          <w:rFonts w:ascii="Arial Narrow" w:hAnsi="Arial Narrow" w:cs="Tahoma"/>
          <w:sz w:val="22"/>
        </w:rPr>
        <w:t>1 billion and 327</w:t>
      </w:r>
      <w:r>
        <w:rPr>
          <w:rFonts w:ascii="Arial Narrow" w:hAnsi="Arial Narrow" w:cs="Tahoma"/>
          <w:sz w:val="22"/>
        </w:rPr>
        <w:t xml:space="preserve"> million KM, which represented a decrease by </w:t>
      </w:r>
      <w:r w:rsidR="0074468B">
        <w:rPr>
          <w:rFonts w:ascii="Arial Narrow" w:hAnsi="Arial Narrow" w:cs="Tahoma"/>
          <w:sz w:val="22"/>
        </w:rPr>
        <w:t>8.3</w:t>
      </w:r>
      <w:r>
        <w:rPr>
          <w:rFonts w:ascii="Arial Narrow" w:hAnsi="Arial Narrow" w:cs="Tahoma"/>
          <w:sz w:val="22"/>
        </w:rPr>
        <w:t>% compared to the same period of the previous year.</w:t>
      </w:r>
    </w:p>
    <w:p w:rsidR="00055304" w:rsidRDefault="00055304" w:rsidP="00055304">
      <w:pPr>
        <w:jc w:val="both"/>
        <w:rPr>
          <w:rFonts w:ascii="Arial Narrow" w:hAnsi="Arial Narrow" w:cs="Tahoma"/>
          <w:sz w:val="22"/>
        </w:rPr>
      </w:pPr>
    </w:p>
    <w:p w:rsidR="0074468B" w:rsidRPr="00B66396" w:rsidRDefault="0074468B" w:rsidP="0074468B">
      <w:pPr>
        <w:jc w:val="both"/>
        <w:rPr>
          <w:rFonts w:ascii="Arial Narrow" w:hAnsi="Arial Narrow" w:cs="Tahoma"/>
          <w:color w:val="0070C0"/>
          <w:sz w:val="22"/>
          <w:lang w:val="ru-RU"/>
        </w:rPr>
      </w:pPr>
      <w:r w:rsidRPr="007A6714"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 w:rsidRPr="007A6714">
        <w:rPr>
          <w:rFonts w:ascii="Arial Narrow" w:hAnsi="Arial Narrow" w:cs="Tahoma"/>
          <w:sz w:val="22"/>
        </w:rPr>
        <w:t>Republika</w:t>
      </w:r>
      <w:proofErr w:type="spellEnd"/>
      <w:r w:rsidRPr="007A6714">
        <w:rPr>
          <w:rFonts w:ascii="Arial Narrow" w:hAnsi="Arial Narrow" w:cs="Tahoma"/>
          <w:sz w:val="22"/>
        </w:rPr>
        <w:t xml:space="preserve"> </w:t>
      </w:r>
      <w:proofErr w:type="spellStart"/>
      <w:r w:rsidRPr="007A6714">
        <w:rPr>
          <w:rFonts w:ascii="Arial Narrow" w:hAnsi="Arial Narrow" w:cs="Tahoma"/>
          <w:sz w:val="22"/>
        </w:rPr>
        <w:t>Srpska</w:t>
      </w:r>
      <w:proofErr w:type="spellEnd"/>
      <w:r w:rsidRPr="007A6714">
        <w:rPr>
          <w:rFonts w:ascii="Arial Narrow" w:hAnsi="Arial Narrow" w:cs="Tahoma"/>
          <w:sz w:val="22"/>
        </w:rPr>
        <w:t>, in the period January –</w:t>
      </w:r>
      <w:r>
        <w:rPr>
          <w:rFonts w:ascii="Arial Narrow" w:hAnsi="Arial Narrow" w:cs="Tahoma"/>
          <w:sz w:val="22"/>
        </w:rPr>
        <w:t xml:space="preserve"> April 2015, </w:t>
      </w:r>
      <w:r w:rsidRPr="007A6714">
        <w:rPr>
          <w:rFonts w:ascii="Arial Narrow" w:hAnsi="Arial Narrow" w:cs="Tahoma"/>
          <w:sz w:val="22"/>
        </w:rPr>
        <w:t>the highest value of export was that of export to</w:t>
      </w:r>
      <w:r>
        <w:rPr>
          <w:rFonts w:ascii="Arial Narrow" w:hAnsi="Arial Narrow" w:cs="Tahoma"/>
          <w:sz w:val="22"/>
        </w:rPr>
        <w:t xml:space="preserve"> Italy, with 151 million KM or 19.0%, followed by Serbia with 107 million KM or 13.5% of the total </w:t>
      </w:r>
      <w:proofErr w:type="spellStart"/>
      <w:r>
        <w:rPr>
          <w:rFonts w:ascii="Arial Narrow" w:hAnsi="Arial Narrow" w:cs="Tahoma"/>
          <w:sz w:val="22"/>
        </w:rPr>
        <w:t>realised</w:t>
      </w:r>
      <w:proofErr w:type="spellEnd"/>
      <w:r>
        <w:rPr>
          <w:rFonts w:ascii="Arial Narrow" w:hAnsi="Arial Narrow" w:cs="Tahoma"/>
          <w:sz w:val="22"/>
        </w:rPr>
        <w:t xml:space="preserve"> export.</w:t>
      </w:r>
      <w:r w:rsidRPr="0074468B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 xml:space="preserve">During the same period, the highest value of import was that of import from Serbia, with 231 million KM or 17.4%, followed by Italy with 171 million KM or 12.9% of the total </w:t>
      </w:r>
      <w:proofErr w:type="spellStart"/>
      <w:r>
        <w:rPr>
          <w:rFonts w:ascii="Arial Narrow" w:hAnsi="Arial Narrow" w:cs="Tahoma"/>
          <w:sz w:val="22"/>
        </w:rPr>
        <w:t>realised</w:t>
      </w:r>
      <w:proofErr w:type="spellEnd"/>
      <w:r>
        <w:rPr>
          <w:rFonts w:ascii="Arial Narrow" w:hAnsi="Arial Narrow" w:cs="Tahoma"/>
          <w:sz w:val="22"/>
        </w:rPr>
        <w:t xml:space="preserve"> import. </w:t>
      </w:r>
    </w:p>
    <w:p w:rsidR="0074468B" w:rsidRPr="0074468B" w:rsidRDefault="0074468B" w:rsidP="00055304">
      <w:pPr>
        <w:jc w:val="both"/>
        <w:rPr>
          <w:rFonts w:ascii="Arial Narrow" w:hAnsi="Arial Narrow" w:cs="Tahoma"/>
          <w:sz w:val="22"/>
        </w:rPr>
      </w:pPr>
    </w:p>
    <w:p w:rsidR="0074468B" w:rsidRPr="00B66396" w:rsidRDefault="0074468B" w:rsidP="0074468B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0070C0"/>
          <w:sz w:val="22"/>
          <w:lang w:val="sr-Cyrl-CS"/>
        </w:rPr>
      </w:pPr>
      <w:r>
        <w:rPr>
          <w:rFonts w:ascii="Arial Narrow" w:hAnsi="Arial Narrow" w:cs="Tahoma"/>
          <w:sz w:val="22"/>
        </w:rPr>
        <w:t xml:space="preserve">By group of products, in the period January – April 2015, the highest </w:t>
      </w:r>
      <w:r w:rsidRPr="007A6714">
        <w:rPr>
          <w:rFonts w:ascii="Arial Narrow" w:hAnsi="Arial Narrow" w:cs="Tahoma"/>
          <w:sz w:val="22"/>
        </w:rPr>
        <w:t>share in export was that of</w:t>
      </w:r>
      <w:r w:rsidRPr="007E2179">
        <w:rPr>
          <w:rFonts w:ascii="Arial Narrow" w:hAnsi="Arial Narrow" w:cs="Tahoma"/>
          <w:sz w:val="22"/>
          <w:lang w:val="sr-Cyrl-BA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Cyrl-BA"/>
        </w:rPr>
        <w:t>artificial</w:t>
      </w:r>
      <w:proofErr w:type="spellEnd"/>
      <w:r>
        <w:rPr>
          <w:rFonts w:ascii="Arial Narrow" w:hAnsi="Arial Narrow" w:cs="Tahoma"/>
          <w:sz w:val="22"/>
          <w:lang w:val="sr-Cyrl-BA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Cyrl-BA"/>
        </w:rPr>
        <w:t>corundum</w:t>
      </w:r>
      <w:proofErr w:type="spellEnd"/>
      <w:r>
        <w:rPr>
          <w:rFonts w:ascii="Arial Narrow" w:hAnsi="Arial Narrow" w:cs="Tahoma"/>
          <w:sz w:val="22"/>
          <w:lang w:val="sr-Cyrl-BA"/>
        </w:rPr>
        <w:t xml:space="preserve">, </w:t>
      </w:r>
      <w:proofErr w:type="spellStart"/>
      <w:r>
        <w:rPr>
          <w:rFonts w:ascii="Arial Narrow" w:hAnsi="Arial Narrow" w:cs="Tahoma"/>
          <w:sz w:val="22"/>
        </w:rPr>
        <w:t>aluminium</w:t>
      </w:r>
      <w:proofErr w:type="spellEnd"/>
      <w:r>
        <w:rPr>
          <w:rFonts w:ascii="Arial Narrow" w:hAnsi="Arial Narrow" w:cs="Tahoma"/>
          <w:sz w:val="22"/>
        </w:rPr>
        <w:t xml:space="preserve"> oxide and </w:t>
      </w:r>
      <w:proofErr w:type="spellStart"/>
      <w:r>
        <w:rPr>
          <w:rFonts w:ascii="Arial Narrow" w:hAnsi="Arial Narrow" w:cs="Tahoma"/>
          <w:sz w:val="22"/>
        </w:rPr>
        <w:t>aluminium</w:t>
      </w:r>
      <w:proofErr w:type="spellEnd"/>
      <w:r>
        <w:rPr>
          <w:rFonts w:ascii="Arial Narrow" w:hAnsi="Arial Narrow" w:cs="Tahoma"/>
          <w:sz w:val="22"/>
        </w:rPr>
        <w:t xml:space="preserve"> hydroxide with the total value of 49 million KM, which was 6.2% of the total export, while the highest share in import was that of </w:t>
      </w:r>
      <w:r w:rsidRPr="007A6714">
        <w:rPr>
          <w:rFonts w:ascii="Arial Narrow" w:hAnsi="Arial Narrow" w:cs="Tahoma"/>
          <w:sz w:val="22"/>
        </w:rPr>
        <w:t>petroleum and oils obtained from bituminous minerals (</w:t>
      </w:r>
      <w:r>
        <w:rPr>
          <w:rFonts w:ascii="Arial Narrow" w:hAnsi="Arial Narrow" w:cs="Tahoma"/>
          <w:sz w:val="22"/>
        </w:rPr>
        <w:t>crude</w:t>
      </w:r>
      <w:r w:rsidRPr="007A6714">
        <w:rPr>
          <w:rFonts w:ascii="Arial Narrow" w:hAnsi="Arial Narrow" w:cs="Tahoma"/>
          <w:sz w:val="22"/>
        </w:rPr>
        <w:t>),</w:t>
      </w:r>
      <w:r>
        <w:rPr>
          <w:rFonts w:ascii="Arial Narrow" w:hAnsi="Arial Narrow" w:cs="Tahoma"/>
          <w:sz w:val="22"/>
        </w:rPr>
        <w:t xml:space="preserve"> with the total value of 135 million KM, which was 10.2% of the total import. </w:t>
      </w:r>
    </w:p>
    <w:p w:rsidR="00115CDB" w:rsidRPr="0074468B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BA70D8" w:rsidRPr="00D93E1B" w:rsidRDefault="00BA70D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BA70D8" w:rsidRPr="00D93E1B" w:rsidRDefault="003A34E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8" type="#_x0000_t202" style="position:absolute;left:0;text-align:left;margin-left:272.8pt;margin-top:2.9pt;width:64.2pt;height:19.75pt;z-index:251664384;mso-width-relative:margin;mso-height-relative:margin" filled="f" stroked="f" strokecolor="white [3212]">
            <v:textbox style="mso-next-textbox:#_x0000_s1068">
              <w:txbxContent>
                <w:p w:rsidR="0091501C" w:rsidRPr="000A1309" w:rsidRDefault="0091501C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proofErr w:type="spellStart"/>
                  <w:proofErr w:type="gramStart"/>
                  <w:r>
                    <w:rPr>
                      <w:rFonts w:ascii="Arial Narrow" w:hAnsi="Arial Narrow" w:cs="Tahoma"/>
                      <w:sz w:val="16"/>
                      <w:szCs w:val="16"/>
                    </w:rPr>
                    <w:t>thous</w:t>
                  </w:r>
                  <w:proofErr w:type="spellEnd"/>
                  <w:proofErr w:type="gramEnd"/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BA70D8" w:rsidRPr="00D93E1B" w:rsidRDefault="003A34E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277.55pt;margin-top:150.1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91501C" w:rsidRPr="000A1309" w:rsidRDefault="0091501C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85.45pt;margin-top:150.1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91501C" w:rsidRPr="000A1309" w:rsidRDefault="0091501C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 w:rsidR="001D1C4F" w:rsidRPr="00D93E1B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3825895" cy="1999977"/>
            <wp:effectExtent l="0" t="0" r="0" b="0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6814" w:rsidRPr="00D93E1B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34EE" w:rsidRDefault="003A34EE" w:rsidP="00777348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sr-Latn-BA"/>
        </w:rPr>
      </w:pPr>
    </w:p>
    <w:p w:rsidR="00777348" w:rsidRPr="00240CD6" w:rsidRDefault="00240CD6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proofErr w:type="spellStart"/>
      <w:r>
        <w:rPr>
          <w:rFonts w:ascii="Arial Narrow" w:hAnsi="Arial Narrow" w:cs="Tahoma"/>
          <w:sz w:val="16"/>
          <w:szCs w:val="22"/>
          <w:lang w:val="sr-Latn-BA"/>
        </w:rPr>
        <w:t>Graph</w:t>
      </w:r>
      <w:proofErr w:type="spellEnd"/>
      <w:r w:rsidR="00777348" w:rsidRPr="00D93E1B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CE2F01" w:rsidRPr="00D93E1B">
        <w:rPr>
          <w:rFonts w:ascii="Arial Narrow" w:hAnsi="Arial Narrow" w:cs="Tahoma"/>
          <w:sz w:val="16"/>
          <w:szCs w:val="22"/>
          <w:lang w:val="sr-Latn-BA"/>
        </w:rPr>
        <w:t>4</w:t>
      </w:r>
      <w:r w:rsidR="00777348" w:rsidRPr="00D93E1B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  <w:lang w:val="sr-Latn-BA"/>
        </w:rPr>
        <w:t>Export and import by month</w:t>
      </w:r>
    </w:p>
    <w:p w:rsidR="00115CDB" w:rsidRPr="00D93E1B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0D1CED" w:rsidRPr="00D93E1B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D93E1B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93E1B" w:rsidRDefault="001329A5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>
              <w:rPr>
                <w:rFonts w:ascii="Arial Narrow" w:hAnsi="Arial Narrow" w:cs="Tahoma"/>
                <w:b/>
                <w:sz w:val="22"/>
              </w:rPr>
              <w:t>PREPARED BY</w:t>
            </w:r>
            <w:r w:rsidR="009E2A9A" w:rsidRPr="00D93E1B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9E2A9A" w:rsidRPr="00D93E1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93E1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93E1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93E1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93E1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1D1C4F" w:rsidRPr="00D93E1B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1D1C4F" w:rsidRPr="00F45564" w:rsidRDefault="00F45564" w:rsidP="001D1C4F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  <w:t xml:space="preserve">Information </w:t>
            </w:r>
            <w:r w:rsidR="00AC49F2"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  <w:t>society</w:t>
            </w:r>
          </w:p>
          <w:p w:rsidR="001D1C4F" w:rsidRPr="00CA6582" w:rsidRDefault="00CA6582" w:rsidP="001D1C4F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Suzana Adamović</w:t>
            </w:r>
          </w:p>
          <w:p w:rsidR="001D1C4F" w:rsidRPr="00D93E1B" w:rsidRDefault="001D1C4F" w:rsidP="001D1C4F">
            <w:pPr>
              <w:jc w:val="both"/>
              <w:rPr>
                <w:rFonts w:ascii="Arial Narrow" w:hAnsi="Arial Narrow" w:cs="Tahoma"/>
                <w:sz w:val="18"/>
                <w:szCs w:val="18"/>
                <w:u w:val="single"/>
                <w:lang w:val="sr-Latn-BA"/>
              </w:rPr>
            </w:pPr>
            <w:r w:rsidRPr="00D93E1B">
              <w:rPr>
                <w:rFonts w:ascii="Arial Narrow" w:hAnsi="Arial Narrow" w:cs="Tahoma"/>
                <w:sz w:val="18"/>
                <w:szCs w:val="18"/>
                <w:u w:val="single"/>
                <w:lang w:val="sr-Latn-BA"/>
              </w:rPr>
              <w:t>suzana.adamovic@rzs.rs.ba</w:t>
            </w:r>
          </w:p>
          <w:p w:rsidR="001D1C4F" w:rsidRPr="00CA6582" w:rsidRDefault="00CA6582" w:rsidP="001D1C4F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Aleksandra Đonlaga</w:t>
            </w:r>
          </w:p>
          <w:p w:rsidR="001D1C4F" w:rsidRPr="00D93E1B" w:rsidRDefault="003A34EE" w:rsidP="001D1C4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1D1C4F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aleksandra.djonlaga@rzs.rs.ba</w:t>
              </w:r>
            </w:hyperlink>
            <w:r w:rsidR="001D1C4F" w:rsidRPr="00D93E1B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1D1C4F" w:rsidRPr="00D93E1B" w:rsidRDefault="001D1C4F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</w:p>
        </w:tc>
      </w:tr>
      <w:tr w:rsidR="004C20B5" w:rsidRPr="00D93E1B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1329A5" w:rsidRPr="002D6352" w:rsidRDefault="001329A5" w:rsidP="001329A5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</w:pPr>
            <w:proofErr w:type="spellStart"/>
            <w:r>
              <w:rPr>
                <w:rFonts w:ascii="Arial Narrow" w:hAnsi="Arial Narrow" w:cs="Tahoma"/>
                <w:b/>
                <w:sz w:val="18"/>
                <w:szCs w:val="18"/>
              </w:rPr>
              <w:t>Labour</w:t>
            </w:r>
            <w:proofErr w:type="spellEnd"/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statistics</w:t>
            </w:r>
          </w:p>
          <w:p w:rsidR="001329A5" w:rsidRPr="002D6352" w:rsidRDefault="001329A5" w:rsidP="001329A5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Biljana Glušac</w:t>
            </w:r>
          </w:p>
          <w:p w:rsidR="009E2A9A" w:rsidRPr="00D93E1B" w:rsidRDefault="003A34EE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5" w:history="1">
              <w:r w:rsidR="007B6AC0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D93E1B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5C3831" w:rsidRPr="00D93E1B" w:rsidRDefault="005C3831" w:rsidP="00B538D0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D93E1B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1329A5" w:rsidRPr="002D6352" w:rsidRDefault="001329A5" w:rsidP="001329A5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  <w:t>Prices statistics</w:t>
            </w:r>
          </w:p>
          <w:p w:rsidR="001329A5" w:rsidRPr="000F6665" w:rsidRDefault="001329A5" w:rsidP="001329A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Biljana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Tešić</w:t>
            </w:r>
            <w:proofErr w:type="spellEnd"/>
          </w:p>
          <w:p w:rsidR="009E2A9A" w:rsidRPr="00D93E1B" w:rsidRDefault="003A34E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CS"/>
              </w:rPr>
            </w:pPr>
            <w:hyperlink r:id="rId16" w:history="1">
              <w:r w:rsidR="00AC49F2" w:rsidRPr="00107A13">
                <w:rPr>
                  <w:rStyle w:val="Hyperlink"/>
                  <w:rFonts w:ascii="Arial Narrow" w:hAnsi="Arial Narrow" w:cs="Tahoma"/>
                  <w:sz w:val="18"/>
                  <w:szCs w:val="18"/>
                  <w:lang w:val="sr-Latn-CS"/>
                </w:rPr>
                <w:t>biljana.tesic@rzs.rs.ba</w:t>
              </w:r>
            </w:hyperlink>
          </w:p>
          <w:p w:rsidR="009E2A9A" w:rsidRPr="00D93E1B" w:rsidRDefault="009E2A9A" w:rsidP="001329A5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D93E1B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1329A5" w:rsidRPr="000F6665" w:rsidRDefault="001329A5" w:rsidP="001329A5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F6665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1329A5" w:rsidRPr="000F6665" w:rsidRDefault="001329A5" w:rsidP="001329A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Mirjana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Bandur</w:t>
            </w:r>
            <w:proofErr w:type="spellEnd"/>
          </w:p>
          <w:p w:rsidR="009E2A9A" w:rsidRPr="00D93E1B" w:rsidRDefault="003A34EE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7" w:history="1"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4C20B5" w:rsidRPr="00D93E1B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A6582" w:rsidRPr="00FB4FDD" w:rsidRDefault="00CA6582" w:rsidP="00CA6582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  <w:t>External trade statistics</w:t>
            </w:r>
          </w:p>
          <w:p w:rsidR="00CA6582" w:rsidRPr="00F04972" w:rsidRDefault="00CA6582" w:rsidP="00CA6582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Sanja Stojčević Uvalić, MSc</w:t>
            </w:r>
          </w:p>
          <w:p w:rsidR="00A62FE1" w:rsidRPr="00D93E1B" w:rsidRDefault="003A34EE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8" w:history="1"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9E2A9A" w:rsidRPr="00D93E1B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93E1B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93E1B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D93E1B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93E1B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D93E1B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D93E1B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93E1B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93E1B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93E1B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1329A5" w:rsidRDefault="001329A5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D93E1B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1329A5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D93E1B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93E1B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93E1B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1329A5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D93E1B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93E1B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93E1B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1329A5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D93E1B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93E1B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93E1B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93E1B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93E1B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93E1B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93E1B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CA19B5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Pr="00CA19B5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Pr="00CA19B5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CA19B5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CA19B5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6C13" w:rsidRPr="00CA19B5" w:rsidRDefault="00286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CA19B5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CA19B5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CA19B5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CA19B5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A34EE" w:rsidRDefault="003A34E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407EE" w:rsidRDefault="00D407E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407EE" w:rsidRPr="00D407EE" w:rsidRDefault="00D407E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CA19B5" w:rsidRDefault="003A34E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1329A5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0F6665">
              <w:rPr>
                <w:rFonts w:ascii="Arial Narrow" w:hAnsi="Arial Narrow" w:cs="Tahoma"/>
                <w:sz w:val="18"/>
              </w:rPr>
              <w:t>The Release prepared by the Publications Division</w:t>
            </w:r>
          </w:p>
        </w:tc>
      </w:tr>
      <w:tr w:rsidR="004C20B5" w:rsidRPr="00CA19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1329A5" w:rsidRPr="000F6665" w:rsidRDefault="001329A5" w:rsidP="001329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Vladan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Sibinović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>, Head of the Division</w:t>
            </w:r>
          </w:p>
          <w:p w:rsidR="001329A5" w:rsidRPr="000F6665" w:rsidRDefault="001329A5" w:rsidP="001329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Published by the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Institute of Statistics,</w:t>
            </w:r>
          </w:p>
          <w:p w:rsidR="001329A5" w:rsidRPr="000F6665" w:rsidRDefault="001329A5" w:rsidP="001329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, Banja Luka,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Veljka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Mlađenovića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12d</w:t>
            </w:r>
          </w:p>
          <w:p w:rsidR="001329A5" w:rsidRPr="000F6665" w:rsidRDefault="001329A5" w:rsidP="001329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Radmila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Čičković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>, PhD, Director General of the Institute</w:t>
            </w:r>
          </w:p>
          <w:p w:rsidR="001329A5" w:rsidRPr="000F6665" w:rsidRDefault="001329A5" w:rsidP="001329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0F6665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9E2A9A" w:rsidRDefault="001329A5" w:rsidP="001329A5">
            <w:pPr>
              <w:jc w:val="center"/>
            </w:pPr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telephone +387 51 332 700; e-mail: </w:t>
            </w:r>
            <w:hyperlink r:id="rId19" w:history="1">
              <w:r w:rsidRPr="000F666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1329A5" w:rsidRPr="00CA19B5" w:rsidRDefault="001329A5" w:rsidP="001329A5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A19B5" w:rsidRDefault="001329A5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0F6665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CA19B5" w:rsidRDefault="003A34EE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20"/>
      <w:footerReference w:type="default" r:id="rId21"/>
      <w:footerReference w:type="first" r:id="rId22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01C" w:rsidRDefault="0091501C">
      <w:r>
        <w:separator/>
      </w:r>
    </w:p>
  </w:endnote>
  <w:endnote w:type="continuationSeparator" w:id="0">
    <w:p w:rsidR="0091501C" w:rsidRDefault="0091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01C" w:rsidRDefault="003A34EE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91501C" w:rsidRPr="00175687" w:rsidRDefault="00AF2A11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91501C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3A34EE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01C" w:rsidRDefault="003A34EE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91501C" w:rsidRPr="00175687" w:rsidRDefault="00AF2A11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91501C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3A34EE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01C" w:rsidRDefault="0091501C">
      <w:r>
        <w:separator/>
      </w:r>
    </w:p>
  </w:footnote>
  <w:footnote w:type="continuationSeparator" w:id="0">
    <w:p w:rsidR="0091501C" w:rsidRDefault="00915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91501C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91501C" w:rsidRPr="001329A5" w:rsidRDefault="0091501C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91501C" w:rsidRPr="001329A5" w:rsidRDefault="0091501C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91501C" w:rsidRPr="005D5311" w:rsidRDefault="0091501C" w:rsidP="001329A5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1</w:t>
          </w:r>
          <w:proofErr w:type="spellStart"/>
          <w:r w:rsidRPr="001329A5">
            <w:rPr>
              <w:rFonts w:ascii="Arial Narrow" w:hAnsi="Arial Narrow" w:cs="Tahoma"/>
              <w:color w:val="0070C0"/>
              <w:sz w:val="18"/>
              <w:vertAlign w:val="superscript"/>
            </w:rPr>
            <w:t>st</w:t>
          </w:r>
          <w:proofErr w:type="spellEnd"/>
          <w:r>
            <w:rPr>
              <w:rFonts w:ascii="Arial Narrow" w:hAnsi="Arial Narrow" w:cs="Tahoma"/>
              <w:color w:val="0070C0"/>
              <w:sz w:val="18"/>
            </w:rPr>
            <w:t xml:space="preserve"> May 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201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5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5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91501C" w:rsidRDefault="003A34EE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3E67"/>
    <w:rsid w:val="0000448E"/>
    <w:rsid w:val="00004492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B5A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0779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38"/>
    <w:rsid w:val="000D7C4C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E7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9A5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0F48"/>
    <w:rsid w:val="001A164F"/>
    <w:rsid w:val="001A1708"/>
    <w:rsid w:val="001A1901"/>
    <w:rsid w:val="001A1B78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C46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C4F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CD6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2F95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25D"/>
    <w:rsid w:val="003214C3"/>
    <w:rsid w:val="0032196C"/>
    <w:rsid w:val="00321BF0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3AD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3E98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4EE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4D6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8E5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35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81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8DF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0C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19C9"/>
    <w:rsid w:val="005C20CF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3049"/>
    <w:rsid w:val="005F3130"/>
    <w:rsid w:val="005F3A70"/>
    <w:rsid w:val="005F3F35"/>
    <w:rsid w:val="005F44EB"/>
    <w:rsid w:val="005F4792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23D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3ECA"/>
    <w:rsid w:val="00676268"/>
    <w:rsid w:val="0067642C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5A0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CC2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68B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9D9"/>
    <w:rsid w:val="00763320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3F9B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A52"/>
    <w:rsid w:val="00783BED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4CF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69C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80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E4"/>
    <w:rsid w:val="008526C3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7375"/>
    <w:rsid w:val="008A74FC"/>
    <w:rsid w:val="008A7AB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861"/>
    <w:rsid w:val="008F1923"/>
    <w:rsid w:val="008F219D"/>
    <w:rsid w:val="008F2292"/>
    <w:rsid w:val="008F2385"/>
    <w:rsid w:val="008F247B"/>
    <w:rsid w:val="008F2871"/>
    <w:rsid w:val="008F28E6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01C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5D1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0B74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D7772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A0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C46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756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2FAB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1F7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9F2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AC"/>
    <w:rsid w:val="00AD4A3F"/>
    <w:rsid w:val="00AD4B1A"/>
    <w:rsid w:val="00AD4DC9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A11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448"/>
    <w:rsid w:val="00AF559F"/>
    <w:rsid w:val="00AF5618"/>
    <w:rsid w:val="00AF57B4"/>
    <w:rsid w:val="00AF57FF"/>
    <w:rsid w:val="00AF5845"/>
    <w:rsid w:val="00AF5BC3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3E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F7A"/>
    <w:rsid w:val="00BB4014"/>
    <w:rsid w:val="00BB4227"/>
    <w:rsid w:val="00BB44B0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718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3A6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C5"/>
    <w:rsid w:val="00C911E3"/>
    <w:rsid w:val="00C914A9"/>
    <w:rsid w:val="00C9258D"/>
    <w:rsid w:val="00C92930"/>
    <w:rsid w:val="00C92B2B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F05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582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227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3E1B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009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4BC1"/>
    <w:rsid w:val="00EB4D7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2FC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5BE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5564"/>
    <w:rsid w:val="00F463FE"/>
    <w:rsid w:val="00F46AC3"/>
    <w:rsid w:val="00F46E4F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972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3B25"/>
    <w:rsid w:val="00FE4C4E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7520379C-4EA6-4E15-8B17-849A4F4B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mirjana.bandur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tesic@rzs.rs.b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iljana.glusac@rzs.rs.b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aleksandra.djonlaga@rzs.rs.ba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krajina\publikovanje\01%20Saopstenja\2015\IKT\Grafikoni%20od%2016%20do%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5\April\Grafikon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stojcevicsa.RZS\Desktop\SANJA\SPOLJNA%20TRGOVINA\za%20medije\Prezentacija,%20od%20avg2011\prezentacija%202015\april%202015\za%20Graf%20IV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3.7586547972305054E-2"/>
                  <c:y val="8.3333333333333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1543026706231473E-2"/>
                  <c:y val="-8.3333333333333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3412462908012645E-2"/>
                  <c:y val="4.62959317585306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7586547972305054E-2"/>
                  <c:y val="-6.0185185185185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5608308605341386E-2"/>
                  <c:y val="6.9444444444444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7.715133531157263E-2"/>
                  <c:y val="-1.3888888888889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9782393669634264E-3"/>
                  <c:y val="-3.6453776611257841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1543026706231473E-2"/>
                  <c:y val="3.7037037037037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5717111770524624E-2"/>
                  <c:y val="-6.9444444444444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'IKT- 2014'!$O$57:$O$66</c:f>
              <c:strCache>
                <c:ptCount val="10"/>
                <c:pt idx="0">
                  <c:v>C</c:v>
                </c:pt>
                <c:pt idx="1">
                  <c:v>DE</c:v>
                </c:pt>
                <c:pt idx="2">
                  <c:v>F</c:v>
                </c:pt>
                <c:pt idx="3">
                  <c:v>G</c:v>
                </c:pt>
                <c:pt idx="4">
                  <c:v>H</c:v>
                </c:pt>
                <c:pt idx="5">
                  <c:v>I</c:v>
                </c:pt>
                <c:pt idx="6">
                  <c:v>J</c:v>
                </c:pt>
                <c:pt idx="7">
                  <c:v>K</c:v>
                </c:pt>
                <c:pt idx="8">
                  <c:v>LM</c:v>
                </c:pt>
                <c:pt idx="9">
                  <c:v>N</c:v>
                </c:pt>
              </c:strCache>
            </c:strRef>
          </c:cat>
          <c:val>
            <c:numRef>
              <c:f>'IKT- 2014'!$P$57:$P$66</c:f>
              <c:numCache>
                <c:formatCode>0.0%</c:formatCode>
                <c:ptCount val="10"/>
                <c:pt idx="0">
                  <c:v>0.15498150000000024</c:v>
                </c:pt>
                <c:pt idx="1">
                  <c:v>0.24074070000000108</c:v>
                </c:pt>
                <c:pt idx="2">
                  <c:v>0.18125959999999999</c:v>
                </c:pt>
                <c:pt idx="3">
                  <c:v>0.18085029999999999</c:v>
                </c:pt>
                <c:pt idx="4">
                  <c:v>0.15079370000000109</c:v>
                </c:pt>
                <c:pt idx="5">
                  <c:v>0.23703700000000041</c:v>
                </c:pt>
                <c:pt idx="6">
                  <c:v>0.73809519999999995</c:v>
                </c:pt>
                <c:pt idx="7">
                  <c:v>0.95000000000000062</c:v>
                </c:pt>
                <c:pt idx="8">
                  <c:v>0.125641</c:v>
                </c:pt>
                <c:pt idx="9">
                  <c:v>0.36538460000000428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5115408"/>
        <c:axId val="365115800"/>
      </c:lineChart>
      <c:catAx>
        <c:axId val="36511540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365115800"/>
        <c:crosses val="autoZero"/>
        <c:auto val="1"/>
        <c:lblAlgn val="ctr"/>
        <c:lblOffset val="100"/>
        <c:noMultiLvlLbl val="0"/>
      </c:catAx>
      <c:valAx>
        <c:axId val="365115800"/>
        <c:scaling>
          <c:orientation val="minMax"/>
          <c:max val="1"/>
        </c:scaling>
        <c:delete val="1"/>
        <c:axPos val="l"/>
        <c:majorGridlines>
          <c:spPr>
            <a:ln w="3175"/>
          </c:spPr>
        </c:majorGridlines>
        <c:numFmt formatCode="0.0%" sourceLinked="1"/>
        <c:majorTickMark val="out"/>
        <c:minorTickMark val="none"/>
        <c:tickLblPos val="none"/>
        <c:crossAx val="36511540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2014</c:v>
                  </c:pt>
                  <c:pt idx="9">
                    <c:v>2015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821</c:v>
                </c:pt>
                <c:pt idx="1">
                  <c:v>818</c:v>
                </c:pt>
                <c:pt idx="2">
                  <c:v>837</c:v>
                </c:pt>
                <c:pt idx="3">
                  <c:v>830</c:v>
                </c:pt>
                <c:pt idx="4">
                  <c:v>825</c:v>
                </c:pt>
                <c:pt idx="5">
                  <c:v>831</c:v>
                </c:pt>
                <c:pt idx="6">
                  <c:v>826</c:v>
                </c:pt>
                <c:pt idx="7">
                  <c:v>827</c:v>
                </c:pt>
                <c:pt idx="8">
                  <c:v>836</c:v>
                </c:pt>
                <c:pt idx="9">
                  <c:v>812</c:v>
                </c:pt>
                <c:pt idx="10">
                  <c:v>834</c:v>
                </c:pt>
                <c:pt idx="11">
                  <c:v>831</c:v>
                </c:pt>
                <c:pt idx="12">
                  <c:v>835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5116584"/>
        <c:axId val="365116976"/>
      </c:lineChart>
      <c:catAx>
        <c:axId val="36511658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365116976"/>
        <c:crosses val="autoZero"/>
        <c:auto val="1"/>
        <c:lblAlgn val="ctr"/>
        <c:lblOffset val="100"/>
        <c:noMultiLvlLbl val="0"/>
      </c:catAx>
      <c:valAx>
        <c:axId val="365116976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365116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2011</c:v>
                  </c:pt>
                  <c:pt idx="9">
                    <c:v>2012</c:v>
                  </c:pt>
                  <c:pt idx="21">
                    <c:v>2013</c:v>
                  </c:pt>
                  <c:pt idx="33">
                    <c:v>2014</c:v>
                  </c:pt>
                  <c:pt idx="45">
                    <c:v>2015</c:v>
                  </c:pt>
                </c:lvl>
              </c:multiLvlStrCache>
            </c:multiLvlStrRef>
          </c:cat>
          <c:val>
            <c:numRef>
              <c:f>Sheet2!$C$3:$C$50</c:f>
              <c:numCache>
                <c:formatCode>General</c:formatCode>
                <c:ptCount val="48"/>
                <c:pt idx="0">
                  <c:v>103.67240939286914</c:v>
                </c:pt>
                <c:pt idx="1">
                  <c:v>105.59019373280977</c:v>
                </c:pt>
                <c:pt idx="2">
                  <c:v>110.50655792530429</c:v>
                </c:pt>
                <c:pt idx="3">
                  <c:v>108.00921959320409</c:v>
                </c:pt>
                <c:pt idx="4">
                  <c:v>98.99010096457809</c:v>
                </c:pt>
                <c:pt idx="5">
                  <c:v>104.43395403757562</c:v>
                </c:pt>
                <c:pt idx="6">
                  <c:v>103.41838035766276</c:v>
                </c:pt>
                <c:pt idx="7">
                  <c:v>100.24833926440806</c:v>
                </c:pt>
                <c:pt idx="8">
                  <c:v>102.50992009684722</c:v>
                </c:pt>
                <c:pt idx="9">
                  <c:v>97.47481268532303</c:v>
                </c:pt>
                <c:pt idx="10">
                  <c:v>101.2590928533396</c:v>
                </c:pt>
                <c:pt idx="11">
                  <c:v>101.6505573132203</c:v>
                </c:pt>
                <c:pt idx="12">
                  <c:v>99.70041696226869</c:v>
                </c:pt>
                <c:pt idx="13">
                  <c:v>99.781200517883548</c:v>
                </c:pt>
                <c:pt idx="14">
                  <c:v>93.408189394701438</c:v>
                </c:pt>
                <c:pt idx="15">
                  <c:v>99.880776897942596</c:v>
                </c:pt>
                <c:pt idx="16">
                  <c:v>105.79150881456377</c:v>
                </c:pt>
                <c:pt idx="17">
                  <c:v>100.46580749620773</c:v>
                </c:pt>
                <c:pt idx="18">
                  <c:v>98.958054146397899</c:v>
                </c:pt>
                <c:pt idx="19">
                  <c:v>101.97453846512506</c:v>
                </c:pt>
                <c:pt idx="20">
                  <c:v>101.20294185985352</c:v>
                </c:pt>
                <c:pt idx="21">
                  <c:v>100.39203297168837</c:v>
                </c:pt>
                <c:pt idx="22">
                  <c:v>100.68809016086082</c:v>
                </c:pt>
                <c:pt idx="23">
                  <c:v>109.32217070269265</c:v>
                </c:pt>
                <c:pt idx="24">
                  <c:v>103.55500274127037</c:v>
                </c:pt>
                <c:pt idx="25">
                  <c:v>105.23407510202235</c:v>
                </c:pt>
                <c:pt idx="26">
                  <c:v>110.1454051574504</c:v>
                </c:pt>
                <c:pt idx="27">
                  <c:v>107.18702248979299</c:v>
                </c:pt>
                <c:pt idx="28">
                  <c:v>100.21902266296297</c:v>
                </c:pt>
                <c:pt idx="29">
                  <c:v>101.62004766089674</c:v>
                </c:pt>
                <c:pt idx="30">
                  <c:v>104.57975359699942</c:v>
                </c:pt>
                <c:pt idx="31">
                  <c:v>105.58222944879566</c:v>
                </c:pt>
                <c:pt idx="32">
                  <c:v>105.25744880885522</c:v>
                </c:pt>
                <c:pt idx="33">
                  <c:v>105.30509449921189</c:v>
                </c:pt>
                <c:pt idx="34">
                  <c:v>103.07299874298162</c:v>
                </c:pt>
                <c:pt idx="35">
                  <c:v>103.31347523724894</c:v>
                </c:pt>
                <c:pt idx="36">
                  <c:v>104.13224712522668</c:v>
                </c:pt>
                <c:pt idx="37">
                  <c:v>104.55787679386231</c:v>
                </c:pt>
                <c:pt idx="38">
                  <c:v>105.60013322893037</c:v>
                </c:pt>
                <c:pt idx="39">
                  <c:v>100.60366055265372</c:v>
                </c:pt>
                <c:pt idx="40">
                  <c:v>108.38959238075823</c:v>
                </c:pt>
                <c:pt idx="41">
                  <c:v>107.47541873647253</c:v>
                </c:pt>
                <c:pt idx="42">
                  <c:v>106.58736680900995</c:v>
                </c:pt>
                <c:pt idx="43">
                  <c:v>104.62130451211307</c:v>
                </c:pt>
                <c:pt idx="44">
                  <c:v>105.94573429047178</c:v>
                </c:pt>
                <c:pt idx="45">
                  <c:v>111.05639670053255</c:v>
                </c:pt>
                <c:pt idx="46">
                  <c:v>107.02096310987339</c:v>
                </c:pt>
                <c:pt idx="47">
                  <c:v>106.34773580903175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2011</c:v>
                  </c:pt>
                  <c:pt idx="9">
                    <c:v>2012</c:v>
                  </c:pt>
                  <c:pt idx="21">
                    <c:v>2013</c:v>
                  </c:pt>
                  <c:pt idx="33">
                    <c:v>2014</c:v>
                  </c:pt>
                  <c:pt idx="45">
                    <c:v>2015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102.47070963843534</c:v>
                </c:pt>
                <c:pt idx="1">
                  <c:v>102.72523806769267</c:v>
                </c:pt>
                <c:pt idx="2">
                  <c:v>102.9615209496986</c:v>
                </c:pt>
                <c:pt idx="3">
                  <c:v>103.07811085064434</c:v>
                </c:pt>
                <c:pt idx="4">
                  <c:v>102.94010381972136</c:v>
                </c:pt>
                <c:pt idx="5">
                  <c:v>102.65312957395375</c:v>
                </c:pt>
                <c:pt idx="6">
                  <c:v>102.43450120212539</c:v>
                </c:pt>
                <c:pt idx="7">
                  <c:v>102.18016558192936</c:v>
                </c:pt>
                <c:pt idx="8">
                  <c:v>101.88401855009462</c:v>
                </c:pt>
                <c:pt idx="9">
                  <c:v>101.61527730107801</c:v>
                </c:pt>
                <c:pt idx="10">
                  <c:v>101.36455694869399</c:v>
                </c:pt>
                <c:pt idx="11">
                  <c:v>101.21105777523627</c:v>
                </c:pt>
                <c:pt idx="12">
                  <c:v>101.08348104301621</c:v>
                </c:pt>
                <c:pt idx="13">
                  <c:v>100.94489243533116</c:v>
                </c:pt>
                <c:pt idx="14">
                  <c:v>100.83258330874361</c:v>
                </c:pt>
                <c:pt idx="15">
                  <c:v>100.81008302710919</c:v>
                </c:pt>
                <c:pt idx="16">
                  <c:v>101.01796927664751</c:v>
                </c:pt>
                <c:pt idx="17">
                  <c:v>101.28513845153508</c:v>
                </c:pt>
                <c:pt idx="18">
                  <c:v>101.42778802556637</c:v>
                </c:pt>
                <c:pt idx="19">
                  <c:v>101.59533661640707</c:v>
                </c:pt>
                <c:pt idx="20">
                  <c:v>101.8525189230279</c:v>
                </c:pt>
                <c:pt idx="21">
                  <c:v>102.13131833821431</c:v>
                </c:pt>
                <c:pt idx="22">
                  <c:v>102.43501181136065</c:v>
                </c:pt>
                <c:pt idx="23">
                  <c:v>102.84177677119408</c:v>
                </c:pt>
                <c:pt idx="24">
                  <c:v>103.27831175342695</c:v>
                </c:pt>
                <c:pt idx="25">
                  <c:v>103.57893929404217</c:v>
                </c:pt>
                <c:pt idx="26">
                  <c:v>103.83738091627545</c:v>
                </c:pt>
                <c:pt idx="27">
                  <c:v>104.05309447923862</c:v>
                </c:pt>
                <c:pt idx="28">
                  <c:v>104.06831231145452</c:v>
                </c:pt>
                <c:pt idx="29">
                  <c:v>103.99271987087202</c:v>
                </c:pt>
                <c:pt idx="30">
                  <c:v>104.03105313409021</c:v>
                </c:pt>
                <c:pt idx="31">
                  <c:v>104.17014058385834</c:v>
                </c:pt>
                <c:pt idx="32">
                  <c:v>104.30070524889128</c:v>
                </c:pt>
                <c:pt idx="33">
                  <c:v>104.39641554243261</c:v>
                </c:pt>
                <c:pt idx="34">
                  <c:v>104.45956595887102</c:v>
                </c:pt>
                <c:pt idx="35">
                  <c:v>104.51112999812734</c:v>
                </c:pt>
                <c:pt idx="36">
                  <c:v>104.61230448696503</c:v>
                </c:pt>
                <c:pt idx="37">
                  <c:v>104.76792520869381</c:v>
                </c:pt>
                <c:pt idx="38">
                  <c:v>104.96478474196046</c:v>
                </c:pt>
                <c:pt idx="39">
                  <c:v>105.16251530241829</c:v>
                </c:pt>
                <c:pt idx="40">
                  <c:v>105.40356855467826</c:v>
                </c:pt>
                <c:pt idx="41">
                  <c:v>105.76094328106164</c:v>
                </c:pt>
                <c:pt idx="42">
                  <c:v>106.09180065752658</c:v>
                </c:pt>
                <c:pt idx="43">
                  <c:v>106.35630366380057</c:v>
                </c:pt>
                <c:pt idx="44">
                  <c:v>106.63648077012535</c:v>
                </c:pt>
                <c:pt idx="45">
                  <c:v>106.99491541817331</c:v>
                </c:pt>
                <c:pt idx="46">
                  <c:v>107.38079858824968</c:v>
                </c:pt>
                <c:pt idx="47">
                  <c:v>107.6850784663695</c:v>
                </c:pt>
                <c:pt idx="48">
                  <c:v>108.00078984423185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5118152"/>
        <c:axId val="365118544"/>
      </c:lineChart>
      <c:catAx>
        <c:axId val="36511815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365118544"/>
        <c:crosses val="autoZero"/>
        <c:auto val="1"/>
        <c:lblAlgn val="ctr"/>
        <c:lblOffset val="100"/>
        <c:noMultiLvlLbl val="0"/>
      </c:catAx>
      <c:valAx>
        <c:axId val="365118544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36511815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700">
              <a:latin typeface="Arial Narrow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336444399440871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zaApril2015!$A$2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zaApril2015!$B$1:$N$1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zaApril2015!$B$2:$N$2</c:f>
              <c:numCache>
                <c:formatCode>General</c:formatCode>
                <c:ptCount val="13"/>
                <c:pt idx="0">
                  <c:v>347841</c:v>
                </c:pt>
                <c:pt idx="1">
                  <c:v>430360</c:v>
                </c:pt>
                <c:pt idx="2">
                  <c:v>414297</c:v>
                </c:pt>
                <c:pt idx="3">
                  <c:v>412801</c:v>
                </c:pt>
                <c:pt idx="4">
                  <c:v>444841</c:v>
                </c:pt>
                <c:pt idx="5">
                  <c:v>421218</c:v>
                </c:pt>
                <c:pt idx="6">
                  <c:v>508654</c:v>
                </c:pt>
                <c:pt idx="7">
                  <c:v>432236</c:v>
                </c:pt>
                <c:pt idx="8">
                  <c:v>434262</c:v>
                </c:pt>
                <c:pt idx="9">
                  <c:v>223470</c:v>
                </c:pt>
                <c:pt idx="10">
                  <c:v>345458</c:v>
                </c:pt>
                <c:pt idx="11">
                  <c:v>403064</c:v>
                </c:pt>
                <c:pt idx="12">
                  <c:v>354825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zaApril2015!$A$3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zaApril2015!$B$1:$N$1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zaApril2015!$B$3:$N$3</c:f>
              <c:numCache>
                <c:formatCode>General</c:formatCode>
                <c:ptCount val="13"/>
                <c:pt idx="0">
                  <c:v>218972</c:v>
                </c:pt>
                <c:pt idx="1">
                  <c:v>202886</c:v>
                </c:pt>
                <c:pt idx="2">
                  <c:v>241773</c:v>
                </c:pt>
                <c:pt idx="3">
                  <c:v>258199</c:v>
                </c:pt>
                <c:pt idx="4">
                  <c:v>196460</c:v>
                </c:pt>
                <c:pt idx="5">
                  <c:v>249428</c:v>
                </c:pt>
                <c:pt idx="6">
                  <c:v>254890</c:v>
                </c:pt>
                <c:pt idx="7" formatCode="0">
                  <c:v>229750</c:v>
                </c:pt>
                <c:pt idx="8" formatCode="0">
                  <c:v>206445</c:v>
                </c:pt>
                <c:pt idx="9" formatCode="0">
                  <c:v>169562</c:v>
                </c:pt>
                <c:pt idx="10" formatCode="0">
                  <c:v>201039</c:v>
                </c:pt>
                <c:pt idx="11" formatCode="0">
                  <c:v>212672</c:v>
                </c:pt>
                <c:pt idx="12" formatCode="0">
                  <c:v>208107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6082672"/>
        <c:axId val="366083064"/>
      </c:lineChart>
      <c:catAx>
        <c:axId val="36608267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366083064"/>
        <c:crosses val="autoZero"/>
        <c:auto val="1"/>
        <c:lblAlgn val="ctr"/>
        <c:lblOffset val="100"/>
        <c:noMultiLvlLbl val="0"/>
      </c:catAx>
      <c:valAx>
        <c:axId val="36608306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366082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433376280710553"/>
          <c:y val="0.34220861281228737"/>
          <c:w val="0.22142713319855539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0.83735</cdr:x>
      <cdr:y>0.34471</cdr:y>
    </cdr:from>
    <cdr:to>
      <cdr:x>0.9759</cdr:x>
      <cdr:y>0.44088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597217" y="871268"/>
          <a:ext cx="595222" cy="24306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>
              <a:latin typeface="Arial Narrow" pitchFamily="34" charset="0"/>
            </a:rPr>
            <a:t>import</a:t>
          </a:r>
        </a:p>
      </cdr:txBody>
    </cdr:sp>
  </cdr:relSizeAnchor>
  <cdr:relSizeAnchor xmlns:cdr="http://schemas.openxmlformats.org/drawingml/2006/chartDrawing">
    <cdr:from>
      <cdr:x>0.83936</cdr:x>
      <cdr:y>0.45051</cdr:y>
    </cdr:from>
    <cdr:to>
      <cdr:x>0.95353</cdr:x>
      <cdr:y>0.52467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605842" y="1138687"/>
          <a:ext cx="490459" cy="187442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>
              <a:latin typeface="Arial Narrow" pitchFamily="34" charset="0"/>
            </a:rPr>
            <a:t>export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DF5D-BCF1-4B2C-B546-49700241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5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11417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378</cp:revision>
  <cp:lastPrinted>2014-07-21T12:04:00Z</cp:lastPrinted>
  <dcterms:created xsi:type="dcterms:W3CDTF">2014-03-14T12:01:00Z</dcterms:created>
  <dcterms:modified xsi:type="dcterms:W3CDTF">2015-05-21T07:04:00Z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