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05"/>
        <w:tblW w:w="10490" w:type="dxa"/>
        <w:tblCellMar>
          <w:left w:w="0" w:type="dxa"/>
          <w:right w:w="0" w:type="dxa"/>
        </w:tblCellMar>
        <w:tblLook w:val="0000" w:firstRow="0" w:lastRow="0" w:firstColumn="0" w:lastColumn="0" w:noHBand="0" w:noVBand="0"/>
      </w:tblPr>
      <w:tblGrid>
        <w:gridCol w:w="5339"/>
        <w:gridCol w:w="2299"/>
        <w:gridCol w:w="2852"/>
      </w:tblGrid>
      <w:tr w:rsidR="004C20B5" w:rsidRPr="00CA19B5" w:rsidTr="00843472">
        <w:trPr>
          <w:cantSplit/>
          <w:trHeight w:val="970"/>
        </w:trPr>
        <w:tc>
          <w:tcPr>
            <w:tcW w:w="7513" w:type="dxa"/>
            <w:gridSpan w:val="2"/>
            <w:tcBorders>
              <w:bottom w:val="nil"/>
            </w:tcBorders>
            <w:tcMar>
              <w:left w:w="0" w:type="dxa"/>
              <w:right w:w="0" w:type="dxa"/>
            </w:tcMar>
          </w:tcPr>
          <w:p w:rsidR="005D5311" w:rsidRPr="00CA19B5" w:rsidRDefault="005D5311" w:rsidP="00687014">
            <w:pPr>
              <w:jc w:val="both"/>
              <w:outlineLvl w:val="0"/>
              <w:rPr>
                <w:rFonts w:ascii="Tahoma" w:hAnsi="Tahoma" w:cs="Tahoma"/>
                <w:sz w:val="16"/>
              </w:rPr>
            </w:pPr>
            <w:r w:rsidRPr="00CA19B5">
              <w:rPr>
                <w:rFonts w:ascii="Tahoma" w:hAnsi="Tahoma" w:cs="Tahoma"/>
              </w:rPr>
              <w:br w:type="column"/>
            </w:r>
            <w:r w:rsidRPr="00CA19B5">
              <w:rPr>
                <w:rFonts w:ascii="Tahoma" w:hAnsi="Tahoma" w:cs="Tahoma"/>
              </w:rPr>
              <w:br w:type="column"/>
            </w:r>
            <w:r w:rsidRPr="00CA19B5">
              <w:rPr>
                <w:rFonts w:ascii="Tahoma" w:hAnsi="Tahoma" w:cs="Tahoma"/>
              </w:rPr>
              <w:br w:type="page"/>
            </w:r>
            <w:r w:rsidRPr="00CA19B5">
              <w:rPr>
                <w:rFonts w:ascii="Tahoma" w:hAnsi="Tahoma" w:cs="Tahoma"/>
              </w:rPr>
              <w:br w:type="page"/>
            </w:r>
            <w:r w:rsidR="008B47D1" w:rsidRPr="00CA19B5">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CA19B5">
              <w:rPr>
                <w:rFonts w:ascii="Tahoma" w:hAnsi="Tahoma" w:cs="Tahoma"/>
              </w:rPr>
              <w:t xml:space="preserve">     </w:t>
            </w:r>
          </w:p>
        </w:tc>
        <w:tc>
          <w:tcPr>
            <w:tcW w:w="2806" w:type="dxa"/>
            <w:tcBorders>
              <w:bottom w:val="nil"/>
            </w:tcBorders>
            <w:tcMar>
              <w:right w:w="57" w:type="dxa"/>
            </w:tcMar>
          </w:tcPr>
          <w:p w:rsidR="005D5311" w:rsidRPr="00CA19B5" w:rsidRDefault="005D5311" w:rsidP="00094E6E">
            <w:pPr>
              <w:ind w:left="113"/>
              <w:jc w:val="both"/>
              <w:outlineLvl w:val="0"/>
              <w:rPr>
                <w:rFonts w:ascii="Tahoma" w:hAnsi="Tahoma" w:cs="Tahoma"/>
                <w:sz w:val="16"/>
              </w:rPr>
            </w:pPr>
          </w:p>
          <w:p w:rsidR="005D5311" w:rsidRPr="00CA19B5" w:rsidRDefault="005D5311" w:rsidP="00094E6E">
            <w:pPr>
              <w:ind w:left="113"/>
              <w:jc w:val="both"/>
              <w:outlineLvl w:val="0"/>
              <w:rPr>
                <w:rFonts w:ascii="Tahoma" w:hAnsi="Tahoma" w:cs="Tahoma"/>
                <w:sz w:val="16"/>
                <w:lang w:val="sr-Cyrl-BA"/>
              </w:rPr>
            </w:pPr>
          </w:p>
          <w:p w:rsidR="005D5311" w:rsidRPr="00CA19B5" w:rsidRDefault="005D5311" w:rsidP="00094E6E">
            <w:pPr>
              <w:ind w:left="113"/>
              <w:jc w:val="both"/>
              <w:outlineLvl w:val="0"/>
              <w:rPr>
                <w:rFonts w:ascii="Tahoma" w:hAnsi="Tahoma" w:cs="Tahoma"/>
                <w:sz w:val="16"/>
                <w:lang w:val="sr-Cyrl-BA"/>
              </w:rPr>
            </w:pPr>
          </w:p>
          <w:p w:rsidR="00E72BD4" w:rsidRPr="00CA19B5" w:rsidRDefault="00BC381E" w:rsidP="00094E6E">
            <w:pPr>
              <w:ind w:left="113"/>
              <w:jc w:val="both"/>
              <w:outlineLvl w:val="0"/>
              <w:rPr>
                <w:rFonts w:ascii="Tahoma" w:hAnsi="Tahoma" w:cs="Tahoma"/>
                <w:sz w:val="16"/>
                <w:lang w:val="sr-Cyrl-BA"/>
              </w:rPr>
            </w:pPr>
            <w:r w:rsidRPr="00CA19B5">
              <w:rPr>
                <w:rFonts w:ascii="Tahoma" w:hAnsi="Tahoma" w:cs="Tahoma"/>
                <w:sz w:val="16"/>
                <w:lang w:val="sr-Cyrl-BA"/>
              </w:rPr>
              <w:t xml:space="preserve">  </w:t>
            </w:r>
          </w:p>
          <w:p w:rsidR="005D5311" w:rsidRPr="001D2CF2" w:rsidRDefault="004551B9" w:rsidP="00F63C38">
            <w:pPr>
              <w:jc w:val="right"/>
              <w:outlineLvl w:val="0"/>
              <w:rPr>
                <w:rFonts w:ascii="Tahoma" w:hAnsi="Tahoma" w:cs="Tahoma"/>
                <w:color w:val="1F497D" w:themeColor="text2"/>
                <w:sz w:val="16"/>
                <w:lang w:val="bs-Latn-BA"/>
              </w:rPr>
            </w:pPr>
            <w:r w:rsidRPr="001D2CF2">
              <w:rPr>
                <w:rFonts w:ascii="Tahoma" w:hAnsi="Tahoma" w:cs="Tahoma"/>
                <w:color w:val="1F497D" w:themeColor="text2"/>
                <w:sz w:val="16"/>
                <w:lang w:val="sr-Cyrl-CS"/>
              </w:rPr>
              <w:t xml:space="preserve"> </w:t>
            </w:r>
            <w:r w:rsidR="009062FA" w:rsidRPr="001D2CF2">
              <w:rPr>
                <w:rFonts w:ascii="Tahoma" w:hAnsi="Tahoma" w:cs="Tahoma"/>
                <w:color w:val="1F497D" w:themeColor="text2"/>
                <w:sz w:val="16"/>
              </w:rPr>
              <w:t xml:space="preserve">        </w:t>
            </w:r>
            <w:r w:rsidR="009820C8" w:rsidRPr="001D2CF2">
              <w:rPr>
                <w:rFonts w:ascii="Tahoma" w:hAnsi="Tahoma" w:cs="Tahoma"/>
                <w:color w:val="1F497D" w:themeColor="text2"/>
                <w:sz w:val="16"/>
              </w:rPr>
              <w:t xml:space="preserve"> </w:t>
            </w:r>
            <w:r w:rsidRPr="001D2CF2">
              <w:rPr>
                <w:rFonts w:ascii="Tahoma" w:hAnsi="Tahoma" w:cs="Tahoma"/>
                <w:color w:val="1F497D" w:themeColor="text2"/>
                <w:sz w:val="16"/>
                <w:lang w:val="sr-Cyrl-CS"/>
              </w:rPr>
              <w:t xml:space="preserve"> </w:t>
            </w:r>
            <w:r w:rsidR="00A975F3" w:rsidRPr="001D2CF2">
              <w:rPr>
                <w:rFonts w:ascii="Arial Narrow" w:hAnsi="Arial Narrow" w:cs="Tahoma"/>
                <w:color w:val="1F497D" w:themeColor="text2"/>
                <w:sz w:val="18"/>
                <w:lang w:val="sr-Cyrl-BA"/>
              </w:rPr>
              <w:t>2</w:t>
            </w:r>
            <w:r w:rsidR="00252DE1">
              <w:rPr>
                <w:rFonts w:ascii="Arial Narrow" w:hAnsi="Arial Narrow" w:cs="Tahoma"/>
                <w:color w:val="1F497D" w:themeColor="text2"/>
                <w:sz w:val="18"/>
                <w:lang w:val="sr-Latn-CS"/>
              </w:rPr>
              <w:t>2</w:t>
            </w:r>
            <w:r w:rsidR="00F63C38" w:rsidRPr="00F63C38">
              <w:rPr>
                <w:rFonts w:ascii="Arial Narrow" w:hAnsi="Arial Narrow" w:cs="Tahoma"/>
                <w:color w:val="1F497D" w:themeColor="text2"/>
                <w:sz w:val="18"/>
                <w:vertAlign w:val="superscript"/>
              </w:rPr>
              <w:t>nd</w:t>
            </w:r>
            <w:r w:rsidR="00F63C38">
              <w:rPr>
                <w:rFonts w:ascii="Arial Narrow" w:hAnsi="Arial Narrow" w:cs="Tahoma"/>
                <w:color w:val="1F497D" w:themeColor="text2"/>
                <w:sz w:val="18"/>
              </w:rPr>
              <w:t xml:space="preserve"> June </w:t>
            </w:r>
            <w:r w:rsidR="00A15386" w:rsidRPr="001D2CF2">
              <w:rPr>
                <w:rFonts w:ascii="Arial Narrow" w:hAnsi="Arial Narrow" w:cs="Tahoma"/>
                <w:color w:val="1F497D" w:themeColor="text2"/>
                <w:sz w:val="18"/>
                <w:lang w:val="sr-Cyrl-BA"/>
              </w:rPr>
              <w:t>201</w:t>
            </w:r>
            <w:r w:rsidR="009430A7" w:rsidRPr="001D2CF2">
              <w:rPr>
                <w:rFonts w:ascii="Arial Narrow" w:hAnsi="Arial Narrow" w:cs="Tahoma"/>
                <w:color w:val="1F497D" w:themeColor="text2"/>
                <w:sz w:val="18"/>
                <w:lang w:val="sr-Cyrl-BA"/>
              </w:rPr>
              <w:t>5</w:t>
            </w:r>
            <w:r w:rsidR="00F6075A" w:rsidRPr="001D2CF2">
              <w:rPr>
                <w:rFonts w:ascii="Tahoma" w:hAnsi="Tahoma" w:cs="Tahoma"/>
                <w:color w:val="1F497D" w:themeColor="text2"/>
                <w:sz w:val="18"/>
                <w:lang w:val="sr-Cyrl-BA"/>
              </w:rPr>
              <w:t xml:space="preserve"> </w:t>
            </w:r>
            <w:r w:rsidR="00252DE1">
              <w:rPr>
                <w:rFonts w:ascii="Arial Narrow" w:hAnsi="Arial Narrow" w:cs="Tahoma"/>
                <w:b/>
                <w:color w:val="1F497D" w:themeColor="text2"/>
                <w:sz w:val="34"/>
                <w:szCs w:val="34"/>
                <w:lang w:val="sr-Cyrl-BA"/>
              </w:rPr>
              <w:t>6</w:t>
            </w:r>
            <w:r w:rsidR="00A975F3" w:rsidRPr="001D2CF2">
              <w:rPr>
                <w:rFonts w:ascii="Arial Narrow" w:hAnsi="Arial Narrow" w:cs="Tahoma"/>
                <w:b/>
                <w:color w:val="1F497D" w:themeColor="text2"/>
                <w:sz w:val="34"/>
                <w:szCs w:val="34"/>
                <w:lang w:val="sr-Cyrl-BA"/>
              </w:rPr>
              <w:t>/1</w:t>
            </w:r>
            <w:r w:rsidR="009430A7" w:rsidRPr="001D2CF2">
              <w:rPr>
                <w:rFonts w:ascii="Arial Narrow" w:hAnsi="Arial Narrow" w:cs="Tahoma"/>
                <w:b/>
                <w:color w:val="1F497D" w:themeColor="text2"/>
                <w:sz w:val="34"/>
                <w:szCs w:val="34"/>
                <w:lang w:val="sr-Cyrl-BA"/>
              </w:rPr>
              <w:t>5</w:t>
            </w:r>
            <w:r w:rsidR="00A975F3" w:rsidRPr="001D2CF2">
              <w:rPr>
                <w:rFonts w:ascii="Tahoma" w:hAnsi="Tahoma" w:cs="Tahoma"/>
                <w:color w:val="1F497D" w:themeColor="text2"/>
                <w:sz w:val="16"/>
                <w:lang w:val="sr-Cyrl-BA"/>
              </w:rPr>
              <w:t xml:space="preserve"> </w:t>
            </w:r>
          </w:p>
        </w:tc>
      </w:tr>
      <w:tr w:rsidR="004C20B5" w:rsidRPr="00CA19B5" w:rsidTr="00843472">
        <w:trPr>
          <w:cantSplit/>
        </w:trPr>
        <w:tc>
          <w:tcPr>
            <w:tcW w:w="5251" w:type="dxa"/>
            <w:vAlign w:val="center"/>
          </w:tcPr>
          <w:p w:rsidR="005D5311" w:rsidRPr="00CA19B5" w:rsidRDefault="005D5311" w:rsidP="00094E6E">
            <w:pPr>
              <w:ind w:left="113"/>
              <w:jc w:val="both"/>
              <w:outlineLvl w:val="0"/>
              <w:rPr>
                <w:rFonts w:ascii="Tahoma" w:hAnsi="Tahoma" w:cs="Tahoma"/>
                <w:sz w:val="12"/>
                <w:lang w:val="sr-Cyrl-BA"/>
              </w:rPr>
            </w:pPr>
          </w:p>
        </w:tc>
        <w:tc>
          <w:tcPr>
            <w:tcW w:w="5068" w:type="dxa"/>
            <w:gridSpan w:val="2"/>
            <w:vAlign w:val="center"/>
          </w:tcPr>
          <w:p w:rsidR="005D5311" w:rsidRPr="00CA19B5" w:rsidRDefault="005D5311" w:rsidP="00094E6E">
            <w:pPr>
              <w:ind w:left="113"/>
              <w:jc w:val="both"/>
              <w:outlineLvl w:val="0"/>
              <w:rPr>
                <w:rFonts w:ascii="Tahoma" w:hAnsi="Tahoma" w:cs="Tahoma"/>
                <w:sz w:val="12"/>
                <w:lang w:val="sr-Cyrl-BA"/>
              </w:rPr>
            </w:pPr>
          </w:p>
        </w:tc>
      </w:tr>
    </w:tbl>
    <w:p w:rsidR="000971CB" w:rsidRPr="00CA19B5" w:rsidRDefault="000971CB" w:rsidP="00094E6E">
      <w:pPr>
        <w:jc w:val="both"/>
        <w:rPr>
          <w:rFonts w:ascii="Tahoma" w:hAnsi="Tahoma" w:cs="Tahoma"/>
          <w:i/>
          <w:sz w:val="16"/>
          <w:lang w:val="sr-Cyrl-BA"/>
        </w:rPr>
      </w:pPr>
    </w:p>
    <w:tbl>
      <w:tblPr>
        <w:tblW w:w="10490" w:type="dxa"/>
        <w:jc w:val="center"/>
        <w:shd w:val="clear" w:color="auto" w:fill="336699"/>
        <w:tblLook w:val="04A0" w:firstRow="1" w:lastRow="0" w:firstColumn="1" w:lastColumn="0" w:noHBand="0" w:noVBand="1"/>
      </w:tblPr>
      <w:tblGrid>
        <w:gridCol w:w="10490"/>
      </w:tblGrid>
      <w:tr w:rsidR="004C20B5" w:rsidRPr="00CA19B5" w:rsidTr="00843472">
        <w:trPr>
          <w:trHeight w:val="321"/>
          <w:jc w:val="center"/>
        </w:trPr>
        <w:tc>
          <w:tcPr>
            <w:tcW w:w="10624" w:type="dxa"/>
            <w:shd w:val="clear" w:color="auto" w:fill="336699"/>
          </w:tcPr>
          <w:p w:rsidR="00193339" w:rsidRPr="00F63C38" w:rsidRDefault="00F63C38" w:rsidP="009430A7">
            <w:pPr>
              <w:jc w:val="center"/>
              <w:outlineLvl w:val="0"/>
              <w:rPr>
                <w:rFonts w:ascii="Arial Narrow" w:hAnsi="Arial Narrow" w:cs="Tahoma"/>
                <w:b/>
                <w:color w:val="FFFFFF" w:themeColor="background1"/>
                <w:sz w:val="34"/>
                <w:szCs w:val="34"/>
              </w:rPr>
            </w:pPr>
            <w:r>
              <w:rPr>
                <w:rFonts w:ascii="Arial Narrow" w:hAnsi="Arial Narrow" w:cs="Tahoma"/>
                <w:b/>
                <w:bCs/>
                <w:color w:val="FFFFFF" w:themeColor="background1"/>
                <w:spacing w:val="30"/>
                <w:sz w:val="34"/>
                <w:szCs w:val="34"/>
              </w:rPr>
              <w:t>June</w:t>
            </w:r>
            <w:r w:rsidR="007E158B" w:rsidRPr="001D2CF2">
              <w:rPr>
                <w:rFonts w:ascii="Arial Narrow" w:hAnsi="Arial Narrow" w:cs="Tahoma"/>
                <w:b/>
                <w:bCs/>
                <w:color w:val="FFFFFF" w:themeColor="background1"/>
                <w:spacing w:val="30"/>
                <w:sz w:val="34"/>
                <w:szCs w:val="34"/>
                <w:lang w:val="sr-Cyrl-CS"/>
              </w:rPr>
              <w:t xml:space="preserve"> </w:t>
            </w:r>
            <w:r w:rsidR="00AC7674" w:rsidRPr="001D2CF2">
              <w:rPr>
                <w:rFonts w:ascii="Arial Narrow" w:hAnsi="Arial Narrow" w:cs="Tahoma"/>
                <w:b/>
                <w:bCs/>
                <w:color w:val="FFFFFF" w:themeColor="background1"/>
                <w:spacing w:val="30"/>
                <w:sz w:val="34"/>
                <w:szCs w:val="34"/>
                <w:lang w:val="ru-RU"/>
              </w:rPr>
              <w:t>201</w:t>
            </w:r>
            <w:r w:rsidR="009430A7" w:rsidRPr="001D2CF2">
              <w:rPr>
                <w:rFonts w:ascii="Arial Narrow" w:hAnsi="Arial Narrow" w:cs="Tahoma"/>
                <w:b/>
                <w:bCs/>
                <w:color w:val="FFFFFF" w:themeColor="background1"/>
                <w:spacing w:val="30"/>
                <w:sz w:val="34"/>
                <w:szCs w:val="34"/>
                <w:lang w:val="ru-RU"/>
              </w:rPr>
              <w:t>5</w:t>
            </w:r>
          </w:p>
        </w:tc>
      </w:tr>
      <w:tr w:rsidR="004C20B5" w:rsidRPr="00CA19B5" w:rsidTr="00843472">
        <w:trPr>
          <w:trHeight w:val="264"/>
          <w:jc w:val="center"/>
        </w:trPr>
        <w:tc>
          <w:tcPr>
            <w:tcW w:w="10624" w:type="dxa"/>
            <w:shd w:val="clear" w:color="auto" w:fill="336699"/>
          </w:tcPr>
          <w:p w:rsidR="00193339" w:rsidRPr="00F63C38" w:rsidRDefault="00F63C38" w:rsidP="00EF319F">
            <w:pPr>
              <w:jc w:val="center"/>
              <w:rPr>
                <w:rFonts w:ascii="Arial Narrow" w:hAnsi="Arial Narrow" w:cs="Tahoma"/>
                <w:color w:val="FFFFFF" w:themeColor="background1"/>
                <w:sz w:val="26"/>
                <w:szCs w:val="26"/>
              </w:rPr>
            </w:pPr>
            <w:r>
              <w:rPr>
                <w:rFonts w:ascii="Arial Narrow" w:hAnsi="Arial Narrow" w:cs="Tahoma"/>
                <w:bCs/>
                <w:color w:val="FFFFFF" w:themeColor="background1"/>
                <w:spacing w:val="30"/>
                <w:sz w:val="26"/>
                <w:szCs w:val="26"/>
              </w:rPr>
              <w:t>PRESS RELEASE</w:t>
            </w:r>
          </w:p>
        </w:tc>
      </w:tr>
    </w:tbl>
    <w:p w:rsidR="00777348" w:rsidRPr="00CA19B5" w:rsidRDefault="00777348" w:rsidP="00D35CD4">
      <w:pPr>
        <w:jc w:val="both"/>
        <w:rPr>
          <w:rFonts w:ascii="Arial Narrow" w:hAnsi="Arial Narrow" w:cs="Tahoma"/>
          <w:b/>
          <w:lang w:val="sr-Cyrl-BA"/>
        </w:rPr>
      </w:pPr>
    </w:p>
    <w:p w:rsidR="00F85AAC" w:rsidRDefault="00F85AAC" w:rsidP="00D35CD4">
      <w:pPr>
        <w:jc w:val="both"/>
        <w:rPr>
          <w:rFonts w:ascii="Arial Narrow" w:hAnsi="Arial Narrow" w:cs="Tahoma"/>
          <w:b/>
          <w:lang w:val="sr-Latn-BA"/>
        </w:rPr>
      </w:pPr>
    </w:p>
    <w:p w:rsidR="00A33245" w:rsidRPr="00140ABB" w:rsidRDefault="00140ABB" w:rsidP="00A33245">
      <w:pPr>
        <w:jc w:val="both"/>
        <w:rPr>
          <w:rFonts w:ascii="Arial Narrow" w:hAnsi="Arial Narrow"/>
          <w:b/>
          <w:sz w:val="30"/>
          <w:szCs w:val="30"/>
        </w:rPr>
      </w:pPr>
      <w:r>
        <w:rPr>
          <w:rFonts w:ascii="Arial Narrow" w:hAnsi="Arial Narrow"/>
          <w:b/>
          <w:sz w:val="30"/>
          <w:szCs w:val="30"/>
        </w:rPr>
        <w:t>Number of social welfare beneficiaries</w:t>
      </w:r>
      <w:r w:rsidR="00BF33F6" w:rsidRPr="000749E0">
        <w:rPr>
          <w:rFonts w:ascii="Arial Narrow" w:hAnsi="Arial Narrow"/>
          <w:b/>
          <w:sz w:val="30"/>
          <w:szCs w:val="30"/>
          <w:lang w:val="sr-Cyrl-CS"/>
        </w:rPr>
        <w:t xml:space="preserve"> </w:t>
      </w:r>
      <w:r>
        <w:rPr>
          <w:rFonts w:ascii="Arial Narrow" w:hAnsi="Arial Narrow"/>
          <w:b/>
          <w:sz w:val="30"/>
          <w:szCs w:val="30"/>
        </w:rPr>
        <w:t>decreased by</w:t>
      </w:r>
      <w:r w:rsidR="00A33245" w:rsidRPr="000749E0">
        <w:rPr>
          <w:rFonts w:ascii="Arial Narrow" w:hAnsi="Arial Narrow"/>
          <w:b/>
          <w:sz w:val="30"/>
          <w:szCs w:val="30"/>
          <w:lang w:val="sr-Cyrl-CS"/>
        </w:rPr>
        <w:t xml:space="preserve"> 13</w:t>
      </w:r>
      <w:r>
        <w:rPr>
          <w:rFonts w:ascii="Arial Narrow" w:hAnsi="Arial Narrow"/>
          <w:b/>
          <w:sz w:val="30"/>
          <w:szCs w:val="30"/>
        </w:rPr>
        <w:t>.</w:t>
      </w:r>
      <w:r w:rsidR="00BF33F6" w:rsidRPr="000749E0">
        <w:rPr>
          <w:rFonts w:ascii="Arial Narrow" w:hAnsi="Arial Narrow"/>
          <w:b/>
          <w:sz w:val="30"/>
          <w:szCs w:val="30"/>
          <w:lang w:val="sr-Cyrl-CS"/>
        </w:rPr>
        <w:t>0</w:t>
      </w:r>
      <w:r w:rsidR="00A33245" w:rsidRPr="000749E0">
        <w:rPr>
          <w:rFonts w:ascii="Arial Narrow" w:hAnsi="Arial Narrow"/>
          <w:b/>
          <w:sz w:val="30"/>
          <w:szCs w:val="30"/>
          <w:lang w:val="sr-Cyrl-CS"/>
        </w:rPr>
        <w:t>%</w:t>
      </w:r>
      <w:r>
        <w:rPr>
          <w:rFonts w:ascii="Arial Narrow" w:hAnsi="Arial Narrow"/>
          <w:b/>
          <w:sz w:val="30"/>
          <w:szCs w:val="30"/>
        </w:rPr>
        <w:t xml:space="preserve"> in 2014</w:t>
      </w:r>
    </w:p>
    <w:p w:rsidR="00A33245" w:rsidRPr="000749E0" w:rsidRDefault="00A33245" w:rsidP="00A33245">
      <w:pPr>
        <w:jc w:val="both"/>
        <w:rPr>
          <w:rFonts w:ascii="Arial Narrow" w:hAnsi="Arial Narrow"/>
          <w:sz w:val="22"/>
          <w:szCs w:val="22"/>
          <w:lang w:val="sr-Latn-BA"/>
        </w:rPr>
      </w:pPr>
    </w:p>
    <w:p w:rsidR="007F598E" w:rsidRPr="001C55FB" w:rsidRDefault="007F598E" w:rsidP="00A33245">
      <w:pPr>
        <w:jc w:val="both"/>
        <w:rPr>
          <w:rFonts w:ascii="Arial Narrow" w:hAnsi="Arial Narrow"/>
          <w:sz w:val="22"/>
          <w:szCs w:val="22"/>
        </w:rPr>
      </w:pPr>
      <w:r>
        <w:rPr>
          <w:rFonts w:ascii="Arial Narrow" w:hAnsi="Arial Narrow"/>
          <w:sz w:val="22"/>
          <w:szCs w:val="22"/>
        </w:rPr>
        <w:t xml:space="preserve">Number of social welfare beneficiaries in 2014 amounted to 198,971, which represented a decrease by 13.0% compared to 2013. </w:t>
      </w:r>
      <w:r w:rsidR="001C55FB">
        <w:rPr>
          <w:rFonts w:ascii="Arial Narrow" w:hAnsi="Arial Narrow"/>
          <w:sz w:val="22"/>
          <w:szCs w:val="22"/>
          <w:lang w:val="sr-Cyrl-BA"/>
        </w:rPr>
        <w:t xml:space="preserve">A decrease is evident in both categories of social welfare beneficiaries. The number of </w:t>
      </w:r>
      <w:r w:rsidR="001C55FB">
        <w:rPr>
          <w:rFonts w:ascii="Arial Narrow" w:hAnsi="Arial Narrow"/>
          <w:sz w:val="22"/>
          <w:szCs w:val="22"/>
        </w:rPr>
        <w:t>minor</w:t>
      </w:r>
      <w:r w:rsidR="001C55FB">
        <w:rPr>
          <w:rFonts w:ascii="Arial Narrow" w:hAnsi="Arial Narrow"/>
          <w:sz w:val="22"/>
          <w:szCs w:val="22"/>
          <w:lang w:val="sr-Cyrl-BA"/>
        </w:rPr>
        <w:t xml:space="preserve"> beneficiaries decreased by 17.2%</w:t>
      </w:r>
      <w:r w:rsidR="001C55FB">
        <w:rPr>
          <w:rFonts w:ascii="Arial Narrow" w:hAnsi="Arial Narrow"/>
          <w:sz w:val="22"/>
          <w:szCs w:val="22"/>
        </w:rPr>
        <w:t xml:space="preserve">, while the number of adult beneficiaries decreased by 11.0%. The majority of minor beneficiares were aged between seven and 14 years, while the highest number of adult beneficiaries belonged to the age group between 46 and 59 years. </w:t>
      </w:r>
    </w:p>
    <w:p w:rsidR="00A33245" w:rsidRDefault="00A33245" w:rsidP="00A33245">
      <w:pPr>
        <w:jc w:val="both"/>
        <w:rPr>
          <w:rFonts w:ascii="Arial Narrow" w:hAnsi="Arial Narrow"/>
          <w:sz w:val="22"/>
          <w:szCs w:val="22"/>
        </w:rPr>
      </w:pPr>
    </w:p>
    <w:p w:rsidR="001C55FB" w:rsidRPr="001C55FB" w:rsidRDefault="001C55FB" w:rsidP="00A33245">
      <w:pPr>
        <w:jc w:val="both"/>
        <w:rPr>
          <w:rFonts w:ascii="Arial Narrow" w:hAnsi="Arial Narrow"/>
          <w:sz w:val="22"/>
          <w:szCs w:val="22"/>
        </w:rPr>
      </w:pPr>
      <w:r>
        <w:rPr>
          <w:rFonts w:ascii="Arial Narrow" w:hAnsi="Arial Narrow"/>
          <w:sz w:val="22"/>
          <w:szCs w:val="22"/>
        </w:rPr>
        <w:t xml:space="preserve">In 2014, </w:t>
      </w:r>
      <w:r w:rsidR="00865A19">
        <w:rPr>
          <w:rFonts w:ascii="Arial Narrow" w:hAnsi="Arial Narrow"/>
          <w:sz w:val="22"/>
          <w:szCs w:val="22"/>
        </w:rPr>
        <w:t>the number of rendered forms and services of social welfare was 1.3% lower compared to 2013. The number of rendered forms and services for minor beneficiaries decreased by 3.4%, while the number of those for adult benefici</w:t>
      </w:r>
      <w:r w:rsidR="006402D3">
        <w:rPr>
          <w:rFonts w:ascii="Arial Narrow" w:hAnsi="Arial Narrow"/>
          <w:sz w:val="22"/>
          <w:szCs w:val="22"/>
        </w:rPr>
        <w:t xml:space="preserve">aries decreased by 0.5%. In 2014, there were 1,457 persons under guardianship; 470 of them were minor, while 987 were adult persons. In 159 foster families 213 minor persons were accommodated, while 132 foster families accommodated 147 adult persons. During 2014, four children were adopted in Republika Srpska. </w:t>
      </w:r>
    </w:p>
    <w:p w:rsidR="00A33245" w:rsidRDefault="00A33245" w:rsidP="00A33245">
      <w:pPr>
        <w:jc w:val="both"/>
        <w:rPr>
          <w:rFonts w:ascii="Arial Narrow" w:hAnsi="Arial Narrow"/>
          <w:sz w:val="22"/>
          <w:szCs w:val="22"/>
        </w:rPr>
      </w:pPr>
    </w:p>
    <w:p w:rsidR="006402D3" w:rsidRPr="006402D3" w:rsidRDefault="006402D3" w:rsidP="00A33245">
      <w:pPr>
        <w:jc w:val="both"/>
        <w:rPr>
          <w:rFonts w:ascii="Arial Narrow" w:hAnsi="Arial Narrow"/>
          <w:sz w:val="22"/>
          <w:szCs w:val="22"/>
        </w:rPr>
      </w:pPr>
      <w:r>
        <w:rPr>
          <w:rFonts w:ascii="Arial Narrow" w:hAnsi="Arial Narrow"/>
          <w:sz w:val="22"/>
          <w:szCs w:val="22"/>
        </w:rPr>
        <w:t xml:space="preserve">In 2014, </w:t>
      </w:r>
      <w:r w:rsidR="0018216F">
        <w:rPr>
          <w:rFonts w:ascii="Arial Narrow" w:hAnsi="Arial Narrow"/>
          <w:sz w:val="22"/>
          <w:szCs w:val="22"/>
        </w:rPr>
        <w:t xml:space="preserve">there were five social welfare institutions for children and youth and 25 institutions for adult handicapped and elderly persons. The number of beneficiaries in institutions for children and youth amounted to 557, which represented an increase by 4.7% compared to 2014, while the number of beneficiaries in institutions for adult handicapped and elderly persons increased by 21.9%, amounting to 1,583 beneficiaries. </w:t>
      </w:r>
    </w:p>
    <w:p w:rsidR="00A33245" w:rsidRPr="000749E0" w:rsidRDefault="00A33245" w:rsidP="00D35CD4">
      <w:pPr>
        <w:jc w:val="both"/>
        <w:rPr>
          <w:rFonts w:ascii="Arial Narrow" w:hAnsi="Arial Narrow" w:cs="Tahoma"/>
          <w:b/>
          <w:lang w:val="sr-Latn-BA"/>
        </w:rPr>
      </w:pPr>
    </w:p>
    <w:p w:rsidR="00C92F83" w:rsidRPr="00280774" w:rsidRDefault="00280774" w:rsidP="00C92F83">
      <w:pPr>
        <w:rPr>
          <w:rFonts w:ascii="Arial Narrow" w:hAnsi="Arial Narrow" w:cs="Tahoma"/>
          <w:b/>
          <w:sz w:val="30"/>
          <w:szCs w:val="30"/>
        </w:rPr>
      </w:pPr>
      <w:r>
        <w:rPr>
          <w:rFonts w:ascii="Arial Narrow" w:hAnsi="Arial Narrow" w:cs="Tahoma"/>
          <w:b/>
          <w:sz w:val="30"/>
          <w:szCs w:val="30"/>
        </w:rPr>
        <w:t>Number of solved criminal charges increasing</w:t>
      </w:r>
      <w:r w:rsidR="00C92F83" w:rsidRPr="000749E0">
        <w:rPr>
          <w:rFonts w:ascii="Arial Narrow" w:hAnsi="Arial Narrow" w:cs="Tahoma"/>
          <w:b/>
          <w:sz w:val="30"/>
          <w:szCs w:val="30"/>
          <w:lang w:val="sr-Cyrl-CS"/>
        </w:rPr>
        <w:t xml:space="preserve">, </w:t>
      </w:r>
      <w:r>
        <w:rPr>
          <w:rFonts w:ascii="Arial Narrow" w:hAnsi="Arial Narrow" w:cs="Tahoma"/>
          <w:b/>
          <w:sz w:val="30"/>
          <w:szCs w:val="30"/>
        </w:rPr>
        <w:t>number of accused and convicted persons decreasing</w:t>
      </w:r>
    </w:p>
    <w:p w:rsidR="00C92F83" w:rsidRPr="000749E0" w:rsidRDefault="00C92F83" w:rsidP="00C92F83">
      <w:pPr>
        <w:jc w:val="both"/>
        <w:rPr>
          <w:rFonts w:ascii="Arial Narrow" w:hAnsi="Arial Narrow" w:cs="Tahoma"/>
          <w:sz w:val="22"/>
          <w:szCs w:val="24"/>
          <w:lang w:val="sr-Cyrl-CS"/>
        </w:rPr>
      </w:pPr>
    </w:p>
    <w:p w:rsidR="00F16F00" w:rsidRDefault="00F16F00" w:rsidP="00C92F83">
      <w:pPr>
        <w:jc w:val="both"/>
        <w:rPr>
          <w:rFonts w:ascii="Arial Narrow" w:hAnsi="Arial Narrow" w:cs="Tahoma"/>
          <w:sz w:val="22"/>
          <w:szCs w:val="24"/>
        </w:rPr>
      </w:pPr>
      <w:r>
        <w:rPr>
          <w:rFonts w:ascii="Arial Narrow" w:hAnsi="Arial Narrow" w:cs="Tahoma"/>
          <w:sz w:val="22"/>
          <w:szCs w:val="24"/>
        </w:rPr>
        <w:t xml:space="preserve">In 2014, the number of resolved criminal charges filed against adults in Public Prosecutor’s Offices in Republika Srpska increased by 13.8% compared to 2013. The number of accused persons decreased by 0.7% and the number of convicted persons decreased by 1.3% in comparison with 2013, thus continuing the declining trend in the number of accused and convicted persons. </w:t>
      </w:r>
      <w:r w:rsidR="005B429E">
        <w:rPr>
          <w:rFonts w:ascii="Arial Narrow" w:hAnsi="Arial Narrow" w:cs="Tahoma"/>
          <w:sz w:val="22"/>
          <w:szCs w:val="24"/>
        </w:rPr>
        <w:t xml:space="preserve">The most frequent criminal sanctions for adult perpetrators, as in the previous years, were conditional sentences, while 56.6% of these were suspended prison sentences. </w:t>
      </w:r>
    </w:p>
    <w:p w:rsidR="008A5F66" w:rsidRDefault="008A5F66" w:rsidP="00C92F83">
      <w:pPr>
        <w:jc w:val="both"/>
        <w:rPr>
          <w:rFonts w:ascii="Arial Narrow" w:hAnsi="Arial Narrow" w:cs="Tahoma"/>
          <w:sz w:val="22"/>
          <w:szCs w:val="24"/>
        </w:rPr>
      </w:pPr>
    </w:p>
    <w:p w:rsidR="005B429E" w:rsidRPr="005B429E" w:rsidRDefault="005B429E" w:rsidP="00C92F83">
      <w:pPr>
        <w:jc w:val="both"/>
        <w:rPr>
          <w:rFonts w:ascii="Arial Narrow" w:hAnsi="Arial Narrow" w:cs="Tahoma"/>
          <w:sz w:val="22"/>
          <w:szCs w:val="24"/>
        </w:rPr>
      </w:pPr>
      <w:r>
        <w:rPr>
          <w:rFonts w:ascii="Arial Narrow" w:hAnsi="Arial Narrow" w:cs="Tahoma"/>
          <w:sz w:val="22"/>
          <w:szCs w:val="24"/>
        </w:rPr>
        <w:t>Fine was imposed for 21.8% of criminal offence perpetrators, while prison was imposed for 16.7% of them. Of the total number of convicted adult perpetrators, 92.7% were male. The majority of convicted persons were aged between 30 and 39, with a share of 23.3% in the total number of convicted men and women. Criminal offences against property were still the most frequent. Of the total number of accused persons, 37.0% of charges referred to a criminal offence against property, while among convicted adult persons 37.1% were cases of criminal offences against property.</w:t>
      </w:r>
    </w:p>
    <w:p w:rsidR="008A5F66" w:rsidRDefault="008A5F66" w:rsidP="00C92F83">
      <w:pPr>
        <w:jc w:val="both"/>
        <w:rPr>
          <w:rFonts w:ascii="Arial Narrow" w:hAnsi="Arial Narrow" w:cs="Tahoma"/>
          <w:sz w:val="22"/>
          <w:szCs w:val="24"/>
        </w:rPr>
      </w:pPr>
    </w:p>
    <w:p w:rsidR="005B429E" w:rsidRPr="005B429E" w:rsidRDefault="005B429E" w:rsidP="00C92F83">
      <w:pPr>
        <w:jc w:val="both"/>
        <w:rPr>
          <w:rFonts w:ascii="Arial Narrow" w:hAnsi="Arial Narrow" w:cs="Tahoma"/>
          <w:sz w:val="22"/>
          <w:szCs w:val="24"/>
        </w:rPr>
      </w:pPr>
      <w:r>
        <w:rPr>
          <w:rFonts w:ascii="Arial Narrow" w:hAnsi="Arial Narrow" w:cs="Tahoma"/>
          <w:sz w:val="22"/>
          <w:szCs w:val="24"/>
        </w:rPr>
        <w:t>When it comes to juvenile perpetrators, in 2014, the number of resolved reports on perpetrated criminal offences increased by 18.3% compared to the previous year. I</w:t>
      </w:r>
      <w:r w:rsidR="00AC590B">
        <w:rPr>
          <w:rFonts w:ascii="Arial Narrow" w:hAnsi="Arial Narrow" w:cs="Tahoma"/>
          <w:sz w:val="22"/>
          <w:szCs w:val="24"/>
        </w:rPr>
        <w:t xml:space="preserve">n the same period, 42 final decisions on completed criminal proceedings were made and 41 criminal sanctions were imposed, of which 2.4% were sentences of juvenile imprisonment, while in the remaining cases educational measures were imposed, most often increased supervision, namely 61.0%. </w:t>
      </w:r>
    </w:p>
    <w:p w:rsidR="00C92F83" w:rsidRPr="000749E0" w:rsidRDefault="00C92F83" w:rsidP="00C92F83">
      <w:pPr>
        <w:jc w:val="both"/>
        <w:rPr>
          <w:rFonts w:ascii="Arial Narrow" w:hAnsi="Arial Narrow" w:cs="Tahoma"/>
          <w:sz w:val="22"/>
          <w:szCs w:val="24"/>
          <w:lang w:val="sr-Cyrl-CS"/>
        </w:rPr>
      </w:pPr>
    </w:p>
    <w:p w:rsidR="00E33D13" w:rsidRPr="000749E0" w:rsidRDefault="002B5FFC" w:rsidP="00396802">
      <w:pPr>
        <w:ind w:left="-142"/>
        <w:jc w:val="both"/>
        <w:rPr>
          <w:rFonts w:ascii="Arial Narrow" w:hAnsi="Arial Narrow" w:cs="Tahoma"/>
          <w:b/>
          <w:sz w:val="30"/>
          <w:szCs w:val="30"/>
          <w:lang w:val="sr-Cyrl-BA"/>
        </w:rPr>
      </w:pPr>
      <w:r w:rsidRPr="000749E0">
        <w:rPr>
          <w:rFonts w:ascii="Arial Narrow" w:hAnsi="Arial Narrow" w:cs="Tahoma"/>
          <w:b/>
          <w:sz w:val="30"/>
          <w:szCs w:val="30"/>
          <w:lang w:val="sr-Cyrl-CS"/>
        </w:rPr>
        <w:t xml:space="preserve">  </w:t>
      </w:r>
      <w:r w:rsidR="00CB4AA1">
        <w:rPr>
          <w:rFonts w:ascii="Arial Narrow" w:hAnsi="Arial Narrow" w:cs="Tahoma"/>
          <w:b/>
          <w:sz w:val="30"/>
          <w:szCs w:val="30"/>
        </w:rPr>
        <w:t>Average net wage in May</w:t>
      </w:r>
      <w:r w:rsidR="00E33D13" w:rsidRPr="000749E0">
        <w:rPr>
          <w:rFonts w:ascii="Arial Narrow" w:hAnsi="Arial Narrow" w:cs="Tahoma"/>
          <w:b/>
          <w:sz w:val="30"/>
          <w:szCs w:val="30"/>
          <w:lang w:val="bs-Latn-BA"/>
        </w:rPr>
        <w:t xml:space="preserve"> </w:t>
      </w:r>
      <w:r w:rsidR="00E33D13" w:rsidRPr="000749E0">
        <w:rPr>
          <w:rFonts w:ascii="Arial Narrow" w:hAnsi="Arial Narrow" w:cs="Tahoma"/>
          <w:b/>
          <w:sz w:val="30"/>
          <w:szCs w:val="30"/>
          <w:lang w:val="sr-Cyrl-CS"/>
        </w:rPr>
        <w:t>8</w:t>
      </w:r>
      <w:r w:rsidR="00C70C0F" w:rsidRPr="000749E0">
        <w:rPr>
          <w:rFonts w:ascii="Arial Narrow" w:hAnsi="Arial Narrow" w:cs="Tahoma"/>
          <w:b/>
          <w:sz w:val="30"/>
          <w:szCs w:val="30"/>
          <w:lang w:val="sr-Cyrl-CS"/>
        </w:rPr>
        <w:t>3</w:t>
      </w:r>
      <w:r w:rsidR="002812C3" w:rsidRPr="000749E0">
        <w:rPr>
          <w:rFonts w:ascii="Arial Narrow" w:hAnsi="Arial Narrow" w:cs="Tahoma"/>
          <w:b/>
          <w:sz w:val="30"/>
          <w:szCs w:val="30"/>
          <w:lang w:val="sr-Cyrl-CS"/>
        </w:rPr>
        <w:t>2</w:t>
      </w:r>
      <w:r w:rsidR="00E33D13" w:rsidRPr="000749E0">
        <w:rPr>
          <w:rFonts w:ascii="Arial Narrow" w:hAnsi="Arial Narrow" w:cs="Tahoma"/>
          <w:b/>
          <w:sz w:val="30"/>
          <w:szCs w:val="30"/>
          <w:lang w:val="sr-Cyrl-CS"/>
        </w:rPr>
        <w:t xml:space="preserve"> </w:t>
      </w:r>
      <w:r w:rsidR="00E33D13" w:rsidRPr="000749E0">
        <w:rPr>
          <w:rFonts w:ascii="Arial Narrow" w:hAnsi="Arial Narrow" w:cs="Tahoma"/>
          <w:b/>
          <w:sz w:val="30"/>
          <w:szCs w:val="30"/>
          <w:lang w:val="ru-RU"/>
        </w:rPr>
        <w:t>КМ</w:t>
      </w:r>
    </w:p>
    <w:p w:rsidR="00E33D13" w:rsidRPr="000749E0" w:rsidRDefault="00CB4AA1" w:rsidP="00E33D13">
      <w:pPr>
        <w:tabs>
          <w:tab w:val="left" w:pos="4343"/>
        </w:tabs>
        <w:jc w:val="both"/>
        <w:rPr>
          <w:rFonts w:ascii="Arial Narrow" w:hAnsi="Arial Narrow" w:cs="Tahoma"/>
          <w:b/>
          <w:i/>
          <w:sz w:val="28"/>
          <w:szCs w:val="28"/>
          <w:lang w:val="sr-Cyrl-BA"/>
        </w:rPr>
      </w:pPr>
      <w:r w:rsidRPr="000F6665">
        <w:rPr>
          <w:rFonts w:ascii="Arial Narrow" w:hAnsi="Arial Narrow" w:cs="Tahoma"/>
          <w:b/>
          <w:sz w:val="28"/>
          <w:szCs w:val="28"/>
        </w:rPr>
        <w:t xml:space="preserve">The highest average net wage was that in the section </w:t>
      </w:r>
      <w:r w:rsidRPr="000F6665">
        <w:rPr>
          <w:rFonts w:ascii="Arial Narrow" w:hAnsi="Arial Narrow" w:cs="Tahoma"/>
          <w:b/>
          <w:i/>
          <w:sz w:val="28"/>
          <w:szCs w:val="28"/>
        </w:rPr>
        <w:t>Financial and insurance activities</w:t>
      </w:r>
      <w:r>
        <w:rPr>
          <w:rFonts w:ascii="Arial Narrow" w:hAnsi="Arial Narrow" w:cs="Tahoma"/>
          <w:b/>
          <w:sz w:val="28"/>
          <w:szCs w:val="28"/>
          <w:lang w:val="ru-RU"/>
        </w:rPr>
        <w:t xml:space="preserve"> 1</w:t>
      </w:r>
      <w:r>
        <w:rPr>
          <w:rFonts w:ascii="Arial Narrow" w:hAnsi="Arial Narrow" w:cs="Tahoma"/>
          <w:b/>
          <w:sz w:val="28"/>
          <w:szCs w:val="28"/>
        </w:rPr>
        <w:t>,</w:t>
      </w:r>
      <w:r w:rsidR="00E33D13" w:rsidRPr="000749E0">
        <w:rPr>
          <w:rFonts w:ascii="Arial Narrow" w:hAnsi="Arial Narrow" w:cs="Tahoma"/>
          <w:b/>
          <w:sz w:val="28"/>
          <w:szCs w:val="28"/>
          <w:lang w:val="ru-RU"/>
        </w:rPr>
        <w:t>2</w:t>
      </w:r>
      <w:r w:rsidR="002812C3" w:rsidRPr="000749E0">
        <w:rPr>
          <w:rFonts w:ascii="Arial Narrow" w:hAnsi="Arial Narrow" w:cs="Tahoma"/>
          <w:b/>
          <w:sz w:val="28"/>
          <w:szCs w:val="28"/>
          <w:lang w:val="sr-Cyrl-BA"/>
        </w:rPr>
        <w:t>59</w:t>
      </w:r>
      <w:r w:rsidR="00E33D13" w:rsidRPr="000749E0">
        <w:rPr>
          <w:rFonts w:ascii="Arial Narrow" w:hAnsi="Arial Narrow" w:cs="Tahoma"/>
          <w:b/>
          <w:sz w:val="28"/>
          <w:szCs w:val="28"/>
          <w:lang w:val="ru-RU"/>
        </w:rPr>
        <w:t xml:space="preserve"> КМ</w:t>
      </w:r>
      <w:r w:rsidR="00E33D13" w:rsidRPr="000749E0">
        <w:rPr>
          <w:rFonts w:ascii="Arial Narrow" w:hAnsi="Arial Narrow" w:cs="Tahoma"/>
          <w:b/>
          <w:sz w:val="28"/>
          <w:szCs w:val="28"/>
          <w:lang w:val="sr-Cyrl-CS"/>
        </w:rPr>
        <w:t xml:space="preserve">, </w:t>
      </w:r>
      <w:r>
        <w:rPr>
          <w:rFonts w:ascii="Arial Narrow" w:hAnsi="Arial Narrow" w:cs="Tahoma"/>
          <w:b/>
          <w:sz w:val="28"/>
          <w:szCs w:val="28"/>
        </w:rPr>
        <w:t>while the lowest one was that in the section</w:t>
      </w:r>
      <w:r w:rsidRPr="00D93E1B">
        <w:rPr>
          <w:rFonts w:ascii="Arial Narrow" w:hAnsi="Arial Narrow" w:cs="Tahoma"/>
          <w:b/>
          <w:sz w:val="28"/>
          <w:szCs w:val="28"/>
          <w:lang w:val="sr-Cyrl-CS"/>
        </w:rPr>
        <w:t xml:space="preserve"> </w:t>
      </w:r>
      <w:r>
        <w:rPr>
          <w:rFonts w:ascii="Arial Narrow" w:hAnsi="Arial Narrow" w:cs="Tahoma"/>
          <w:b/>
          <w:i/>
          <w:sz w:val="28"/>
          <w:szCs w:val="28"/>
        </w:rPr>
        <w:t>Construction</w:t>
      </w:r>
      <w:r w:rsidR="0048741A" w:rsidRPr="000749E0">
        <w:rPr>
          <w:rFonts w:ascii="Arial Narrow" w:hAnsi="Arial Narrow" w:cs="Tahoma"/>
          <w:b/>
          <w:i/>
          <w:sz w:val="28"/>
          <w:szCs w:val="28"/>
          <w:lang w:val="sr-Cyrl-CS"/>
        </w:rPr>
        <w:t xml:space="preserve"> </w:t>
      </w:r>
      <w:r w:rsidR="00E33D13" w:rsidRPr="000749E0">
        <w:rPr>
          <w:rFonts w:ascii="Arial Narrow" w:hAnsi="Arial Narrow" w:cs="Tahoma"/>
          <w:b/>
          <w:sz w:val="28"/>
          <w:szCs w:val="28"/>
          <w:lang w:val="sr-Cyrl-BA"/>
        </w:rPr>
        <w:t>5</w:t>
      </w:r>
      <w:r w:rsidR="002812C3" w:rsidRPr="000749E0">
        <w:rPr>
          <w:rFonts w:ascii="Arial Narrow" w:hAnsi="Arial Narrow" w:cs="Tahoma"/>
          <w:b/>
          <w:sz w:val="28"/>
          <w:szCs w:val="28"/>
          <w:lang w:val="sr-Cyrl-BA"/>
        </w:rPr>
        <w:t>08</w:t>
      </w:r>
      <w:r w:rsidR="00E33D13" w:rsidRPr="000749E0">
        <w:rPr>
          <w:rFonts w:ascii="Arial Narrow" w:hAnsi="Arial Narrow" w:cs="Tahoma"/>
          <w:b/>
          <w:sz w:val="28"/>
          <w:szCs w:val="28"/>
          <w:lang w:val="sr-Cyrl-BA"/>
        </w:rPr>
        <w:t xml:space="preserve"> КМ</w:t>
      </w:r>
    </w:p>
    <w:p w:rsidR="00E33D13" w:rsidRPr="000749E0" w:rsidRDefault="00E33D13" w:rsidP="00E33D13">
      <w:pPr>
        <w:tabs>
          <w:tab w:val="left" w:pos="4343"/>
        </w:tabs>
        <w:jc w:val="both"/>
        <w:rPr>
          <w:rFonts w:ascii="Tahoma" w:hAnsi="Tahoma" w:cs="Tahoma"/>
          <w:b/>
          <w:lang w:val="sr-Cyrl-CS"/>
        </w:rPr>
      </w:pPr>
    </w:p>
    <w:p w:rsidR="00B82005" w:rsidRPr="000749E0" w:rsidRDefault="00833780" w:rsidP="00E33D13">
      <w:pPr>
        <w:tabs>
          <w:tab w:val="left" w:pos="1134"/>
        </w:tabs>
        <w:jc w:val="both"/>
        <w:rPr>
          <w:rFonts w:ascii="Arial Narrow" w:hAnsi="Arial Narrow" w:cs="Tahoma"/>
          <w:sz w:val="22"/>
          <w:lang w:val="sr-Cyrl-CS"/>
        </w:rPr>
      </w:pPr>
      <w:r>
        <w:rPr>
          <w:rFonts w:ascii="Arial Narrow" w:hAnsi="Arial Narrow" w:cs="Tahoma"/>
          <w:sz w:val="22"/>
        </w:rPr>
        <w:t xml:space="preserve">Average monthly net wage of employed persons in Republika Srpska paid in May 2015 was </w:t>
      </w:r>
      <w:r w:rsidR="00E33D13" w:rsidRPr="000749E0">
        <w:rPr>
          <w:rFonts w:ascii="Arial Narrow" w:hAnsi="Arial Narrow" w:cs="Tahoma"/>
          <w:sz w:val="22"/>
          <w:lang w:val="sr-Cyrl-CS"/>
        </w:rPr>
        <w:t>8</w:t>
      </w:r>
      <w:r w:rsidR="00C70C0F" w:rsidRPr="000749E0">
        <w:rPr>
          <w:rFonts w:ascii="Arial Narrow" w:hAnsi="Arial Narrow" w:cs="Tahoma"/>
          <w:sz w:val="22"/>
          <w:lang w:val="sr-Cyrl-CS"/>
        </w:rPr>
        <w:t>3</w:t>
      </w:r>
      <w:r w:rsidR="002812C3" w:rsidRPr="000749E0">
        <w:rPr>
          <w:rFonts w:ascii="Arial Narrow" w:hAnsi="Arial Narrow" w:cs="Tahoma"/>
          <w:sz w:val="22"/>
          <w:lang w:val="sr-Cyrl-CS"/>
        </w:rPr>
        <w:t>2</w:t>
      </w:r>
      <w:r w:rsidR="00E33D13" w:rsidRPr="000749E0">
        <w:rPr>
          <w:rFonts w:ascii="Arial Narrow" w:hAnsi="Arial Narrow" w:cs="Tahoma"/>
          <w:sz w:val="22"/>
          <w:lang w:val="sr-Cyrl-CS"/>
        </w:rPr>
        <w:t xml:space="preserve"> КМ</w:t>
      </w:r>
      <w:r w:rsidR="00E33D13" w:rsidRPr="000749E0">
        <w:rPr>
          <w:rFonts w:ascii="Arial Narrow" w:hAnsi="Arial Narrow" w:cs="Tahoma"/>
          <w:sz w:val="22"/>
          <w:lang w:val="hr-HR"/>
        </w:rPr>
        <w:t>,</w:t>
      </w:r>
      <w:r w:rsidR="00E33D13" w:rsidRPr="000749E0">
        <w:rPr>
          <w:rFonts w:ascii="Arial Narrow" w:hAnsi="Arial Narrow" w:cs="Tahoma"/>
          <w:sz w:val="22"/>
          <w:lang w:val="ru-RU"/>
        </w:rPr>
        <w:t xml:space="preserve"> </w:t>
      </w:r>
      <w:r>
        <w:rPr>
          <w:rFonts w:ascii="Arial Narrow" w:hAnsi="Arial Narrow" w:cs="Tahoma"/>
          <w:sz w:val="22"/>
        </w:rPr>
        <w:t>while average gross wage was</w:t>
      </w:r>
      <w:r w:rsidRPr="000749E0">
        <w:rPr>
          <w:rFonts w:ascii="Arial Narrow" w:hAnsi="Arial Narrow" w:cs="Tahoma"/>
          <w:sz w:val="22"/>
          <w:lang w:val="sr-Cyrl-CS"/>
        </w:rPr>
        <w:t xml:space="preserve"> </w:t>
      </w:r>
      <w:r>
        <w:rPr>
          <w:rFonts w:ascii="Arial Narrow" w:hAnsi="Arial Narrow" w:cs="Tahoma"/>
          <w:sz w:val="22"/>
          <w:lang w:val="sr-Cyrl-CS"/>
        </w:rPr>
        <w:t>1</w:t>
      </w:r>
      <w:r>
        <w:rPr>
          <w:rFonts w:ascii="Arial Narrow" w:hAnsi="Arial Narrow" w:cs="Tahoma"/>
          <w:sz w:val="22"/>
        </w:rPr>
        <w:t>,</w:t>
      </w:r>
      <w:r w:rsidR="00E33D13" w:rsidRPr="000749E0">
        <w:rPr>
          <w:rFonts w:ascii="Arial Narrow" w:hAnsi="Arial Narrow" w:cs="Tahoma"/>
          <w:sz w:val="22"/>
          <w:lang w:val="sr-Cyrl-CS"/>
        </w:rPr>
        <w:t>3</w:t>
      </w:r>
      <w:r w:rsidR="00C70C0F" w:rsidRPr="000749E0">
        <w:rPr>
          <w:rFonts w:ascii="Arial Narrow" w:hAnsi="Arial Narrow" w:cs="Tahoma"/>
          <w:sz w:val="22"/>
          <w:lang w:val="sr-Cyrl-CS"/>
        </w:rPr>
        <w:t>4</w:t>
      </w:r>
      <w:r w:rsidR="002812C3" w:rsidRPr="000749E0">
        <w:rPr>
          <w:rFonts w:ascii="Arial Narrow" w:hAnsi="Arial Narrow" w:cs="Tahoma"/>
          <w:sz w:val="22"/>
          <w:lang w:val="sr-Cyrl-CS"/>
        </w:rPr>
        <w:t>1</w:t>
      </w:r>
      <w:r w:rsidR="00E33D13" w:rsidRPr="000749E0">
        <w:rPr>
          <w:rFonts w:ascii="Arial Narrow" w:hAnsi="Arial Narrow" w:cs="Tahoma"/>
          <w:sz w:val="22"/>
          <w:lang w:val="sr-Cyrl-CS"/>
        </w:rPr>
        <w:t xml:space="preserve"> КМ.</w:t>
      </w:r>
      <w:r w:rsidR="00B82005" w:rsidRPr="000749E0">
        <w:rPr>
          <w:rFonts w:ascii="Arial Narrow" w:hAnsi="Arial Narrow" w:cs="Tahoma"/>
          <w:sz w:val="22"/>
          <w:lang w:val="sr-Cyrl-CS"/>
        </w:rPr>
        <w:t xml:space="preserve"> </w:t>
      </w:r>
    </w:p>
    <w:p w:rsidR="00B82005" w:rsidRPr="000749E0" w:rsidRDefault="00B82005" w:rsidP="00EA228D">
      <w:pPr>
        <w:tabs>
          <w:tab w:val="left" w:pos="1134"/>
        </w:tabs>
        <w:jc w:val="both"/>
        <w:rPr>
          <w:rFonts w:ascii="Arial Narrow" w:hAnsi="Arial Narrow" w:cs="Tahoma"/>
          <w:sz w:val="22"/>
          <w:lang w:val="sr-Cyrl-CS"/>
        </w:rPr>
      </w:pPr>
    </w:p>
    <w:p w:rsidR="00A80BB3" w:rsidRPr="000749E0" w:rsidRDefault="004A46B3" w:rsidP="00E33D13">
      <w:pPr>
        <w:tabs>
          <w:tab w:val="left" w:pos="1134"/>
        </w:tabs>
        <w:jc w:val="both"/>
        <w:rPr>
          <w:rFonts w:ascii="Arial Narrow" w:hAnsi="Arial Narrow" w:cs="Tahoma"/>
          <w:sz w:val="22"/>
          <w:lang w:val="sr-Cyrl-BA"/>
        </w:rPr>
      </w:pPr>
      <w:r>
        <w:rPr>
          <w:rFonts w:ascii="Arial Narrow" w:hAnsi="Arial Narrow" w:cs="Tahoma"/>
          <w:sz w:val="22"/>
          <w:lang w:val="sr-Latn-CS"/>
        </w:rPr>
        <w:t>Compared to May</w:t>
      </w:r>
      <w:r w:rsidR="00A80BB3" w:rsidRPr="000749E0">
        <w:rPr>
          <w:rFonts w:ascii="Arial Narrow" w:hAnsi="Arial Narrow" w:cs="Tahoma"/>
          <w:sz w:val="22"/>
          <w:lang w:val="sr-Cyrl-CS"/>
        </w:rPr>
        <w:t xml:space="preserve"> 201</w:t>
      </w:r>
      <w:r w:rsidR="0032724B" w:rsidRPr="000749E0">
        <w:rPr>
          <w:rFonts w:ascii="Arial Narrow" w:hAnsi="Arial Narrow" w:cs="Tahoma"/>
          <w:sz w:val="22"/>
          <w:lang w:val="sr-Cyrl-CS"/>
        </w:rPr>
        <w:t>4</w:t>
      </w:r>
      <w:r>
        <w:rPr>
          <w:rFonts w:ascii="Arial Narrow" w:hAnsi="Arial Narrow" w:cs="Tahoma"/>
          <w:sz w:val="22"/>
        </w:rPr>
        <w:t>,</w:t>
      </w:r>
      <w:r w:rsidR="00A80BB3" w:rsidRPr="000749E0">
        <w:rPr>
          <w:rFonts w:ascii="Arial Narrow" w:hAnsi="Arial Narrow" w:cs="Tahoma"/>
          <w:sz w:val="22"/>
          <w:lang w:val="sr-Cyrl-CS"/>
        </w:rPr>
        <w:t xml:space="preserve"> </w:t>
      </w:r>
      <w:r>
        <w:rPr>
          <w:rFonts w:ascii="Arial Narrow" w:hAnsi="Arial Narrow" w:cs="Tahoma"/>
          <w:sz w:val="22"/>
        </w:rPr>
        <w:t>average net wage paid in May</w:t>
      </w:r>
      <w:r w:rsidR="00A80BB3" w:rsidRPr="000749E0">
        <w:rPr>
          <w:rFonts w:ascii="Arial Narrow" w:hAnsi="Arial Narrow" w:cs="Tahoma"/>
          <w:sz w:val="22"/>
          <w:lang w:val="sr-Cyrl-CS"/>
        </w:rPr>
        <w:t xml:space="preserve"> 201</w:t>
      </w:r>
      <w:r w:rsidR="0032724B" w:rsidRPr="000749E0">
        <w:rPr>
          <w:rFonts w:ascii="Arial Narrow" w:hAnsi="Arial Narrow" w:cs="Tahoma"/>
          <w:sz w:val="22"/>
          <w:lang w:val="sr-Cyrl-CS"/>
        </w:rPr>
        <w:t>5</w:t>
      </w:r>
      <w:r w:rsidR="00A80BB3" w:rsidRPr="000749E0">
        <w:rPr>
          <w:rFonts w:ascii="Arial Narrow" w:hAnsi="Arial Narrow" w:cs="Tahoma"/>
          <w:sz w:val="22"/>
          <w:lang w:val="sr-Cyrl-CS"/>
        </w:rPr>
        <w:t xml:space="preserve"> </w:t>
      </w:r>
      <w:r>
        <w:rPr>
          <w:rFonts w:ascii="Arial Narrow" w:hAnsi="Arial Narrow" w:cs="Tahoma"/>
          <w:sz w:val="22"/>
        </w:rPr>
        <w:t>was really</w:t>
      </w:r>
      <w:r w:rsidR="00A80BB3" w:rsidRPr="000749E0">
        <w:rPr>
          <w:rFonts w:ascii="Arial Narrow" w:hAnsi="Arial Narrow" w:cs="Tahoma"/>
          <w:sz w:val="22"/>
          <w:lang w:val="sr-Cyrl-CS"/>
        </w:rPr>
        <w:t xml:space="preserve"> </w:t>
      </w:r>
      <w:r w:rsidR="00C70C0F" w:rsidRPr="000749E0">
        <w:rPr>
          <w:rFonts w:ascii="Arial Narrow" w:hAnsi="Arial Narrow" w:cs="Tahoma"/>
          <w:sz w:val="22"/>
          <w:lang w:val="sr-Cyrl-CS"/>
        </w:rPr>
        <w:t>2</w:t>
      </w:r>
      <w:r>
        <w:rPr>
          <w:rFonts w:ascii="Arial Narrow" w:hAnsi="Arial Narrow" w:cs="Tahoma"/>
          <w:sz w:val="22"/>
        </w:rPr>
        <w:t>.</w:t>
      </w:r>
      <w:r w:rsidR="002812C3" w:rsidRPr="000749E0">
        <w:rPr>
          <w:rFonts w:ascii="Arial Narrow" w:hAnsi="Arial Narrow" w:cs="Tahoma"/>
          <w:sz w:val="22"/>
          <w:lang w:val="sr-Cyrl-CS"/>
        </w:rPr>
        <w:t>5</w:t>
      </w:r>
      <w:r w:rsidR="00A80BB3" w:rsidRPr="000749E0">
        <w:rPr>
          <w:rFonts w:ascii="Arial Narrow" w:hAnsi="Arial Narrow" w:cs="Tahoma"/>
          <w:sz w:val="22"/>
          <w:lang w:val="sr-Cyrl-CS"/>
        </w:rPr>
        <w:t>%</w:t>
      </w:r>
      <w:r>
        <w:rPr>
          <w:rFonts w:ascii="Arial Narrow" w:hAnsi="Arial Narrow" w:cs="Tahoma"/>
          <w:sz w:val="22"/>
        </w:rPr>
        <w:t xml:space="preserve"> higher</w:t>
      </w:r>
      <w:r w:rsidR="00A80BB3" w:rsidRPr="000749E0">
        <w:rPr>
          <w:rFonts w:ascii="Arial Narrow" w:hAnsi="Arial Narrow" w:cs="Tahoma"/>
          <w:sz w:val="22"/>
          <w:lang w:val="sr-Cyrl-CS"/>
        </w:rPr>
        <w:t xml:space="preserve">, </w:t>
      </w:r>
      <w:r>
        <w:rPr>
          <w:rFonts w:ascii="Arial Narrow" w:hAnsi="Arial Narrow" w:cs="Tahoma"/>
          <w:sz w:val="22"/>
        </w:rPr>
        <w:t>while compared to April</w:t>
      </w:r>
      <w:r w:rsidR="00A80BB3" w:rsidRPr="000749E0">
        <w:rPr>
          <w:rFonts w:ascii="Arial Narrow" w:hAnsi="Arial Narrow" w:cs="Tahoma"/>
          <w:sz w:val="22"/>
          <w:lang w:val="sr-Cyrl-CS"/>
        </w:rPr>
        <w:t xml:space="preserve"> 201</w:t>
      </w:r>
      <w:r w:rsidR="00C70C0F" w:rsidRPr="000749E0">
        <w:rPr>
          <w:rFonts w:ascii="Arial Narrow" w:hAnsi="Arial Narrow" w:cs="Tahoma"/>
          <w:sz w:val="22"/>
          <w:lang w:val="sr-Cyrl-CS"/>
        </w:rPr>
        <w:t>5</w:t>
      </w:r>
      <w:r w:rsidR="00A80BB3" w:rsidRPr="000749E0">
        <w:rPr>
          <w:rFonts w:ascii="Arial Narrow" w:hAnsi="Arial Narrow" w:cs="Tahoma"/>
          <w:sz w:val="22"/>
          <w:lang w:val="sr-Cyrl-CS"/>
        </w:rPr>
        <w:t xml:space="preserve"> </w:t>
      </w:r>
      <w:r>
        <w:rPr>
          <w:rFonts w:ascii="Arial Narrow" w:hAnsi="Arial Narrow" w:cs="Tahoma"/>
          <w:sz w:val="22"/>
        </w:rPr>
        <w:t>it was really</w:t>
      </w:r>
      <w:r w:rsidR="00A80BB3" w:rsidRPr="000749E0">
        <w:rPr>
          <w:rFonts w:ascii="Arial Narrow" w:hAnsi="Arial Narrow" w:cs="Tahoma"/>
          <w:sz w:val="22"/>
          <w:lang w:val="sr-Cyrl-CS"/>
        </w:rPr>
        <w:t xml:space="preserve"> </w:t>
      </w:r>
      <w:r w:rsidR="002812C3" w:rsidRPr="000749E0">
        <w:rPr>
          <w:rFonts w:ascii="Arial Narrow" w:hAnsi="Arial Narrow" w:cs="Tahoma"/>
          <w:sz w:val="22"/>
          <w:lang w:val="sr-Cyrl-CS"/>
        </w:rPr>
        <w:t>0</w:t>
      </w:r>
      <w:r>
        <w:rPr>
          <w:rFonts w:ascii="Arial Narrow" w:hAnsi="Arial Narrow" w:cs="Tahoma"/>
          <w:sz w:val="22"/>
        </w:rPr>
        <w:t>.</w:t>
      </w:r>
      <w:r w:rsidR="002812C3" w:rsidRPr="000749E0">
        <w:rPr>
          <w:rFonts w:ascii="Arial Narrow" w:hAnsi="Arial Narrow" w:cs="Tahoma"/>
          <w:sz w:val="22"/>
          <w:lang w:val="sr-Cyrl-CS"/>
        </w:rPr>
        <w:t>4</w:t>
      </w:r>
      <w:r w:rsidR="00A80BB3" w:rsidRPr="000749E0">
        <w:rPr>
          <w:rFonts w:ascii="Arial Narrow" w:hAnsi="Arial Narrow" w:cs="Tahoma"/>
          <w:sz w:val="22"/>
          <w:lang w:val="sr-Cyrl-CS"/>
        </w:rPr>
        <w:t>%</w:t>
      </w:r>
      <w:r>
        <w:rPr>
          <w:rFonts w:ascii="Arial Narrow" w:hAnsi="Arial Narrow" w:cs="Tahoma"/>
          <w:sz w:val="22"/>
        </w:rPr>
        <w:t xml:space="preserve"> lower</w:t>
      </w:r>
      <w:r w:rsidR="00A80BB3" w:rsidRPr="000749E0">
        <w:rPr>
          <w:rFonts w:ascii="Arial Narrow" w:hAnsi="Arial Narrow" w:cs="Tahoma"/>
          <w:sz w:val="22"/>
          <w:lang w:val="sr-Cyrl-CS"/>
        </w:rPr>
        <w:t>.</w:t>
      </w:r>
    </w:p>
    <w:p w:rsidR="00B82005" w:rsidRPr="000749E0" w:rsidRDefault="00B82005" w:rsidP="00B82005">
      <w:pPr>
        <w:tabs>
          <w:tab w:val="left" w:pos="1134"/>
        </w:tabs>
        <w:jc w:val="both"/>
        <w:rPr>
          <w:rFonts w:ascii="Arial Narrow" w:hAnsi="Arial Narrow" w:cs="Tahoma"/>
          <w:sz w:val="22"/>
          <w:lang w:val="sr-Cyrl-CS"/>
        </w:rPr>
      </w:pPr>
    </w:p>
    <w:p w:rsidR="00BA31AD" w:rsidRDefault="00BA31AD" w:rsidP="0030706C">
      <w:pPr>
        <w:jc w:val="both"/>
        <w:rPr>
          <w:rFonts w:ascii="Arial Narrow" w:hAnsi="Arial Narrow" w:cs="Tahoma"/>
          <w:sz w:val="22"/>
        </w:rPr>
      </w:pPr>
      <w:r>
        <w:rPr>
          <w:rFonts w:ascii="Arial Narrow" w:hAnsi="Arial Narrow" w:cs="Tahoma"/>
          <w:sz w:val="22"/>
        </w:rPr>
        <w:t xml:space="preserve">The decrease in average net wages in May 2015, compared to April 2015, occurred mainly due to a lower number of paid overtime hours of work in the sections Manufacturing and Mining and quarrying, which employ a siginificant number of persons. </w:t>
      </w:r>
    </w:p>
    <w:p w:rsidR="00E33D13" w:rsidRDefault="00E33D13" w:rsidP="00E33D13">
      <w:pPr>
        <w:tabs>
          <w:tab w:val="left" w:pos="1134"/>
        </w:tabs>
        <w:jc w:val="both"/>
        <w:rPr>
          <w:rFonts w:ascii="Arial Narrow" w:hAnsi="Arial Narrow" w:cs="Tahoma"/>
          <w:sz w:val="22"/>
        </w:rPr>
      </w:pPr>
    </w:p>
    <w:p w:rsidR="007E5525" w:rsidRPr="007E5525" w:rsidRDefault="007E5525" w:rsidP="00E33D13">
      <w:pPr>
        <w:tabs>
          <w:tab w:val="left" w:pos="1134"/>
        </w:tabs>
        <w:jc w:val="both"/>
        <w:rPr>
          <w:rFonts w:ascii="Arial Narrow" w:hAnsi="Arial Narrow" w:cs="Tahoma"/>
          <w:sz w:val="22"/>
        </w:rPr>
      </w:pPr>
      <w:r>
        <w:rPr>
          <w:rFonts w:ascii="Arial Narrow" w:hAnsi="Arial Narrow" w:cs="Tahoma"/>
          <w:sz w:val="22"/>
        </w:rPr>
        <w:t xml:space="preserve">In May 2015, the highest average net wage, by section of activities, was paid in the section </w:t>
      </w:r>
      <w:r w:rsidRPr="000F6665">
        <w:rPr>
          <w:rFonts w:ascii="Arial Narrow" w:hAnsi="Arial Narrow" w:cs="Tahoma"/>
          <w:i/>
          <w:sz w:val="22"/>
        </w:rPr>
        <w:t xml:space="preserve">Financial and insurance activities </w:t>
      </w:r>
      <w:r w:rsidRPr="000F6665">
        <w:rPr>
          <w:rFonts w:ascii="Arial Narrow" w:hAnsi="Arial Narrow" w:cs="Tahoma"/>
          <w:sz w:val="22"/>
        </w:rPr>
        <w:t>and it amounted to</w:t>
      </w:r>
      <w:r>
        <w:rPr>
          <w:rFonts w:ascii="Arial Narrow" w:hAnsi="Arial Narrow" w:cs="Tahoma"/>
          <w:sz w:val="22"/>
        </w:rPr>
        <w:t xml:space="preserve"> 1,259 KM. On the other hand, the lowest net wage in May 2015 was the one paid in the section </w:t>
      </w:r>
      <w:r w:rsidRPr="007E5525">
        <w:rPr>
          <w:rFonts w:ascii="Arial Narrow" w:hAnsi="Arial Narrow" w:cs="Tahoma"/>
          <w:i/>
          <w:sz w:val="22"/>
        </w:rPr>
        <w:t>Construction</w:t>
      </w:r>
      <w:r>
        <w:rPr>
          <w:rFonts w:ascii="Arial Narrow" w:hAnsi="Arial Narrow" w:cs="Tahoma"/>
          <w:sz w:val="22"/>
        </w:rPr>
        <w:t xml:space="preserve"> 508 KM. </w:t>
      </w:r>
    </w:p>
    <w:p w:rsidR="00E33D13" w:rsidRPr="000749E0" w:rsidRDefault="00E33D13" w:rsidP="00E33D13">
      <w:pPr>
        <w:jc w:val="both"/>
        <w:rPr>
          <w:rFonts w:ascii="Arial Narrow" w:hAnsi="Arial Narrow" w:cs="Tahoma"/>
          <w:sz w:val="22"/>
          <w:lang w:val="sr-Latn-CS"/>
        </w:rPr>
      </w:pPr>
    </w:p>
    <w:p w:rsidR="00E33D13" w:rsidRPr="000749E0" w:rsidRDefault="007E5525" w:rsidP="007E5525">
      <w:pPr>
        <w:jc w:val="both"/>
        <w:rPr>
          <w:rFonts w:ascii="Arial Narrow" w:hAnsi="Arial Narrow" w:cs="Tahoma"/>
          <w:sz w:val="22"/>
          <w:szCs w:val="22"/>
          <w:lang w:val="sr-Cyrl-BA"/>
        </w:rPr>
      </w:pPr>
      <w:r>
        <w:rPr>
          <w:rFonts w:ascii="Arial Narrow" w:hAnsi="Arial Narrow" w:cs="Tahoma"/>
          <w:sz w:val="22"/>
          <w:szCs w:val="22"/>
        </w:rPr>
        <w:t xml:space="preserve">In May 2015, compared to April 2015, the highest nominal increase in net wages was recorded in the sections </w:t>
      </w:r>
      <w:r>
        <w:rPr>
          <w:rFonts w:ascii="Arial Narrow" w:hAnsi="Arial Narrow" w:cs="Tahoma"/>
          <w:i/>
          <w:sz w:val="22"/>
          <w:szCs w:val="22"/>
        </w:rPr>
        <w:t xml:space="preserve">Other services </w:t>
      </w:r>
      <w:r>
        <w:rPr>
          <w:rFonts w:ascii="Arial Narrow" w:hAnsi="Arial Narrow" w:cs="Tahoma"/>
          <w:sz w:val="22"/>
          <w:szCs w:val="22"/>
          <w:lang w:val="sr-Cyrl-BA"/>
        </w:rPr>
        <w:t>4</w:t>
      </w:r>
      <w:r>
        <w:rPr>
          <w:rFonts w:ascii="Arial Narrow" w:hAnsi="Arial Narrow" w:cs="Tahoma"/>
          <w:sz w:val="22"/>
          <w:szCs w:val="22"/>
        </w:rPr>
        <w:t>.</w:t>
      </w:r>
      <w:r w:rsidR="002812C3" w:rsidRPr="000749E0">
        <w:rPr>
          <w:rFonts w:ascii="Arial Narrow" w:hAnsi="Arial Narrow" w:cs="Tahoma"/>
          <w:sz w:val="22"/>
          <w:szCs w:val="22"/>
          <w:lang w:val="sr-Cyrl-BA"/>
        </w:rPr>
        <w:t>4%</w:t>
      </w:r>
      <w:r w:rsidR="00C804D3" w:rsidRPr="000749E0">
        <w:rPr>
          <w:rFonts w:ascii="Arial Narrow" w:hAnsi="Arial Narrow" w:cs="Tahoma"/>
          <w:sz w:val="22"/>
          <w:szCs w:val="22"/>
          <w:lang w:val="sr-Cyrl-BA"/>
        </w:rPr>
        <w:t xml:space="preserve">, </w:t>
      </w:r>
      <w:r>
        <w:rPr>
          <w:rFonts w:ascii="Arial Narrow" w:hAnsi="Arial Narrow" w:cs="Tahoma"/>
          <w:i/>
          <w:sz w:val="22"/>
          <w:szCs w:val="22"/>
        </w:rPr>
        <w:t>Real estate activities</w:t>
      </w:r>
      <w:r w:rsidR="002812C3" w:rsidRPr="000749E0">
        <w:rPr>
          <w:rFonts w:ascii="Arial Narrow" w:hAnsi="Arial Narrow" w:cs="Tahoma"/>
          <w:i/>
          <w:sz w:val="22"/>
          <w:szCs w:val="22"/>
          <w:lang w:val="sr-Cyrl-BA"/>
        </w:rPr>
        <w:t xml:space="preserve"> </w:t>
      </w:r>
      <w:r>
        <w:rPr>
          <w:rFonts w:ascii="Arial Narrow" w:hAnsi="Arial Narrow" w:cs="Tahoma"/>
          <w:sz w:val="22"/>
          <w:szCs w:val="22"/>
          <w:lang w:val="sr-Cyrl-BA"/>
        </w:rPr>
        <w:t>3</w:t>
      </w:r>
      <w:r>
        <w:rPr>
          <w:rFonts w:ascii="Arial Narrow" w:hAnsi="Arial Narrow" w:cs="Tahoma"/>
          <w:sz w:val="22"/>
          <w:szCs w:val="22"/>
        </w:rPr>
        <w:t>.</w:t>
      </w:r>
      <w:r w:rsidR="002812C3" w:rsidRPr="000749E0">
        <w:rPr>
          <w:rFonts w:ascii="Arial Narrow" w:hAnsi="Arial Narrow" w:cs="Tahoma"/>
          <w:sz w:val="22"/>
          <w:szCs w:val="22"/>
          <w:lang w:val="sr-Cyrl-BA"/>
        </w:rPr>
        <w:t xml:space="preserve">6% </w:t>
      </w:r>
      <w:r>
        <w:rPr>
          <w:rFonts w:ascii="Arial Narrow" w:hAnsi="Arial Narrow" w:cs="Tahoma"/>
          <w:sz w:val="22"/>
          <w:szCs w:val="22"/>
        </w:rPr>
        <w:t>and</w:t>
      </w:r>
      <w:r w:rsidR="002812C3" w:rsidRPr="000749E0">
        <w:rPr>
          <w:rFonts w:ascii="Arial Narrow" w:hAnsi="Arial Narrow" w:cs="Tahoma"/>
          <w:sz w:val="22"/>
          <w:szCs w:val="22"/>
          <w:lang w:val="sr-Cyrl-BA"/>
        </w:rPr>
        <w:t xml:space="preserve"> </w:t>
      </w:r>
      <w:r>
        <w:rPr>
          <w:rFonts w:ascii="Arial Narrow" w:hAnsi="Arial Narrow" w:cs="Tahoma"/>
          <w:i/>
          <w:sz w:val="22"/>
          <w:szCs w:val="22"/>
        </w:rPr>
        <w:t>Accommodation and food service acitivities</w:t>
      </w:r>
      <w:r w:rsidR="00C804D3" w:rsidRPr="000749E0">
        <w:rPr>
          <w:rFonts w:ascii="Arial Narrow" w:hAnsi="Arial Narrow" w:cs="Tahoma"/>
          <w:sz w:val="22"/>
          <w:szCs w:val="22"/>
          <w:lang w:val="sr-Cyrl-BA"/>
        </w:rPr>
        <w:t xml:space="preserve"> </w:t>
      </w:r>
      <w:r w:rsidR="002812C3" w:rsidRPr="000749E0">
        <w:rPr>
          <w:rFonts w:ascii="Arial Narrow" w:hAnsi="Arial Narrow" w:cs="Tahoma"/>
          <w:sz w:val="22"/>
          <w:szCs w:val="22"/>
          <w:lang w:val="sr-Cyrl-BA"/>
        </w:rPr>
        <w:t>2</w:t>
      </w:r>
      <w:r>
        <w:rPr>
          <w:rFonts w:ascii="Arial Narrow" w:hAnsi="Arial Narrow" w:cs="Tahoma"/>
          <w:sz w:val="22"/>
          <w:szCs w:val="22"/>
        </w:rPr>
        <w:t>.</w:t>
      </w:r>
      <w:r w:rsidR="00C804D3" w:rsidRPr="000749E0">
        <w:rPr>
          <w:rFonts w:ascii="Arial Narrow" w:hAnsi="Arial Narrow" w:cs="Tahoma"/>
          <w:sz w:val="22"/>
          <w:szCs w:val="22"/>
          <w:lang w:val="sr-Cyrl-BA"/>
        </w:rPr>
        <w:t>2%</w:t>
      </w:r>
      <w:r w:rsidR="002812C3" w:rsidRPr="000749E0">
        <w:rPr>
          <w:rFonts w:ascii="Arial Narrow" w:hAnsi="Arial Narrow" w:cs="Tahoma"/>
          <w:sz w:val="22"/>
          <w:szCs w:val="22"/>
          <w:lang w:val="sr-Cyrl-BA"/>
        </w:rPr>
        <w:t>.</w:t>
      </w:r>
    </w:p>
    <w:p w:rsidR="00C804D3" w:rsidRPr="000749E0" w:rsidRDefault="00C804D3" w:rsidP="00E33D13">
      <w:pPr>
        <w:jc w:val="both"/>
        <w:rPr>
          <w:rFonts w:ascii="Arial Narrow" w:hAnsi="Arial Narrow" w:cs="Tahoma"/>
          <w:sz w:val="22"/>
          <w:szCs w:val="22"/>
          <w:lang w:val="sr-Cyrl-BA"/>
        </w:rPr>
      </w:pPr>
    </w:p>
    <w:p w:rsidR="00E33D13" w:rsidRPr="000749E0" w:rsidRDefault="00FD0F61" w:rsidP="00E33D13">
      <w:pPr>
        <w:jc w:val="both"/>
        <w:rPr>
          <w:rFonts w:ascii="Arial Narrow" w:hAnsi="Arial Narrow" w:cs="Tahoma"/>
          <w:sz w:val="22"/>
          <w:szCs w:val="22"/>
          <w:lang w:val="sr-Cyrl-BA"/>
        </w:rPr>
      </w:pPr>
      <w:r>
        <w:rPr>
          <w:rFonts w:ascii="Arial Narrow" w:hAnsi="Arial Narrow" w:cs="Tahoma"/>
          <w:sz w:val="22"/>
          <w:szCs w:val="22"/>
        </w:rPr>
        <w:t xml:space="preserve">A decrease in nominal wages was recorded in the sections </w:t>
      </w:r>
      <w:r>
        <w:rPr>
          <w:rFonts w:ascii="Arial Narrow" w:hAnsi="Arial Narrow" w:cs="Tahoma"/>
          <w:i/>
          <w:sz w:val="22"/>
          <w:szCs w:val="22"/>
        </w:rPr>
        <w:t>Professional, scientific and technical activities</w:t>
      </w:r>
      <w:r w:rsidR="002812C3" w:rsidRPr="000749E0">
        <w:rPr>
          <w:rFonts w:ascii="Arial Narrow" w:hAnsi="Arial Narrow" w:cs="Tahoma"/>
          <w:i/>
          <w:sz w:val="22"/>
          <w:szCs w:val="22"/>
          <w:lang w:val="sr-Cyrl-BA"/>
        </w:rPr>
        <w:t xml:space="preserve"> </w:t>
      </w:r>
      <w:r>
        <w:rPr>
          <w:rFonts w:ascii="Arial Narrow" w:hAnsi="Arial Narrow" w:cs="Tahoma"/>
          <w:sz w:val="22"/>
          <w:szCs w:val="22"/>
          <w:lang w:val="sr-Cyrl-BA"/>
        </w:rPr>
        <w:t>8</w:t>
      </w:r>
      <w:r>
        <w:rPr>
          <w:rFonts w:ascii="Arial Narrow" w:hAnsi="Arial Narrow" w:cs="Tahoma"/>
          <w:sz w:val="22"/>
          <w:szCs w:val="22"/>
        </w:rPr>
        <w:t>.</w:t>
      </w:r>
      <w:r w:rsidR="002812C3" w:rsidRPr="000749E0">
        <w:rPr>
          <w:rFonts w:ascii="Arial Narrow" w:hAnsi="Arial Narrow" w:cs="Tahoma"/>
          <w:sz w:val="22"/>
          <w:szCs w:val="22"/>
          <w:lang w:val="sr-Cyrl-BA"/>
        </w:rPr>
        <w:t>9%,</w:t>
      </w:r>
      <w:r w:rsidR="002812C3" w:rsidRPr="000749E0">
        <w:rPr>
          <w:rFonts w:ascii="Arial Narrow" w:hAnsi="Arial Narrow" w:cs="Tahoma"/>
          <w:i/>
          <w:sz w:val="22"/>
          <w:szCs w:val="22"/>
          <w:lang w:val="sr-Cyrl-BA"/>
        </w:rPr>
        <w:t xml:space="preserve"> </w:t>
      </w:r>
      <w:r>
        <w:rPr>
          <w:rFonts w:ascii="Arial Narrow" w:hAnsi="Arial Narrow" w:cs="Tahoma"/>
          <w:i/>
          <w:sz w:val="22"/>
          <w:szCs w:val="22"/>
        </w:rPr>
        <w:t>Construction</w:t>
      </w:r>
      <w:r>
        <w:rPr>
          <w:rFonts w:ascii="Arial Narrow" w:hAnsi="Arial Narrow" w:cs="Tahoma"/>
          <w:sz w:val="22"/>
          <w:szCs w:val="22"/>
          <w:lang w:val="sr-Cyrl-BA"/>
        </w:rPr>
        <w:t xml:space="preserve"> 3</w:t>
      </w:r>
      <w:r>
        <w:rPr>
          <w:rFonts w:ascii="Arial Narrow" w:hAnsi="Arial Narrow" w:cs="Tahoma"/>
          <w:sz w:val="22"/>
          <w:szCs w:val="22"/>
        </w:rPr>
        <w:t>.</w:t>
      </w:r>
      <w:r w:rsidR="002812C3" w:rsidRPr="000749E0">
        <w:rPr>
          <w:rFonts w:ascii="Arial Narrow" w:hAnsi="Arial Narrow" w:cs="Tahoma"/>
          <w:sz w:val="22"/>
          <w:szCs w:val="22"/>
          <w:lang w:val="sr-Cyrl-BA"/>
        </w:rPr>
        <w:t xml:space="preserve">8% </w:t>
      </w:r>
      <w:r>
        <w:rPr>
          <w:rFonts w:ascii="Arial Narrow" w:hAnsi="Arial Narrow" w:cs="Tahoma"/>
          <w:sz w:val="22"/>
          <w:szCs w:val="22"/>
        </w:rPr>
        <w:t>and</w:t>
      </w:r>
      <w:r w:rsidR="002812C3" w:rsidRPr="000749E0">
        <w:rPr>
          <w:rFonts w:ascii="Arial Narrow" w:hAnsi="Arial Narrow" w:cs="Tahoma"/>
          <w:sz w:val="22"/>
          <w:szCs w:val="22"/>
          <w:lang w:val="sr-Cyrl-BA"/>
        </w:rPr>
        <w:t xml:space="preserve"> </w:t>
      </w:r>
      <w:r>
        <w:rPr>
          <w:rFonts w:ascii="Arial Narrow" w:hAnsi="Arial Narrow" w:cs="Tahoma"/>
          <w:i/>
          <w:sz w:val="22"/>
          <w:szCs w:val="22"/>
        </w:rPr>
        <w:t>Mining and quarrying</w:t>
      </w:r>
      <w:r w:rsidR="002812C3" w:rsidRPr="000749E0">
        <w:rPr>
          <w:rFonts w:ascii="Arial Narrow" w:hAnsi="Arial Narrow" w:cs="Tahoma"/>
          <w:i/>
          <w:sz w:val="22"/>
          <w:szCs w:val="22"/>
          <w:lang w:val="sr-Cyrl-BA"/>
        </w:rPr>
        <w:t xml:space="preserve"> 2</w:t>
      </w:r>
      <w:r>
        <w:rPr>
          <w:rFonts w:ascii="Arial Narrow" w:hAnsi="Arial Narrow" w:cs="Tahoma"/>
          <w:sz w:val="22"/>
          <w:szCs w:val="22"/>
        </w:rPr>
        <w:t>.</w:t>
      </w:r>
      <w:r w:rsidR="002812C3" w:rsidRPr="000749E0">
        <w:rPr>
          <w:rFonts w:ascii="Arial Narrow" w:hAnsi="Arial Narrow" w:cs="Tahoma"/>
          <w:sz w:val="22"/>
          <w:szCs w:val="22"/>
          <w:lang w:val="sr-Cyrl-BA"/>
        </w:rPr>
        <w:t>3%</w:t>
      </w:r>
      <w:r w:rsidR="007A5FA4" w:rsidRPr="000749E0">
        <w:rPr>
          <w:rFonts w:ascii="Arial Narrow" w:hAnsi="Arial Narrow" w:cs="Tahoma"/>
          <w:sz w:val="22"/>
          <w:szCs w:val="22"/>
          <w:lang w:val="sr-Cyrl-BA"/>
        </w:rPr>
        <w:t>.</w:t>
      </w:r>
    </w:p>
    <w:p w:rsidR="00396802" w:rsidRPr="000749E0" w:rsidRDefault="00396802" w:rsidP="00E33D13">
      <w:pPr>
        <w:jc w:val="both"/>
        <w:rPr>
          <w:rFonts w:ascii="Tahoma" w:hAnsi="Tahoma" w:cs="Tahoma"/>
          <w:i/>
          <w:sz w:val="14"/>
          <w:lang w:val="sr-Cyrl-CS"/>
        </w:rPr>
      </w:pPr>
    </w:p>
    <w:p w:rsidR="00E33D13" w:rsidRPr="000749E0" w:rsidRDefault="00E33D13" w:rsidP="00E33D13">
      <w:pPr>
        <w:jc w:val="both"/>
        <w:rPr>
          <w:rFonts w:ascii="Arial Narrow" w:hAnsi="Arial Narrow" w:cs="Tahoma"/>
          <w:sz w:val="22"/>
          <w:szCs w:val="22"/>
        </w:rPr>
      </w:pPr>
      <w:r w:rsidRPr="000749E0">
        <w:rPr>
          <w:rFonts w:ascii="Tahoma" w:hAnsi="Tahoma" w:cs="Tahoma"/>
          <w:i/>
          <w:sz w:val="14"/>
          <w:lang w:val="sr-Cyrl-CS"/>
        </w:rPr>
        <w:t xml:space="preserve"> </w:t>
      </w:r>
      <w:r w:rsidRPr="000749E0">
        <w:rPr>
          <w:rFonts w:ascii="Tahoma" w:hAnsi="Tahoma" w:cs="Tahoma"/>
          <w:sz w:val="14"/>
          <w:lang w:val="sr-Cyrl-CS"/>
        </w:rPr>
        <w:t xml:space="preserve">   </w:t>
      </w:r>
      <w:r w:rsidRPr="000749E0">
        <w:rPr>
          <w:rFonts w:ascii="Tahoma" w:hAnsi="Tahoma" w:cs="Tahoma"/>
          <w:sz w:val="14"/>
          <w:lang w:val="sr-Latn-CS"/>
        </w:rPr>
        <w:tab/>
      </w:r>
      <w:r w:rsidRPr="000749E0">
        <w:rPr>
          <w:rFonts w:ascii="Tahoma" w:hAnsi="Tahoma" w:cs="Tahoma"/>
          <w:sz w:val="14"/>
          <w:lang w:val="sr-Latn-CS"/>
        </w:rPr>
        <w:tab/>
      </w:r>
      <w:r w:rsidRPr="000749E0">
        <w:rPr>
          <w:rFonts w:ascii="Tahoma" w:hAnsi="Tahoma" w:cs="Tahoma"/>
          <w:sz w:val="14"/>
        </w:rPr>
        <w:t xml:space="preserve">            </w:t>
      </w:r>
      <w:r w:rsidR="00F85AAC" w:rsidRPr="000749E0">
        <w:rPr>
          <w:rFonts w:ascii="Tahoma" w:hAnsi="Tahoma" w:cs="Tahoma"/>
          <w:sz w:val="14"/>
          <w:lang w:val="sr-Cyrl-BA"/>
        </w:rPr>
        <w:t xml:space="preserve">   </w:t>
      </w:r>
      <w:r w:rsidRPr="000749E0">
        <w:rPr>
          <w:rFonts w:ascii="Arial Narrow" w:hAnsi="Arial Narrow" w:cs="Tahoma"/>
          <w:sz w:val="22"/>
          <w:szCs w:val="22"/>
          <w:lang w:val="sr-Cyrl-CS"/>
        </w:rPr>
        <w:t>км</w:t>
      </w:r>
    </w:p>
    <w:p w:rsidR="00E33D13" w:rsidRPr="000749E0" w:rsidRDefault="00F85AAC" w:rsidP="00E33D13">
      <w:pPr>
        <w:jc w:val="center"/>
        <w:rPr>
          <w:rFonts w:ascii="Tahoma" w:hAnsi="Tahoma" w:cs="Tahoma"/>
        </w:rPr>
      </w:pPr>
      <w:r w:rsidRPr="000749E0">
        <w:rPr>
          <w:rFonts w:ascii="Tahoma" w:hAnsi="Tahoma" w:cs="Tahoma"/>
          <w:noProof/>
          <w:szCs w:val="18"/>
        </w:rPr>
        <w:drawing>
          <wp:anchor distT="0" distB="0" distL="114300" distR="114300" simplePos="0" relativeHeight="251669504" behindDoc="0" locked="0" layoutInCell="1" allowOverlap="1">
            <wp:simplePos x="0" y="0"/>
            <wp:positionH relativeFrom="column">
              <wp:posOffset>981462</wp:posOffset>
            </wp:positionH>
            <wp:positionV relativeFrom="paragraph">
              <wp:posOffset>2046826</wp:posOffset>
            </wp:positionV>
            <wp:extent cx="4505242" cy="461176"/>
            <wp:effectExtent l="19050" t="0" r="0" b="0"/>
            <wp:wrapNone/>
            <wp:docPr id="5"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4505242" cy="461176"/>
                    </a:xfrm>
                    <a:prstGeom prst="rect">
                      <a:avLst/>
                    </a:prstGeom>
                  </pic:spPr>
                </pic:pic>
              </a:graphicData>
            </a:graphic>
          </wp:anchor>
        </w:drawing>
      </w:r>
      <w:r w:rsidR="00E33D13" w:rsidRPr="000749E0">
        <w:rPr>
          <w:rFonts w:ascii="Tahoma" w:hAnsi="Tahoma" w:cs="Tahoma"/>
          <w:szCs w:val="18"/>
        </w:rPr>
        <w:t xml:space="preserve"> </w:t>
      </w:r>
      <w:r w:rsidR="002812C3" w:rsidRPr="000749E0">
        <w:rPr>
          <w:rFonts w:ascii="Tahoma" w:hAnsi="Tahoma" w:cs="Tahoma"/>
          <w:noProof/>
          <w:szCs w:val="18"/>
        </w:rPr>
        <w:drawing>
          <wp:inline distT="0" distB="0" distL="0" distR="0">
            <wp:extent cx="4572000" cy="27432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33D13" w:rsidRPr="000749E0">
        <w:rPr>
          <w:rFonts w:ascii="Tahoma" w:hAnsi="Tahoma" w:cs="Tahoma"/>
          <w:szCs w:val="18"/>
        </w:rPr>
        <w:t xml:space="preserve">  </w:t>
      </w:r>
    </w:p>
    <w:p w:rsidR="00E33D13" w:rsidRPr="000749E0" w:rsidRDefault="00E33D13" w:rsidP="00E33D13">
      <w:pPr>
        <w:jc w:val="center"/>
        <w:rPr>
          <w:rFonts w:ascii="Tahoma" w:hAnsi="Tahoma" w:cs="Tahoma"/>
          <w:sz w:val="18"/>
          <w:szCs w:val="18"/>
          <w:lang w:val="sr-Cyrl-CS"/>
        </w:rPr>
      </w:pPr>
    </w:p>
    <w:p w:rsidR="00E33D13" w:rsidRPr="00E16961" w:rsidRDefault="00E16961" w:rsidP="00E33D13">
      <w:pPr>
        <w:jc w:val="center"/>
        <w:outlineLvl w:val="0"/>
        <w:rPr>
          <w:rFonts w:ascii="Arial Narrow" w:hAnsi="Arial Narrow" w:cs="Tahoma"/>
          <w:sz w:val="16"/>
          <w:szCs w:val="22"/>
        </w:rPr>
      </w:pPr>
      <w:r>
        <w:rPr>
          <w:rFonts w:ascii="Arial Narrow" w:hAnsi="Arial Narrow" w:cs="Tahoma"/>
          <w:sz w:val="16"/>
          <w:szCs w:val="22"/>
        </w:rPr>
        <w:t>Graph</w:t>
      </w:r>
      <w:r w:rsidR="00E33D13" w:rsidRPr="000749E0">
        <w:rPr>
          <w:rFonts w:ascii="Arial Narrow" w:hAnsi="Arial Narrow" w:cs="Tahoma"/>
          <w:sz w:val="16"/>
          <w:szCs w:val="22"/>
          <w:lang w:val="sr-Cyrl-BA"/>
        </w:rPr>
        <w:t xml:space="preserve"> </w:t>
      </w:r>
      <w:r w:rsidR="0066022A" w:rsidRPr="000749E0">
        <w:rPr>
          <w:rFonts w:ascii="Arial Narrow" w:hAnsi="Arial Narrow" w:cs="Tahoma"/>
          <w:sz w:val="16"/>
          <w:szCs w:val="22"/>
          <w:lang w:val="sr-Latn-BA"/>
        </w:rPr>
        <w:t>1</w:t>
      </w:r>
      <w:r w:rsidR="00E33D13" w:rsidRPr="000749E0">
        <w:rPr>
          <w:rFonts w:ascii="Arial Narrow" w:hAnsi="Arial Narrow" w:cs="Tahoma"/>
          <w:sz w:val="16"/>
          <w:szCs w:val="22"/>
          <w:lang w:val="sr-Cyrl-CS"/>
        </w:rPr>
        <w:t>.</w:t>
      </w:r>
      <w:r w:rsidR="00E33D13" w:rsidRPr="000749E0">
        <w:rPr>
          <w:rFonts w:ascii="Arial Narrow" w:hAnsi="Arial Narrow" w:cs="Tahoma"/>
          <w:sz w:val="16"/>
          <w:szCs w:val="22"/>
          <w:lang w:val="sr-Cyrl-BA"/>
        </w:rPr>
        <w:t xml:space="preserve"> </w:t>
      </w:r>
      <w:r>
        <w:rPr>
          <w:rFonts w:ascii="Arial Narrow" w:hAnsi="Arial Narrow" w:cs="Tahoma"/>
          <w:sz w:val="16"/>
          <w:szCs w:val="22"/>
        </w:rPr>
        <w:t>Average net wages of employed persons by month</w:t>
      </w:r>
    </w:p>
    <w:p w:rsidR="00BE051D" w:rsidRPr="000749E0" w:rsidRDefault="00BE051D">
      <w:pPr>
        <w:rPr>
          <w:rFonts w:ascii="Tahoma" w:hAnsi="Tahoma" w:cs="Tahoma"/>
          <w:lang w:val="sr-Latn-BA"/>
        </w:rPr>
      </w:pPr>
    </w:p>
    <w:p w:rsidR="00CA19B5" w:rsidRPr="000749E0" w:rsidRDefault="00CA19B5">
      <w:pPr>
        <w:rPr>
          <w:rFonts w:ascii="Tahoma" w:hAnsi="Tahoma" w:cs="Tahoma"/>
          <w:lang w:val="sr-Latn-BA"/>
        </w:rPr>
      </w:pPr>
    </w:p>
    <w:p w:rsidR="00943D18" w:rsidRPr="00C45E9B" w:rsidRDefault="00C45E9B" w:rsidP="00943D18">
      <w:pPr>
        <w:rPr>
          <w:rFonts w:ascii="Arial Narrow" w:hAnsi="Arial Narrow" w:cs="Tahoma"/>
          <w:b/>
          <w:sz w:val="30"/>
          <w:szCs w:val="30"/>
        </w:rPr>
      </w:pPr>
      <w:r>
        <w:rPr>
          <w:rFonts w:ascii="Arial Narrow" w:hAnsi="Arial Narrow" w:cs="Tahoma"/>
          <w:b/>
          <w:sz w:val="30"/>
          <w:szCs w:val="30"/>
        </w:rPr>
        <w:t>Monthly inflation</w:t>
      </w:r>
      <w:r w:rsidR="00943D18" w:rsidRPr="000749E0">
        <w:rPr>
          <w:rFonts w:ascii="Arial Narrow" w:hAnsi="Arial Narrow" w:cs="Tahoma"/>
          <w:b/>
          <w:sz w:val="30"/>
          <w:szCs w:val="30"/>
          <w:lang w:val="sr-Cyrl-BA"/>
        </w:rPr>
        <w:t xml:space="preserve"> </w:t>
      </w:r>
      <w:r>
        <w:rPr>
          <w:rFonts w:ascii="Arial Narrow" w:hAnsi="Arial Narrow" w:cs="Tahoma"/>
          <w:b/>
          <w:sz w:val="30"/>
          <w:szCs w:val="30"/>
          <w:lang w:val="sr-Cyrl-BA"/>
        </w:rPr>
        <w:t>0</w:t>
      </w:r>
      <w:r>
        <w:rPr>
          <w:rFonts w:ascii="Arial Narrow" w:hAnsi="Arial Narrow" w:cs="Tahoma"/>
          <w:b/>
          <w:sz w:val="30"/>
          <w:szCs w:val="30"/>
        </w:rPr>
        <w:t>.</w:t>
      </w:r>
      <w:r w:rsidR="00943D18" w:rsidRPr="000749E0">
        <w:rPr>
          <w:rFonts w:ascii="Arial Narrow" w:hAnsi="Arial Narrow" w:cs="Tahoma"/>
          <w:b/>
          <w:sz w:val="30"/>
          <w:szCs w:val="30"/>
          <w:lang w:val="sr-Cyrl-BA"/>
        </w:rPr>
        <w:t>0%</w:t>
      </w:r>
      <w:r>
        <w:rPr>
          <w:rFonts w:ascii="Arial Narrow" w:hAnsi="Arial Narrow" w:cs="Tahoma"/>
          <w:b/>
          <w:sz w:val="30"/>
          <w:szCs w:val="30"/>
        </w:rPr>
        <w:t xml:space="preserve"> in May 2015</w:t>
      </w:r>
    </w:p>
    <w:p w:rsidR="00943D18" w:rsidRPr="000749E0" w:rsidRDefault="00C45E9B" w:rsidP="00943D18">
      <w:pPr>
        <w:rPr>
          <w:rFonts w:ascii="Arial Narrow" w:hAnsi="Arial Narrow" w:cs="Tahoma"/>
          <w:b/>
          <w:sz w:val="30"/>
          <w:szCs w:val="30"/>
          <w:lang w:val="sr-Cyrl-BA"/>
        </w:rPr>
      </w:pPr>
      <w:r>
        <w:rPr>
          <w:rFonts w:ascii="Arial Narrow" w:hAnsi="Arial Narrow" w:cs="Tahoma"/>
          <w:b/>
          <w:sz w:val="30"/>
          <w:szCs w:val="30"/>
        </w:rPr>
        <w:t>Annual inflation</w:t>
      </w:r>
      <w:r w:rsidR="00943D18" w:rsidRPr="000749E0">
        <w:rPr>
          <w:rFonts w:ascii="Arial Narrow" w:hAnsi="Arial Narrow" w:cs="Tahoma"/>
          <w:b/>
          <w:sz w:val="30"/>
          <w:szCs w:val="30"/>
          <w:lang w:val="sr-Cyrl-BA"/>
        </w:rPr>
        <w:t xml:space="preserve"> (</w:t>
      </w:r>
      <w:r>
        <w:rPr>
          <w:rFonts w:ascii="Arial Narrow" w:hAnsi="Arial Narrow" w:cs="Tahoma"/>
          <w:b/>
          <w:sz w:val="30"/>
          <w:szCs w:val="30"/>
          <w:lang w:val="sr-Latn-BA"/>
        </w:rPr>
        <w:t>May</w:t>
      </w:r>
      <w:r w:rsidR="00943D18" w:rsidRPr="000749E0">
        <w:rPr>
          <w:rFonts w:ascii="Arial Narrow" w:hAnsi="Arial Narrow" w:cs="Tahoma"/>
          <w:b/>
          <w:sz w:val="30"/>
          <w:szCs w:val="30"/>
          <w:lang w:val="sr-Cyrl-BA"/>
        </w:rPr>
        <w:t xml:space="preserve"> 2015/</w:t>
      </w:r>
      <w:r>
        <w:rPr>
          <w:rFonts w:ascii="Arial Narrow" w:hAnsi="Arial Narrow" w:cs="Tahoma"/>
          <w:b/>
          <w:sz w:val="30"/>
          <w:szCs w:val="30"/>
          <w:lang w:val="sr-Latn-BA"/>
        </w:rPr>
        <w:t>May</w:t>
      </w:r>
      <w:r>
        <w:rPr>
          <w:rFonts w:ascii="Arial Narrow" w:hAnsi="Arial Narrow" w:cs="Tahoma"/>
          <w:b/>
          <w:sz w:val="30"/>
          <w:szCs w:val="30"/>
          <w:lang w:val="sr-Cyrl-BA"/>
        </w:rPr>
        <w:t xml:space="preserve"> 2014) -0</w:t>
      </w:r>
      <w:r>
        <w:rPr>
          <w:rFonts w:ascii="Arial Narrow" w:hAnsi="Arial Narrow" w:cs="Tahoma"/>
          <w:b/>
          <w:sz w:val="30"/>
          <w:szCs w:val="30"/>
        </w:rPr>
        <w:t>.</w:t>
      </w:r>
      <w:r w:rsidR="00943D18" w:rsidRPr="000749E0">
        <w:rPr>
          <w:rFonts w:ascii="Arial Narrow" w:hAnsi="Arial Narrow" w:cs="Tahoma"/>
          <w:b/>
          <w:sz w:val="30"/>
          <w:szCs w:val="30"/>
          <w:lang w:val="sr-Cyrl-BA"/>
        </w:rPr>
        <w:t>8%</w:t>
      </w:r>
    </w:p>
    <w:p w:rsidR="00943D18" w:rsidRPr="000749E0" w:rsidRDefault="00943D18" w:rsidP="00943D18">
      <w:pPr>
        <w:spacing w:after="120"/>
        <w:jc w:val="both"/>
        <w:rPr>
          <w:rFonts w:ascii="Tahoma" w:hAnsi="Tahoma" w:cs="Tahoma"/>
          <w:lang w:val="sr-Cyrl-BA"/>
        </w:rPr>
      </w:pPr>
    </w:p>
    <w:p w:rsidR="00B35543" w:rsidRDefault="00B35543" w:rsidP="00943D18">
      <w:pPr>
        <w:spacing w:after="120"/>
        <w:jc w:val="both"/>
        <w:rPr>
          <w:rFonts w:ascii="Arial Narrow" w:hAnsi="Arial Narrow" w:cs="Tahoma"/>
          <w:sz w:val="22"/>
          <w:szCs w:val="22"/>
        </w:rPr>
      </w:pPr>
      <w:r>
        <w:rPr>
          <w:rFonts w:ascii="Arial Narrow" w:hAnsi="Arial Narrow" w:cs="Tahoma"/>
          <w:sz w:val="22"/>
          <w:szCs w:val="22"/>
        </w:rPr>
        <w:t xml:space="preserve">Prices of products and services for personal consumption in Republika Srpska, measured with the consumer price index, in May 2015, compared to the previous month, remained on the average at the same level, while at the annual level they were 0.8% lower. </w:t>
      </w:r>
    </w:p>
    <w:p w:rsidR="00B35543" w:rsidRDefault="00B35543" w:rsidP="00943D18">
      <w:pPr>
        <w:spacing w:after="120"/>
        <w:jc w:val="both"/>
        <w:rPr>
          <w:rFonts w:ascii="Arial Narrow" w:hAnsi="Arial Narrow" w:cs="Tahoma"/>
          <w:sz w:val="22"/>
        </w:rPr>
      </w:pPr>
      <w:r>
        <w:rPr>
          <w:rFonts w:ascii="Arial Narrow" w:hAnsi="Arial Narrow" w:cs="Tahoma"/>
          <w:sz w:val="22"/>
          <w:szCs w:val="22"/>
        </w:rPr>
        <w:t xml:space="preserve">Of the main 12 divisions of products and services, an increase in prices was recorded in six divisions, a decrease was recorded in five divisions, while prices in one division remained on the average at the same level. </w:t>
      </w:r>
    </w:p>
    <w:p w:rsidR="00943D18" w:rsidRPr="000749E0" w:rsidRDefault="00B35543" w:rsidP="00943D18">
      <w:pPr>
        <w:jc w:val="both"/>
        <w:rPr>
          <w:rFonts w:ascii="Arial Narrow" w:hAnsi="Arial Narrow" w:cs="Tahoma"/>
          <w:sz w:val="22"/>
          <w:lang w:val="sr-Cyrl-BA"/>
        </w:rPr>
      </w:pPr>
      <w:r>
        <w:rPr>
          <w:rFonts w:ascii="Arial Narrow" w:hAnsi="Arial Narrow" w:cs="Tahoma"/>
          <w:sz w:val="22"/>
          <w:szCs w:val="22"/>
        </w:rPr>
        <w:t xml:space="preserve">The highest increase in prices was recorded in the division </w:t>
      </w:r>
      <w:r>
        <w:rPr>
          <w:rFonts w:ascii="Arial Narrow" w:hAnsi="Arial Narrow" w:cs="Tahoma"/>
          <w:i/>
          <w:sz w:val="22"/>
        </w:rPr>
        <w:t>Transport</w:t>
      </w:r>
      <w:r>
        <w:rPr>
          <w:rFonts w:ascii="Arial Narrow" w:hAnsi="Arial Narrow" w:cs="Tahoma"/>
          <w:sz w:val="22"/>
          <w:lang w:val="sr-Cyrl-BA"/>
        </w:rPr>
        <w:t xml:space="preserve"> (1</w:t>
      </w:r>
      <w:r>
        <w:rPr>
          <w:rFonts w:ascii="Arial Narrow" w:hAnsi="Arial Narrow" w:cs="Tahoma"/>
          <w:sz w:val="22"/>
        </w:rPr>
        <w:t>.</w:t>
      </w:r>
      <w:r w:rsidR="00943D18" w:rsidRPr="000749E0">
        <w:rPr>
          <w:rFonts w:ascii="Arial Narrow" w:hAnsi="Arial Narrow" w:cs="Tahoma"/>
          <w:sz w:val="22"/>
          <w:lang w:val="sr-Cyrl-BA"/>
        </w:rPr>
        <w:t xml:space="preserve">8%) </w:t>
      </w:r>
      <w:r>
        <w:rPr>
          <w:rFonts w:ascii="Arial Narrow" w:hAnsi="Arial Narrow" w:cs="Tahoma"/>
          <w:sz w:val="22"/>
        </w:rPr>
        <w:t>due to higher prices in the group fuels and lubricants</w:t>
      </w:r>
      <w:r>
        <w:rPr>
          <w:rFonts w:ascii="Arial Narrow" w:hAnsi="Arial Narrow" w:cs="Tahoma"/>
          <w:sz w:val="22"/>
          <w:lang w:val="sr-Cyrl-BA"/>
        </w:rPr>
        <w:t xml:space="preserve"> (3</w:t>
      </w:r>
      <w:r>
        <w:rPr>
          <w:rFonts w:ascii="Arial Narrow" w:hAnsi="Arial Narrow" w:cs="Tahoma"/>
          <w:sz w:val="22"/>
        </w:rPr>
        <w:t>.</w:t>
      </w:r>
      <w:r w:rsidR="00943D18" w:rsidRPr="000749E0">
        <w:rPr>
          <w:rFonts w:ascii="Arial Narrow" w:hAnsi="Arial Narrow" w:cs="Tahoma"/>
          <w:sz w:val="22"/>
          <w:lang w:val="sr-Cyrl-BA"/>
        </w:rPr>
        <w:t xml:space="preserve">9%). </w:t>
      </w:r>
      <w:r>
        <w:rPr>
          <w:rFonts w:ascii="Arial Narrow" w:hAnsi="Arial Narrow" w:cs="Tahoma"/>
          <w:sz w:val="22"/>
        </w:rPr>
        <w:t>Higher prices were also recorded in the division</w:t>
      </w:r>
      <w:r w:rsidR="00943D18" w:rsidRPr="000749E0">
        <w:rPr>
          <w:rFonts w:ascii="Arial Narrow" w:hAnsi="Arial Narrow" w:cs="Tahoma"/>
          <w:i/>
          <w:sz w:val="22"/>
          <w:lang w:val="sr-Cyrl-BA"/>
        </w:rPr>
        <w:t xml:space="preserve"> </w:t>
      </w:r>
      <w:r>
        <w:rPr>
          <w:rFonts w:ascii="Arial Narrow" w:hAnsi="Arial Narrow" w:cs="Tahoma"/>
          <w:i/>
          <w:sz w:val="22"/>
        </w:rPr>
        <w:t>Alcoholic beverages and tobacco</w:t>
      </w:r>
      <w:r w:rsidR="00943D18" w:rsidRPr="000749E0">
        <w:rPr>
          <w:rFonts w:ascii="Arial Narrow" w:hAnsi="Arial Narrow" w:cs="Tahoma"/>
          <w:i/>
          <w:sz w:val="22"/>
          <w:lang w:val="sr-Cyrl-BA"/>
        </w:rPr>
        <w:t xml:space="preserve"> </w:t>
      </w:r>
      <w:r>
        <w:rPr>
          <w:rFonts w:ascii="Arial Narrow" w:hAnsi="Arial Narrow" w:cs="Tahoma"/>
          <w:sz w:val="22"/>
          <w:lang w:val="sr-Cyrl-BA"/>
        </w:rPr>
        <w:t>(0</w:t>
      </w:r>
      <w:r>
        <w:rPr>
          <w:rFonts w:ascii="Arial Narrow" w:hAnsi="Arial Narrow" w:cs="Tahoma"/>
          <w:sz w:val="22"/>
        </w:rPr>
        <w:t>.</w:t>
      </w:r>
      <w:r w:rsidR="00943D18" w:rsidRPr="000749E0">
        <w:rPr>
          <w:rFonts w:ascii="Arial Narrow" w:hAnsi="Arial Narrow" w:cs="Tahoma"/>
          <w:sz w:val="22"/>
          <w:lang w:val="sr-Cyrl-BA"/>
        </w:rPr>
        <w:t>6%)</w:t>
      </w:r>
      <w:r>
        <w:rPr>
          <w:rFonts w:ascii="Arial Narrow" w:hAnsi="Arial Narrow" w:cs="Tahoma"/>
          <w:sz w:val="22"/>
        </w:rPr>
        <w:t>,</w:t>
      </w:r>
      <w:r w:rsidR="00943D18" w:rsidRPr="000749E0">
        <w:rPr>
          <w:rFonts w:ascii="Arial Narrow" w:hAnsi="Arial Narrow" w:cs="Tahoma"/>
          <w:sz w:val="22"/>
          <w:lang w:val="sr-Cyrl-BA"/>
        </w:rPr>
        <w:t xml:space="preserve"> </w:t>
      </w:r>
      <w:r>
        <w:rPr>
          <w:rFonts w:ascii="Arial Narrow" w:hAnsi="Arial Narrow" w:cs="Tahoma"/>
          <w:sz w:val="22"/>
        </w:rPr>
        <w:t>mainly due to an increase in prices of</w:t>
      </w:r>
      <w:r w:rsidR="00943D18" w:rsidRPr="000749E0">
        <w:rPr>
          <w:rFonts w:ascii="Arial Narrow" w:hAnsi="Arial Narrow" w:cs="Tahoma"/>
          <w:sz w:val="22"/>
          <w:lang w:val="sr-Cyrl-BA"/>
        </w:rPr>
        <w:t xml:space="preserve"> </w:t>
      </w:r>
      <w:r>
        <w:rPr>
          <w:rFonts w:ascii="Arial Narrow" w:hAnsi="Arial Narrow" w:cs="Tahoma"/>
          <w:sz w:val="22"/>
        </w:rPr>
        <w:t>alcoholic beverages</w:t>
      </w:r>
      <w:r>
        <w:rPr>
          <w:rFonts w:ascii="Arial Narrow" w:hAnsi="Arial Narrow" w:cs="Tahoma"/>
          <w:sz w:val="22"/>
          <w:lang w:val="sr-Cyrl-BA"/>
        </w:rPr>
        <w:t xml:space="preserve"> (3</w:t>
      </w:r>
      <w:r>
        <w:rPr>
          <w:rFonts w:ascii="Arial Narrow" w:hAnsi="Arial Narrow" w:cs="Tahoma"/>
          <w:sz w:val="22"/>
        </w:rPr>
        <w:t>.</w:t>
      </w:r>
      <w:r w:rsidR="00943D18" w:rsidRPr="000749E0">
        <w:rPr>
          <w:rFonts w:ascii="Arial Narrow" w:hAnsi="Arial Narrow" w:cs="Tahoma"/>
          <w:sz w:val="22"/>
          <w:lang w:val="sr-Cyrl-BA"/>
        </w:rPr>
        <w:t xml:space="preserve">5%), </w:t>
      </w:r>
      <w:r>
        <w:rPr>
          <w:rFonts w:ascii="Arial Narrow" w:hAnsi="Arial Narrow" w:cs="Tahoma"/>
          <w:sz w:val="22"/>
        </w:rPr>
        <w:t>as well as in the divisions</w:t>
      </w:r>
      <w:r w:rsidR="00943D18" w:rsidRPr="000749E0">
        <w:rPr>
          <w:rFonts w:ascii="Arial Narrow" w:hAnsi="Arial Narrow" w:cs="Tahoma"/>
          <w:sz w:val="22"/>
          <w:lang w:val="sr-Cyrl-BA"/>
        </w:rPr>
        <w:t xml:space="preserve"> </w:t>
      </w:r>
      <w:r w:rsidRPr="00B35543">
        <w:rPr>
          <w:rFonts w:ascii="Arial Narrow" w:hAnsi="Arial Narrow" w:cs="Tahoma"/>
          <w:i/>
          <w:sz w:val="22"/>
        </w:rPr>
        <w:t>Education</w:t>
      </w:r>
      <w:r>
        <w:rPr>
          <w:rFonts w:ascii="Arial Narrow" w:hAnsi="Arial Narrow" w:cs="Tahoma"/>
          <w:sz w:val="22"/>
          <w:lang w:val="sr-Cyrl-BA"/>
        </w:rPr>
        <w:t xml:space="preserve"> (0</w:t>
      </w:r>
      <w:r>
        <w:rPr>
          <w:rFonts w:ascii="Arial Narrow" w:hAnsi="Arial Narrow" w:cs="Tahoma"/>
          <w:sz w:val="22"/>
        </w:rPr>
        <w:t>.</w:t>
      </w:r>
      <w:r w:rsidR="00943D18" w:rsidRPr="000749E0">
        <w:rPr>
          <w:rFonts w:ascii="Arial Narrow" w:hAnsi="Arial Narrow" w:cs="Tahoma"/>
          <w:sz w:val="22"/>
          <w:lang w:val="sr-Cyrl-BA"/>
        </w:rPr>
        <w:t xml:space="preserve">6%), </w:t>
      </w:r>
      <w:r>
        <w:rPr>
          <w:rFonts w:ascii="Arial Narrow" w:hAnsi="Arial Narrow" w:cs="Tahoma"/>
          <w:i/>
          <w:sz w:val="22"/>
        </w:rPr>
        <w:t>Health care</w:t>
      </w:r>
      <w:r>
        <w:rPr>
          <w:rFonts w:ascii="Arial Narrow" w:hAnsi="Arial Narrow" w:cs="Tahoma"/>
          <w:sz w:val="22"/>
          <w:lang w:val="sr-Cyrl-BA"/>
        </w:rPr>
        <w:t xml:space="preserve"> (0</w:t>
      </w:r>
      <w:r>
        <w:rPr>
          <w:rFonts w:ascii="Arial Narrow" w:hAnsi="Arial Narrow" w:cs="Tahoma"/>
          <w:sz w:val="22"/>
        </w:rPr>
        <w:t>.</w:t>
      </w:r>
      <w:r w:rsidR="00943D18" w:rsidRPr="000749E0">
        <w:rPr>
          <w:rFonts w:ascii="Arial Narrow" w:hAnsi="Arial Narrow" w:cs="Tahoma"/>
          <w:sz w:val="22"/>
          <w:lang w:val="sr-Cyrl-BA"/>
        </w:rPr>
        <w:t xml:space="preserve">3%), </w:t>
      </w:r>
      <w:r>
        <w:rPr>
          <w:rFonts w:ascii="Arial Narrow" w:hAnsi="Arial Narrow" w:cs="Tahoma"/>
          <w:i/>
          <w:sz w:val="22"/>
        </w:rPr>
        <w:t>Hotels and restaurants</w:t>
      </w:r>
      <w:r>
        <w:rPr>
          <w:rFonts w:ascii="Arial Narrow" w:hAnsi="Arial Narrow" w:cs="Tahoma"/>
          <w:sz w:val="22"/>
          <w:lang w:val="sr-Cyrl-BA"/>
        </w:rPr>
        <w:t xml:space="preserve"> (0</w:t>
      </w:r>
      <w:r>
        <w:rPr>
          <w:rFonts w:ascii="Arial Narrow" w:hAnsi="Arial Narrow" w:cs="Tahoma"/>
          <w:sz w:val="22"/>
        </w:rPr>
        <w:t>.</w:t>
      </w:r>
      <w:r w:rsidR="00943D18" w:rsidRPr="000749E0">
        <w:rPr>
          <w:rFonts w:ascii="Arial Narrow" w:hAnsi="Arial Narrow" w:cs="Tahoma"/>
          <w:sz w:val="22"/>
          <w:lang w:val="sr-Cyrl-BA"/>
        </w:rPr>
        <w:t xml:space="preserve">3%), </w:t>
      </w:r>
      <w:r>
        <w:rPr>
          <w:rFonts w:ascii="Arial Narrow" w:hAnsi="Arial Narrow" w:cs="Tahoma"/>
          <w:sz w:val="22"/>
        </w:rPr>
        <w:t>while a slight increase in prices occurred in the division</w:t>
      </w:r>
      <w:r w:rsidR="00943D18" w:rsidRPr="000749E0">
        <w:rPr>
          <w:rFonts w:ascii="Arial Narrow" w:hAnsi="Arial Narrow" w:cs="Tahoma"/>
          <w:sz w:val="22"/>
          <w:lang w:val="sr-Cyrl-BA"/>
        </w:rPr>
        <w:t xml:space="preserve"> </w:t>
      </w:r>
      <w:r>
        <w:rPr>
          <w:rFonts w:ascii="Arial Narrow" w:hAnsi="Arial Narrow" w:cs="Tahoma"/>
          <w:i/>
          <w:sz w:val="22"/>
        </w:rPr>
        <w:t>Other goods and services</w:t>
      </w:r>
      <w:r>
        <w:rPr>
          <w:rFonts w:ascii="Arial Narrow" w:hAnsi="Arial Narrow" w:cs="Tahoma"/>
          <w:sz w:val="22"/>
          <w:lang w:val="sr-Cyrl-BA"/>
        </w:rPr>
        <w:t xml:space="preserve"> (0</w:t>
      </w:r>
      <w:r>
        <w:rPr>
          <w:rFonts w:ascii="Arial Narrow" w:hAnsi="Arial Narrow" w:cs="Tahoma"/>
          <w:sz w:val="22"/>
        </w:rPr>
        <w:t>.</w:t>
      </w:r>
      <w:r w:rsidR="00943D18" w:rsidRPr="000749E0">
        <w:rPr>
          <w:rFonts w:ascii="Arial Narrow" w:hAnsi="Arial Narrow" w:cs="Tahoma"/>
          <w:sz w:val="22"/>
          <w:lang w:val="sr-Cyrl-BA"/>
        </w:rPr>
        <w:t>1%).</w:t>
      </w:r>
    </w:p>
    <w:p w:rsidR="00943D18" w:rsidRPr="000749E0" w:rsidRDefault="00943D18" w:rsidP="00943D18">
      <w:pPr>
        <w:jc w:val="both"/>
        <w:rPr>
          <w:rFonts w:ascii="Arial Narrow" w:hAnsi="Arial Narrow" w:cs="Tahoma"/>
          <w:sz w:val="22"/>
          <w:lang w:val="sr-Cyrl-BA"/>
        </w:rPr>
      </w:pPr>
    </w:p>
    <w:p w:rsidR="00943D18" w:rsidRPr="000749E0" w:rsidRDefault="0076109C" w:rsidP="00943D18">
      <w:pPr>
        <w:spacing w:after="120"/>
        <w:jc w:val="both"/>
        <w:rPr>
          <w:rFonts w:ascii="Arial Narrow" w:hAnsi="Arial Narrow" w:cs="Tahoma"/>
          <w:sz w:val="22"/>
          <w:lang w:val="sr-Cyrl-BA"/>
        </w:rPr>
      </w:pPr>
      <w:r>
        <w:rPr>
          <w:rFonts w:ascii="Arial Narrow" w:hAnsi="Arial Narrow" w:cs="Tahoma"/>
          <w:sz w:val="22"/>
        </w:rPr>
        <w:t>In the division</w:t>
      </w:r>
      <w:r w:rsidR="00943D18" w:rsidRPr="000749E0">
        <w:rPr>
          <w:rFonts w:ascii="Arial Narrow" w:hAnsi="Arial Narrow" w:cs="Tahoma"/>
          <w:sz w:val="22"/>
          <w:lang w:val="sr-Cyrl-BA"/>
        </w:rPr>
        <w:t xml:space="preserve"> </w:t>
      </w:r>
      <w:r>
        <w:rPr>
          <w:rFonts w:ascii="Arial Narrow" w:hAnsi="Arial Narrow" w:cs="Tahoma"/>
          <w:i/>
          <w:sz w:val="22"/>
        </w:rPr>
        <w:t>Communications</w:t>
      </w:r>
      <w:r w:rsidR="00943D18" w:rsidRPr="000749E0">
        <w:rPr>
          <w:rFonts w:ascii="Arial Narrow" w:hAnsi="Arial Narrow" w:cs="Tahoma"/>
          <w:i/>
          <w:sz w:val="22"/>
          <w:lang w:val="sr-Cyrl-BA"/>
        </w:rPr>
        <w:t xml:space="preserve"> </w:t>
      </w:r>
      <w:r>
        <w:rPr>
          <w:rFonts w:ascii="Arial Narrow" w:hAnsi="Arial Narrow" w:cs="Tahoma"/>
          <w:sz w:val="22"/>
        </w:rPr>
        <w:t>prices remained on the average at the same level</w:t>
      </w:r>
      <w:r w:rsidR="00943D18" w:rsidRPr="000749E0">
        <w:rPr>
          <w:rFonts w:ascii="Arial Narrow" w:hAnsi="Arial Narrow" w:cs="Tahoma"/>
          <w:sz w:val="22"/>
          <w:lang w:val="sr-Cyrl-BA"/>
        </w:rPr>
        <w:t>.</w:t>
      </w:r>
    </w:p>
    <w:p w:rsidR="00943D18" w:rsidRPr="000749E0" w:rsidRDefault="0076109C" w:rsidP="00943D18">
      <w:pPr>
        <w:jc w:val="both"/>
        <w:rPr>
          <w:rFonts w:ascii="Arial Narrow" w:hAnsi="Arial Narrow" w:cs="Tahoma"/>
          <w:sz w:val="22"/>
          <w:lang w:val="sr-Cyrl-BA"/>
        </w:rPr>
      </w:pPr>
      <w:r>
        <w:rPr>
          <w:rFonts w:ascii="Arial Narrow" w:hAnsi="Arial Narrow" w:cs="Tahoma"/>
          <w:sz w:val="22"/>
        </w:rPr>
        <w:t>The highest decrease in prices in May was recorded in the division</w:t>
      </w:r>
      <w:r w:rsidR="00943D18" w:rsidRPr="000749E0">
        <w:rPr>
          <w:rFonts w:ascii="Arial Narrow" w:hAnsi="Arial Narrow" w:cs="Tahoma"/>
          <w:sz w:val="22"/>
          <w:lang w:val="sr-Cyrl-BA"/>
        </w:rPr>
        <w:t xml:space="preserve"> </w:t>
      </w:r>
      <w:r>
        <w:rPr>
          <w:rFonts w:ascii="Arial Narrow" w:hAnsi="Arial Narrow" w:cs="Tahoma"/>
          <w:i/>
          <w:sz w:val="22"/>
        </w:rPr>
        <w:t>Food and non-alcoholic beverages</w:t>
      </w:r>
      <w:r w:rsidR="00943D18" w:rsidRPr="000749E0">
        <w:rPr>
          <w:rFonts w:ascii="Arial Narrow" w:hAnsi="Arial Narrow" w:cs="Tahoma"/>
          <w:i/>
          <w:sz w:val="22"/>
          <w:lang w:val="sr-Cyrl-BA"/>
        </w:rPr>
        <w:t xml:space="preserve"> </w:t>
      </w:r>
      <w:r>
        <w:rPr>
          <w:rFonts w:ascii="Arial Narrow" w:hAnsi="Arial Narrow" w:cs="Tahoma"/>
          <w:sz w:val="22"/>
          <w:lang w:val="sr-Cyrl-BA"/>
        </w:rPr>
        <w:t>(0</w:t>
      </w:r>
      <w:r>
        <w:rPr>
          <w:rFonts w:ascii="Arial Narrow" w:hAnsi="Arial Narrow" w:cs="Tahoma"/>
          <w:sz w:val="22"/>
        </w:rPr>
        <w:t>.</w:t>
      </w:r>
      <w:r w:rsidR="005A46D3">
        <w:rPr>
          <w:rFonts w:ascii="Arial Narrow" w:hAnsi="Arial Narrow" w:cs="Tahoma"/>
          <w:sz w:val="22"/>
          <w:lang w:val="sr-Cyrl-BA"/>
        </w:rPr>
        <w:t>9%)</w:t>
      </w:r>
      <w:r w:rsidR="005A46D3">
        <w:rPr>
          <w:rFonts w:ascii="Arial Narrow" w:hAnsi="Arial Narrow" w:cs="Tahoma"/>
          <w:sz w:val="22"/>
        </w:rPr>
        <w:t>, mainly due to lower (seasonal) prices in the groups fresh vegetables</w:t>
      </w:r>
      <w:r w:rsidR="005A46D3">
        <w:rPr>
          <w:rFonts w:ascii="Arial Narrow" w:hAnsi="Arial Narrow" w:cs="Tahoma"/>
          <w:sz w:val="22"/>
          <w:lang w:val="sr-Cyrl-BA"/>
        </w:rPr>
        <w:t xml:space="preserve"> (9</w:t>
      </w:r>
      <w:r w:rsidR="005A46D3">
        <w:rPr>
          <w:rFonts w:ascii="Arial Narrow" w:hAnsi="Arial Narrow" w:cs="Tahoma"/>
          <w:sz w:val="22"/>
        </w:rPr>
        <w:t>.</w:t>
      </w:r>
      <w:r w:rsidR="005A46D3">
        <w:rPr>
          <w:rFonts w:ascii="Arial Narrow" w:hAnsi="Arial Narrow" w:cs="Tahoma"/>
          <w:sz w:val="22"/>
          <w:lang w:val="sr-Cyrl-BA"/>
        </w:rPr>
        <w:t>9%)</w:t>
      </w:r>
      <w:r w:rsidR="005A46D3">
        <w:rPr>
          <w:rFonts w:ascii="Arial Narrow" w:hAnsi="Arial Narrow" w:cs="Tahoma"/>
          <w:sz w:val="22"/>
        </w:rPr>
        <w:t xml:space="preserve"> and</w:t>
      </w:r>
      <w:r w:rsidR="00943D18" w:rsidRPr="000749E0">
        <w:rPr>
          <w:rFonts w:ascii="Arial Narrow" w:hAnsi="Arial Narrow" w:cs="Tahoma"/>
          <w:sz w:val="22"/>
          <w:lang w:val="sr-Cyrl-BA"/>
        </w:rPr>
        <w:t xml:space="preserve"> </w:t>
      </w:r>
      <w:r w:rsidR="005A46D3">
        <w:rPr>
          <w:rFonts w:ascii="Arial Narrow" w:hAnsi="Arial Narrow" w:cs="Tahoma"/>
          <w:sz w:val="22"/>
        </w:rPr>
        <w:t>non-alcoholic beverages</w:t>
      </w:r>
      <w:r w:rsidR="005A46D3">
        <w:rPr>
          <w:rFonts w:ascii="Arial Narrow" w:hAnsi="Arial Narrow" w:cs="Tahoma"/>
          <w:sz w:val="22"/>
          <w:lang w:val="sr-Cyrl-BA"/>
        </w:rPr>
        <w:t xml:space="preserve"> (0</w:t>
      </w:r>
      <w:r w:rsidR="005A46D3">
        <w:rPr>
          <w:rFonts w:ascii="Arial Narrow" w:hAnsi="Arial Narrow" w:cs="Tahoma"/>
          <w:sz w:val="22"/>
        </w:rPr>
        <w:t>.</w:t>
      </w:r>
      <w:r w:rsidR="00943D18" w:rsidRPr="000749E0">
        <w:rPr>
          <w:rFonts w:ascii="Arial Narrow" w:hAnsi="Arial Narrow" w:cs="Tahoma"/>
          <w:sz w:val="22"/>
          <w:lang w:val="sr-Cyrl-BA"/>
        </w:rPr>
        <w:t xml:space="preserve">4%), </w:t>
      </w:r>
      <w:r w:rsidR="005A46D3">
        <w:rPr>
          <w:rFonts w:ascii="Arial Narrow" w:hAnsi="Arial Narrow" w:cs="Tahoma"/>
          <w:sz w:val="22"/>
        </w:rPr>
        <w:t>as well as in the groups</w:t>
      </w:r>
      <w:r w:rsidR="00943D18" w:rsidRPr="000749E0">
        <w:rPr>
          <w:rFonts w:ascii="Arial Narrow" w:hAnsi="Arial Narrow" w:cs="Tahoma"/>
          <w:sz w:val="22"/>
          <w:lang w:val="sr-Cyrl-BA"/>
        </w:rPr>
        <w:t xml:space="preserve"> </w:t>
      </w:r>
      <w:r w:rsidR="005A46D3">
        <w:rPr>
          <w:rFonts w:ascii="Arial Narrow" w:hAnsi="Arial Narrow" w:cs="Tahoma"/>
          <w:sz w:val="22"/>
        </w:rPr>
        <w:t>fresh meat and milk and dairy products</w:t>
      </w:r>
      <w:r w:rsidR="00943D18" w:rsidRPr="000749E0">
        <w:rPr>
          <w:rFonts w:ascii="Arial Narrow" w:hAnsi="Arial Narrow" w:cs="Tahoma"/>
          <w:sz w:val="22"/>
          <w:lang w:val="sr-Cyrl-BA"/>
        </w:rPr>
        <w:t xml:space="preserve"> </w:t>
      </w:r>
      <w:r w:rsidR="005A46D3">
        <w:rPr>
          <w:rFonts w:ascii="Arial Narrow" w:hAnsi="Arial Narrow" w:cs="Tahoma"/>
          <w:sz w:val="22"/>
          <w:lang w:val="sr-Cyrl-BA"/>
        </w:rPr>
        <w:t>(0</w:t>
      </w:r>
      <w:r w:rsidR="005A46D3">
        <w:rPr>
          <w:rFonts w:ascii="Arial Narrow" w:hAnsi="Arial Narrow" w:cs="Tahoma"/>
          <w:sz w:val="22"/>
        </w:rPr>
        <w:t>.</w:t>
      </w:r>
      <w:r w:rsidR="00943D18" w:rsidRPr="000749E0">
        <w:rPr>
          <w:rFonts w:ascii="Arial Narrow" w:hAnsi="Arial Narrow" w:cs="Tahoma"/>
          <w:sz w:val="22"/>
          <w:lang w:val="sr-Cyrl-BA"/>
        </w:rPr>
        <w:t xml:space="preserve">3%). </w:t>
      </w:r>
      <w:r w:rsidR="005A46D3">
        <w:rPr>
          <w:rFonts w:ascii="Arial Narrow" w:hAnsi="Arial Narrow" w:cs="Tahoma"/>
          <w:sz w:val="22"/>
        </w:rPr>
        <w:t>Lower prices were also recorded in the division</w:t>
      </w:r>
      <w:r w:rsidR="00943D18" w:rsidRPr="000749E0">
        <w:rPr>
          <w:rFonts w:ascii="Arial Narrow" w:hAnsi="Arial Narrow" w:cs="Tahoma"/>
          <w:i/>
          <w:sz w:val="22"/>
          <w:lang w:val="sr-Cyrl-BA"/>
        </w:rPr>
        <w:t xml:space="preserve"> </w:t>
      </w:r>
      <w:r w:rsidR="005A46D3">
        <w:rPr>
          <w:rFonts w:ascii="Arial Narrow" w:hAnsi="Arial Narrow" w:cs="Tahoma"/>
          <w:i/>
          <w:sz w:val="22"/>
        </w:rPr>
        <w:t>Clothing and footwear</w:t>
      </w:r>
      <w:r w:rsidR="00943D18" w:rsidRPr="000749E0">
        <w:rPr>
          <w:rFonts w:ascii="Arial Narrow" w:hAnsi="Arial Narrow" w:cs="Tahoma"/>
          <w:i/>
          <w:sz w:val="22"/>
          <w:lang w:val="sr-Cyrl-BA"/>
        </w:rPr>
        <w:t xml:space="preserve"> </w:t>
      </w:r>
      <w:r w:rsidR="005A46D3">
        <w:rPr>
          <w:rFonts w:ascii="Arial Narrow" w:hAnsi="Arial Narrow" w:cs="Tahoma"/>
          <w:sz w:val="22"/>
          <w:lang w:val="sr-Cyrl-BA"/>
        </w:rPr>
        <w:t>(0</w:t>
      </w:r>
      <w:r w:rsidR="005A46D3">
        <w:rPr>
          <w:rFonts w:ascii="Arial Narrow" w:hAnsi="Arial Narrow" w:cs="Tahoma"/>
          <w:sz w:val="22"/>
        </w:rPr>
        <w:t>.</w:t>
      </w:r>
      <w:r w:rsidR="00943D18" w:rsidRPr="000749E0">
        <w:rPr>
          <w:rFonts w:ascii="Arial Narrow" w:hAnsi="Arial Narrow" w:cs="Tahoma"/>
          <w:sz w:val="22"/>
          <w:lang w:val="sr-Cyrl-BA"/>
        </w:rPr>
        <w:t>6%)</w:t>
      </w:r>
      <w:r w:rsidR="005A46D3">
        <w:rPr>
          <w:rFonts w:ascii="Arial Narrow" w:hAnsi="Arial Narrow" w:cs="Tahoma"/>
          <w:sz w:val="22"/>
        </w:rPr>
        <w:t>,</w:t>
      </w:r>
      <w:r w:rsidR="00943D18" w:rsidRPr="000749E0">
        <w:rPr>
          <w:rFonts w:ascii="Arial Narrow" w:hAnsi="Arial Narrow" w:cs="Tahoma"/>
          <w:sz w:val="22"/>
          <w:lang w:val="sr-Cyrl-BA"/>
        </w:rPr>
        <w:t xml:space="preserve"> </w:t>
      </w:r>
      <w:r w:rsidR="005A46D3">
        <w:rPr>
          <w:rFonts w:ascii="Arial Narrow" w:hAnsi="Arial Narrow" w:cs="Tahoma"/>
          <w:sz w:val="22"/>
        </w:rPr>
        <w:t>due to seasonal discounts</w:t>
      </w:r>
      <w:r w:rsidR="00943D18" w:rsidRPr="000749E0">
        <w:rPr>
          <w:rFonts w:ascii="Arial Narrow" w:hAnsi="Arial Narrow" w:cs="Tahoma"/>
          <w:sz w:val="22"/>
          <w:lang w:val="sr-Cyrl-BA"/>
        </w:rPr>
        <w:t xml:space="preserve">, </w:t>
      </w:r>
      <w:r w:rsidR="005A46D3">
        <w:rPr>
          <w:rFonts w:ascii="Arial Narrow" w:hAnsi="Arial Narrow" w:cs="Tahoma"/>
          <w:sz w:val="22"/>
        </w:rPr>
        <w:t>as well as in the division</w:t>
      </w:r>
      <w:r w:rsidR="00943D18" w:rsidRPr="000749E0">
        <w:rPr>
          <w:rFonts w:ascii="Arial Narrow" w:hAnsi="Arial Narrow" w:cs="Tahoma"/>
          <w:sz w:val="22"/>
          <w:lang w:val="sr-Cyrl-BA"/>
        </w:rPr>
        <w:t xml:space="preserve"> </w:t>
      </w:r>
      <w:r w:rsidR="005A46D3">
        <w:rPr>
          <w:rFonts w:ascii="Arial Narrow" w:hAnsi="Arial Narrow" w:cs="Tahoma"/>
          <w:i/>
          <w:sz w:val="22"/>
        </w:rPr>
        <w:t>Housing</w:t>
      </w:r>
      <w:r w:rsidR="00943D18" w:rsidRPr="000749E0">
        <w:rPr>
          <w:rFonts w:ascii="Arial Narrow" w:hAnsi="Arial Narrow" w:cs="Tahoma"/>
          <w:i/>
          <w:sz w:val="22"/>
          <w:lang w:val="sr-Cyrl-BA"/>
        </w:rPr>
        <w:t xml:space="preserve"> </w:t>
      </w:r>
      <w:r w:rsidR="005A46D3">
        <w:rPr>
          <w:rFonts w:ascii="Arial Narrow" w:hAnsi="Arial Narrow" w:cs="Tahoma"/>
          <w:sz w:val="22"/>
          <w:lang w:val="sr-Cyrl-BA"/>
        </w:rPr>
        <w:t>(0</w:t>
      </w:r>
      <w:r w:rsidR="005A46D3">
        <w:rPr>
          <w:rFonts w:ascii="Arial Narrow" w:hAnsi="Arial Narrow" w:cs="Tahoma"/>
          <w:sz w:val="22"/>
        </w:rPr>
        <w:t>.</w:t>
      </w:r>
      <w:r w:rsidR="00943D18" w:rsidRPr="000749E0">
        <w:rPr>
          <w:rFonts w:ascii="Arial Narrow" w:hAnsi="Arial Narrow" w:cs="Tahoma"/>
          <w:sz w:val="22"/>
          <w:lang w:val="sr-Cyrl-BA"/>
        </w:rPr>
        <w:t>4%)</w:t>
      </w:r>
      <w:r w:rsidR="005A46D3">
        <w:rPr>
          <w:rFonts w:ascii="Arial Narrow" w:hAnsi="Arial Narrow" w:cs="Tahoma"/>
          <w:sz w:val="22"/>
        </w:rPr>
        <w:t>,</w:t>
      </w:r>
      <w:r w:rsidR="00943D18" w:rsidRPr="000749E0">
        <w:rPr>
          <w:rFonts w:ascii="Arial Narrow" w:hAnsi="Arial Narrow" w:cs="Tahoma"/>
          <w:sz w:val="22"/>
          <w:lang w:val="sr-Cyrl-BA"/>
        </w:rPr>
        <w:t xml:space="preserve"> </w:t>
      </w:r>
      <w:r w:rsidR="005A46D3">
        <w:rPr>
          <w:rFonts w:ascii="Arial Narrow" w:hAnsi="Arial Narrow" w:cs="Tahoma"/>
          <w:sz w:val="22"/>
        </w:rPr>
        <w:t>due to lower prices in the groups solid fuels</w:t>
      </w:r>
      <w:r w:rsidR="005A46D3">
        <w:rPr>
          <w:rFonts w:ascii="Arial Narrow" w:hAnsi="Arial Narrow" w:cs="Tahoma"/>
          <w:sz w:val="22"/>
          <w:lang w:val="sr-Cyrl-BA"/>
        </w:rPr>
        <w:t xml:space="preserve"> (1</w:t>
      </w:r>
      <w:r w:rsidR="005A46D3">
        <w:rPr>
          <w:rFonts w:ascii="Arial Narrow" w:hAnsi="Arial Narrow" w:cs="Tahoma"/>
          <w:sz w:val="22"/>
        </w:rPr>
        <w:t>.</w:t>
      </w:r>
      <w:r w:rsidR="00943D18" w:rsidRPr="000749E0">
        <w:rPr>
          <w:rFonts w:ascii="Arial Narrow" w:hAnsi="Arial Narrow" w:cs="Tahoma"/>
          <w:sz w:val="22"/>
          <w:lang w:val="sr-Cyrl-BA"/>
        </w:rPr>
        <w:t xml:space="preserve">2%) </w:t>
      </w:r>
      <w:r w:rsidR="005A46D3">
        <w:rPr>
          <w:rFonts w:ascii="Arial Narrow" w:hAnsi="Arial Narrow" w:cs="Tahoma"/>
          <w:sz w:val="22"/>
        </w:rPr>
        <w:t xml:space="preserve">and </w:t>
      </w:r>
      <w:r w:rsidR="005A46D3">
        <w:rPr>
          <w:rFonts w:ascii="Arial Narrow" w:hAnsi="Arial Narrow" w:cs="Tahoma"/>
          <w:sz w:val="22"/>
        </w:rPr>
        <w:lastRenderedPageBreak/>
        <w:t>bottled gas</w:t>
      </w:r>
      <w:r w:rsidR="005A46D3">
        <w:rPr>
          <w:rFonts w:ascii="Arial Narrow" w:hAnsi="Arial Narrow" w:cs="Tahoma"/>
          <w:sz w:val="22"/>
          <w:lang w:val="sr-Cyrl-BA"/>
        </w:rPr>
        <w:t xml:space="preserve"> (1</w:t>
      </w:r>
      <w:r w:rsidR="005A46D3">
        <w:rPr>
          <w:rFonts w:ascii="Arial Narrow" w:hAnsi="Arial Narrow" w:cs="Tahoma"/>
          <w:sz w:val="22"/>
        </w:rPr>
        <w:t>.</w:t>
      </w:r>
      <w:r w:rsidR="00943D18" w:rsidRPr="000749E0">
        <w:rPr>
          <w:rFonts w:ascii="Arial Narrow" w:hAnsi="Arial Narrow" w:cs="Tahoma"/>
          <w:sz w:val="22"/>
          <w:lang w:val="sr-Cyrl-BA"/>
        </w:rPr>
        <w:t xml:space="preserve">4%). </w:t>
      </w:r>
      <w:r w:rsidR="005A46D3">
        <w:rPr>
          <w:rFonts w:ascii="Arial Narrow" w:hAnsi="Arial Narrow" w:cs="Tahoma"/>
          <w:sz w:val="22"/>
        </w:rPr>
        <w:t>A slight decrease in prices was recorded in the divisions</w:t>
      </w:r>
      <w:r w:rsidR="00943D18" w:rsidRPr="000749E0">
        <w:rPr>
          <w:rFonts w:ascii="Arial Narrow" w:hAnsi="Arial Narrow" w:cs="Tahoma"/>
          <w:sz w:val="22"/>
          <w:lang w:val="sr-Cyrl-BA"/>
        </w:rPr>
        <w:t xml:space="preserve"> </w:t>
      </w:r>
      <w:r w:rsidR="005A46D3">
        <w:rPr>
          <w:rFonts w:ascii="Arial Narrow" w:hAnsi="Arial Narrow" w:cs="Tahoma"/>
          <w:i/>
          <w:sz w:val="22"/>
        </w:rPr>
        <w:t>Furnishings and other equipment</w:t>
      </w:r>
      <w:r w:rsidR="00943D18" w:rsidRPr="000749E0">
        <w:rPr>
          <w:rFonts w:ascii="Arial Narrow" w:hAnsi="Arial Narrow" w:cs="Tahoma"/>
          <w:i/>
          <w:sz w:val="22"/>
          <w:lang w:val="sr-Cyrl-BA"/>
        </w:rPr>
        <w:t xml:space="preserve"> </w:t>
      </w:r>
      <w:r w:rsidR="005A46D3">
        <w:rPr>
          <w:rFonts w:ascii="Arial Narrow" w:hAnsi="Arial Narrow" w:cs="Tahoma"/>
          <w:sz w:val="22"/>
          <w:lang w:val="sr-Cyrl-BA"/>
        </w:rPr>
        <w:t>(0</w:t>
      </w:r>
      <w:r w:rsidR="005A46D3">
        <w:rPr>
          <w:rFonts w:ascii="Arial Narrow" w:hAnsi="Arial Narrow" w:cs="Tahoma"/>
          <w:sz w:val="22"/>
        </w:rPr>
        <w:t>.</w:t>
      </w:r>
      <w:r w:rsidR="00943D18" w:rsidRPr="000749E0">
        <w:rPr>
          <w:rFonts w:ascii="Arial Narrow" w:hAnsi="Arial Narrow" w:cs="Tahoma"/>
          <w:sz w:val="22"/>
          <w:lang w:val="sr-Cyrl-BA"/>
        </w:rPr>
        <w:t xml:space="preserve">2%) </w:t>
      </w:r>
      <w:r w:rsidR="005A46D3">
        <w:rPr>
          <w:rFonts w:ascii="Arial Narrow" w:hAnsi="Arial Narrow" w:cs="Tahoma"/>
          <w:sz w:val="22"/>
        </w:rPr>
        <w:t>and</w:t>
      </w:r>
      <w:r w:rsidR="00943D18" w:rsidRPr="000749E0">
        <w:rPr>
          <w:rFonts w:ascii="Arial Narrow" w:hAnsi="Arial Narrow" w:cs="Tahoma"/>
          <w:sz w:val="22"/>
          <w:lang w:val="sr-Cyrl-BA"/>
        </w:rPr>
        <w:t xml:space="preserve"> </w:t>
      </w:r>
      <w:r w:rsidR="005A46D3">
        <w:rPr>
          <w:rFonts w:ascii="Arial Narrow" w:hAnsi="Arial Narrow" w:cs="Tahoma"/>
          <w:i/>
          <w:sz w:val="22"/>
        </w:rPr>
        <w:t>Recreation and culture</w:t>
      </w:r>
      <w:r w:rsidR="005A46D3">
        <w:rPr>
          <w:rFonts w:ascii="Arial Narrow" w:hAnsi="Arial Narrow" w:cs="Tahoma"/>
          <w:sz w:val="22"/>
          <w:lang w:val="sr-Cyrl-BA"/>
        </w:rPr>
        <w:t xml:space="preserve"> (0</w:t>
      </w:r>
      <w:r w:rsidR="005A46D3">
        <w:rPr>
          <w:rFonts w:ascii="Arial Narrow" w:hAnsi="Arial Narrow" w:cs="Tahoma"/>
          <w:sz w:val="22"/>
        </w:rPr>
        <w:t>.</w:t>
      </w:r>
      <w:r w:rsidR="00943D18" w:rsidRPr="000749E0">
        <w:rPr>
          <w:rFonts w:ascii="Arial Narrow" w:hAnsi="Arial Narrow" w:cs="Tahoma"/>
          <w:sz w:val="22"/>
          <w:lang w:val="sr-Cyrl-BA"/>
        </w:rPr>
        <w:t>1%)</w:t>
      </w:r>
      <w:r w:rsidR="00943D18" w:rsidRPr="000749E0">
        <w:rPr>
          <w:rFonts w:ascii="Arial Narrow" w:hAnsi="Arial Narrow" w:cs="Tahoma"/>
          <w:i/>
          <w:sz w:val="22"/>
          <w:lang w:val="sr-Cyrl-BA"/>
        </w:rPr>
        <w:t>.</w:t>
      </w:r>
    </w:p>
    <w:p w:rsidR="000213F8" w:rsidRPr="000749E0" w:rsidRDefault="000213F8" w:rsidP="009A0B74">
      <w:pPr>
        <w:jc w:val="both"/>
        <w:rPr>
          <w:rFonts w:ascii="Arial Narrow" w:hAnsi="Arial Narrow" w:cs="Tahoma"/>
          <w:sz w:val="22"/>
          <w:szCs w:val="22"/>
          <w:lang w:val="sr-Latn-BA"/>
        </w:rPr>
      </w:pPr>
    </w:p>
    <w:p w:rsidR="000213F8" w:rsidRPr="000749E0" w:rsidRDefault="00833780" w:rsidP="000213F8">
      <w:pPr>
        <w:tabs>
          <w:tab w:val="left" w:pos="0"/>
          <w:tab w:val="left" w:pos="1100"/>
        </w:tabs>
        <w:jc w:val="both"/>
        <w:rPr>
          <w:rFonts w:ascii="Arial Narrow" w:hAnsi="Arial Narrow" w:cs="Tahoma"/>
          <w:b/>
          <w:bCs/>
          <w:sz w:val="30"/>
          <w:szCs w:val="30"/>
          <w:lang w:val="sr-Cyrl-CS"/>
        </w:rPr>
      </w:pPr>
      <w:r>
        <w:rPr>
          <w:rFonts w:ascii="Arial Narrow" w:hAnsi="Arial Narrow" w:cs="Tahoma"/>
          <w:b/>
          <w:bCs/>
          <w:sz w:val="30"/>
          <w:szCs w:val="30"/>
        </w:rPr>
        <w:t>Working-day adjusted industrial production</w:t>
      </w:r>
      <w:r w:rsidR="000213F8" w:rsidRPr="000749E0">
        <w:rPr>
          <w:rFonts w:ascii="Arial Narrow" w:hAnsi="Arial Narrow" w:cs="Tahoma"/>
          <w:b/>
          <w:sz w:val="30"/>
          <w:szCs w:val="30"/>
          <w:lang w:val="sr-Cyrl-CS"/>
        </w:rPr>
        <w:t xml:space="preserve"> (</w:t>
      </w:r>
      <w:r>
        <w:rPr>
          <w:rFonts w:ascii="Arial Narrow" w:hAnsi="Arial Narrow" w:cs="Tahoma"/>
          <w:b/>
          <w:sz w:val="30"/>
          <w:szCs w:val="30"/>
        </w:rPr>
        <w:t>May</w:t>
      </w:r>
      <w:r w:rsidR="000213F8" w:rsidRPr="000749E0">
        <w:rPr>
          <w:rFonts w:ascii="Arial Narrow" w:hAnsi="Arial Narrow" w:cs="Tahoma"/>
          <w:b/>
          <w:sz w:val="30"/>
          <w:szCs w:val="30"/>
          <w:lang w:val="sr-Latn-BA"/>
        </w:rPr>
        <w:t xml:space="preserve"> 20</w:t>
      </w:r>
      <w:r w:rsidR="000213F8" w:rsidRPr="000749E0">
        <w:rPr>
          <w:rFonts w:ascii="Arial Narrow" w:hAnsi="Arial Narrow" w:cs="Tahoma"/>
          <w:b/>
          <w:sz w:val="30"/>
          <w:szCs w:val="30"/>
          <w:lang w:val="sr-Cyrl-CS"/>
        </w:rPr>
        <w:t>1</w:t>
      </w:r>
      <w:r w:rsidR="00284295" w:rsidRPr="000749E0">
        <w:rPr>
          <w:rFonts w:ascii="Arial Narrow" w:hAnsi="Arial Narrow" w:cs="Tahoma"/>
          <w:b/>
          <w:sz w:val="30"/>
          <w:szCs w:val="30"/>
        </w:rPr>
        <w:t>5</w:t>
      </w:r>
      <w:r w:rsidR="000213F8" w:rsidRPr="000749E0">
        <w:rPr>
          <w:rFonts w:ascii="Arial Narrow" w:hAnsi="Arial Narrow" w:cs="Tahoma"/>
          <w:b/>
          <w:sz w:val="30"/>
          <w:szCs w:val="30"/>
          <w:lang w:val="sr-Latn-BA"/>
        </w:rPr>
        <w:t>/</w:t>
      </w:r>
      <w:r>
        <w:rPr>
          <w:rFonts w:ascii="Arial Narrow" w:hAnsi="Arial Narrow" w:cs="Tahoma"/>
          <w:b/>
          <w:sz w:val="30"/>
          <w:szCs w:val="30"/>
        </w:rPr>
        <w:t>May</w:t>
      </w:r>
      <w:r w:rsidR="000213F8" w:rsidRPr="000749E0">
        <w:rPr>
          <w:rFonts w:ascii="Arial Narrow" w:hAnsi="Arial Narrow" w:cs="Tahoma"/>
          <w:b/>
          <w:bCs/>
          <w:sz w:val="30"/>
          <w:szCs w:val="30"/>
          <w:lang w:val="sr-Cyrl-CS"/>
        </w:rPr>
        <w:t xml:space="preserve"> </w:t>
      </w:r>
      <w:r w:rsidR="000213F8" w:rsidRPr="000749E0">
        <w:rPr>
          <w:rFonts w:ascii="Arial Narrow" w:hAnsi="Arial Narrow" w:cs="Tahoma"/>
          <w:b/>
          <w:bCs/>
          <w:sz w:val="30"/>
          <w:szCs w:val="30"/>
          <w:lang w:val="ru-RU"/>
        </w:rPr>
        <w:t>201</w:t>
      </w:r>
      <w:r w:rsidR="00284295" w:rsidRPr="000749E0">
        <w:rPr>
          <w:rFonts w:ascii="Arial Narrow" w:hAnsi="Arial Narrow" w:cs="Tahoma"/>
          <w:b/>
          <w:bCs/>
          <w:sz w:val="30"/>
          <w:szCs w:val="30"/>
        </w:rPr>
        <w:t>4</w:t>
      </w:r>
      <w:r w:rsidR="000213F8" w:rsidRPr="000749E0">
        <w:rPr>
          <w:rFonts w:ascii="Arial Narrow" w:hAnsi="Arial Narrow" w:cs="Tahoma"/>
          <w:b/>
          <w:bCs/>
          <w:sz w:val="30"/>
          <w:szCs w:val="30"/>
          <w:lang w:val="hr-HR"/>
        </w:rPr>
        <w:t>)</w:t>
      </w:r>
      <w:r w:rsidR="000213F8" w:rsidRPr="000749E0">
        <w:rPr>
          <w:rFonts w:ascii="Arial Narrow" w:hAnsi="Arial Narrow" w:cs="Tahoma"/>
          <w:b/>
          <w:bCs/>
          <w:sz w:val="30"/>
          <w:szCs w:val="30"/>
          <w:lang w:val="sr-Cyrl-CS"/>
        </w:rPr>
        <w:t xml:space="preserve"> </w:t>
      </w:r>
      <w:r>
        <w:rPr>
          <w:rFonts w:ascii="Arial Narrow" w:hAnsi="Arial Narrow" w:cs="Tahoma"/>
          <w:b/>
          <w:bCs/>
          <w:sz w:val="30"/>
          <w:szCs w:val="30"/>
        </w:rPr>
        <w:t>increased by</w:t>
      </w:r>
      <w:r w:rsidR="000213F8" w:rsidRPr="000749E0">
        <w:rPr>
          <w:rFonts w:ascii="Arial Narrow" w:hAnsi="Arial Narrow" w:cs="Tahoma"/>
          <w:b/>
          <w:bCs/>
          <w:sz w:val="30"/>
          <w:szCs w:val="30"/>
          <w:lang w:val="sr-Cyrl-CS"/>
        </w:rPr>
        <w:t xml:space="preserve"> </w:t>
      </w:r>
      <w:r w:rsidR="00D61FEE" w:rsidRPr="000749E0">
        <w:rPr>
          <w:rFonts w:ascii="Arial Narrow" w:hAnsi="Arial Narrow" w:cs="Tahoma"/>
          <w:b/>
          <w:bCs/>
          <w:sz w:val="30"/>
          <w:szCs w:val="30"/>
        </w:rPr>
        <w:t>8</w:t>
      </w:r>
      <w:r>
        <w:rPr>
          <w:rFonts w:ascii="Arial Narrow" w:hAnsi="Arial Narrow" w:cs="Tahoma"/>
          <w:b/>
          <w:bCs/>
          <w:sz w:val="30"/>
          <w:szCs w:val="30"/>
        </w:rPr>
        <w:t>.</w:t>
      </w:r>
      <w:r w:rsidR="00D61FEE" w:rsidRPr="000749E0">
        <w:rPr>
          <w:rFonts w:ascii="Arial Narrow" w:hAnsi="Arial Narrow" w:cs="Tahoma"/>
          <w:b/>
          <w:bCs/>
          <w:sz w:val="30"/>
          <w:szCs w:val="30"/>
        </w:rPr>
        <w:t>2</w:t>
      </w:r>
      <w:r w:rsidR="000213F8" w:rsidRPr="000749E0">
        <w:rPr>
          <w:rFonts w:ascii="Arial Narrow" w:hAnsi="Arial Narrow" w:cs="Tahoma"/>
          <w:b/>
          <w:bCs/>
          <w:sz w:val="30"/>
          <w:szCs w:val="30"/>
          <w:lang w:val="sr-Cyrl-CS"/>
        </w:rPr>
        <w:t>%</w:t>
      </w:r>
    </w:p>
    <w:p w:rsidR="00571A5D" w:rsidRPr="00BE2B8A" w:rsidRDefault="00833780" w:rsidP="000213F8">
      <w:pPr>
        <w:tabs>
          <w:tab w:val="left" w:pos="0"/>
          <w:tab w:val="left" w:pos="1100"/>
        </w:tabs>
        <w:jc w:val="both"/>
        <w:rPr>
          <w:rFonts w:ascii="Arial Narrow" w:hAnsi="Arial Narrow" w:cs="Tahoma"/>
          <w:b/>
          <w:bCs/>
          <w:sz w:val="28"/>
          <w:szCs w:val="30"/>
          <w:lang w:val="sr-Cyrl-CS"/>
        </w:rPr>
      </w:pPr>
      <w:r>
        <w:rPr>
          <w:rFonts w:ascii="Arial Narrow" w:hAnsi="Arial Narrow" w:cs="Tahoma"/>
          <w:b/>
          <w:bCs/>
          <w:sz w:val="28"/>
          <w:szCs w:val="30"/>
        </w:rPr>
        <w:t>Seasonally adjusted industrial production</w:t>
      </w:r>
      <w:r w:rsidR="00571A5D" w:rsidRPr="00BE2B8A">
        <w:rPr>
          <w:rFonts w:ascii="Arial Narrow" w:hAnsi="Arial Narrow" w:cs="Tahoma"/>
          <w:b/>
          <w:sz w:val="28"/>
          <w:szCs w:val="30"/>
          <w:lang w:val="sr-Cyrl-CS"/>
        </w:rPr>
        <w:t xml:space="preserve"> (</w:t>
      </w:r>
      <w:r>
        <w:rPr>
          <w:rFonts w:ascii="Arial Narrow" w:hAnsi="Arial Narrow" w:cs="Tahoma"/>
          <w:b/>
          <w:sz w:val="28"/>
          <w:szCs w:val="30"/>
        </w:rPr>
        <w:t>May</w:t>
      </w:r>
      <w:r w:rsidR="00571A5D" w:rsidRPr="00BE2B8A">
        <w:rPr>
          <w:rFonts w:ascii="Arial Narrow" w:hAnsi="Arial Narrow" w:cs="Tahoma"/>
          <w:b/>
          <w:sz w:val="28"/>
          <w:szCs w:val="30"/>
          <w:lang w:val="sr-Latn-BA"/>
        </w:rPr>
        <w:t xml:space="preserve"> 20</w:t>
      </w:r>
      <w:r w:rsidR="00571A5D" w:rsidRPr="00BE2B8A">
        <w:rPr>
          <w:rFonts w:ascii="Arial Narrow" w:hAnsi="Arial Narrow" w:cs="Tahoma"/>
          <w:b/>
          <w:sz w:val="28"/>
          <w:szCs w:val="30"/>
          <w:lang w:val="sr-Cyrl-CS"/>
        </w:rPr>
        <w:t>1</w:t>
      </w:r>
      <w:r w:rsidR="00571A5D" w:rsidRPr="00BE2B8A">
        <w:rPr>
          <w:rFonts w:ascii="Arial Narrow" w:hAnsi="Arial Narrow" w:cs="Tahoma"/>
          <w:b/>
          <w:sz w:val="28"/>
          <w:szCs w:val="30"/>
        </w:rPr>
        <w:t>5</w:t>
      </w:r>
      <w:r>
        <w:rPr>
          <w:rFonts w:ascii="Arial Narrow" w:hAnsi="Arial Narrow" w:cs="Tahoma"/>
          <w:b/>
          <w:sz w:val="28"/>
          <w:szCs w:val="30"/>
          <w:lang w:val="sr-Latn-BA"/>
        </w:rPr>
        <w:t>/April</w:t>
      </w:r>
      <w:r w:rsidR="00571A5D" w:rsidRPr="00BE2B8A">
        <w:rPr>
          <w:rFonts w:ascii="Arial Narrow" w:hAnsi="Arial Narrow" w:cs="Tahoma"/>
          <w:b/>
          <w:bCs/>
          <w:sz w:val="28"/>
          <w:szCs w:val="30"/>
          <w:lang w:val="sr-Cyrl-CS"/>
        </w:rPr>
        <w:t xml:space="preserve"> </w:t>
      </w:r>
      <w:r w:rsidR="00571A5D" w:rsidRPr="00BE2B8A">
        <w:rPr>
          <w:rFonts w:ascii="Arial Narrow" w:hAnsi="Arial Narrow" w:cs="Tahoma"/>
          <w:b/>
          <w:bCs/>
          <w:sz w:val="28"/>
          <w:szCs w:val="30"/>
          <w:lang w:val="ru-RU"/>
        </w:rPr>
        <w:t>201</w:t>
      </w:r>
      <w:r>
        <w:rPr>
          <w:rFonts w:ascii="Arial Narrow" w:hAnsi="Arial Narrow" w:cs="Tahoma"/>
          <w:b/>
          <w:bCs/>
          <w:sz w:val="28"/>
          <w:szCs w:val="30"/>
        </w:rPr>
        <w:t>5</w:t>
      </w:r>
      <w:r w:rsidR="00571A5D" w:rsidRPr="00BE2B8A">
        <w:rPr>
          <w:rFonts w:ascii="Arial Narrow" w:hAnsi="Arial Narrow" w:cs="Tahoma"/>
          <w:b/>
          <w:bCs/>
          <w:sz w:val="28"/>
          <w:szCs w:val="30"/>
          <w:lang w:val="hr-HR"/>
        </w:rPr>
        <w:t>)</w:t>
      </w:r>
      <w:r w:rsidR="00571A5D" w:rsidRPr="00BE2B8A">
        <w:rPr>
          <w:rFonts w:ascii="Arial Narrow" w:hAnsi="Arial Narrow" w:cs="Tahoma"/>
          <w:b/>
          <w:bCs/>
          <w:sz w:val="28"/>
          <w:szCs w:val="30"/>
          <w:lang w:val="sr-Cyrl-CS"/>
        </w:rPr>
        <w:t xml:space="preserve"> </w:t>
      </w:r>
      <w:r>
        <w:rPr>
          <w:rFonts w:ascii="Arial Narrow" w:hAnsi="Arial Narrow" w:cs="Tahoma"/>
          <w:b/>
          <w:bCs/>
          <w:sz w:val="28"/>
          <w:szCs w:val="30"/>
        </w:rPr>
        <w:t>increased by</w:t>
      </w:r>
      <w:r>
        <w:rPr>
          <w:rFonts w:ascii="Arial Narrow" w:hAnsi="Arial Narrow" w:cs="Tahoma"/>
          <w:b/>
          <w:bCs/>
          <w:sz w:val="28"/>
          <w:szCs w:val="30"/>
          <w:lang w:val="sr-Cyrl-CS"/>
        </w:rPr>
        <w:t xml:space="preserve"> 4</w:t>
      </w:r>
      <w:r>
        <w:rPr>
          <w:rFonts w:ascii="Arial Narrow" w:hAnsi="Arial Narrow" w:cs="Tahoma"/>
          <w:b/>
          <w:bCs/>
          <w:sz w:val="28"/>
          <w:szCs w:val="30"/>
        </w:rPr>
        <w:t>.</w:t>
      </w:r>
      <w:r w:rsidR="00571A5D" w:rsidRPr="00BE2B8A">
        <w:rPr>
          <w:rFonts w:ascii="Arial Narrow" w:hAnsi="Arial Narrow" w:cs="Tahoma"/>
          <w:b/>
          <w:bCs/>
          <w:sz w:val="28"/>
          <w:szCs w:val="30"/>
          <w:lang w:val="sr-Cyrl-CS"/>
        </w:rPr>
        <w:t>1%</w:t>
      </w:r>
    </w:p>
    <w:p w:rsidR="000213F8" w:rsidRPr="000749E0" w:rsidRDefault="00833780" w:rsidP="000213F8">
      <w:pPr>
        <w:tabs>
          <w:tab w:val="left" w:pos="0"/>
          <w:tab w:val="left" w:pos="1100"/>
        </w:tabs>
        <w:jc w:val="both"/>
        <w:rPr>
          <w:rFonts w:ascii="Arial Narrow" w:hAnsi="Arial Narrow" w:cs="Tahoma"/>
          <w:b/>
          <w:spacing w:val="-4"/>
          <w:sz w:val="36"/>
          <w:szCs w:val="28"/>
          <w:lang w:val="sr-Cyrl-CS"/>
        </w:rPr>
      </w:pPr>
      <w:r>
        <w:rPr>
          <w:rFonts w:ascii="Arial Narrow" w:hAnsi="Arial Narrow" w:cs="Tahoma"/>
          <w:b/>
          <w:sz w:val="28"/>
        </w:rPr>
        <w:t>Number of employees in industry</w:t>
      </w:r>
      <w:r w:rsidR="000213F8" w:rsidRPr="000749E0">
        <w:rPr>
          <w:rFonts w:ascii="Arial Narrow" w:hAnsi="Arial Narrow" w:cs="Tahoma"/>
          <w:b/>
          <w:sz w:val="28"/>
          <w:lang w:val="ru-RU"/>
        </w:rPr>
        <w:t xml:space="preserve"> (</w:t>
      </w:r>
      <w:r>
        <w:rPr>
          <w:rFonts w:ascii="Arial Narrow" w:hAnsi="Arial Narrow" w:cs="Tahoma"/>
          <w:b/>
          <w:sz w:val="28"/>
        </w:rPr>
        <w:t>May</w:t>
      </w:r>
      <w:r w:rsidR="000213F8" w:rsidRPr="000749E0">
        <w:rPr>
          <w:rFonts w:ascii="Arial Narrow" w:hAnsi="Arial Narrow" w:cs="Tahoma"/>
          <w:b/>
          <w:sz w:val="28"/>
          <w:lang w:val="ru-RU"/>
        </w:rPr>
        <w:t xml:space="preserve"> 201</w:t>
      </w:r>
      <w:r w:rsidR="00284295" w:rsidRPr="000749E0">
        <w:rPr>
          <w:rFonts w:ascii="Arial Narrow" w:hAnsi="Arial Narrow" w:cs="Tahoma"/>
          <w:b/>
          <w:sz w:val="28"/>
        </w:rPr>
        <w:t>5</w:t>
      </w:r>
      <w:r w:rsidR="000213F8" w:rsidRPr="000749E0">
        <w:rPr>
          <w:rFonts w:ascii="Arial Narrow" w:hAnsi="Arial Narrow" w:cs="Tahoma"/>
          <w:b/>
          <w:sz w:val="28"/>
          <w:lang w:val="ru-RU"/>
        </w:rPr>
        <w:t>/</w:t>
      </w:r>
      <w:r>
        <w:rPr>
          <w:rFonts w:ascii="Arial Narrow" w:hAnsi="Arial Narrow" w:cs="Tahoma"/>
          <w:b/>
          <w:sz w:val="28"/>
        </w:rPr>
        <w:t>May</w:t>
      </w:r>
      <w:r w:rsidR="000213F8" w:rsidRPr="000749E0">
        <w:rPr>
          <w:rFonts w:ascii="Arial Narrow" w:hAnsi="Arial Narrow" w:cs="Tahoma"/>
          <w:b/>
          <w:sz w:val="28"/>
          <w:lang w:val="ru-RU"/>
        </w:rPr>
        <w:t xml:space="preserve"> 201</w:t>
      </w:r>
      <w:r w:rsidR="00284295" w:rsidRPr="000749E0">
        <w:rPr>
          <w:rFonts w:ascii="Arial Narrow" w:hAnsi="Arial Narrow" w:cs="Tahoma"/>
          <w:b/>
          <w:sz w:val="28"/>
        </w:rPr>
        <w:t>4</w:t>
      </w:r>
      <w:r w:rsidR="000213F8" w:rsidRPr="000749E0">
        <w:rPr>
          <w:rFonts w:ascii="Arial Narrow" w:hAnsi="Arial Narrow" w:cs="Tahoma"/>
          <w:b/>
          <w:sz w:val="28"/>
          <w:lang w:val="ru-RU"/>
        </w:rPr>
        <w:t xml:space="preserve">) </w:t>
      </w:r>
      <w:r>
        <w:rPr>
          <w:rFonts w:ascii="Arial Narrow" w:hAnsi="Arial Narrow" w:cs="Tahoma"/>
          <w:b/>
          <w:sz w:val="28"/>
        </w:rPr>
        <w:t>increased by</w:t>
      </w:r>
      <w:r w:rsidR="000213F8" w:rsidRPr="000749E0">
        <w:rPr>
          <w:rFonts w:ascii="Arial Narrow" w:hAnsi="Arial Narrow" w:cs="Tahoma"/>
          <w:b/>
          <w:sz w:val="28"/>
          <w:lang w:val="ru-RU"/>
        </w:rPr>
        <w:t xml:space="preserve"> </w:t>
      </w:r>
      <w:r w:rsidR="00CE10D7" w:rsidRPr="000749E0">
        <w:rPr>
          <w:rFonts w:ascii="Arial Narrow" w:hAnsi="Arial Narrow" w:cs="Tahoma"/>
          <w:b/>
          <w:sz w:val="28"/>
        </w:rPr>
        <w:t>2</w:t>
      </w:r>
      <w:r>
        <w:rPr>
          <w:rFonts w:ascii="Arial Narrow" w:hAnsi="Arial Narrow" w:cs="Tahoma"/>
          <w:b/>
          <w:sz w:val="28"/>
        </w:rPr>
        <w:t>.</w:t>
      </w:r>
      <w:r w:rsidR="00CE10D7" w:rsidRPr="000749E0">
        <w:rPr>
          <w:rFonts w:ascii="Arial Narrow" w:hAnsi="Arial Narrow" w:cs="Tahoma"/>
          <w:b/>
          <w:sz w:val="28"/>
        </w:rPr>
        <w:t>2</w:t>
      </w:r>
      <w:r w:rsidR="000213F8" w:rsidRPr="000749E0">
        <w:rPr>
          <w:rFonts w:ascii="Arial Narrow" w:hAnsi="Arial Narrow" w:cs="Tahoma"/>
          <w:b/>
          <w:sz w:val="28"/>
          <w:lang w:val="ru-RU"/>
        </w:rPr>
        <w:t>%</w:t>
      </w:r>
    </w:p>
    <w:p w:rsidR="000213F8" w:rsidRPr="000749E0" w:rsidRDefault="000213F8" w:rsidP="000213F8">
      <w:pPr>
        <w:tabs>
          <w:tab w:val="left" w:pos="0"/>
          <w:tab w:val="left" w:pos="1100"/>
        </w:tabs>
        <w:jc w:val="both"/>
        <w:rPr>
          <w:rFonts w:ascii="Tahoma" w:hAnsi="Tahoma" w:cs="Tahoma"/>
          <w:spacing w:val="-4"/>
          <w:lang w:val="sr-Cyrl-CS"/>
        </w:rPr>
      </w:pPr>
    </w:p>
    <w:p w:rsidR="000213F8" w:rsidRPr="000749E0" w:rsidRDefault="005A46D3" w:rsidP="000213F8">
      <w:pPr>
        <w:jc w:val="both"/>
        <w:rPr>
          <w:rFonts w:ascii="Arial Narrow" w:hAnsi="Arial Narrow" w:cs="Tahoma"/>
          <w:sz w:val="22"/>
          <w:lang w:val="sr-Cyrl-CS"/>
        </w:rPr>
      </w:pPr>
      <w:r>
        <w:rPr>
          <w:rFonts w:ascii="Arial Narrow" w:hAnsi="Arial Narrow" w:cs="Tahoma"/>
          <w:b/>
          <w:sz w:val="22"/>
        </w:rPr>
        <w:t>Working-day adjusted industrial production</w:t>
      </w:r>
      <w:r w:rsidRPr="00553FE9">
        <w:rPr>
          <w:rFonts w:ascii="Arial Narrow" w:hAnsi="Arial Narrow" w:cs="Tahoma"/>
          <w:sz w:val="22"/>
        </w:rPr>
        <w:t xml:space="preserve"> </w:t>
      </w:r>
      <w:r>
        <w:rPr>
          <w:rFonts w:ascii="Arial Narrow" w:hAnsi="Arial Narrow" w:cs="Tahoma"/>
          <w:sz w:val="22"/>
        </w:rPr>
        <w:t xml:space="preserve">in May 2015, compared to May 2014, increased by </w:t>
      </w:r>
      <w:r w:rsidR="00CE10D7" w:rsidRPr="000749E0">
        <w:rPr>
          <w:rFonts w:ascii="Arial Narrow" w:hAnsi="Arial Narrow" w:cs="Tahoma"/>
          <w:sz w:val="22"/>
          <w:lang w:val="sr-Cyrl-CS"/>
        </w:rPr>
        <w:t>8</w:t>
      </w:r>
      <w:r>
        <w:rPr>
          <w:rFonts w:ascii="Arial Narrow" w:hAnsi="Arial Narrow" w:cs="Tahoma"/>
          <w:sz w:val="22"/>
        </w:rPr>
        <w:t>.</w:t>
      </w:r>
      <w:r w:rsidR="00CE10D7" w:rsidRPr="000749E0">
        <w:rPr>
          <w:rFonts w:ascii="Arial Narrow" w:hAnsi="Arial Narrow" w:cs="Tahoma"/>
          <w:sz w:val="22"/>
          <w:lang w:val="sr-Cyrl-CS"/>
        </w:rPr>
        <w:t>2</w:t>
      </w:r>
      <w:r w:rsidR="000213F8" w:rsidRPr="000749E0">
        <w:rPr>
          <w:rFonts w:ascii="Arial Narrow" w:hAnsi="Arial Narrow" w:cs="Tahoma"/>
          <w:sz w:val="22"/>
          <w:lang w:val="sr-Cyrl-CS"/>
        </w:rPr>
        <w:t>%.</w:t>
      </w:r>
      <w:r w:rsidR="000213F8" w:rsidRPr="000749E0">
        <w:rPr>
          <w:rFonts w:ascii="Arial Narrow" w:hAnsi="Arial Narrow" w:cs="Tahoma"/>
          <w:sz w:val="22"/>
        </w:rPr>
        <w:t xml:space="preserve"> </w:t>
      </w:r>
      <w:r>
        <w:rPr>
          <w:rFonts w:ascii="Arial Narrow" w:hAnsi="Arial Narrow" w:cs="Tahoma"/>
          <w:sz w:val="22"/>
        </w:rPr>
        <w:t>In the section</w:t>
      </w:r>
      <w:r w:rsidR="00CF5080" w:rsidRPr="000749E0">
        <w:rPr>
          <w:rFonts w:ascii="Arial Narrow" w:hAnsi="Arial Narrow" w:cs="Tahoma"/>
          <w:sz w:val="22"/>
          <w:lang w:val="sr-Cyrl-CS"/>
        </w:rPr>
        <w:t xml:space="preserve"> </w:t>
      </w:r>
      <w:r w:rsidRPr="00F733CE">
        <w:rPr>
          <w:rFonts w:ascii="Arial Narrow" w:hAnsi="Arial Narrow" w:cs="Tahoma"/>
          <w:i/>
          <w:sz w:val="22"/>
        </w:rPr>
        <w:t>Mining and quarrying</w:t>
      </w:r>
      <w:r w:rsidR="0082153B" w:rsidRPr="000749E0">
        <w:rPr>
          <w:rFonts w:ascii="Arial Narrow" w:hAnsi="Arial Narrow" w:cs="Tahoma"/>
          <w:i/>
          <w:sz w:val="22"/>
          <w:lang w:val="ru-RU"/>
        </w:rPr>
        <w:t xml:space="preserve"> </w:t>
      </w:r>
      <w:r>
        <w:rPr>
          <w:rFonts w:ascii="Arial Narrow" w:hAnsi="Arial Narrow" w:cs="Tahoma"/>
          <w:sz w:val="22"/>
        </w:rPr>
        <w:t>an increase by</w:t>
      </w:r>
      <w:r w:rsidR="000213F8" w:rsidRPr="000749E0">
        <w:rPr>
          <w:rFonts w:ascii="Arial Narrow" w:hAnsi="Arial Narrow" w:cs="Tahoma"/>
          <w:sz w:val="22"/>
        </w:rPr>
        <w:t xml:space="preserve"> </w:t>
      </w:r>
      <w:r w:rsidR="0082153B" w:rsidRPr="000749E0">
        <w:rPr>
          <w:rFonts w:ascii="Arial Narrow" w:hAnsi="Arial Narrow" w:cs="Tahoma"/>
          <w:sz w:val="22"/>
          <w:lang w:val="sr-Cyrl-CS"/>
        </w:rPr>
        <w:t>41</w:t>
      </w:r>
      <w:r>
        <w:rPr>
          <w:rFonts w:ascii="Arial Narrow" w:hAnsi="Arial Narrow" w:cs="Tahoma"/>
          <w:sz w:val="22"/>
        </w:rPr>
        <w:t>.</w:t>
      </w:r>
      <w:r w:rsidR="0082153B" w:rsidRPr="000749E0">
        <w:rPr>
          <w:rFonts w:ascii="Arial Narrow" w:hAnsi="Arial Narrow" w:cs="Tahoma"/>
          <w:sz w:val="22"/>
          <w:lang w:val="sr-Cyrl-CS"/>
        </w:rPr>
        <w:t>9</w:t>
      </w:r>
      <w:r w:rsidR="000213F8" w:rsidRPr="000749E0">
        <w:rPr>
          <w:rFonts w:ascii="Arial Narrow" w:hAnsi="Arial Narrow" w:cs="Tahoma"/>
          <w:sz w:val="22"/>
        </w:rPr>
        <w:t>%</w:t>
      </w:r>
      <w:r>
        <w:rPr>
          <w:rFonts w:ascii="Arial Narrow" w:hAnsi="Arial Narrow" w:cs="Tahoma"/>
          <w:sz w:val="22"/>
        </w:rPr>
        <w:t xml:space="preserve"> was recorded</w:t>
      </w:r>
      <w:r w:rsidR="0082153B" w:rsidRPr="000749E0">
        <w:rPr>
          <w:rFonts w:ascii="Arial Narrow" w:hAnsi="Arial Narrow" w:cs="Tahoma"/>
          <w:sz w:val="22"/>
          <w:lang w:val="sr-Cyrl-CS"/>
        </w:rPr>
        <w:t>,</w:t>
      </w:r>
      <w:r w:rsidR="00AC4206" w:rsidRPr="000749E0">
        <w:rPr>
          <w:rFonts w:ascii="Arial Narrow" w:hAnsi="Arial Narrow" w:cs="Tahoma"/>
          <w:sz w:val="22"/>
          <w:lang w:val="sr-Cyrl-CS"/>
        </w:rPr>
        <w:t xml:space="preserve"> </w:t>
      </w:r>
      <w:r>
        <w:rPr>
          <w:rFonts w:ascii="Arial Narrow" w:hAnsi="Arial Narrow" w:cs="Tahoma"/>
          <w:sz w:val="22"/>
        </w:rPr>
        <w:t>in the section</w:t>
      </w:r>
      <w:r w:rsidR="0082153B" w:rsidRPr="000749E0">
        <w:rPr>
          <w:rFonts w:ascii="Arial Narrow" w:hAnsi="Arial Narrow" w:cs="Tahoma"/>
          <w:sz w:val="22"/>
          <w:lang w:val="sr-Cyrl-CS"/>
        </w:rPr>
        <w:t xml:space="preserve"> </w:t>
      </w:r>
      <w:r>
        <w:rPr>
          <w:rFonts w:ascii="Arial Narrow" w:hAnsi="Arial Narrow" w:cs="Tahoma"/>
          <w:i/>
          <w:sz w:val="22"/>
        </w:rPr>
        <w:t>Manufacturing</w:t>
      </w:r>
      <w:r w:rsidR="0082153B" w:rsidRPr="000749E0">
        <w:rPr>
          <w:rFonts w:ascii="Arial Narrow" w:hAnsi="Arial Narrow" w:cs="Tahoma"/>
          <w:sz w:val="22"/>
          <w:lang w:val="sr-Cyrl-CS"/>
        </w:rPr>
        <w:t xml:space="preserve"> </w:t>
      </w:r>
      <w:r>
        <w:rPr>
          <w:rFonts w:ascii="Arial Narrow" w:hAnsi="Arial Narrow" w:cs="Tahoma"/>
          <w:sz w:val="22"/>
        </w:rPr>
        <w:t>an increase by</w:t>
      </w:r>
      <w:r>
        <w:rPr>
          <w:rFonts w:ascii="Arial Narrow" w:hAnsi="Arial Narrow" w:cs="Tahoma"/>
          <w:sz w:val="22"/>
          <w:lang w:val="sr-Cyrl-CS"/>
        </w:rPr>
        <w:t xml:space="preserve"> 5</w:t>
      </w:r>
      <w:r>
        <w:rPr>
          <w:rFonts w:ascii="Arial Narrow" w:hAnsi="Arial Narrow" w:cs="Tahoma"/>
          <w:sz w:val="22"/>
        </w:rPr>
        <w:t>.</w:t>
      </w:r>
      <w:r w:rsidR="0082153B" w:rsidRPr="000749E0">
        <w:rPr>
          <w:rFonts w:ascii="Arial Narrow" w:hAnsi="Arial Narrow" w:cs="Tahoma"/>
          <w:sz w:val="22"/>
          <w:lang w:val="sr-Cyrl-CS"/>
        </w:rPr>
        <w:t xml:space="preserve">4% </w:t>
      </w:r>
      <w:r>
        <w:rPr>
          <w:rFonts w:ascii="Arial Narrow" w:hAnsi="Arial Narrow" w:cs="Tahoma"/>
          <w:sz w:val="22"/>
        </w:rPr>
        <w:t>and in the section</w:t>
      </w:r>
      <w:r w:rsidR="00CF5080" w:rsidRPr="000749E0">
        <w:rPr>
          <w:rFonts w:ascii="Arial Narrow" w:hAnsi="Arial Narrow" w:cs="Tahoma"/>
          <w:sz w:val="22"/>
          <w:lang w:val="sr-Cyrl-BA"/>
        </w:rPr>
        <w:t xml:space="preserve"> </w:t>
      </w:r>
      <w:r w:rsidRPr="00B23575">
        <w:rPr>
          <w:rFonts w:ascii="Arial Narrow" w:hAnsi="Arial Narrow" w:cs="Tahoma"/>
          <w:i/>
          <w:sz w:val="22"/>
          <w:szCs w:val="22"/>
          <w:lang w:val="sr-Cyrl-CS"/>
        </w:rPr>
        <w:t>Electricity, gas, steam and air-conditioning supply</w:t>
      </w:r>
      <w:r w:rsidRPr="000749E0">
        <w:rPr>
          <w:rFonts w:ascii="Arial Narrow" w:hAnsi="Arial Narrow" w:cs="Tahoma"/>
          <w:sz w:val="22"/>
          <w:lang w:val="sr-Cyrl-CS"/>
        </w:rPr>
        <w:t xml:space="preserve"> </w:t>
      </w:r>
      <w:r>
        <w:rPr>
          <w:rFonts w:ascii="Arial Narrow" w:hAnsi="Arial Narrow" w:cs="Tahoma"/>
          <w:sz w:val="22"/>
        </w:rPr>
        <w:t>an increase by</w:t>
      </w:r>
      <w:r w:rsidR="000213F8" w:rsidRPr="000749E0">
        <w:rPr>
          <w:rFonts w:ascii="Arial Narrow" w:hAnsi="Arial Narrow" w:cs="Tahoma"/>
          <w:sz w:val="22"/>
        </w:rPr>
        <w:t xml:space="preserve"> </w:t>
      </w:r>
      <w:r w:rsidR="00CF5080" w:rsidRPr="000749E0">
        <w:rPr>
          <w:rFonts w:ascii="Arial Narrow" w:hAnsi="Arial Narrow" w:cs="Tahoma"/>
          <w:sz w:val="22"/>
          <w:lang w:val="sr-Cyrl-CS"/>
        </w:rPr>
        <w:t>2</w:t>
      </w:r>
      <w:r>
        <w:rPr>
          <w:rFonts w:ascii="Arial Narrow" w:hAnsi="Arial Narrow" w:cs="Tahoma"/>
          <w:sz w:val="22"/>
        </w:rPr>
        <w:t>.</w:t>
      </w:r>
      <w:r w:rsidR="0082153B" w:rsidRPr="000749E0">
        <w:rPr>
          <w:rFonts w:ascii="Arial Narrow" w:hAnsi="Arial Narrow" w:cs="Tahoma"/>
          <w:sz w:val="22"/>
          <w:lang w:val="sr-Cyrl-CS"/>
        </w:rPr>
        <w:t>3</w:t>
      </w:r>
      <w:r w:rsidR="000213F8" w:rsidRPr="000749E0">
        <w:rPr>
          <w:rFonts w:ascii="Arial Narrow" w:hAnsi="Arial Narrow" w:cs="Tahoma"/>
          <w:sz w:val="22"/>
        </w:rPr>
        <w:t>%</w:t>
      </w:r>
      <w:r w:rsidR="0082153B" w:rsidRPr="000749E0">
        <w:rPr>
          <w:rFonts w:ascii="Arial Narrow" w:hAnsi="Arial Narrow" w:cs="Tahoma"/>
          <w:sz w:val="22"/>
          <w:lang w:val="sr-Cyrl-CS"/>
        </w:rPr>
        <w:t xml:space="preserve">. </w:t>
      </w:r>
      <w:r w:rsidR="00ED3DA5">
        <w:rPr>
          <w:rFonts w:ascii="Arial Narrow" w:hAnsi="Arial Narrow" w:cs="Tahoma"/>
          <w:sz w:val="22"/>
        </w:rPr>
        <w:t xml:space="preserve">By </w:t>
      </w:r>
      <w:r w:rsidR="00ED3DA5">
        <w:rPr>
          <w:rFonts w:ascii="Arial Narrow" w:hAnsi="Arial Narrow" w:cs="Tahoma"/>
          <w:sz w:val="22"/>
          <w:szCs w:val="22"/>
        </w:rPr>
        <w:t>main industrial group, based on economic purpose of products, production of</w:t>
      </w:r>
      <w:r w:rsidR="000213F8" w:rsidRPr="000749E0">
        <w:rPr>
          <w:rFonts w:ascii="Arial Narrow" w:hAnsi="Arial Narrow" w:cs="Tahoma"/>
          <w:sz w:val="22"/>
          <w:lang w:val="sr-Cyrl-CS"/>
        </w:rPr>
        <w:t xml:space="preserve"> </w:t>
      </w:r>
      <w:r w:rsidR="00ED3DA5">
        <w:rPr>
          <w:rFonts w:ascii="Arial Narrow" w:hAnsi="Arial Narrow" w:cs="Tahoma"/>
          <w:sz w:val="22"/>
        </w:rPr>
        <w:t>intermediate goods in May</w:t>
      </w:r>
      <w:r w:rsidR="000213F8" w:rsidRPr="000749E0">
        <w:rPr>
          <w:rFonts w:ascii="Arial Narrow" w:hAnsi="Arial Narrow" w:cs="Tahoma"/>
          <w:spacing w:val="-2"/>
          <w:sz w:val="22"/>
        </w:rPr>
        <w:t xml:space="preserve"> </w:t>
      </w:r>
      <w:r w:rsidR="000213F8" w:rsidRPr="000749E0">
        <w:rPr>
          <w:rFonts w:ascii="Arial Narrow" w:hAnsi="Arial Narrow" w:cs="Tahoma"/>
          <w:sz w:val="22"/>
        </w:rPr>
        <w:t>201</w:t>
      </w:r>
      <w:r w:rsidR="00284295" w:rsidRPr="000749E0">
        <w:rPr>
          <w:rFonts w:ascii="Arial Narrow" w:hAnsi="Arial Narrow" w:cs="Tahoma"/>
          <w:sz w:val="22"/>
          <w:lang w:val="sr-Cyrl-CS"/>
        </w:rPr>
        <w:t>5</w:t>
      </w:r>
      <w:r w:rsidR="00ED3DA5">
        <w:rPr>
          <w:rFonts w:ascii="Arial Narrow" w:hAnsi="Arial Narrow" w:cs="Tahoma"/>
          <w:sz w:val="22"/>
        </w:rPr>
        <w:t>, compared to May</w:t>
      </w:r>
      <w:r w:rsidR="000213F8" w:rsidRPr="000749E0">
        <w:rPr>
          <w:rFonts w:ascii="Arial Narrow" w:hAnsi="Arial Narrow" w:cs="Tahoma"/>
          <w:spacing w:val="-2"/>
          <w:sz w:val="22"/>
        </w:rPr>
        <w:t xml:space="preserve"> </w:t>
      </w:r>
      <w:r w:rsidR="000213F8" w:rsidRPr="000749E0">
        <w:rPr>
          <w:rFonts w:ascii="Arial Narrow" w:hAnsi="Arial Narrow" w:cs="Tahoma"/>
          <w:sz w:val="22"/>
          <w:lang w:val="ru-RU"/>
        </w:rPr>
        <w:t>201</w:t>
      </w:r>
      <w:r w:rsidR="00284295" w:rsidRPr="000749E0">
        <w:rPr>
          <w:rFonts w:ascii="Arial Narrow" w:hAnsi="Arial Narrow" w:cs="Tahoma"/>
          <w:sz w:val="22"/>
          <w:lang w:val="ru-RU"/>
        </w:rPr>
        <w:t>4</w:t>
      </w:r>
      <w:r w:rsidR="000213F8" w:rsidRPr="000749E0">
        <w:rPr>
          <w:rFonts w:ascii="Arial Narrow" w:hAnsi="Arial Narrow" w:cs="Tahoma"/>
          <w:sz w:val="22"/>
          <w:lang w:val="sr-Cyrl-CS"/>
        </w:rPr>
        <w:t xml:space="preserve">, </w:t>
      </w:r>
      <w:r w:rsidR="00ED3DA5">
        <w:rPr>
          <w:rFonts w:ascii="Arial Narrow" w:hAnsi="Arial Narrow" w:cs="Tahoma"/>
          <w:sz w:val="22"/>
        </w:rPr>
        <w:t>was</w:t>
      </w:r>
      <w:r w:rsidR="000213F8" w:rsidRPr="000749E0">
        <w:rPr>
          <w:rFonts w:ascii="Arial Narrow" w:hAnsi="Arial Narrow" w:cs="Tahoma"/>
          <w:sz w:val="22"/>
          <w:lang w:val="sr-Cyrl-CS"/>
        </w:rPr>
        <w:t xml:space="preserve"> </w:t>
      </w:r>
      <w:r w:rsidR="00571A5D" w:rsidRPr="000749E0">
        <w:rPr>
          <w:rFonts w:ascii="Arial Narrow" w:hAnsi="Arial Narrow" w:cs="Tahoma"/>
          <w:sz w:val="22"/>
          <w:lang w:val="sr-Cyrl-CS"/>
        </w:rPr>
        <w:t>22</w:t>
      </w:r>
      <w:r w:rsidR="00ED3DA5">
        <w:rPr>
          <w:rFonts w:ascii="Arial Narrow" w:hAnsi="Arial Narrow" w:cs="Tahoma"/>
          <w:sz w:val="22"/>
          <w:lang w:val="bs-Latn-BA"/>
        </w:rPr>
        <w:t>.</w:t>
      </w:r>
      <w:r w:rsidR="00571A5D" w:rsidRPr="000749E0">
        <w:rPr>
          <w:rFonts w:ascii="Arial Narrow" w:hAnsi="Arial Narrow" w:cs="Tahoma"/>
          <w:sz w:val="22"/>
          <w:lang w:val="sr-Cyrl-CS"/>
        </w:rPr>
        <w:t>5</w:t>
      </w:r>
      <w:r w:rsidR="000213F8" w:rsidRPr="000749E0">
        <w:rPr>
          <w:rFonts w:ascii="Arial Narrow" w:hAnsi="Arial Narrow" w:cs="Tahoma"/>
          <w:sz w:val="22"/>
          <w:lang w:val="sr-Cyrl-CS"/>
        </w:rPr>
        <w:t>%</w:t>
      </w:r>
      <w:r w:rsidR="00ED3DA5">
        <w:rPr>
          <w:rFonts w:ascii="Arial Narrow" w:hAnsi="Arial Narrow" w:cs="Tahoma"/>
          <w:sz w:val="22"/>
        </w:rPr>
        <w:t xml:space="preserve"> higher</w:t>
      </w:r>
      <w:r w:rsidR="000213F8" w:rsidRPr="000749E0">
        <w:rPr>
          <w:rFonts w:ascii="Arial Narrow" w:hAnsi="Arial Narrow" w:cs="Tahoma"/>
          <w:sz w:val="22"/>
          <w:lang w:val="sr-Cyrl-CS"/>
        </w:rPr>
        <w:t xml:space="preserve">, </w:t>
      </w:r>
      <w:r w:rsidR="00ED3DA5">
        <w:rPr>
          <w:rFonts w:ascii="Arial Narrow" w:hAnsi="Arial Narrow" w:cs="Tahoma"/>
          <w:sz w:val="22"/>
        </w:rPr>
        <w:t>production of consumer durables was</w:t>
      </w:r>
      <w:r w:rsidR="000213F8" w:rsidRPr="000749E0">
        <w:rPr>
          <w:rFonts w:ascii="Arial Narrow" w:hAnsi="Arial Narrow" w:cs="Tahoma"/>
          <w:sz w:val="22"/>
          <w:lang w:val="sr-Cyrl-CS"/>
        </w:rPr>
        <w:t xml:space="preserve"> </w:t>
      </w:r>
      <w:r w:rsidR="00571A5D" w:rsidRPr="000749E0">
        <w:rPr>
          <w:rFonts w:ascii="Arial Narrow" w:hAnsi="Arial Narrow" w:cs="Tahoma"/>
          <w:sz w:val="22"/>
          <w:lang w:val="sr-Cyrl-CS"/>
        </w:rPr>
        <w:t>21</w:t>
      </w:r>
      <w:r w:rsidR="00ED3DA5">
        <w:rPr>
          <w:rFonts w:ascii="Arial Narrow" w:hAnsi="Arial Narrow" w:cs="Tahoma"/>
          <w:sz w:val="22"/>
        </w:rPr>
        <w:t>.</w:t>
      </w:r>
      <w:r w:rsidR="00571A5D" w:rsidRPr="000749E0">
        <w:rPr>
          <w:rFonts w:ascii="Arial Narrow" w:hAnsi="Arial Narrow" w:cs="Tahoma"/>
          <w:sz w:val="22"/>
          <w:lang w:val="sr-Cyrl-CS"/>
        </w:rPr>
        <w:t>2</w:t>
      </w:r>
      <w:r w:rsidR="000213F8" w:rsidRPr="000749E0">
        <w:rPr>
          <w:rFonts w:ascii="Arial Narrow" w:hAnsi="Arial Narrow" w:cs="Tahoma"/>
          <w:sz w:val="22"/>
          <w:lang w:val="sr-Cyrl-CS"/>
        </w:rPr>
        <w:t>%</w:t>
      </w:r>
      <w:r w:rsidR="00ED3DA5">
        <w:rPr>
          <w:rFonts w:ascii="Arial Narrow" w:hAnsi="Arial Narrow" w:cs="Tahoma"/>
          <w:sz w:val="22"/>
        </w:rPr>
        <w:t xml:space="preserve"> higher</w:t>
      </w:r>
      <w:r w:rsidR="00CF5080" w:rsidRPr="000749E0">
        <w:rPr>
          <w:rFonts w:ascii="Arial Narrow" w:hAnsi="Arial Narrow" w:cs="Tahoma"/>
          <w:sz w:val="22"/>
          <w:lang w:val="sr-Cyrl-CS"/>
        </w:rPr>
        <w:t xml:space="preserve"> </w:t>
      </w:r>
      <w:r w:rsidR="00ED3DA5">
        <w:rPr>
          <w:rFonts w:ascii="Arial Narrow" w:hAnsi="Arial Narrow" w:cs="Tahoma"/>
          <w:sz w:val="22"/>
        </w:rPr>
        <w:t>and production of energy was</w:t>
      </w:r>
      <w:r w:rsidR="000213F8" w:rsidRPr="000749E0">
        <w:rPr>
          <w:rFonts w:ascii="Arial Narrow" w:hAnsi="Arial Narrow" w:cs="Tahoma"/>
          <w:sz w:val="22"/>
          <w:lang w:val="sr-Cyrl-CS"/>
        </w:rPr>
        <w:t xml:space="preserve"> </w:t>
      </w:r>
      <w:r w:rsidR="00571A5D" w:rsidRPr="000749E0">
        <w:rPr>
          <w:rFonts w:ascii="Arial Narrow" w:hAnsi="Arial Narrow" w:cs="Tahoma"/>
          <w:sz w:val="22"/>
          <w:lang w:val="sr-Cyrl-CS"/>
        </w:rPr>
        <w:t>7</w:t>
      </w:r>
      <w:r w:rsidR="00ED3DA5">
        <w:rPr>
          <w:rFonts w:ascii="Arial Narrow" w:hAnsi="Arial Narrow" w:cs="Tahoma"/>
          <w:sz w:val="22"/>
        </w:rPr>
        <w:t>.</w:t>
      </w:r>
      <w:r w:rsidR="00571A5D" w:rsidRPr="000749E0">
        <w:rPr>
          <w:rFonts w:ascii="Arial Narrow" w:hAnsi="Arial Narrow" w:cs="Tahoma"/>
          <w:sz w:val="22"/>
          <w:lang w:val="sr-Cyrl-CS"/>
        </w:rPr>
        <w:t>5</w:t>
      </w:r>
      <w:r w:rsidR="000213F8" w:rsidRPr="000749E0">
        <w:rPr>
          <w:rFonts w:ascii="Arial Narrow" w:hAnsi="Arial Narrow" w:cs="Tahoma"/>
          <w:sz w:val="22"/>
          <w:lang w:val="sr-Cyrl-CS"/>
        </w:rPr>
        <w:t>%</w:t>
      </w:r>
      <w:r w:rsidR="00ED3DA5">
        <w:rPr>
          <w:rFonts w:ascii="Arial Narrow" w:hAnsi="Arial Narrow" w:cs="Tahoma"/>
          <w:sz w:val="22"/>
        </w:rPr>
        <w:t xml:space="preserve"> higher</w:t>
      </w:r>
      <w:r w:rsidR="00CF5080" w:rsidRPr="000749E0">
        <w:rPr>
          <w:rFonts w:ascii="Arial Narrow" w:hAnsi="Arial Narrow" w:cs="Tahoma"/>
          <w:sz w:val="22"/>
          <w:lang w:val="sr-Cyrl-CS"/>
        </w:rPr>
        <w:t>,</w:t>
      </w:r>
      <w:r w:rsidR="00284295" w:rsidRPr="000749E0">
        <w:rPr>
          <w:rFonts w:ascii="Arial Narrow" w:hAnsi="Arial Narrow" w:cs="Tahoma"/>
          <w:sz w:val="22"/>
          <w:lang w:val="sr-Cyrl-CS"/>
        </w:rPr>
        <w:t xml:space="preserve"> </w:t>
      </w:r>
      <w:r w:rsidR="00ED3DA5">
        <w:rPr>
          <w:rFonts w:ascii="Arial Narrow" w:hAnsi="Arial Narrow" w:cs="Tahoma"/>
          <w:sz w:val="22"/>
        </w:rPr>
        <w:t>while production of consumer non-durables</w:t>
      </w:r>
      <w:r w:rsidR="00571A5D" w:rsidRPr="000749E0">
        <w:rPr>
          <w:rFonts w:ascii="Arial Narrow" w:hAnsi="Arial Narrow" w:cs="Tahoma"/>
          <w:sz w:val="22"/>
          <w:lang w:val="sr-Cyrl-CS"/>
        </w:rPr>
        <w:t xml:space="preserve"> </w:t>
      </w:r>
      <w:r w:rsidR="00ED3DA5">
        <w:rPr>
          <w:rFonts w:ascii="Arial Narrow" w:hAnsi="Arial Narrow" w:cs="Tahoma"/>
          <w:sz w:val="22"/>
        </w:rPr>
        <w:t>was</w:t>
      </w:r>
      <w:r w:rsidR="000213F8" w:rsidRPr="000749E0">
        <w:rPr>
          <w:rFonts w:ascii="Arial Narrow" w:hAnsi="Arial Narrow" w:cs="Tahoma"/>
          <w:sz w:val="22"/>
          <w:lang w:val="sr-Cyrl-CS"/>
        </w:rPr>
        <w:t xml:space="preserve"> </w:t>
      </w:r>
      <w:r w:rsidR="00571A5D" w:rsidRPr="000749E0">
        <w:rPr>
          <w:rFonts w:ascii="Arial Narrow" w:hAnsi="Arial Narrow" w:cs="Tahoma"/>
          <w:sz w:val="22"/>
          <w:lang w:val="sr-Cyrl-CS"/>
        </w:rPr>
        <w:t>1</w:t>
      </w:r>
      <w:r w:rsidR="00ED3DA5">
        <w:rPr>
          <w:rFonts w:ascii="Arial Narrow" w:hAnsi="Arial Narrow" w:cs="Tahoma"/>
          <w:sz w:val="22"/>
        </w:rPr>
        <w:t>.</w:t>
      </w:r>
      <w:r w:rsidR="00571A5D" w:rsidRPr="000749E0">
        <w:rPr>
          <w:rFonts w:ascii="Arial Narrow" w:hAnsi="Arial Narrow" w:cs="Tahoma"/>
          <w:sz w:val="22"/>
          <w:lang w:val="sr-Cyrl-CS"/>
        </w:rPr>
        <w:t>2</w:t>
      </w:r>
      <w:r w:rsidR="000213F8" w:rsidRPr="000749E0">
        <w:rPr>
          <w:rFonts w:ascii="Arial Narrow" w:hAnsi="Arial Narrow" w:cs="Tahoma"/>
          <w:sz w:val="22"/>
          <w:lang w:val="sr-Cyrl-CS"/>
        </w:rPr>
        <w:t>%</w:t>
      </w:r>
      <w:r w:rsidR="00ED3DA5">
        <w:rPr>
          <w:rFonts w:ascii="Arial Narrow" w:hAnsi="Arial Narrow" w:cs="Tahoma"/>
          <w:sz w:val="22"/>
        </w:rPr>
        <w:t xml:space="preserve"> lower</w:t>
      </w:r>
      <w:r w:rsidR="00CF5080" w:rsidRPr="000749E0">
        <w:rPr>
          <w:rFonts w:ascii="Arial Narrow" w:hAnsi="Arial Narrow" w:cs="Tahoma"/>
          <w:sz w:val="22"/>
          <w:lang w:val="sr-Cyrl-CS"/>
        </w:rPr>
        <w:t xml:space="preserve"> </w:t>
      </w:r>
      <w:r w:rsidR="00ED3DA5">
        <w:rPr>
          <w:rFonts w:ascii="Arial Narrow" w:hAnsi="Arial Narrow" w:cs="Tahoma"/>
          <w:sz w:val="22"/>
        </w:rPr>
        <w:t>and production of capital goods was</w:t>
      </w:r>
      <w:r w:rsidR="000213F8" w:rsidRPr="000749E0">
        <w:rPr>
          <w:rFonts w:ascii="Arial Narrow" w:hAnsi="Arial Narrow" w:cs="Tahoma"/>
          <w:sz w:val="22"/>
          <w:lang w:val="sr-Cyrl-CS"/>
        </w:rPr>
        <w:t xml:space="preserve"> </w:t>
      </w:r>
      <w:r w:rsidR="00571A5D" w:rsidRPr="000749E0">
        <w:rPr>
          <w:rFonts w:ascii="Arial Narrow" w:hAnsi="Arial Narrow" w:cs="Tahoma"/>
          <w:sz w:val="22"/>
          <w:lang w:val="sr-Cyrl-CS"/>
        </w:rPr>
        <w:t>7</w:t>
      </w:r>
      <w:r w:rsidR="00ED3DA5">
        <w:rPr>
          <w:rFonts w:ascii="Arial Narrow" w:hAnsi="Arial Narrow" w:cs="Tahoma"/>
          <w:sz w:val="22"/>
        </w:rPr>
        <w:t>.</w:t>
      </w:r>
      <w:r w:rsidR="00571A5D" w:rsidRPr="000749E0">
        <w:rPr>
          <w:rFonts w:ascii="Arial Narrow" w:hAnsi="Arial Narrow" w:cs="Tahoma"/>
          <w:sz w:val="22"/>
          <w:lang w:val="sr-Cyrl-CS"/>
        </w:rPr>
        <w:t>7</w:t>
      </w:r>
      <w:r w:rsidR="000213F8" w:rsidRPr="000749E0">
        <w:rPr>
          <w:rFonts w:ascii="Arial Narrow" w:hAnsi="Arial Narrow" w:cs="Tahoma"/>
          <w:sz w:val="22"/>
          <w:lang w:val="sr-Cyrl-CS"/>
        </w:rPr>
        <w:t>%</w:t>
      </w:r>
      <w:r w:rsidR="00ED3DA5">
        <w:rPr>
          <w:rFonts w:ascii="Arial Narrow" w:hAnsi="Arial Narrow" w:cs="Tahoma"/>
          <w:sz w:val="22"/>
        </w:rPr>
        <w:t xml:space="preserve"> lower</w:t>
      </w:r>
      <w:r w:rsidR="000213F8" w:rsidRPr="000749E0">
        <w:rPr>
          <w:rFonts w:ascii="Arial Narrow" w:hAnsi="Arial Narrow" w:cs="Tahoma"/>
          <w:sz w:val="22"/>
          <w:lang w:val="sr-Cyrl-CS"/>
        </w:rPr>
        <w:t>.</w:t>
      </w:r>
    </w:p>
    <w:p w:rsidR="00CF5080" w:rsidRPr="000749E0" w:rsidRDefault="00CF5080" w:rsidP="000213F8">
      <w:pPr>
        <w:jc w:val="both"/>
        <w:rPr>
          <w:rFonts w:ascii="Arial Narrow" w:hAnsi="Arial Narrow" w:cs="Tahoma"/>
          <w:sz w:val="22"/>
          <w:lang w:val="sr-Cyrl-CS"/>
        </w:rPr>
      </w:pPr>
    </w:p>
    <w:p w:rsidR="00571A5D" w:rsidRPr="000749E0" w:rsidRDefault="00FC29E2" w:rsidP="00571A5D">
      <w:pPr>
        <w:jc w:val="both"/>
        <w:rPr>
          <w:rFonts w:ascii="Arial Narrow" w:hAnsi="Arial Narrow" w:cs="Tahoma"/>
          <w:sz w:val="22"/>
          <w:lang w:val="sr-Cyrl-CS"/>
        </w:rPr>
      </w:pPr>
      <w:r>
        <w:rPr>
          <w:rFonts w:ascii="Arial Narrow" w:hAnsi="Arial Narrow" w:cs="Tahoma"/>
          <w:b/>
          <w:sz w:val="22"/>
        </w:rPr>
        <w:t>Seasonally adjusted industrial production</w:t>
      </w:r>
      <w:r w:rsidR="00571A5D" w:rsidRPr="000749E0">
        <w:rPr>
          <w:rFonts w:ascii="Arial Narrow" w:hAnsi="Arial Narrow" w:cs="Tahoma"/>
          <w:sz w:val="22"/>
        </w:rPr>
        <w:t xml:space="preserve"> </w:t>
      </w:r>
      <w:r>
        <w:rPr>
          <w:rFonts w:ascii="Arial Narrow" w:hAnsi="Arial Narrow" w:cs="Tahoma"/>
          <w:sz w:val="22"/>
        </w:rPr>
        <w:t>in May</w:t>
      </w:r>
      <w:r w:rsidR="00571A5D" w:rsidRPr="000749E0">
        <w:rPr>
          <w:rFonts w:ascii="Arial Narrow" w:hAnsi="Arial Narrow" w:cs="Tahoma"/>
          <w:spacing w:val="-2"/>
          <w:sz w:val="22"/>
        </w:rPr>
        <w:t xml:space="preserve"> </w:t>
      </w:r>
      <w:r w:rsidR="00571A5D" w:rsidRPr="000749E0">
        <w:rPr>
          <w:rFonts w:ascii="Arial Narrow" w:hAnsi="Arial Narrow" w:cs="Tahoma"/>
          <w:sz w:val="22"/>
        </w:rPr>
        <w:t>201</w:t>
      </w:r>
      <w:r w:rsidR="00571A5D" w:rsidRPr="000749E0">
        <w:rPr>
          <w:rFonts w:ascii="Arial Narrow" w:hAnsi="Arial Narrow" w:cs="Tahoma"/>
          <w:sz w:val="22"/>
          <w:lang w:val="sr-Cyrl-CS"/>
        </w:rPr>
        <w:t>5</w:t>
      </w:r>
      <w:r>
        <w:rPr>
          <w:rFonts w:ascii="Arial Narrow" w:hAnsi="Arial Narrow" w:cs="Tahoma"/>
          <w:sz w:val="22"/>
        </w:rPr>
        <w:t>, compared to April 2015, increased by</w:t>
      </w:r>
      <w:r w:rsidR="00571A5D" w:rsidRPr="000749E0">
        <w:rPr>
          <w:rFonts w:ascii="Arial Narrow" w:hAnsi="Arial Narrow" w:cs="Tahoma"/>
          <w:sz w:val="22"/>
          <w:lang w:val="sr-Cyrl-CS"/>
        </w:rPr>
        <w:t xml:space="preserve"> 4</w:t>
      </w:r>
      <w:r>
        <w:rPr>
          <w:rFonts w:ascii="Arial Narrow" w:hAnsi="Arial Narrow" w:cs="Tahoma"/>
          <w:sz w:val="22"/>
        </w:rPr>
        <w:t>.</w:t>
      </w:r>
      <w:r w:rsidR="00571A5D" w:rsidRPr="000749E0">
        <w:rPr>
          <w:rFonts w:ascii="Arial Narrow" w:hAnsi="Arial Narrow" w:cs="Tahoma"/>
          <w:sz w:val="22"/>
          <w:lang w:val="sr-Cyrl-CS"/>
        </w:rPr>
        <w:t>1%.</w:t>
      </w:r>
      <w:r w:rsidR="00571A5D" w:rsidRPr="000749E0">
        <w:rPr>
          <w:rFonts w:ascii="Arial Narrow" w:hAnsi="Arial Narrow" w:cs="Tahoma"/>
          <w:sz w:val="22"/>
        </w:rPr>
        <w:t xml:space="preserve"> </w:t>
      </w:r>
      <w:r>
        <w:rPr>
          <w:rFonts w:ascii="Arial Narrow" w:hAnsi="Arial Narrow" w:cs="Tahoma"/>
          <w:sz w:val="22"/>
        </w:rPr>
        <w:t>In the section</w:t>
      </w:r>
      <w:r w:rsidR="00571A5D" w:rsidRPr="000749E0">
        <w:rPr>
          <w:rFonts w:ascii="Arial Narrow" w:hAnsi="Arial Narrow" w:cs="Tahoma"/>
          <w:sz w:val="22"/>
        </w:rPr>
        <w:t xml:space="preserve"> </w:t>
      </w:r>
      <w:r>
        <w:rPr>
          <w:rFonts w:ascii="Arial Narrow" w:hAnsi="Arial Narrow" w:cs="Tahoma"/>
          <w:i/>
          <w:sz w:val="22"/>
        </w:rPr>
        <w:t>Manufacturing</w:t>
      </w:r>
      <w:r w:rsidR="00571A5D" w:rsidRPr="000749E0">
        <w:rPr>
          <w:rFonts w:ascii="Arial Narrow" w:hAnsi="Arial Narrow" w:cs="Tahoma"/>
          <w:sz w:val="22"/>
          <w:lang w:val="sr-Cyrl-CS"/>
        </w:rPr>
        <w:t xml:space="preserve"> </w:t>
      </w:r>
      <w:r>
        <w:rPr>
          <w:rFonts w:ascii="Arial Narrow" w:hAnsi="Arial Narrow" w:cs="Tahoma"/>
          <w:sz w:val="22"/>
        </w:rPr>
        <w:t>an increase by</w:t>
      </w:r>
      <w:r w:rsidR="00571A5D" w:rsidRPr="000749E0">
        <w:rPr>
          <w:rFonts w:ascii="Arial Narrow" w:hAnsi="Arial Narrow" w:cs="Tahoma"/>
          <w:sz w:val="22"/>
        </w:rPr>
        <w:t xml:space="preserve"> </w:t>
      </w:r>
      <w:r>
        <w:rPr>
          <w:rFonts w:ascii="Arial Narrow" w:hAnsi="Arial Narrow" w:cs="Tahoma"/>
          <w:sz w:val="22"/>
          <w:lang w:val="sr-Cyrl-CS"/>
        </w:rPr>
        <w:t>9</w:t>
      </w:r>
      <w:r>
        <w:rPr>
          <w:rFonts w:ascii="Arial Narrow" w:hAnsi="Arial Narrow" w:cs="Tahoma"/>
          <w:sz w:val="22"/>
        </w:rPr>
        <w:t>.</w:t>
      </w:r>
      <w:r w:rsidR="00571A5D" w:rsidRPr="000749E0">
        <w:rPr>
          <w:rFonts w:ascii="Arial Narrow" w:hAnsi="Arial Narrow" w:cs="Tahoma"/>
          <w:sz w:val="22"/>
          <w:lang w:val="sr-Cyrl-CS"/>
        </w:rPr>
        <w:t>0</w:t>
      </w:r>
      <w:r w:rsidR="00571A5D" w:rsidRPr="000749E0">
        <w:rPr>
          <w:rFonts w:ascii="Arial Narrow" w:hAnsi="Arial Narrow" w:cs="Tahoma"/>
          <w:sz w:val="22"/>
        </w:rPr>
        <w:t>%</w:t>
      </w:r>
      <w:r w:rsidR="00571A5D" w:rsidRPr="000749E0">
        <w:rPr>
          <w:rFonts w:ascii="Arial Narrow" w:hAnsi="Arial Narrow" w:cs="Tahoma"/>
          <w:sz w:val="22"/>
          <w:lang w:val="sr-Cyrl-CS"/>
        </w:rPr>
        <w:t xml:space="preserve"> </w:t>
      </w:r>
      <w:r>
        <w:rPr>
          <w:rFonts w:ascii="Arial Narrow" w:hAnsi="Arial Narrow" w:cs="Tahoma"/>
          <w:sz w:val="22"/>
        </w:rPr>
        <w:t>was recorded and in the section</w:t>
      </w:r>
      <w:r w:rsidR="00571A5D" w:rsidRPr="000749E0">
        <w:rPr>
          <w:rFonts w:ascii="Arial Narrow" w:hAnsi="Arial Narrow" w:cs="Tahoma"/>
          <w:sz w:val="22"/>
          <w:lang w:val="sr-Cyrl-CS"/>
        </w:rPr>
        <w:t xml:space="preserve"> </w:t>
      </w:r>
      <w:r>
        <w:rPr>
          <w:rFonts w:ascii="Arial Narrow" w:hAnsi="Arial Narrow" w:cs="Tahoma"/>
          <w:i/>
          <w:sz w:val="22"/>
        </w:rPr>
        <w:t>Mining and quarrying</w:t>
      </w:r>
      <w:r w:rsidR="00571A5D" w:rsidRPr="000749E0">
        <w:rPr>
          <w:rFonts w:ascii="Arial Narrow" w:hAnsi="Arial Narrow" w:cs="Tahoma"/>
          <w:i/>
          <w:sz w:val="22"/>
        </w:rPr>
        <w:t xml:space="preserve"> </w:t>
      </w:r>
      <w:r>
        <w:rPr>
          <w:rFonts w:ascii="Arial Narrow" w:hAnsi="Arial Narrow" w:cs="Tahoma"/>
          <w:sz w:val="22"/>
        </w:rPr>
        <w:t>an increase by</w:t>
      </w:r>
      <w:r>
        <w:rPr>
          <w:rFonts w:ascii="Arial Narrow" w:hAnsi="Arial Narrow" w:cs="Tahoma"/>
          <w:sz w:val="22"/>
          <w:lang w:val="sr-Cyrl-CS"/>
        </w:rPr>
        <w:t xml:space="preserve"> 7</w:t>
      </w:r>
      <w:r>
        <w:rPr>
          <w:rFonts w:ascii="Arial Narrow" w:hAnsi="Arial Narrow" w:cs="Tahoma"/>
          <w:sz w:val="22"/>
        </w:rPr>
        <w:t>.</w:t>
      </w:r>
      <w:r w:rsidR="00571A5D" w:rsidRPr="000749E0">
        <w:rPr>
          <w:rFonts w:ascii="Arial Narrow" w:hAnsi="Arial Narrow" w:cs="Tahoma"/>
          <w:sz w:val="22"/>
          <w:lang w:val="sr-Cyrl-CS"/>
        </w:rPr>
        <w:t xml:space="preserve">7%, </w:t>
      </w:r>
      <w:r>
        <w:rPr>
          <w:rFonts w:ascii="Arial Narrow" w:hAnsi="Arial Narrow" w:cs="Tahoma"/>
          <w:sz w:val="22"/>
        </w:rPr>
        <w:t>while in the section</w:t>
      </w:r>
      <w:r w:rsidR="00571A5D" w:rsidRPr="000749E0">
        <w:rPr>
          <w:rFonts w:ascii="Arial Narrow" w:hAnsi="Arial Narrow" w:cs="Tahoma"/>
          <w:sz w:val="22"/>
          <w:lang w:val="sr-Cyrl-BA"/>
        </w:rPr>
        <w:t xml:space="preserve"> </w:t>
      </w:r>
      <w:r w:rsidRPr="006664CA">
        <w:rPr>
          <w:rFonts w:ascii="Arial Narrow" w:hAnsi="Arial Narrow" w:cs="Tahoma"/>
          <w:i/>
          <w:spacing w:val="-2"/>
          <w:sz w:val="22"/>
        </w:rPr>
        <w:t>Electricity, gas, steam and air-conditioning supply</w:t>
      </w:r>
      <w:r>
        <w:rPr>
          <w:rFonts w:ascii="Arial Narrow" w:hAnsi="Arial Narrow" w:cs="Tahoma"/>
          <w:i/>
          <w:spacing w:val="-2"/>
          <w:sz w:val="22"/>
        </w:rPr>
        <w:t xml:space="preserve"> </w:t>
      </w:r>
      <w:r>
        <w:rPr>
          <w:rFonts w:ascii="Arial Narrow" w:hAnsi="Arial Narrow" w:cs="Tahoma"/>
          <w:sz w:val="22"/>
        </w:rPr>
        <w:t>a decrease by</w:t>
      </w:r>
      <w:r w:rsidR="00571A5D" w:rsidRPr="000749E0">
        <w:rPr>
          <w:rFonts w:ascii="Arial Narrow" w:hAnsi="Arial Narrow" w:cs="Tahoma"/>
          <w:sz w:val="22"/>
        </w:rPr>
        <w:t xml:space="preserve"> </w:t>
      </w:r>
      <w:r w:rsidR="00571A5D" w:rsidRPr="000749E0">
        <w:rPr>
          <w:rFonts w:ascii="Arial Narrow" w:hAnsi="Arial Narrow" w:cs="Tahoma"/>
          <w:sz w:val="22"/>
          <w:lang w:val="sr-Cyrl-CS"/>
        </w:rPr>
        <w:t>5</w:t>
      </w:r>
      <w:r>
        <w:rPr>
          <w:rFonts w:ascii="Arial Narrow" w:hAnsi="Arial Narrow" w:cs="Tahoma"/>
          <w:sz w:val="22"/>
        </w:rPr>
        <w:t>.</w:t>
      </w:r>
      <w:r w:rsidR="00571A5D" w:rsidRPr="000749E0">
        <w:rPr>
          <w:rFonts w:ascii="Arial Narrow" w:hAnsi="Arial Narrow" w:cs="Tahoma"/>
          <w:sz w:val="22"/>
          <w:lang w:val="sr-Cyrl-CS"/>
        </w:rPr>
        <w:t>7</w:t>
      </w:r>
      <w:r w:rsidR="00571A5D" w:rsidRPr="000749E0">
        <w:rPr>
          <w:rFonts w:ascii="Arial Narrow" w:hAnsi="Arial Narrow" w:cs="Tahoma"/>
          <w:sz w:val="22"/>
        </w:rPr>
        <w:t>%</w:t>
      </w:r>
      <w:r>
        <w:rPr>
          <w:rFonts w:ascii="Arial Narrow" w:hAnsi="Arial Narrow" w:cs="Tahoma"/>
          <w:sz w:val="22"/>
        </w:rPr>
        <w:t xml:space="preserve"> was recorded</w:t>
      </w:r>
      <w:r w:rsidR="00571A5D" w:rsidRPr="000749E0">
        <w:rPr>
          <w:rFonts w:ascii="Arial Narrow" w:hAnsi="Arial Narrow" w:cs="Tahoma"/>
          <w:sz w:val="22"/>
          <w:lang w:val="sr-Cyrl-CS"/>
        </w:rPr>
        <w:t xml:space="preserve">. </w:t>
      </w:r>
      <w:r>
        <w:rPr>
          <w:rFonts w:ascii="Arial Narrow" w:hAnsi="Arial Narrow" w:cs="Tahoma"/>
          <w:sz w:val="22"/>
        </w:rPr>
        <w:t xml:space="preserve">By </w:t>
      </w:r>
      <w:r>
        <w:rPr>
          <w:rFonts w:ascii="Arial Narrow" w:hAnsi="Arial Narrow" w:cs="Tahoma"/>
          <w:sz w:val="22"/>
          <w:szCs w:val="22"/>
        </w:rPr>
        <w:t xml:space="preserve">main industrial group, based on economic purpose of products, production of </w:t>
      </w:r>
      <w:r>
        <w:rPr>
          <w:rFonts w:ascii="Arial Narrow" w:hAnsi="Arial Narrow" w:cs="Tahoma"/>
          <w:spacing w:val="-2"/>
          <w:sz w:val="22"/>
        </w:rPr>
        <w:t>capital goods in May</w:t>
      </w:r>
      <w:r w:rsidR="00571A5D" w:rsidRPr="000749E0">
        <w:rPr>
          <w:rFonts w:ascii="Arial Narrow" w:hAnsi="Arial Narrow" w:cs="Tahoma"/>
          <w:spacing w:val="-2"/>
          <w:sz w:val="22"/>
        </w:rPr>
        <w:t xml:space="preserve"> </w:t>
      </w:r>
      <w:r w:rsidR="00571A5D" w:rsidRPr="000749E0">
        <w:rPr>
          <w:rFonts w:ascii="Arial Narrow" w:hAnsi="Arial Narrow" w:cs="Tahoma"/>
          <w:sz w:val="22"/>
        </w:rPr>
        <w:t>201</w:t>
      </w:r>
      <w:r w:rsidR="00571A5D" w:rsidRPr="000749E0">
        <w:rPr>
          <w:rFonts w:ascii="Arial Narrow" w:hAnsi="Arial Narrow" w:cs="Tahoma"/>
          <w:sz w:val="22"/>
          <w:lang w:val="sr-Cyrl-CS"/>
        </w:rPr>
        <w:t>5</w:t>
      </w:r>
      <w:r>
        <w:rPr>
          <w:rFonts w:ascii="Arial Narrow" w:hAnsi="Arial Narrow" w:cs="Tahoma"/>
          <w:sz w:val="22"/>
        </w:rPr>
        <w:t>, compared to April 2015</w:t>
      </w:r>
      <w:r w:rsidR="00571A5D" w:rsidRPr="000749E0">
        <w:rPr>
          <w:rFonts w:ascii="Arial Narrow" w:hAnsi="Arial Narrow" w:cs="Tahoma"/>
          <w:sz w:val="22"/>
          <w:lang w:val="sr-Cyrl-CS"/>
        </w:rPr>
        <w:t xml:space="preserve">, </w:t>
      </w:r>
      <w:r>
        <w:rPr>
          <w:rFonts w:ascii="Arial Narrow" w:hAnsi="Arial Narrow" w:cs="Tahoma"/>
          <w:sz w:val="22"/>
        </w:rPr>
        <w:t>was</w:t>
      </w:r>
      <w:r w:rsidR="00571A5D" w:rsidRPr="000749E0">
        <w:rPr>
          <w:rFonts w:ascii="Arial Narrow" w:hAnsi="Arial Narrow" w:cs="Tahoma"/>
          <w:sz w:val="22"/>
          <w:lang w:val="sr-Cyrl-CS"/>
        </w:rPr>
        <w:t xml:space="preserve"> </w:t>
      </w:r>
      <w:r w:rsidR="00A56718" w:rsidRPr="000749E0">
        <w:rPr>
          <w:rFonts w:ascii="Arial Narrow" w:hAnsi="Arial Narrow" w:cs="Tahoma"/>
          <w:sz w:val="22"/>
          <w:lang w:val="sr-Cyrl-CS"/>
        </w:rPr>
        <w:t>9</w:t>
      </w:r>
      <w:r>
        <w:rPr>
          <w:rFonts w:ascii="Arial Narrow" w:hAnsi="Arial Narrow" w:cs="Tahoma"/>
          <w:sz w:val="22"/>
          <w:lang w:val="bs-Latn-BA"/>
        </w:rPr>
        <w:t>.</w:t>
      </w:r>
      <w:r w:rsidR="00A56718" w:rsidRPr="000749E0">
        <w:rPr>
          <w:rFonts w:ascii="Arial Narrow" w:hAnsi="Arial Narrow" w:cs="Tahoma"/>
          <w:sz w:val="22"/>
          <w:lang w:val="sr-Cyrl-CS"/>
        </w:rPr>
        <w:t>3</w:t>
      </w:r>
      <w:r w:rsidR="00571A5D" w:rsidRPr="000749E0">
        <w:rPr>
          <w:rFonts w:ascii="Arial Narrow" w:hAnsi="Arial Narrow" w:cs="Tahoma"/>
          <w:sz w:val="22"/>
          <w:lang w:val="sr-Cyrl-CS"/>
        </w:rPr>
        <w:t>%</w:t>
      </w:r>
      <w:r>
        <w:rPr>
          <w:rFonts w:ascii="Arial Narrow" w:hAnsi="Arial Narrow" w:cs="Tahoma"/>
          <w:sz w:val="22"/>
        </w:rPr>
        <w:t xml:space="preserve"> higher</w:t>
      </w:r>
      <w:r w:rsidR="00571A5D" w:rsidRPr="000749E0">
        <w:rPr>
          <w:rFonts w:ascii="Arial Narrow" w:hAnsi="Arial Narrow" w:cs="Tahoma"/>
          <w:sz w:val="22"/>
          <w:lang w:val="sr-Cyrl-CS"/>
        </w:rPr>
        <w:t xml:space="preserve">, </w:t>
      </w:r>
      <w:r>
        <w:rPr>
          <w:rFonts w:ascii="Arial Narrow" w:hAnsi="Arial Narrow" w:cs="Tahoma"/>
          <w:sz w:val="22"/>
        </w:rPr>
        <w:t>production of intermediate goods was</w:t>
      </w:r>
      <w:r w:rsidR="00571A5D" w:rsidRPr="000749E0">
        <w:rPr>
          <w:rFonts w:ascii="Arial Narrow" w:hAnsi="Arial Narrow" w:cs="Tahoma"/>
          <w:sz w:val="22"/>
          <w:lang w:val="sr-Cyrl-CS"/>
        </w:rPr>
        <w:t xml:space="preserve"> </w:t>
      </w:r>
      <w:r w:rsidR="00A56718" w:rsidRPr="000749E0">
        <w:rPr>
          <w:rFonts w:ascii="Arial Narrow" w:hAnsi="Arial Narrow" w:cs="Tahoma"/>
          <w:sz w:val="22"/>
          <w:lang w:val="sr-Cyrl-CS"/>
        </w:rPr>
        <w:t>6</w:t>
      </w:r>
      <w:r>
        <w:rPr>
          <w:rFonts w:ascii="Arial Narrow" w:hAnsi="Arial Narrow" w:cs="Tahoma"/>
          <w:sz w:val="22"/>
        </w:rPr>
        <w:t>.</w:t>
      </w:r>
      <w:r w:rsidR="00A56718" w:rsidRPr="000749E0">
        <w:rPr>
          <w:rFonts w:ascii="Arial Narrow" w:hAnsi="Arial Narrow" w:cs="Tahoma"/>
          <w:sz w:val="22"/>
          <w:lang w:val="sr-Cyrl-CS"/>
        </w:rPr>
        <w:t>0</w:t>
      </w:r>
      <w:r w:rsidR="00571A5D" w:rsidRPr="000749E0">
        <w:rPr>
          <w:rFonts w:ascii="Arial Narrow" w:hAnsi="Arial Narrow" w:cs="Tahoma"/>
          <w:sz w:val="22"/>
          <w:lang w:val="sr-Cyrl-CS"/>
        </w:rPr>
        <w:t>%</w:t>
      </w:r>
      <w:r>
        <w:rPr>
          <w:rFonts w:ascii="Arial Narrow" w:hAnsi="Arial Narrow" w:cs="Tahoma"/>
          <w:sz w:val="22"/>
        </w:rPr>
        <w:t xml:space="preserve"> higher</w:t>
      </w:r>
      <w:r w:rsidR="00A56718" w:rsidRPr="000749E0">
        <w:rPr>
          <w:rFonts w:ascii="Arial Narrow" w:hAnsi="Arial Narrow" w:cs="Tahoma"/>
          <w:sz w:val="22"/>
          <w:lang w:val="sr-Cyrl-CS"/>
        </w:rPr>
        <w:t>,</w:t>
      </w:r>
      <w:r w:rsidR="00571A5D" w:rsidRPr="000749E0">
        <w:rPr>
          <w:rFonts w:ascii="Arial Narrow" w:hAnsi="Arial Narrow" w:cs="Tahoma"/>
          <w:sz w:val="22"/>
          <w:lang w:val="sr-Cyrl-CS"/>
        </w:rPr>
        <w:t xml:space="preserve"> </w:t>
      </w:r>
      <w:r>
        <w:rPr>
          <w:rFonts w:ascii="Arial Narrow" w:hAnsi="Arial Narrow" w:cs="Tahoma"/>
          <w:sz w:val="22"/>
        </w:rPr>
        <w:t xml:space="preserve">production of energy was </w:t>
      </w:r>
      <w:r w:rsidR="00A56718" w:rsidRPr="000749E0">
        <w:rPr>
          <w:rFonts w:ascii="Arial Narrow" w:hAnsi="Arial Narrow" w:cs="Tahoma"/>
          <w:sz w:val="22"/>
          <w:lang w:val="sr-Cyrl-CS"/>
        </w:rPr>
        <w:t>5</w:t>
      </w:r>
      <w:r>
        <w:rPr>
          <w:rFonts w:ascii="Arial Narrow" w:hAnsi="Arial Narrow" w:cs="Tahoma"/>
          <w:sz w:val="22"/>
        </w:rPr>
        <w:t>.</w:t>
      </w:r>
      <w:r w:rsidR="00A56718" w:rsidRPr="000749E0">
        <w:rPr>
          <w:rFonts w:ascii="Arial Narrow" w:hAnsi="Arial Narrow" w:cs="Tahoma"/>
          <w:sz w:val="22"/>
          <w:lang w:val="sr-Cyrl-CS"/>
        </w:rPr>
        <w:t>2</w:t>
      </w:r>
      <w:r w:rsidR="00571A5D" w:rsidRPr="000749E0">
        <w:rPr>
          <w:rFonts w:ascii="Arial Narrow" w:hAnsi="Arial Narrow" w:cs="Tahoma"/>
          <w:sz w:val="22"/>
          <w:lang w:val="sr-Cyrl-CS"/>
        </w:rPr>
        <w:t>%</w:t>
      </w:r>
      <w:r>
        <w:rPr>
          <w:rFonts w:ascii="Arial Narrow" w:hAnsi="Arial Narrow" w:cs="Tahoma"/>
          <w:sz w:val="22"/>
        </w:rPr>
        <w:t xml:space="preserve"> higher</w:t>
      </w:r>
      <w:r w:rsidR="00A56718" w:rsidRPr="000749E0">
        <w:rPr>
          <w:rFonts w:ascii="Arial Narrow" w:hAnsi="Arial Narrow" w:cs="Tahoma"/>
          <w:sz w:val="22"/>
          <w:lang w:val="sr-Cyrl-CS"/>
        </w:rPr>
        <w:t xml:space="preserve"> </w:t>
      </w:r>
      <w:r>
        <w:rPr>
          <w:rFonts w:ascii="Arial Narrow" w:hAnsi="Arial Narrow" w:cs="Tahoma"/>
          <w:sz w:val="22"/>
        </w:rPr>
        <w:t>and production of consumer durables was</w:t>
      </w:r>
      <w:r>
        <w:rPr>
          <w:rFonts w:ascii="Arial Narrow" w:hAnsi="Arial Narrow" w:cs="Tahoma"/>
          <w:sz w:val="22"/>
          <w:lang w:val="sr-Cyrl-CS"/>
        </w:rPr>
        <w:t xml:space="preserve"> 2</w:t>
      </w:r>
      <w:r>
        <w:rPr>
          <w:rFonts w:ascii="Arial Narrow" w:hAnsi="Arial Narrow" w:cs="Tahoma"/>
          <w:sz w:val="22"/>
        </w:rPr>
        <w:t>.</w:t>
      </w:r>
      <w:r w:rsidR="00A56718" w:rsidRPr="000749E0">
        <w:rPr>
          <w:rFonts w:ascii="Arial Narrow" w:hAnsi="Arial Narrow" w:cs="Tahoma"/>
          <w:sz w:val="22"/>
          <w:lang w:val="sr-Cyrl-CS"/>
        </w:rPr>
        <w:t>4%</w:t>
      </w:r>
      <w:r>
        <w:rPr>
          <w:rFonts w:ascii="Arial Narrow" w:hAnsi="Arial Narrow" w:cs="Tahoma"/>
          <w:sz w:val="22"/>
        </w:rPr>
        <w:t xml:space="preserve"> higher</w:t>
      </w:r>
      <w:r w:rsidR="00571A5D" w:rsidRPr="000749E0">
        <w:rPr>
          <w:rFonts w:ascii="Arial Narrow" w:hAnsi="Arial Narrow" w:cs="Tahoma"/>
          <w:sz w:val="22"/>
          <w:lang w:val="sr-Cyrl-CS"/>
        </w:rPr>
        <w:t xml:space="preserve">, </w:t>
      </w:r>
      <w:r>
        <w:rPr>
          <w:rFonts w:ascii="Arial Narrow" w:hAnsi="Arial Narrow" w:cs="Tahoma"/>
          <w:sz w:val="22"/>
        </w:rPr>
        <w:t>while production of consumer non-durables was</w:t>
      </w:r>
      <w:r w:rsidR="00571A5D" w:rsidRPr="000749E0">
        <w:rPr>
          <w:rFonts w:ascii="Arial Narrow" w:hAnsi="Arial Narrow" w:cs="Tahoma"/>
          <w:sz w:val="22"/>
          <w:lang w:val="sr-Cyrl-CS"/>
        </w:rPr>
        <w:t xml:space="preserve"> </w:t>
      </w:r>
      <w:r w:rsidR="00A56718" w:rsidRPr="000749E0">
        <w:rPr>
          <w:rFonts w:ascii="Arial Narrow" w:hAnsi="Arial Narrow" w:cs="Tahoma"/>
          <w:sz w:val="22"/>
          <w:lang w:val="sr-Cyrl-CS"/>
        </w:rPr>
        <w:t>3</w:t>
      </w:r>
      <w:r>
        <w:rPr>
          <w:rFonts w:ascii="Arial Narrow" w:hAnsi="Arial Narrow" w:cs="Tahoma"/>
          <w:sz w:val="22"/>
        </w:rPr>
        <w:t>.</w:t>
      </w:r>
      <w:r w:rsidR="00A56718" w:rsidRPr="000749E0">
        <w:rPr>
          <w:rFonts w:ascii="Arial Narrow" w:hAnsi="Arial Narrow" w:cs="Tahoma"/>
          <w:sz w:val="22"/>
          <w:lang w:val="sr-Cyrl-CS"/>
        </w:rPr>
        <w:t>6</w:t>
      </w:r>
      <w:r w:rsidR="00571A5D" w:rsidRPr="000749E0">
        <w:rPr>
          <w:rFonts w:ascii="Arial Narrow" w:hAnsi="Arial Narrow" w:cs="Tahoma"/>
          <w:sz w:val="22"/>
          <w:lang w:val="sr-Cyrl-CS"/>
        </w:rPr>
        <w:t>%</w:t>
      </w:r>
      <w:r>
        <w:rPr>
          <w:rFonts w:ascii="Arial Narrow" w:hAnsi="Arial Narrow" w:cs="Tahoma"/>
          <w:sz w:val="22"/>
        </w:rPr>
        <w:t xml:space="preserve"> lower.</w:t>
      </w:r>
      <w:r w:rsidR="00571A5D" w:rsidRPr="000749E0">
        <w:rPr>
          <w:rFonts w:ascii="Arial Narrow" w:hAnsi="Arial Narrow" w:cs="Tahoma"/>
          <w:sz w:val="22"/>
          <w:lang w:val="sr-Cyrl-CS"/>
        </w:rPr>
        <w:t xml:space="preserve"> </w:t>
      </w:r>
    </w:p>
    <w:p w:rsidR="00571A5D" w:rsidRPr="000749E0" w:rsidRDefault="00571A5D" w:rsidP="000213F8">
      <w:pPr>
        <w:jc w:val="both"/>
        <w:rPr>
          <w:rFonts w:ascii="Arial Narrow" w:hAnsi="Arial Narrow" w:cs="Tahoma"/>
          <w:sz w:val="22"/>
          <w:lang w:val="sr-Cyrl-CS"/>
        </w:rPr>
      </w:pPr>
    </w:p>
    <w:p w:rsidR="000213F8" w:rsidRPr="000749E0" w:rsidRDefault="00A73DD7" w:rsidP="000213F8">
      <w:pPr>
        <w:jc w:val="both"/>
        <w:rPr>
          <w:rFonts w:ascii="Arial Narrow" w:hAnsi="Arial Narrow" w:cs="Tahoma"/>
          <w:sz w:val="22"/>
          <w:lang w:val="sr-Latn-CS"/>
        </w:rPr>
      </w:pPr>
      <w:r w:rsidRPr="00D84BC5">
        <w:rPr>
          <w:rFonts w:ascii="Arial Narrow" w:hAnsi="Arial Narrow" w:cs="Tahoma"/>
          <w:b/>
          <w:sz w:val="22"/>
        </w:rPr>
        <w:t>Number of employees in industry</w:t>
      </w:r>
      <w:r>
        <w:rPr>
          <w:rFonts w:ascii="Arial Narrow" w:hAnsi="Arial Narrow" w:cs="Tahoma"/>
          <w:sz w:val="22"/>
        </w:rPr>
        <w:t xml:space="preserve"> in May 2015, compared to the same month of the previous year, increased by</w:t>
      </w:r>
      <w:r w:rsidR="000213F8" w:rsidRPr="000749E0">
        <w:rPr>
          <w:rFonts w:ascii="Arial Narrow" w:hAnsi="Arial Narrow" w:cs="Tahoma"/>
          <w:sz w:val="22"/>
          <w:lang w:val="sr-Latn-CS"/>
        </w:rPr>
        <w:t xml:space="preserve"> </w:t>
      </w:r>
      <w:r w:rsidR="00A56718" w:rsidRPr="000749E0">
        <w:rPr>
          <w:rFonts w:ascii="Arial Narrow" w:hAnsi="Arial Narrow" w:cs="Tahoma"/>
          <w:sz w:val="22"/>
          <w:lang w:val="sr-Cyrl-CS"/>
        </w:rPr>
        <w:t>2</w:t>
      </w:r>
      <w:r>
        <w:rPr>
          <w:rFonts w:ascii="Arial Narrow" w:hAnsi="Arial Narrow" w:cs="Tahoma"/>
          <w:sz w:val="22"/>
          <w:lang w:val="sr-Latn-CS"/>
        </w:rPr>
        <w:t>.</w:t>
      </w:r>
      <w:r w:rsidR="00A56718" w:rsidRPr="000749E0">
        <w:rPr>
          <w:rFonts w:ascii="Arial Narrow" w:hAnsi="Arial Narrow" w:cs="Tahoma"/>
          <w:sz w:val="22"/>
          <w:lang w:val="sr-Cyrl-CS"/>
        </w:rPr>
        <w:t>2</w:t>
      </w:r>
      <w:r w:rsidR="000213F8" w:rsidRPr="000749E0">
        <w:rPr>
          <w:rFonts w:ascii="Arial Narrow" w:hAnsi="Arial Narrow" w:cs="Tahoma"/>
          <w:sz w:val="22"/>
          <w:lang w:val="sr-Latn-CS"/>
        </w:rPr>
        <w:t>%</w:t>
      </w:r>
      <w:r>
        <w:rPr>
          <w:rFonts w:ascii="Arial Narrow" w:hAnsi="Arial Narrow" w:cs="Tahoma"/>
          <w:sz w:val="22"/>
        </w:rPr>
        <w:t>.</w:t>
      </w:r>
      <w:r w:rsidR="000213F8" w:rsidRPr="000749E0">
        <w:rPr>
          <w:rFonts w:ascii="Arial Narrow" w:hAnsi="Arial Narrow" w:cs="Tahoma"/>
          <w:sz w:val="22"/>
          <w:lang w:val="sr-Latn-CS"/>
        </w:rPr>
        <w:t xml:space="preserve"> </w:t>
      </w:r>
      <w:r>
        <w:rPr>
          <w:rFonts w:ascii="Arial Narrow" w:hAnsi="Arial Narrow" w:cs="Tahoma"/>
          <w:sz w:val="22"/>
        </w:rPr>
        <w:t>Compared to the average monthly number of employed persons in 2014 it was</w:t>
      </w:r>
      <w:r w:rsidRPr="000749E0">
        <w:rPr>
          <w:rFonts w:ascii="Arial Narrow" w:hAnsi="Arial Narrow" w:cs="Tahoma"/>
          <w:sz w:val="22"/>
          <w:lang w:val="sr-Cyrl-CS"/>
        </w:rPr>
        <w:t xml:space="preserve"> </w:t>
      </w:r>
      <w:r w:rsidR="00A56718" w:rsidRPr="000749E0">
        <w:rPr>
          <w:rFonts w:ascii="Arial Narrow" w:hAnsi="Arial Narrow" w:cs="Tahoma"/>
          <w:sz w:val="22"/>
          <w:lang w:val="sr-Cyrl-CS"/>
        </w:rPr>
        <w:t>1</w:t>
      </w:r>
      <w:r>
        <w:rPr>
          <w:rFonts w:ascii="Arial Narrow" w:hAnsi="Arial Narrow" w:cs="Tahoma"/>
          <w:sz w:val="22"/>
        </w:rPr>
        <w:t>.</w:t>
      </w:r>
      <w:r w:rsidR="00A56718" w:rsidRPr="000749E0">
        <w:rPr>
          <w:rFonts w:ascii="Arial Narrow" w:hAnsi="Arial Narrow" w:cs="Tahoma"/>
          <w:sz w:val="22"/>
          <w:lang w:val="sr-Cyrl-CS"/>
        </w:rPr>
        <w:t>8</w:t>
      </w:r>
      <w:r w:rsidR="00AC4206" w:rsidRPr="000749E0">
        <w:rPr>
          <w:rFonts w:ascii="Arial Narrow" w:hAnsi="Arial Narrow" w:cs="Tahoma"/>
          <w:sz w:val="22"/>
          <w:lang w:val="sr-Cyrl-CS"/>
        </w:rPr>
        <w:t>%</w:t>
      </w:r>
      <w:r>
        <w:rPr>
          <w:rFonts w:ascii="Arial Narrow" w:hAnsi="Arial Narrow" w:cs="Tahoma"/>
          <w:sz w:val="22"/>
        </w:rPr>
        <w:t xml:space="preserve"> higher and compared to April</w:t>
      </w:r>
      <w:r w:rsidR="00AC4206" w:rsidRPr="000749E0">
        <w:rPr>
          <w:rFonts w:ascii="Arial Narrow" w:hAnsi="Arial Narrow" w:cs="Tahoma"/>
          <w:sz w:val="22"/>
          <w:lang w:val="sr-Cyrl-CS"/>
        </w:rPr>
        <w:t xml:space="preserve"> </w:t>
      </w:r>
      <w:r>
        <w:rPr>
          <w:rFonts w:ascii="Arial Narrow" w:hAnsi="Arial Narrow" w:cs="Tahoma"/>
          <w:sz w:val="22"/>
          <w:lang w:val="sr-Cyrl-CS"/>
        </w:rPr>
        <w:t>2015</w:t>
      </w:r>
      <w:r w:rsidR="00DC2009" w:rsidRPr="000749E0">
        <w:rPr>
          <w:rFonts w:ascii="Arial Narrow" w:hAnsi="Arial Narrow" w:cs="Tahoma"/>
          <w:sz w:val="22"/>
          <w:lang w:val="ru-RU"/>
        </w:rPr>
        <w:t xml:space="preserve"> године </w:t>
      </w:r>
      <w:r>
        <w:rPr>
          <w:rFonts w:ascii="Arial Narrow" w:hAnsi="Arial Narrow" w:cs="Tahoma"/>
          <w:sz w:val="22"/>
        </w:rPr>
        <w:t>it was</w:t>
      </w:r>
      <w:r w:rsidR="000213F8" w:rsidRPr="000749E0">
        <w:rPr>
          <w:rFonts w:ascii="Arial Narrow" w:hAnsi="Arial Narrow" w:cs="Tahoma"/>
          <w:sz w:val="22"/>
          <w:lang w:val="sr-Latn-CS"/>
        </w:rPr>
        <w:t xml:space="preserve"> </w:t>
      </w:r>
      <w:r w:rsidR="00B85D9D" w:rsidRPr="000749E0">
        <w:rPr>
          <w:rFonts w:ascii="Arial Narrow" w:hAnsi="Arial Narrow" w:cs="Tahoma"/>
          <w:sz w:val="22"/>
          <w:lang w:val="sr-Cyrl-CS"/>
        </w:rPr>
        <w:t>0</w:t>
      </w:r>
      <w:r>
        <w:rPr>
          <w:rFonts w:ascii="Arial Narrow" w:hAnsi="Arial Narrow" w:cs="Tahoma"/>
          <w:sz w:val="22"/>
        </w:rPr>
        <w:t>.</w:t>
      </w:r>
      <w:r w:rsidR="00DC2009" w:rsidRPr="000749E0">
        <w:rPr>
          <w:rFonts w:ascii="Arial Narrow" w:hAnsi="Arial Narrow" w:cs="Tahoma"/>
          <w:sz w:val="22"/>
          <w:lang w:val="sr-Cyrl-CS"/>
        </w:rPr>
        <w:t>9</w:t>
      </w:r>
      <w:r w:rsidR="000213F8" w:rsidRPr="000749E0">
        <w:rPr>
          <w:rFonts w:ascii="Arial Narrow" w:hAnsi="Arial Narrow" w:cs="Tahoma"/>
          <w:sz w:val="22"/>
          <w:lang w:val="sr-Cyrl-CS"/>
        </w:rPr>
        <w:t>%</w:t>
      </w:r>
      <w:r>
        <w:rPr>
          <w:rFonts w:ascii="Arial Narrow" w:hAnsi="Arial Narrow" w:cs="Tahoma"/>
          <w:sz w:val="22"/>
        </w:rPr>
        <w:t xml:space="preserve"> higher</w:t>
      </w:r>
      <w:r w:rsidR="000213F8" w:rsidRPr="000749E0">
        <w:rPr>
          <w:rFonts w:ascii="Arial Narrow" w:hAnsi="Arial Narrow" w:cs="Tahoma"/>
          <w:sz w:val="22"/>
          <w:lang w:val="sr-Cyrl-CS"/>
        </w:rPr>
        <w:t>.</w:t>
      </w:r>
      <w:r w:rsidR="000213F8" w:rsidRPr="000749E0">
        <w:rPr>
          <w:rFonts w:ascii="Arial Narrow" w:hAnsi="Arial Narrow" w:cs="Tahoma"/>
          <w:sz w:val="22"/>
          <w:lang w:val="sr-Latn-CS"/>
        </w:rPr>
        <w:t xml:space="preserve"> </w:t>
      </w:r>
      <w:r>
        <w:rPr>
          <w:rFonts w:ascii="Arial Narrow" w:hAnsi="Arial Narrow" w:cs="Tahoma"/>
          <w:sz w:val="22"/>
        </w:rPr>
        <w:t>Number of employees in industry in the period January – May</w:t>
      </w:r>
      <w:r w:rsidR="000213F8" w:rsidRPr="000749E0">
        <w:rPr>
          <w:rFonts w:ascii="Arial Narrow" w:hAnsi="Arial Narrow" w:cs="Tahoma"/>
          <w:sz w:val="22"/>
          <w:lang w:val="sr-Cyrl-CS"/>
        </w:rPr>
        <w:t xml:space="preserve"> 201</w:t>
      </w:r>
      <w:r w:rsidR="00B85D9D" w:rsidRPr="000749E0">
        <w:rPr>
          <w:rFonts w:ascii="Arial Narrow" w:hAnsi="Arial Narrow" w:cs="Tahoma"/>
          <w:sz w:val="22"/>
          <w:lang w:val="sr-Cyrl-CS"/>
        </w:rPr>
        <w:t>5</w:t>
      </w:r>
      <w:r>
        <w:rPr>
          <w:rFonts w:ascii="Arial Narrow" w:hAnsi="Arial Narrow" w:cs="Tahoma"/>
          <w:sz w:val="22"/>
        </w:rPr>
        <w:t>,</w:t>
      </w:r>
      <w:r w:rsidR="000213F8" w:rsidRPr="000749E0">
        <w:rPr>
          <w:rFonts w:ascii="Arial Narrow" w:hAnsi="Arial Narrow" w:cs="Tahoma"/>
          <w:sz w:val="22"/>
          <w:lang w:val="sr-Cyrl-CS"/>
        </w:rPr>
        <w:t xml:space="preserve"> </w:t>
      </w:r>
      <w:r>
        <w:rPr>
          <w:rFonts w:ascii="Arial Narrow" w:hAnsi="Arial Narrow" w:cs="Tahoma"/>
          <w:sz w:val="22"/>
        </w:rPr>
        <w:t>compared to the same period of the previous year, was</w:t>
      </w:r>
      <w:r>
        <w:rPr>
          <w:rFonts w:ascii="Arial Narrow" w:hAnsi="Arial Narrow" w:cs="Tahoma"/>
          <w:sz w:val="22"/>
          <w:szCs w:val="22"/>
          <w:lang w:val="ru-RU"/>
        </w:rPr>
        <w:t xml:space="preserve"> 1</w:t>
      </w:r>
      <w:r>
        <w:rPr>
          <w:rFonts w:ascii="Arial Narrow" w:hAnsi="Arial Narrow" w:cs="Tahoma"/>
          <w:sz w:val="22"/>
          <w:szCs w:val="22"/>
        </w:rPr>
        <w:t>.</w:t>
      </w:r>
      <w:r w:rsidR="00A56718" w:rsidRPr="000749E0">
        <w:rPr>
          <w:rFonts w:ascii="Arial Narrow" w:hAnsi="Arial Narrow" w:cs="Tahoma"/>
          <w:sz w:val="22"/>
          <w:szCs w:val="22"/>
          <w:lang w:val="ru-RU"/>
        </w:rPr>
        <w:t>3</w:t>
      </w:r>
      <w:r w:rsidR="000213F8" w:rsidRPr="000749E0">
        <w:rPr>
          <w:rFonts w:ascii="Arial Narrow" w:hAnsi="Arial Narrow" w:cs="Tahoma"/>
          <w:sz w:val="22"/>
          <w:szCs w:val="22"/>
          <w:lang w:val="ru-RU"/>
        </w:rPr>
        <w:t>%</w:t>
      </w:r>
      <w:r>
        <w:rPr>
          <w:rFonts w:ascii="Arial Narrow" w:hAnsi="Arial Narrow" w:cs="Tahoma"/>
          <w:sz w:val="22"/>
          <w:szCs w:val="22"/>
        </w:rPr>
        <w:t xml:space="preserve"> higher</w:t>
      </w:r>
      <w:r w:rsidR="000213F8" w:rsidRPr="000749E0">
        <w:rPr>
          <w:rFonts w:ascii="Arial Narrow" w:hAnsi="Arial Narrow" w:cs="Tahoma"/>
          <w:sz w:val="22"/>
          <w:szCs w:val="22"/>
          <w:lang w:val="ru-RU"/>
        </w:rPr>
        <w:t xml:space="preserve">. </w:t>
      </w:r>
      <w:r>
        <w:rPr>
          <w:rFonts w:ascii="Arial Narrow" w:hAnsi="Arial Narrow" w:cs="Tahoma"/>
          <w:sz w:val="22"/>
        </w:rPr>
        <w:t xml:space="preserve">During the same period, in the section </w:t>
      </w:r>
      <w:r w:rsidRPr="006664CA">
        <w:rPr>
          <w:rFonts w:ascii="Arial Narrow" w:hAnsi="Arial Narrow" w:cs="Tahoma"/>
          <w:i/>
          <w:spacing w:val="-2"/>
          <w:sz w:val="22"/>
        </w:rPr>
        <w:t>Electricity, gas, steam and air-conditioning supply</w:t>
      </w:r>
      <w:r>
        <w:rPr>
          <w:rFonts w:ascii="Arial Narrow" w:hAnsi="Arial Narrow" w:cs="Tahoma"/>
          <w:i/>
          <w:spacing w:val="-2"/>
          <w:sz w:val="22"/>
        </w:rPr>
        <w:t xml:space="preserve"> </w:t>
      </w:r>
      <w:r>
        <w:rPr>
          <w:rFonts w:ascii="Arial Narrow" w:hAnsi="Arial Narrow" w:cs="Tahoma"/>
          <w:spacing w:val="-2"/>
          <w:sz w:val="22"/>
        </w:rPr>
        <w:t xml:space="preserve">an increase by </w:t>
      </w:r>
      <w:r w:rsidR="000213F8" w:rsidRPr="000749E0">
        <w:rPr>
          <w:rFonts w:ascii="Arial Narrow" w:hAnsi="Arial Narrow" w:cs="Tahoma"/>
          <w:sz w:val="22"/>
          <w:lang w:val="sr-Cyrl-CS"/>
        </w:rPr>
        <w:t>5</w:t>
      </w:r>
      <w:r>
        <w:rPr>
          <w:rFonts w:ascii="Arial Narrow" w:hAnsi="Arial Narrow" w:cs="Tahoma"/>
          <w:sz w:val="22"/>
        </w:rPr>
        <w:t>.</w:t>
      </w:r>
      <w:r w:rsidR="00A56718" w:rsidRPr="000749E0">
        <w:rPr>
          <w:rFonts w:ascii="Arial Narrow" w:hAnsi="Arial Narrow" w:cs="Tahoma"/>
          <w:sz w:val="22"/>
          <w:lang w:val="ru-RU"/>
        </w:rPr>
        <w:t>1</w:t>
      </w:r>
      <w:r w:rsidR="000213F8" w:rsidRPr="000749E0">
        <w:rPr>
          <w:rFonts w:ascii="Arial Narrow" w:hAnsi="Arial Narrow" w:cs="Tahoma"/>
          <w:sz w:val="22"/>
          <w:lang w:val="ru-RU"/>
        </w:rPr>
        <w:t>%</w:t>
      </w:r>
      <w:r>
        <w:rPr>
          <w:rFonts w:ascii="Arial Narrow" w:hAnsi="Arial Narrow" w:cs="Tahoma"/>
          <w:sz w:val="22"/>
        </w:rPr>
        <w:t xml:space="preserve"> was recorded</w:t>
      </w:r>
      <w:r w:rsidR="000213F8" w:rsidRPr="000749E0">
        <w:rPr>
          <w:rFonts w:ascii="Arial Narrow" w:hAnsi="Arial Narrow" w:cs="Tahoma"/>
          <w:sz w:val="22"/>
          <w:lang w:val="ru-RU"/>
        </w:rPr>
        <w:t>,</w:t>
      </w:r>
      <w:r w:rsidR="000213F8" w:rsidRPr="000749E0">
        <w:rPr>
          <w:rFonts w:ascii="Arial Narrow" w:hAnsi="Arial Narrow" w:cs="Tahoma"/>
          <w:sz w:val="22"/>
          <w:lang w:val="sr-Latn-CS"/>
        </w:rPr>
        <w:t xml:space="preserve"> </w:t>
      </w:r>
      <w:r>
        <w:rPr>
          <w:rFonts w:ascii="Arial Narrow" w:hAnsi="Arial Narrow" w:cs="Tahoma"/>
          <w:sz w:val="22"/>
        </w:rPr>
        <w:t>in the section</w:t>
      </w:r>
      <w:r w:rsidR="00B85D9D" w:rsidRPr="000749E0">
        <w:rPr>
          <w:rFonts w:ascii="Arial Narrow" w:hAnsi="Arial Narrow" w:cs="Tahoma"/>
          <w:sz w:val="22"/>
          <w:lang w:val="sr-Cyrl-CS"/>
        </w:rPr>
        <w:t xml:space="preserve"> </w:t>
      </w:r>
      <w:r w:rsidRPr="006664CA">
        <w:rPr>
          <w:rFonts w:ascii="Arial Narrow" w:hAnsi="Arial Narrow" w:cs="Tahoma"/>
          <w:i/>
          <w:spacing w:val="-2"/>
          <w:sz w:val="22"/>
        </w:rPr>
        <w:t>Mining and quarrying</w:t>
      </w:r>
      <w:r>
        <w:rPr>
          <w:rFonts w:ascii="Arial Narrow" w:hAnsi="Arial Narrow" w:cs="Tahoma"/>
          <w:i/>
          <w:spacing w:val="-2"/>
          <w:sz w:val="22"/>
        </w:rPr>
        <w:t xml:space="preserve"> </w:t>
      </w:r>
      <w:r>
        <w:rPr>
          <w:rFonts w:ascii="Arial Narrow" w:hAnsi="Arial Narrow" w:cs="Tahoma"/>
          <w:spacing w:val="-2"/>
          <w:sz w:val="22"/>
        </w:rPr>
        <w:t xml:space="preserve">an increase by </w:t>
      </w:r>
      <w:r w:rsidR="00B85D9D" w:rsidRPr="000749E0">
        <w:rPr>
          <w:rFonts w:ascii="Arial Narrow" w:hAnsi="Arial Narrow" w:cs="Tahoma"/>
          <w:sz w:val="22"/>
          <w:lang w:val="sr-Cyrl-CS"/>
        </w:rPr>
        <w:t>3</w:t>
      </w:r>
      <w:r>
        <w:rPr>
          <w:rFonts w:ascii="Arial Narrow" w:hAnsi="Arial Narrow" w:cs="Tahoma"/>
          <w:sz w:val="22"/>
        </w:rPr>
        <w:t>.</w:t>
      </w:r>
      <w:r w:rsidR="00B85D9D" w:rsidRPr="000749E0">
        <w:rPr>
          <w:rFonts w:ascii="Arial Narrow" w:hAnsi="Arial Narrow" w:cs="Tahoma"/>
          <w:sz w:val="22"/>
          <w:lang w:val="sr-Cyrl-CS"/>
        </w:rPr>
        <w:t>1</w:t>
      </w:r>
      <w:r w:rsidR="000213F8" w:rsidRPr="000749E0">
        <w:rPr>
          <w:rFonts w:ascii="Arial Narrow" w:hAnsi="Arial Narrow" w:cs="Tahoma"/>
          <w:sz w:val="22"/>
          <w:lang w:val="ru-RU"/>
        </w:rPr>
        <w:t xml:space="preserve">% </w:t>
      </w:r>
      <w:r>
        <w:rPr>
          <w:rFonts w:ascii="Arial Narrow" w:hAnsi="Arial Narrow" w:cs="Tahoma"/>
          <w:spacing w:val="-2"/>
          <w:sz w:val="22"/>
        </w:rPr>
        <w:t xml:space="preserve">in the section </w:t>
      </w:r>
      <w:r w:rsidRPr="003956D3">
        <w:rPr>
          <w:rFonts w:ascii="Arial Narrow" w:hAnsi="Arial Narrow" w:cs="Tahoma"/>
          <w:i/>
          <w:spacing w:val="-2"/>
          <w:sz w:val="22"/>
        </w:rPr>
        <w:t>Manufacturing</w:t>
      </w:r>
      <w:r>
        <w:rPr>
          <w:rFonts w:ascii="Arial Narrow" w:hAnsi="Arial Narrow" w:cs="Tahoma"/>
          <w:spacing w:val="-2"/>
          <w:sz w:val="22"/>
        </w:rPr>
        <w:t xml:space="preserve"> an increase by 0.5% was recorded</w:t>
      </w:r>
      <w:r w:rsidR="000213F8" w:rsidRPr="000749E0">
        <w:rPr>
          <w:rFonts w:ascii="Arial Narrow" w:hAnsi="Arial Narrow" w:cs="Tahoma"/>
          <w:sz w:val="22"/>
          <w:lang w:val="ru-RU"/>
        </w:rPr>
        <w:t xml:space="preserve">. </w:t>
      </w:r>
    </w:p>
    <w:p w:rsidR="000213F8" w:rsidRPr="000749E0" w:rsidRDefault="000213F8" w:rsidP="009A0B74">
      <w:pPr>
        <w:jc w:val="both"/>
        <w:rPr>
          <w:rFonts w:ascii="Arial Narrow" w:hAnsi="Arial Narrow" w:cs="Tahoma"/>
          <w:sz w:val="22"/>
          <w:szCs w:val="22"/>
          <w:lang w:val="sr-Latn-BA"/>
        </w:rPr>
      </w:pPr>
    </w:p>
    <w:p w:rsidR="000213F8" w:rsidRPr="000749E0" w:rsidRDefault="00843472" w:rsidP="00DC2009">
      <w:pPr>
        <w:jc w:val="center"/>
        <w:rPr>
          <w:rFonts w:ascii="Arial Narrow" w:hAnsi="Arial Narrow" w:cs="Tahoma"/>
          <w:sz w:val="22"/>
          <w:szCs w:val="22"/>
          <w:lang w:val="sr-Latn-BA"/>
        </w:rPr>
      </w:pPr>
      <w:r w:rsidRPr="000749E0">
        <w:rPr>
          <w:rFonts w:ascii="Tahoma" w:hAnsi="Tahoma" w:cs="Tahoma"/>
          <w:noProof/>
          <w:szCs w:val="18"/>
        </w:rPr>
        <w:drawing>
          <wp:anchor distT="0" distB="0" distL="114300" distR="114300" simplePos="0" relativeHeight="251658752" behindDoc="0" locked="0" layoutInCell="1" allowOverlap="1" wp14:anchorId="3AA2A86B" wp14:editId="0D23D5CF">
            <wp:simplePos x="0" y="0"/>
            <wp:positionH relativeFrom="column">
              <wp:posOffset>165832</wp:posOffset>
            </wp:positionH>
            <wp:positionV relativeFrom="paragraph">
              <wp:posOffset>1832618</wp:posOffset>
            </wp:positionV>
            <wp:extent cx="5971649" cy="46101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5971649" cy="461010"/>
                    </a:xfrm>
                    <a:prstGeom prst="rect">
                      <a:avLst/>
                    </a:prstGeom>
                  </pic:spPr>
                </pic:pic>
              </a:graphicData>
            </a:graphic>
            <wp14:sizeRelH relativeFrom="margin">
              <wp14:pctWidth>0</wp14:pctWidth>
            </wp14:sizeRelH>
          </wp:anchor>
        </w:drawing>
      </w:r>
      <w:r w:rsidR="00A56718" w:rsidRPr="000749E0">
        <w:rPr>
          <w:rFonts w:ascii="Arial Narrow" w:hAnsi="Arial Narrow" w:cs="Tahoma"/>
          <w:noProof/>
          <w:sz w:val="22"/>
          <w:szCs w:val="22"/>
        </w:rPr>
        <w:drawing>
          <wp:inline distT="0" distB="0" distL="0" distR="0">
            <wp:extent cx="5943600" cy="280035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5D9D" w:rsidRPr="000749E0" w:rsidRDefault="007F33C2" w:rsidP="00B85D9D">
      <w:pPr>
        <w:jc w:val="center"/>
        <w:rPr>
          <w:rFonts w:ascii="Arial Narrow" w:hAnsi="Arial Narrow" w:cs="Tahoma"/>
          <w:sz w:val="16"/>
          <w:szCs w:val="16"/>
          <w:lang w:val="sr-Latn-CS"/>
        </w:rPr>
      </w:pPr>
      <w:r>
        <w:rPr>
          <w:rFonts w:ascii="Arial Narrow" w:hAnsi="Arial Narrow" w:cs="Tahoma"/>
          <w:sz w:val="16"/>
          <w:szCs w:val="16"/>
          <w:lang w:val="sr-Latn-CS"/>
        </w:rPr>
        <w:t>Graph</w:t>
      </w:r>
      <w:r w:rsidR="00B85D9D" w:rsidRPr="000749E0">
        <w:rPr>
          <w:rFonts w:ascii="Arial Narrow" w:hAnsi="Arial Narrow" w:cs="Tahoma"/>
          <w:sz w:val="16"/>
          <w:szCs w:val="16"/>
          <w:lang w:val="sr-Latn-CS"/>
        </w:rPr>
        <w:t xml:space="preserve"> </w:t>
      </w:r>
      <w:r w:rsidR="0066022A" w:rsidRPr="000749E0">
        <w:rPr>
          <w:rFonts w:ascii="Arial Narrow" w:hAnsi="Arial Narrow" w:cs="Tahoma"/>
          <w:sz w:val="16"/>
          <w:szCs w:val="16"/>
          <w:lang w:val="sr-Latn-CS"/>
        </w:rPr>
        <w:t>2</w:t>
      </w:r>
      <w:r w:rsidR="00B85D9D" w:rsidRPr="000749E0">
        <w:rPr>
          <w:rFonts w:ascii="Arial Narrow" w:hAnsi="Arial Narrow" w:cs="Tahoma"/>
          <w:sz w:val="16"/>
          <w:szCs w:val="16"/>
          <w:lang w:val="sr-Latn-CS"/>
        </w:rPr>
        <w:t xml:space="preserve">. </w:t>
      </w:r>
      <w:r>
        <w:rPr>
          <w:rFonts w:ascii="Arial Narrow" w:hAnsi="Arial Narrow" w:cs="Tahoma"/>
          <w:sz w:val="16"/>
          <w:szCs w:val="16"/>
          <w:lang w:val="sr-Latn-CS"/>
        </w:rPr>
        <w:t>Indices of industrial production</w:t>
      </w:r>
      <w:r w:rsidR="00B85D9D" w:rsidRPr="000749E0">
        <w:rPr>
          <w:rFonts w:ascii="Arial Narrow" w:hAnsi="Arial Narrow" w:cs="Tahoma"/>
          <w:sz w:val="16"/>
          <w:szCs w:val="16"/>
          <w:lang w:val="sr-Latn-CS"/>
        </w:rPr>
        <w:t xml:space="preserve">, </w:t>
      </w:r>
      <w:r>
        <w:rPr>
          <w:rFonts w:ascii="Arial Narrow" w:hAnsi="Arial Narrow" w:cs="Tahoma"/>
          <w:sz w:val="16"/>
          <w:szCs w:val="16"/>
        </w:rPr>
        <w:t>May</w:t>
      </w:r>
      <w:r w:rsidR="00B85D9D" w:rsidRPr="000749E0">
        <w:rPr>
          <w:rFonts w:ascii="Arial Narrow" w:hAnsi="Arial Narrow" w:cs="Tahoma"/>
          <w:sz w:val="16"/>
          <w:szCs w:val="16"/>
          <w:lang w:val="sr-Latn-CS"/>
        </w:rPr>
        <w:t xml:space="preserve"> 20</w:t>
      </w:r>
      <w:r w:rsidR="00B85D9D" w:rsidRPr="000749E0">
        <w:rPr>
          <w:rFonts w:ascii="Arial Narrow" w:hAnsi="Arial Narrow" w:cs="Tahoma"/>
          <w:sz w:val="16"/>
          <w:szCs w:val="16"/>
        </w:rPr>
        <w:t>1</w:t>
      </w:r>
      <w:r w:rsidR="00B85D9D" w:rsidRPr="000749E0">
        <w:rPr>
          <w:rFonts w:ascii="Arial Narrow" w:hAnsi="Arial Narrow" w:cs="Tahoma"/>
          <w:sz w:val="16"/>
          <w:szCs w:val="16"/>
          <w:lang w:val="sr-Cyrl-CS"/>
        </w:rPr>
        <w:t>1</w:t>
      </w:r>
      <w:r w:rsidR="00B85D9D" w:rsidRPr="000749E0">
        <w:rPr>
          <w:rFonts w:ascii="Arial Narrow" w:hAnsi="Arial Narrow" w:cs="Tahoma"/>
          <w:sz w:val="16"/>
          <w:szCs w:val="16"/>
          <w:lang w:val="sr-Latn-CS"/>
        </w:rPr>
        <w:t xml:space="preserve"> – </w:t>
      </w:r>
      <w:r>
        <w:rPr>
          <w:rFonts w:ascii="Arial Narrow" w:hAnsi="Arial Narrow" w:cs="Tahoma"/>
          <w:sz w:val="16"/>
          <w:szCs w:val="16"/>
        </w:rPr>
        <w:t>May</w:t>
      </w:r>
      <w:r w:rsidR="00B85D9D" w:rsidRPr="000749E0">
        <w:rPr>
          <w:rFonts w:ascii="Arial Narrow" w:hAnsi="Arial Narrow" w:cs="Tahoma"/>
          <w:sz w:val="16"/>
          <w:szCs w:val="16"/>
          <w:lang w:val="sr-Latn-CS"/>
        </w:rPr>
        <w:t xml:space="preserve"> 201</w:t>
      </w:r>
      <w:r w:rsidR="00B85D9D" w:rsidRPr="000749E0">
        <w:rPr>
          <w:rFonts w:ascii="Arial Narrow" w:hAnsi="Arial Narrow" w:cs="Tahoma"/>
          <w:sz w:val="16"/>
          <w:szCs w:val="16"/>
          <w:lang w:val="sr-Cyrl-CS"/>
        </w:rPr>
        <w:t>5</w:t>
      </w:r>
      <w:r w:rsidR="00B85D9D" w:rsidRPr="000749E0">
        <w:rPr>
          <w:rFonts w:ascii="Arial Narrow" w:hAnsi="Arial Narrow" w:cs="Tahoma"/>
          <w:sz w:val="16"/>
          <w:szCs w:val="16"/>
          <w:lang w:val="sr-Latn-CS"/>
        </w:rPr>
        <w:t xml:space="preserve"> (</w:t>
      </w:r>
      <w:r w:rsidR="00B85D9D" w:rsidRPr="000749E0">
        <w:rPr>
          <w:rFonts w:ascii="Arial Narrow" w:hAnsi="Arial Narrow" w:cs="Tahoma"/>
          <w:sz w:val="16"/>
          <w:szCs w:val="16"/>
          <w:lang w:val="sr-Latn-CS"/>
        </w:rPr>
        <w:sym w:font="Symbol" w:char="F0C6"/>
      </w:r>
      <w:r w:rsidR="00B85D9D" w:rsidRPr="000749E0">
        <w:rPr>
          <w:rFonts w:ascii="Arial Narrow" w:hAnsi="Arial Narrow" w:cs="Tahoma"/>
          <w:sz w:val="16"/>
          <w:szCs w:val="16"/>
          <w:lang w:val="sr-Latn-CS"/>
        </w:rPr>
        <w:t>2010=100)</w:t>
      </w:r>
    </w:p>
    <w:p w:rsidR="000213F8" w:rsidRPr="000749E0" w:rsidRDefault="000213F8" w:rsidP="009A0B74">
      <w:pPr>
        <w:jc w:val="both"/>
        <w:rPr>
          <w:rFonts w:ascii="Arial Narrow" w:hAnsi="Arial Narrow" w:cs="Tahoma"/>
          <w:sz w:val="22"/>
          <w:szCs w:val="22"/>
          <w:lang w:val="sr-Latn-BA"/>
        </w:rPr>
      </w:pPr>
    </w:p>
    <w:p w:rsidR="00055304" w:rsidRPr="000749E0" w:rsidRDefault="00833780" w:rsidP="00055304">
      <w:pPr>
        <w:rPr>
          <w:rFonts w:ascii="Arial Narrow" w:hAnsi="Arial Narrow" w:cs="Tahoma"/>
          <w:b/>
          <w:sz w:val="30"/>
          <w:szCs w:val="30"/>
          <w:lang w:val="sr-Cyrl-CS"/>
        </w:rPr>
      </w:pPr>
      <w:r>
        <w:rPr>
          <w:rFonts w:ascii="Arial Narrow" w:hAnsi="Arial Narrow" w:cs="Tahoma"/>
          <w:b/>
          <w:sz w:val="30"/>
          <w:szCs w:val="30"/>
        </w:rPr>
        <w:t>Coverage of import with export</w:t>
      </w:r>
      <w:r w:rsidRPr="00D93E1B">
        <w:rPr>
          <w:rFonts w:ascii="Arial Narrow" w:hAnsi="Arial Narrow" w:cs="Tahoma"/>
          <w:b/>
          <w:sz w:val="30"/>
          <w:szCs w:val="30"/>
          <w:lang w:val="sr-Cyrl-BA"/>
        </w:rPr>
        <w:t xml:space="preserve"> (</w:t>
      </w:r>
      <w:r>
        <w:rPr>
          <w:rFonts w:ascii="Arial Narrow" w:hAnsi="Arial Narrow" w:cs="Tahoma"/>
          <w:b/>
          <w:sz w:val="30"/>
          <w:szCs w:val="30"/>
        </w:rPr>
        <w:t>in the period</w:t>
      </w:r>
      <w:r w:rsidRPr="00D93E1B">
        <w:rPr>
          <w:rFonts w:ascii="Arial Narrow" w:hAnsi="Arial Narrow" w:cs="Tahoma"/>
          <w:b/>
          <w:sz w:val="30"/>
          <w:szCs w:val="30"/>
          <w:lang w:val="sr-Cyrl-BA"/>
        </w:rPr>
        <w:t xml:space="preserve"> </w:t>
      </w:r>
      <w:r>
        <w:rPr>
          <w:rFonts w:ascii="Arial Narrow" w:hAnsi="Arial Narrow" w:cs="Tahoma"/>
          <w:b/>
          <w:sz w:val="30"/>
          <w:szCs w:val="30"/>
          <w:lang w:val="sr-Latn-CS"/>
        </w:rPr>
        <w:t>January</w:t>
      </w:r>
      <w:r w:rsidRPr="000749E0">
        <w:rPr>
          <w:rFonts w:ascii="Arial Narrow" w:hAnsi="Arial Narrow" w:cs="Tahoma"/>
          <w:b/>
          <w:sz w:val="30"/>
          <w:szCs w:val="30"/>
          <w:lang w:val="sr-Cyrl-BA"/>
        </w:rPr>
        <w:t xml:space="preserve"> </w:t>
      </w:r>
      <w:r w:rsidR="00055304" w:rsidRPr="000749E0">
        <w:rPr>
          <w:rFonts w:ascii="Arial Narrow" w:hAnsi="Arial Narrow" w:cs="Tahoma"/>
          <w:b/>
          <w:sz w:val="30"/>
          <w:szCs w:val="30"/>
          <w:lang w:val="sr-Cyrl-BA"/>
        </w:rPr>
        <w:t>-</w:t>
      </w:r>
      <w:r>
        <w:rPr>
          <w:rFonts w:ascii="Arial Narrow" w:hAnsi="Arial Narrow" w:cs="Tahoma"/>
          <w:b/>
          <w:sz w:val="30"/>
          <w:szCs w:val="30"/>
        </w:rPr>
        <w:t>May</w:t>
      </w:r>
      <w:r w:rsidR="00055304" w:rsidRPr="000749E0">
        <w:rPr>
          <w:rFonts w:ascii="Arial Narrow" w:hAnsi="Arial Narrow" w:cs="Tahoma"/>
          <w:b/>
          <w:sz w:val="30"/>
          <w:szCs w:val="30"/>
          <w:lang w:val="sr-Cyrl-CS"/>
        </w:rPr>
        <w:t xml:space="preserve"> </w:t>
      </w:r>
      <w:r w:rsidR="00055304" w:rsidRPr="000749E0">
        <w:rPr>
          <w:rFonts w:ascii="Arial Narrow" w:hAnsi="Arial Narrow" w:cs="Tahoma"/>
          <w:b/>
          <w:sz w:val="30"/>
          <w:szCs w:val="30"/>
          <w:lang w:val="ru-RU"/>
        </w:rPr>
        <w:t>201</w:t>
      </w:r>
      <w:r>
        <w:rPr>
          <w:rFonts w:ascii="Arial Narrow" w:hAnsi="Arial Narrow" w:cs="Tahoma"/>
          <w:b/>
          <w:sz w:val="30"/>
          <w:szCs w:val="30"/>
        </w:rPr>
        <w:t>5</w:t>
      </w:r>
      <w:r w:rsidR="00055304" w:rsidRPr="000749E0">
        <w:rPr>
          <w:rFonts w:ascii="Arial Narrow" w:hAnsi="Arial Narrow" w:cs="Tahoma"/>
          <w:b/>
          <w:sz w:val="30"/>
          <w:szCs w:val="30"/>
          <w:lang w:val="sr-Cyrl-BA"/>
        </w:rPr>
        <w:t>)</w:t>
      </w:r>
      <w:r w:rsidR="00055304" w:rsidRPr="000749E0">
        <w:rPr>
          <w:rFonts w:ascii="Arial Narrow" w:hAnsi="Arial Narrow" w:cs="Tahoma"/>
          <w:b/>
          <w:sz w:val="30"/>
          <w:szCs w:val="30"/>
          <w:lang w:val="sr-Cyrl-CS"/>
        </w:rPr>
        <w:t xml:space="preserve"> </w:t>
      </w:r>
      <w:r w:rsidR="00C609AD" w:rsidRPr="000749E0">
        <w:rPr>
          <w:rFonts w:ascii="Arial Narrow" w:hAnsi="Arial Narrow" w:cs="Tahoma"/>
          <w:b/>
          <w:sz w:val="30"/>
          <w:szCs w:val="30"/>
          <w:lang w:val="hr-HR"/>
        </w:rPr>
        <w:t>5</w:t>
      </w:r>
      <w:r w:rsidR="00F673FF" w:rsidRPr="000749E0">
        <w:rPr>
          <w:rFonts w:ascii="Arial Narrow" w:hAnsi="Arial Narrow" w:cs="Tahoma"/>
          <w:b/>
          <w:sz w:val="30"/>
          <w:szCs w:val="30"/>
          <w:lang w:val="hr-HR"/>
        </w:rPr>
        <w:t>8</w:t>
      </w:r>
      <w:r>
        <w:rPr>
          <w:rFonts w:ascii="Arial Narrow" w:hAnsi="Arial Narrow" w:cs="Tahoma"/>
          <w:b/>
          <w:sz w:val="30"/>
          <w:szCs w:val="30"/>
          <w:lang w:val="hr-HR"/>
        </w:rPr>
        <w:t>.</w:t>
      </w:r>
      <w:r w:rsidR="00F673FF" w:rsidRPr="000749E0">
        <w:rPr>
          <w:rFonts w:ascii="Arial Narrow" w:hAnsi="Arial Narrow" w:cs="Tahoma"/>
          <w:b/>
          <w:sz w:val="30"/>
          <w:szCs w:val="30"/>
          <w:lang w:val="hr-HR"/>
        </w:rPr>
        <w:t>1</w:t>
      </w:r>
      <w:r w:rsidR="00055304" w:rsidRPr="000749E0">
        <w:rPr>
          <w:rFonts w:ascii="Arial Narrow" w:hAnsi="Arial Narrow" w:cs="Tahoma"/>
          <w:b/>
          <w:sz w:val="30"/>
          <w:szCs w:val="30"/>
          <w:lang w:val="ru-RU"/>
        </w:rPr>
        <w:t xml:space="preserve">% </w:t>
      </w:r>
    </w:p>
    <w:p w:rsidR="00055304" w:rsidRPr="000749E0" w:rsidRDefault="00055304" w:rsidP="00055304">
      <w:pPr>
        <w:tabs>
          <w:tab w:val="left" w:pos="300"/>
          <w:tab w:val="left" w:pos="1100"/>
        </w:tabs>
        <w:jc w:val="both"/>
        <w:rPr>
          <w:rFonts w:ascii="Tahoma" w:hAnsi="Tahoma" w:cs="Tahoma"/>
          <w:b/>
          <w:lang w:val="sr-Cyrl-BA"/>
        </w:rPr>
      </w:pPr>
    </w:p>
    <w:p w:rsidR="00055304" w:rsidRPr="000749E0" w:rsidRDefault="00341073" w:rsidP="00055304">
      <w:pPr>
        <w:jc w:val="both"/>
        <w:rPr>
          <w:rFonts w:ascii="Arial Narrow" w:hAnsi="Arial Narrow" w:cs="Tahoma"/>
          <w:sz w:val="22"/>
          <w:lang w:val="sr-Cyrl-BA"/>
        </w:rPr>
      </w:pPr>
      <w:r>
        <w:rPr>
          <w:rFonts w:ascii="Arial Narrow" w:hAnsi="Arial Narrow" w:cs="Tahoma"/>
          <w:sz w:val="22"/>
        </w:rPr>
        <w:t>In May</w:t>
      </w:r>
      <w:r w:rsidR="00055304" w:rsidRPr="000749E0">
        <w:rPr>
          <w:rFonts w:ascii="Arial Narrow" w:hAnsi="Arial Narrow" w:cs="Tahoma"/>
          <w:sz w:val="22"/>
          <w:lang w:val="sr-Cyrl-BA"/>
        </w:rPr>
        <w:t xml:space="preserve"> 201</w:t>
      </w:r>
      <w:r w:rsidR="00055304" w:rsidRPr="000749E0">
        <w:rPr>
          <w:rFonts w:ascii="Arial Narrow" w:hAnsi="Arial Narrow" w:cs="Tahoma"/>
          <w:sz w:val="22"/>
          <w:lang w:val="sr-Latn-CS"/>
        </w:rPr>
        <w:t>5</w:t>
      </w:r>
      <w:r>
        <w:rPr>
          <w:rFonts w:ascii="Arial Narrow" w:hAnsi="Arial Narrow" w:cs="Tahoma"/>
          <w:sz w:val="22"/>
        </w:rPr>
        <w:t>,</w:t>
      </w:r>
      <w:r w:rsidR="00055304" w:rsidRPr="000749E0">
        <w:rPr>
          <w:rFonts w:ascii="Arial Narrow" w:hAnsi="Arial Narrow" w:cs="Tahoma"/>
          <w:sz w:val="22"/>
          <w:lang w:val="sr-Cyrl-BA"/>
        </w:rPr>
        <w:t xml:space="preserve"> </w:t>
      </w:r>
      <w:r>
        <w:rPr>
          <w:rFonts w:ascii="Arial Narrow" w:hAnsi="Arial Narrow" w:cs="Tahoma"/>
          <w:sz w:val="22"/>
        </w:rPr>
        <w:t>the value of export amounted to</w:t>
      </w:r>
      <w:r w:rsidR="00055304" w:rsidRPr="000749E0">
        <w:rPr>
          <w:rFonts w:ascii="Arial Narrow" w:hAnsi="Arial Narrow" w:cs="Tahoma"/>
          <w:sz w:val="22"/>
          <w:lang w:val="sr-Cyrl-BA"/>
        </w:rPr>
        <w:t xml:space="preserve"> </w:t>
      </w:r>
      <w:r w:rsidR="00F673FF" w:rsidRPr="000749E0">
        <w:rPr>
          <w:rFonts w:ascii="Arial Narrow" w:hAnsi="Arial Narrow" w:cs="Tahoma"/>
          <w:sz w:val="22"/>
        </w:rPr>
        <w:t>207</w:t>
      </w:r>
      <w:r>
        <w:rPr>
          <w:rFonts w:ascii="Arial Narrow" w:hAnsi="Arial Narrow" w:cs="Tahoma"/>
          <w:sz w:val="22"/>
          <w:lang w:val="sr-Cyrl-BA"/>
        </w:rPr>
        <w:t xml:space="preserve"> </w:t>
      </w:r>
      <w:r>
        <w:rPr>
          <w:rFonts w:ascii="Arial Narrow" w:hAnsi="Arial Narrow" w:cs="Tahoma"/>
          <w:sz w:val="22"/>
        </w:rPr>
        <w:t>million</w:t>
      </w:r>
      <w:r w:rsidR="00055304" w:rsidRPr="000749E0">
        <w:rPr>
          <w:rFonts w:ascii="Arial Narrow" w:hAnsi="Arial Narrow" w:cs="Tahoma"/>
          <w:sz w:val="22"/>
          <w:lang w:val="sr-Cyrl-BA"/>
        </w:rPr>
        <w:t xml:space="preserve"> КМ </w:t>
      </w:r>
      <w:r>
        <w:rPr>
          <w:rFonts w:ascii="Arial Narrow" w:hAnsi="Arial Narrow" w:cs="Tahoma"/>
          <w:sz w:val="22"/>
        </w:rPr>
        <w:t>and the value of import was</w:t>
      </w:r>
      <w:r w:rsidR="00055304" w:rsidRPr="000749E0">
        <w:rPr>
          <w:rFonts w:ascii="Arial Narrow" w:hAnsi="Arial Narrow" w:cs="Tahoma"/>
          <w:sz w:val="22"/>
          <w:lang w:val="sr-Cyrl-BA"/>
        </w:rPr>
        <w:t xml:space="preserve"> </w:t>
      </w:r>
      <w:r w:rsidR="00C609AD" w:rsidRPr="000749E0">
        <w:rPr>
          <w:rFonts w:ascii="Arial Narrow" w:hAnsi="Arial Narrow" w:cs="Tahoma"/>
          <w:sz w:val="22"/>
          <w:lang w:val="sr-Cyrl-BA"/>
        </w:rPr>
        <w:t>3</w:t>
      </w:r>
      <w:r w:rsidR="00F673FF" w:rsidRPr="000749E0">
        <w:rPr>
          <w:rFonts w:ascii="Arial Narrow" w:hAnsi="Arial Narrow" w:cs="Tahoma"/>
          <w:sz w:val="22"/>
        </w:rPr>
        <w:t>92</w:t>
      </w:r>
      <w:r>
        <w:rPr>
          <w:rFonts w:ascii="Arial Narrow" w:hAnsi="Arial Narrow" w:cs="Tahoma"/>
          <w:sz w:val="22"/>
          <w:lang w:val="sr-Cyrl-BA"/>
        </w:rPr>
        <w:t xml:space="preserve"> </w:t>
      </w:r>
      <w:r>
        <w:rPr>
          <w:rFonts w:ascii="Arial Narrow" w:hAnsi="Arial Narrow" w:cs="Tahoma"/>
          <w:sz w:val="22"/>
        </w:rPr>
        <w:t>million</w:t>
      </w:r>
      <w:r w:rsidR="00055304" w:rsidRPr="000749E0">
        <w:rPr>
          <w:rFonts w:ascii="Arial Narrow" w:hAnsi="Arial Narrow" w:cs="Tahoma"/>
          <w:sz w:val="22"/>
          <w:lang w:val="sr-Cyrl-BA"/>
        </w:rPr>
        <w:t xml:space="preserve"> КМ.</w:t>
      </w:r>
    </w:p>
    <w:p w:rsidR="00055304" w:rsidRPr="000749E0" w:rsidRDefault="00055304" w:rsidP="00055304">
      <w:pPr>
        <w:jc w:val="both"/>
        <w:rPr>
          <w:rFonts w:ascii="Arial Narrow" w:hAnsi="Arial Narrow" w:cs="Tahoma"/>
          <w:sz w:val="22"/>
        </w:rPr>
      </w:pPr>
    </w:p>
    <w:p w:rsidR="00055304" w:rsidRPr="000749E0" w:rsidRDefault="00341073" w:rsidP="00055304">
      <w:pPr>
        <w:jc w:val="both"/>
        <w:rPr>
          <w:rFonts w:ascii="Arial Narrow" w:hAnsi="Arial Narrow" w:cs="Tahoma"/>
          <w:sz w:val="22"/>
          <w:szCs w:val="22"/>
          <w:lang w:val="ru-RU"/>
        </w:rPr>
      </w:pPr>
      <w:r>
        <w:rPr>
          <w:rFonts w:ascii="Arial Narrow" w:hAnsi="Arial Narrow" w:cs="Tahoma"/>
          <w:sz w:val="22"/>
        </w:rPr>
        <w:t xml:space="preserve">In the total external trade of Republika Srpska in May of the current year, the percentage of coverage of import with export was </w:t>
      </w:r>
      <w:r w:rsidR="00055304" w:rsidRPr="000749E0">
        <w:rPr>
          <w:rFonts w:ascii="Arial Narrow" w:hAnsi="Arial Narrow" w:cs="Tahoma"/>
          <w:sz w:val="22"/>
          <w:lang w:val="sr-Cyrl-BA"/>
        </w:rPr>
        <w:t>5</w:t>
      </w:r>
      <w:r w:rsidR="00F673FF" w:rsidRPr="000749E0">
        <w:rPr>
          <w:rFonts w:ascii="Arial Narrow" w:hAnsi="Arial Narrow" w:cs="Tahoma"/>
          <w:sz w:val="22"/>
        </w:rPr>
        <w:t>2</w:t>
      </w:r>
      <w:r>
        <w:rPr>
          <w:rFonts w:ascii="Arial Narrow" w:hAnsi="Arial Narrow" w:cs="Tahoma"/>
          <w:sz w:val="22"/>
        </w:rPr>
        <w:t>.</w:t>
      </w:r>
      <w:r w:rsidR="00F673FF" w:rsidRPr="000749E0">
        <w:rPr>
          <w:rFonts w:ascii="Arial Narrow" w:hAnsi="Arial Narrow" w:cs="Tahoma"/>
          <w:sz w:val="22"/>
        </w:rPr>
        <w:t>8</w:t>
      </w:r>
      <w:r w:rsidR="00055304" w:rsidRPr="000749E0">
        <w:rPr>
          <w:rFonts w:ascii="Arial Narrow" w:hAnsi="Arial Narrow" w:cs="Tahoma"/>
          <w:sz w:val="22"/>
          <w:lang w:val="sr-Cyrl-BA"/>
        </w:rPr>
        <w:t xml:space="preserve">%. </w:t>
      </w:r>
      <w:r>
        <w:rPr>
          <w:rFonts w:ascii="Arial Narrow" w:hAnsi="Arial Narrow" w:cs="Tahoma"/>
          <w:sz w:val="22"/>
        </w:rPr>
        <w:t xml:space="preserve">The percentage of coverage of import with export in the first five months of the current year was </w:t>
      </w:r>
      <w:r w:rsidR="002A0C13" w:rsidRPr="000749E0">
        <w:rPr>
          <w:rFonts w:ascii="Arial Narrow" w:hAnsi="Arial Narrow" w:cs="Tahoma"/>
          <w:sz w:val="22"/>
          <w:szCs w:val="22"/>
          <w:lang w:val="ru-RU"/>
        </w:rPr>
        <w:t>5</w:t>
      </w:r>
      <w:r w:rsidR="00F673FF" w:rsidRPr="000749E0">
        <w:rPr>
          <w:rFonts w:ascii="Arial Narrow" w:hAnsi="Arial Narrow" w:cs="Tahoma"/>
          <w:sz w:val="22"/>
          <w:szCs w:val="22"/>
        </w:rPr>
        <w:t>8</w:t>
      </w:r>
      <w:r w:rsidR="001D25B2">
        <w:rPr>
          <w:rFonts w:ascii="Arial Narrow" w:hAnsi="Arial Narrow" w:cs="Tahoma"/>
          <w:sz w:val="22"/>
          <w:szCs w:val="22"/>
        </w:rPr>
        <w:t>.</w:t>
      </w:r>
      <w:r w:rsidR="00F673FF" w:rsidRPr="000749E0">
        <w:rPr>
          <w:rFonts w:ascii="Arial Narrow" w:hAnsi="Arial Narrow" w:cs="Tahoma"/>
          <w:sz w:val="22"/>
          <w:szCs w:val="22"/>
        </w:rPr>
        <w:t>1</w:t>
      </w:r>
      <w:r w:rsidR="00055304" w:rsidRPr="000749E0">
        <w:rPr>
          <w:rFonts w:ascii="Arial Narrow" w:hAnsi="Arial Narrow" w:cs="Tahoma"/>
          <w:sz w:val="22"/>
          <w:szCs w:val="22"/>
          <w:lang w:val="ru-RU"/>
        </w:rPr>
        <w:t>%.</w:t>
      </w:r>
    </w:p>
    <w:p w:rsidR="00055304" w:rsidRPr="000749E0" w:rsidRDefault="00055304" w:rsidP="00055304">
      <w:pPr>
        <w:jc w:val="both"/>
        <w:rPr>
          <w:rFonts w:ascii="Arial Narrow" w:hAnsi="Arial Narrow" w:cs="Tahoma"/>
          <w:sz w:val="22"/>
        </w:rPr>
      </w:pPr>
    </w:p>
    <w:p w:rsidR="00055304" w:rsidRPr="000749E0" w:rsidRDefault="00521A1E" w:rsidP="00055304">
      <w:pPr>
        <w:jc w:val="both"/>
        <w:rPr>
          <w:rFonts w:ascii="Tahoma" w:hAnsi="Tahoma" w:cs="Tahoma"/>
          <w:lang w:val="ru-RU"/>
        </w:rPr>
      </w:pPr>
      <w:r>
        <w:rPr>
          <w:rFonts w:ascii="Arial Narrow" w:hAnsi="Arial Narrow" w:cs="Tahoma"/>
          <w:sz w:val="22"/>
        </w:rPr>
        <w:lastRenderedPageBreak/>
        <w:t>In the period January – May</w:t>
      </w:r>
      <w:r>
        <w:rPr>
          <w:rFonts w:ascii="Arial Narrow" w:hAnsi="Arial Narrow" w:cs="Tahoma"/>
          <w:sz w:val="22"/>
          <w:lang w:val="ru-RU"/>
        </w:rPr>
        <w:t xml:space="preserve"> 2015</w:t>
      </w:r>
      <w:r w:rsidR="0095029F">
        <w:rPr>
          <w:rFonts w:ascii="Arial Narrow" w:hAnsi="Arial Narrow" w:cs="Tahoma"/>
          <w:sz w:val="22"/>
        </w:rPr>
        <w:t>,</w:t>
      </w:r>
      <w:r w:rsidRPr="00521A1E">
        <w:rPr>
          <w:rFonts w:ascii="Arial Narrow" w:hAnsi="Arial Narrow" w:cs="Tahoma"/>
          <w:sz w:val="22"/>
        </w:rPr>
        <w:t xml:space="preserve"> </w:t>
      </w:r>
      <w:r>
        <w:rPr>
          <w:rFonts w:ascii="Arial Narrow" w:hAnsi="Arial Narrow" w:cs="Tahoma"/>
          <w:sz w:val="22"/>
        </w:rPr>
        <w:t xml:space="preserve">the value of export was </w:t>
      </w:r>
      <w:r w:rsidR="00F673FF" w:rsidRPr="000749E0">
        <w:rPr>
          <w:rFonts w:ascii="Arial Narrow" w:hAnsi="Arial Narrow" w:cs="Tahoma"/>
          <w:sz w:val="22"/>
        </w:rPr>
        <w:t>998</w:t>
      </w:r>
      <w:r w:rsidR="00055304" w:rsidRPr="000749E0">
        <w:rPr>
          <w:rFonts w:ascii="Arial Narrow" w:hAnsi="Arial Narrow" w:cs="Tahoma"/>
          <w:sz w:val="22"/>
          <w:lang w:val="ru-RU"/>
        </w:rPr>
        <w:t xml:space="preserve"> </w:t>
      </w:r>
      <w:r>
        <w:rPr>
          <w:rFonts w:ascii="Arial Narrow" w:hAnsi="Arial Narrow" w:cs="Tahoma"/>
          <w:sz w:val="22"/>
        </w:rPr>
        <w:t>million</w:t>
      </w:r>
      <w:r w:rsidR="007D21F0" w:rsidRPr="000749E0">
        <w:rPr>
          <w:rFonts w:ascii="Arial Narrow" w:hAnsi="Arial Narrow" w:cs="Tahoma"/>
          <w:sz w:val="22"/>
          <w:lang w:val="ru-RU"/>
        </w:rPr>
        <w:t xml:space="preserve"> КМ, </w:t>
      </w:r>
      <w:r w:rsidR="0095029F">
        <w:rPr>
          <w:rFonts w:ascii="Arial Narrow" w:hAnsi="Arial Narrow" w:cs="Tahoma"/>
          <w:sz w:val="22"/>
        </w:rPr>
        <w:t xml:space="preserve">which represented a decrease by </w:t>
      </w:r>
      <w:r w:rsidR="00F673FF" w:rsidRPr="000749E0">
        <w:rPr>
          <w:rFonts w:ascii="Arial Narrow" w:hAnsi="Arial Narrow" w:cs="Tahoma"/>
          <w:sz w:val="22"/>
        </w:rPr>
        <w:t>5</w:t>
      </w:r>
      <w:r w:rsidR="0095029F">
        <w:rPr>
          <w:rFonts w:ascii="Arial Narrow" w:hAnsi="Arial Narrow" w:cs="Tahoma"/>
          <w:sz w:val="22"/>
        </w:rPr>
        <w:t>.</w:t>
      </w:r>
      <w:r w:rsidR="00F673FF" w:rsidRPr="000749E0">
        <w:rPr>
          <w:rFonts w:ascii="Arial Narrow" w:hAnsi="Arial Narrow" w:cs="Tahoma"/>
          <w:sz w:val="22"/>
        </w:rPr>
        <w:t>6</w:t>
      </w:r>
      <w:r w:rsidR="00055304" w:rsidRPr="000749E0">
        <w:rPr>
          <w:rFonts w:ascii="Arial Narrow" w:hAnsi="Arial Narrow" w:cs="Tahoma"/>
          <w:sz w:val="22"/>
          <w:lang w:val="ru-RU"/>
        </w:rPr>
        <w:t xml:space="preserve">% </w:t>
      </w:r>
      <w:r w:rsidR="0095029F">
        <w:rPr>
          <w:rFonts w:ascii="Arial Narrow" w:hAnsi="Arial Narrow" w:cs="Tahoma"/>
          <w:sz w:val="22"/>
        </w:rPr>
        <w:t>compared to the same period of the previous year</w:t>
      </w:r>
      <w:r w:rsidR="00055304" w:rsidRPr="000749E0">
        <w:rPr>
          <w:rFonts w:ascii="Arial Narrow" w:hAnsi="Arial Narrow" w:cs="Tahoma"/>
          <w:sz w:val="22"/>
          <w:lang w:val="ru-RU"/>
        </w:rPr>
        <w:t xml:space="preserve">. </w:t>
      </w:r>
      <w:r w:rsidR="0095029F">
        <w:rPr>
          <w:rFonts w:ascii="Arial Narrow" w:hAnsi="Arial Narrow" w:cs="Tahoma"/>
          <w:sz w:val="22"/>
        </w:rPr>
        <w:t xml:space="preserve">During the same period, the value of import was 1 billion and </w:t>
      </w:r>
      <w:r w:rsidR="00F673FF" w:rsidRPr="000749E0">
        <w:rPr>
          <w:rFonts w:ascii="Arial Narrow" w:hAnsi="Arial Narrow" w:cs="Tahoma"/>
          <w:sz w:val="22"/>
        </w:rPr>
        <w:t>719</w:t>
      </w:r>
      <w:r w:rsidR="007D4692" w:rsidRPr="000749E0">
        <w:rPr>
          <w:rFonts w:ascii="Arial Narrow" w:hAnsi="Arial Narrow" w:cs="Tahoma"/>
          <w:sz w:val="22"/>
          <w:lang w:val="ru-RU"/>
        </w:rPr>
        <w:t xml:space="preserve"> </w:t>
      </w:r>
      <w:r w:rsidR="0095029F">
        <w:rPr>
          <w:rFonts w:ascii="Arial Narrow" w:hAnsi="Arial Narrow" w:cs="Tahoma"/>
          <w:sz w:val="22"/>
        </w:rPr>
        <w:t>million</w:t>
      </w:r>
      <w:r w:rsidR="00055304" w:rsidRPr="000749E0">
        <w:rPr>
          <w:rFonts w:ascii="Arial Narrow" w:hAnsi="Arial Narrow" w:cs="Tahoma"/>
          <w:sz w:val="22"/>
          <w:lang w:val="ru-RU"/>
        </w:rPr>
        <w:t xml:space="preserve"> КМ, </w:t>
      </w:r>
      <w:r w:rsidR="0095029F">
        <w:rPr>
          <w:rFonts w:ascii="Arial Narrow" w:hAnsi="Arial Narrow" w:cs="Tahoma"/>
          <w:sz w:val="22"/>
        </w:rPr>
        <w:t>which represented a decrease by</w:t>
      </w:r>
      <w:r w:rsidR="00E95EA9" w:rsidRPr="000749E0">
        <w:rPr>
          <w:rFonts w:ascii="Arial Narrow" w:hAnsi="Arial Narrow" w:cs="Tahoma"/>
          <w:sz w:val="22"/>
        </w:rPr>
        <w:t xml:space="preserve"> </w:t>
      </w:r>
      <w:r w:rsidR="002A0C13" w:rsidRPr="000749E0">
        <w:rPr>
          <w:rFonts w:ascii="Arial Narrow" w:hAnsi="Arial Narrow" w:cs="Tahoma"/>
          <w:sz w:val="22"/>
          <w:lang w:val="ru-RU"/>
        </w:rPr>
        <w:t>8</w:t>
      </w:r>
      <w:r w:rsidR="0095029F">
        <w:rPr>
          <w:rFonts w:ascii="Arial Narrow" w:hAnsi="Arial Narrow" w:cs="Tahoma"/>
          <w:sz w:val="22"/>
          <w:lang w:val="sr-Latn-CS"/>
        </w:rPr>
        <w:t>.</w:t>
      </w:r>
      <w:r w:rsidR="00F673FF" w:rsidRPr="000749E0">
        <w:rPr>
          <w:rFonts w:ascii="Arial Narrow" w:hAnsi="Arial Narrow" w:cs="Tahoma"/>
          <w:sz w:val="22"/>
        </w:rPr>
        <w:t>5</w:t>
      </w:r>
      <w:r w:rsidR="00055304" w:rsidRPr="000749E0">
        <w:rPr>
          <w:rFonts w:ascii="Arial Narrow" w:hAnsi="Arial Narrow" w:cs="Tahoma"/>
          <w:sz w:val="22"/>
          <w:lang w:val="ru-RU"/>
        </w:rPr>
        <w:t xml:space="preserve">% </w:t>
      </w:r>
      <w:r w:rsidR="0095029F">
        <w:rPr>
          <w:rFonts w:ascii="Arial Narrow" w:hAnsi="Arial Narrow" w:cs="Tahoma"/>
          <w:sz w:val="22"/>
          <w:lang w:val="sr-Latn-CS"/>
        </w:rPr>
        <w:t>compared to the same period of the previous year</w:t>
      </w:r>
      <w:r w:rsidR="00055304" w:rsidRPr="000749E0">
        <w:rPr>
          <w:rFonts w:ascii="Arial Narrow" w:hAnsi="Arial Narrow" w:cs="Tahoma"/>
          <w:sz w:val="22"/>
          <w:lang w:val="ru-RU"/>
        </w:rPr>
        <w:t xml:space="preserve">. </w:t>
      </w:r>
    </w:p>
    <w:p w:rsidR="00055304" w:rsidRPr="000749E0" w:rsidRDefault="00055304" w:rsidP="00055304">
      <w:pPr>
        <w:jc w:val="both"/>
        <w:rPr>
          <w:rFonts w:ascii="Arial Narrow" w:hAnsi="Arial Narrow" w:cs="Tahoma"/>
          <w:sz w:val="22"/>
          <w:lang w:val="ru-RU"/>
        </w:rPr>
      </w:pPr>
    </w:p>
    <w:p w:rsidR="00055304" w:rsidRPr="000749E0" w:rsidRDefault="00232455" w:rsidP="00055304">
      <w:pPr>
        <w:tabs>
          <w:tab w:val="left" w:pos="300"/>
          <w:tab w:val="left" w:pos="1100"/>
        </w:tabs>
        <w:jc w:val="both"/>
        <w:rPr>
          <w:rFonts w:ascii="Arial Narrow" w:hAnsi="Arial Narrow" w:cs="Tahoma"/>
          <w:sz w:val="22"/>
          <w:lang w:val="sr-Cyrl-CS"/>
        </w:rPr>
      </w:pPr>
      <w:r w:rsidRPr="007A6714">
        <w:rPr>
          <w:rFonts w:ascii="Arial Narrow" w:hAnsi="Arial Narrow" w:cs="Tahoma"/>
          <w:sz w:val="22"/>
        </w:rPr>
        <w:t>In terms of the geographical distribution of external trade of Republika Srpska, in the period January –</w:t>
      </w:r>
      <w:r>
        <w:rPr>
          <w:rFonts w:ascii="Arial Narrow" w:hAnsi="Arial Narrow" w:cs="Tahoma"/>
          <w:sz w:val="22"/>
        </w:rPr>
        <w:t xml:space="preserve"> May 2015, </w:t>
      </w:r>
      <w:r w:rsidRPr="007A6714">
        <w:rPr>
          <w:rFonts w:ascii="Arial Narrow" w:hAnsi="Arial Narrow" w:cs="Tahoma"/>
          <w:sz w:val="22"/>
        </w:rPr>
        <w:t>the highest value of export was that of export to</w:t>
      </w:r>
      <w:r w:rsidR="00055304" w:rsidRPr="000749E0">
        <w:rPr>
          <w:rFonts w:ascii="Arial Narrow" w:hAnsi="Arial Narrow" w:cs="Tahoma"/>
          <w:sz w:val="22"/>
          <w:lang w:val="sr-Cyrl-CS"/>
        </w:rPr>
        <w:t xml:space="preserve"> </w:t>
      </w:r>
      <w:r>
        <w:rPr>
          <w:rFonts w:ascii="Arial Narrow" w:hAnsi="Arial Narrow" w:cs="Tahoma"/>
          <w:sz w:val="22"/>
        </w:rPr>
        <w:t>Italy, with</w:t>
      </w:r>
      <w:r w:rsidR="00055304" w:rsidRPr="000749E0">
        <w:rPr>
          <w:rFonts w:ascii="Arial Narrow" w:hAnsi="Arial Narrow" w:cs="Tahoma"/>
          <w:sz w:val="22"/>
          <w:lang w:val="sr-Cyrl-CS"/>
        </w:rPr>
        <w:t xml:space="preserve"> </w:t>
      </w:r>
      <w:r w:rsidR="005129F3" w:rsidRPr="000749E0">
        <w:rPr>
          <w:rFonts w:ascii="Arial Narrow" w:hAnsi="Arial Narrow" w:cs="Tahoma"/>
          <w:sz w:val="22"/>
        </w:rPr>
        <w:t>191</w:t>
      </w:r>
      <w:r w:rsidR="00055304" w:rsidRPr="000749E0">
        <w:rPr>
          <w:rFonts w:ascii="Arial Narrow" w:hAnsi="Arial Narrow" w:cs="Tahoma"/>
          <w:sz w:val="22"/>
          <w:lang w:val="sr-Cyrl-CS"/>
        </w:rPr>
        <w:t xml:space="preserve"> </w:t>
      </w:r>
      <w:r>
        <w:rPr>
          <w:rFonts w:ascii="Arial Narrow" w:hAnsi="Arial Narrow" w:cs="Tahoma"/>
          <w:sz w:val="22"/>
        </w:rPr>
        <w:t>million</w:t>
      </w:r>
      <w:r w:rsidR="00055304" w:rsidRPr="000749E0">
        <w:rPr>
          <w:rFonts w:ascii="Arial Narrow" w:hAnsi="Arial Narrow" w:cs="Tahoma"/>
          <w:sz w:val="22"/>
          <w:lang w:val="sr-Cyrl-CS"/>
        </w:rPr>
        <w:t xml:space="preserve"> КМ</w:t>
      </w:r>
      <w:r>
        <w:rPr>
          <w:rFonts w:ascii="Arial Narrow" w:hAnsi="Arial Narrow" w:cs="Tahoma"/>
          <w:sz w:val="22"/>
        </w:rPr>
        <w:t xml:space="preserve"> or</w:t>
      </w:r>
      <w:r w:rsidR="00055304" w:rsidRPr="000749E0">
        <w:rPr>
          <w:rFonts w:ascii="Arial Narrow" w:hAnsi="Arial Narrow" w:cs="Tahoma"/>
          <w:sz w:val="22"/>
          <w:lang w:val="sr-Cyrl-CS"/>
        </w:rPr>
        <w:t xml:space="preserve"> 1</w:t>
      </w:r>
      <w:r w:rsidR="004B6831" w:rsidRPr="000749E0">
        <w:rPr>
          <w:rFonts w:ascii="Arial Narrow" w:hAnsi="Arial Narrow" w:cs="Tahoma"/>
          <w:sz w:val="22"/>
          <w:lang w:val="sr-Cyrl-CS"/>
        </w:rPr>
        <w:t>9</w:t>
      </w:r>
      <w:r>
        <w:rPr>
          <w:rFonts w:ascii="Arial Narrow" w:hAnsi="Arial Narrow" w:cs="Tahoma"/>
          <w:sz w:val="22"/>
        </w:rPr>
        <w:t>.</w:t>
      </w:r>
      <w:r w:rsidR="005129F3" w:rsidRPr="000749E0">
        <w:rPr>
          <w:rFonts w:ascii="Arial Narrow" w:hAnsi="Arial Narrow" w:cs="Tahoma"/>
          <w:sz w:val="22"/>
        </w:rPr>
        <w:t>1</w:t>
      </w:r>
      <w:r w:rsidR="00055304" w:rsidRPr="000749E0">
        <w:rPr>
          <w:rFonts w:ascii="Arial Narrow" w:hAnsi="Arial Narrow" w:cs="Tahoma"/>
          <w:sz w:val="22"/>
          <w:lang w:val="sr-Cyrl-CS"/>
        </w:rPr>
        <w:t>%</w:t>
      </w:r>
      <w:r w:rsidR="00055304" w:rsidRPr="000749E0">
        <w:rPr>
          <w:rFonts w:ascii="Arial Narrow" w:hAnsi="Arial Narrow" w:cs="Tahoma"/>
          <w:sz w:val="22"/>
          <w:lang w:val="ru-RU"/>
        </w:rPr>
        <w:t xml:space="preserve">, </w:t>
      </w:r>
      <w:r>
        <w:rPr>
          <w:rFonts w:ascii="Arial Narrow" w:hAnsi="Arial Narrow" w:cs="Tahoma"/>
          <w:sz w:val="22"/>
        </w:rPr>
        <w:t>followed by Serbia with</w:t>
      </w:r>
      <w:r w:rsidR="004B6831" w:rsidRPr="000749E0">
        <w:rPr>
          <w:rFonts w:ascii="Arial Narrow" w:hAnsi="Arial Narrow" w:cs="Tahoma"/>
          <w:sz w:val="22"/>
          <w:lang w:val="sr-Cyrl-CS"/>
        </w:rPr>
        <w:t xml:space="preserve"> </w:t>
      </w:r>
      <w:r w:rsidR="005129F3" w:rsidRPr="000749E0">
        <w:rPr>
          <w:rFonts w:ascii="Arial Narrow" w:hAnsi="Arial Narrow" w:cs="Tahoma"/>
          <w:sz w:val="22"/>
        </w:rPr>
        <w:t>132</w:t>
      </w:r>
      <w:r w:rsidR="00055304" w:rsidRPr="000749E0">
        <w:rPr>
          <w:rFonts w:ascii="Arial Narrow" w:hAnsi="Arial Narrow" w:cs="Tahoma"/>
          <w:sz w:val="22"/>
          <w:lang w:val="sr-Cyrl-CS"/>
        </w:rPr>
        <w:t xml:space="preserve"> </w:t>
      </w:r>
      <w:r>
        <w:rPr>
          <w:rFonts w:ascii="Arial Narrow" w:hAnsi="Arial Narrow" w:cs="Tahoma"/>
          <w:sz w:val="22"/>
        </w:rPr>
        <w:t>million</w:t>
      </w:r>
      <w:r>
        <w:rPr>
          <w:rFonts w:ascii="Arial Narrow" w:hAnsi="Arial Narrow" w:cs="Tahoma"/>
          <w:sz w:val="22"/>
          <w:lang w:val="sr-Cyrl-CS"/>
        </w:rPr>
        <w:t xml:space="preserve"> КМ</w:t>
      </w:r>
      <w:r>
        <w:rPr>
          <w:rFonts w:ascii="Arial Narrow" w:hAnsi="Arial Narrow" w:cs="Tahoma"/>
          <w:sz w:val="22"/>
        </w:rPr>
        <w:t xml:space="preserve"> or </w:t>
      </w:r>
      <w:r w:rsidR="00055304" w:rsidRPr="000749E0">
        <w:rPr>
          <w:rFonts w:ascii="Arial Narrow" w:hAnsi="Arial Narrow" w:cs="Tahoma"/>
          <w:sz w:val="22"/>
          <w:lang w:val="sr-Cyrl-CS"/>
        </w:rPr>
        <w:t>1</w:t>
      </w:r>
      <w:r w:rsidR="00B831CA" w:rsidRPr="000749E0">
        <w:rPr>
          <w:rFonts w:ascii="Arial Narrow" w:hAnsi="Arial Narrow" w:cs="Tahoma"/>
          <w:sz w:val="22"/>
          <w:lang w:val="sr-Cyrl-CS"/>
        </w:rPr>
        <w:t>3</w:t>
      </w:r>
      <w:r>
        <w:rPr>
          <w:rFonts w:ascii="Arial Narrow" w:hAnsi="Arial Narrow" w:cs="Tahoma"/>
          <w:sz w:val="22"/>
        </w:rPr>
        <w:t>.</w:t>
      </w:r>
      <w:r w:rsidR="005129F3" w:rsidRPr="000749E0">
        <w:rPr>
          <w:rFonts w:ascii="Arial Narrow" w:hAnsi="Arial Narrow" w:cs="Tahoma"/>
          <w:sz w:val="22"/>
        </w:rPr>
        <w:t>2</w:t>
      </w:r>
      <w:r w:rsidR="00055304" w:rsidRPr="000749E0">
        <w:rPr>
          <w:rFonts w:ascii="Arial Narrow" w:hAnsi="Arial Narrow" w:cs="Tahoma"/>
          <w:sz w:val="22"/>
          <w:lang w:val="sr-Cyrl-CS"/>
        </w:rPr>
        <w:t xml:space="preserve">% </w:t>
      </w:r>
      <w:r>
        <w:rPr>
          <w:rFonts w:ascii="Arial Narrow" w:hAnsi="Arial Narrow" w:cs="Tahoma"/>
          <w:sz w:val="22"/>
        </w:rPr>
        <w:t>of the total realised export.</w:t>
      </w:r>
      <w:r w:rsidR="001D1C4F" w:rsidRPr="000749E0">
        <w:rPr>
          <w:rFonts w:ascii="Arial Narrow" w:hAnsi="Arial Narrow" w:cs="Tahoma"/>
          <w:sz w:val="22"/>
          <w:lang w:val="sr-Cyrl-CS"/>
        </w:rPr>
        <w:t xml:space="preserve"> </w:t>
      </w:r>
      <w:r>
        <w:rPr>
          <w:rFonts w:ascii="Arial Narrow" w:hAnsi="Arial Narrow" w:cs="Tahoma"/>
          <w:sz w:val="22"/>
        </w:rPr>
        <w:t xml:space="preserve">During the same period, the highest value of import was that of import from Serbia, with </w:t>
      </w:r>
      <w:r w:rsidR="005129F3" w:rsidRPr="000749E0">
        <w:rPr>
          <w:rFonts w:ascii="Arial Narrow" w:hAnsi="Arial Narrow" w:cs="Tahoma"/>
          <w:sz w:val="22"/>
        </w:rPr>
        <w:t>292</w:t>
      </w:r>
      <w:r w:rsidR="00055304" w:rsidRPr="000749E0">
        <w:rPr>
          <w:rFonts w:ascii="Arial Narrow" w:hAnsi="Arial Narrow" w:cs="Tahoma"/>
          <w:sz w:val="22"/>
          <w:lang w:val="sr-Cyrl-CS"/>
        </w:rPr>
        <w:t xml:space="preserve"> </w:t>
      </w:r>
      <w:r>
        <w:rPr>
          <w:rFonts w:ascii="Arial Narrow" w:hAnsi="Arial Narrow" w:cs="Tahoma"/>
          <w:sz w:val="22"/>
        </w:rPr>
        <w:t>million</w:t>
      </w:r>
      <w:r>
        <w:rPr>
          <w:rFonts w:ascii="Arial Narrow" w:hAnsi="Arial Narrow" w:cs="Tahoma"/>
          <w:sz w:val="22"/>
          <w:lang w:val="sr-Cyrl-CS"/>
        </w:rPr>
        <w:t xml:space="preserve"> КМ</w:t>
      </w:r>
      <w:r>
        <w:rPr>
          <w:rFonts w:ascii="Arial Narrow" w:hAnsi="Arial Narrow" w:cs="Tahoma"/>
          <w:sz w:val="22"/>
        </w:rPr>
        <w:t xml:space="preserve"> or</w:t>
      </w:r>
      <w:r w:rsidR="00055304" w:rsidRPr="000749E0">
        <w:rPr>
          <w:rFonts w:ascii="Arial Narrow" w:hAnsi="Arial Narrow" w:cs="Tahoma"/>
          <w:sz w:val="22"/>
          <w:lang w:val="sr-Cyrl-CS"/>
        </w:rPr>
        <w:t xml:space="preserve"> 1</w:t>
      </w:r>
      <w:r w:rsidR="004B6831" w:rsidRPr="000749E0">
        <w:rPr>
          <w:rFonts w:ascii="Arial Narrow" w:hAnsi="Arial Narrow" w:cs="Tahoma"/>
          <w:sz w:val="22"/>
          <w:lang w:val="sr-Cyrl-CS"/>
        </w:rPr>
        <w:t>7</w:t>
      </w:r>
      <w:r>
        <w:rPr>
          <w:rFonts w:ascii="Arial Narrow" w:hAnsi="Arial Narrow" w:cs="Tahoma"/>
          <w:sz w:val="22"/>
        </w:rPr>
        <w:t>.</w:t>
      </w:r>
      <w:r w:rsidR="005129F3" w:rsidRPr="000749E0">
        <w:rPr>
          <w:rFonts w:ascii="Arial Narrow" w:hAnsi="Arial Narrow" w:cs="Tahoma"/>
          <w:sz w:val="22"/>
        </w:rPr>
        <w:t>0</w:t>
      </w:r>
      <w:r>
        <w:rPr>
          <w:rFonts w:ascii="Arial Narrow" w:hAnsi="Arial Narrow" w:cs="Tahoma"/>
          <w:sz w:val="22"/>
        </w:rPr>
        <w:t xml:space="preserve">%, followed by Russia with </w:t>
      </w:r>
      <w:r w:rsidR="005129F3" w:rsidRPr="000749E0">
        <w:rPr>
          <w:rFonts w:ascii="Arial Narrow" w:hAnsi="Arial Narrow" w:cs="Tahoma"/>
          <w:sz w:val="22"/>
        </w:rPr>
        <w:t>236</w:t>
      </w:r>
      <w:r w:rsidR="00B85E7F" w:rsidRPr="000749E0">
        <w:rPr>
          <w:rFonts w:ascii="Arial Narrow" w:hAnsi="Arial Narrow" w:cs="Tahoma"/>
          <w:sz w:val="22"/>
          <w:lang w:val="sr-Cyrl-CS"/>
        </w:rPr>
        <w:t xml:space="preserve"> </w:t>
      </w:r>
      <w:r>
        <w:rPr>
          <w:rFonts w:ascii="Arial Narrow" w:hAnsi="Arial Narrow" w:cs="Tahoma"/>
          <w:sz w:val="22"/>
        </w:rPr>
        <w:t>million</w:t>
      </w:r>
      <w:r>
        <w:rPr>
          <w:rFonts w:ascii="Arial Narrow" w:hAnsi="Arial Narrow" w:cs="Tahoma"/>
          <w:sz w:val="22"/>
          <w:lang w:val="sr-Cyrl-CS"/>
        </w:rPr>
        <w:t xml:space="preserve"> КМ</w:t>
      </w:r>
      <w:r>
        <w:rPr>
          <w:rFonts w:ascii="Arial Narrow" w:hAnsi="Arial Narrow" w:cs="Tahoma"/>
          <w:sz w:val="22"/>
        </w:rPr>
        <w:t xml:space="preserve"> or </w:t>
      </w:r>
      <w:r w:rsidR="00B85E7F" w:rsidRPr="000749E0">
        <w:rPr>
          <w:rFonts w:ascii="Arial Narrow" w:hAnsi="Arial Narrow" w:cs="Tahoma"/>
          <w:sz w:val="22"/>
          <w:lang w:val="sr-Cyrl-CS"/>
        </w:rPr>
        <w:t>1</w:t>
      </w:r>
      <w:r w:rsidR="005129F3" w:rsidRPr="000749E0">
        <w:rPr>
          <w:rFonts w:ascii="Arial Narrow" w:hAnsi="Arial Narrow" w:cs="Tahoma"/>
          <w:sz w:val="22"/>
        </w:rPr>
        <w:t>3</w:t>
      </w:r>
      <w:r>
        <w:rPr>
          <w:rFonts w:ascii="Arial Narrow" w:hAnsi="Arial Narrow" w:cs="Tahoma"/>
          <w:sz w:val="22"/>
        </w:rPr>
        <w:t>.</w:t>
      </w:r>
      <w:r w:rsidR="005129F3" w:rsidRPr="000749E0">
        <w:rPr>
          <w:rFonts w:ascii="Arial Narrow" w:hAnsi="Arial Narrow" w:cs="Tahoma"/>
          <w:sz w:val="22"/>
        </w:rPr>
        <w:t>8</w:t>
      </w:r>
      <w:r w:rsidR="00055304" w:rsidRPr="000749E0">
        <w:rPr>
          <w:rFonts w:ascii="Arial Narrow" w:hAnsi="Arial Narrow" w:cs="Tahoma"/>
          <w:sz w:val="22"/>
          <w:lang w:val="sr-Cyrl-CS"/>
        </w:rPr>
        <w:t xml:space="preserve">% </w:t>
      </w:r>
      <w:r>
        <w:rPr>
          <w:rFonts w:ascii="Arial Narrow" w:hAnsi="Arial Narrow" w:cs="Tahoma"/>
          <w:sz w:val="22"/>
        </w:rPr>
        <w:t>of the total realised import</w:t>
      </w:r>
      <w:r w:rsidR="00055304" w:rsidRPr="000749E0">
        <w:rPr>
          <w:rFonts w:ascii="Arial Narrow" w:hAnsi="Arial Narrow" w:cs="Tahoma"/>
          <w:sz w:val="22"/>
          <w:lang w:val="sr-Cyrl-CS"/>
        </w:rPr>
        <w:t>.</w:t>
      </w:r>
    </w:p>
    <w:p w:rsidR="00055304" w:rsidRPr="000749E0" w:rsidRDefault="00055304" w:rsidP="00055304">
      <w:pPr>
        <w:tabs>
          <w:tab w:val="left" w:pos="300"/>
          <w:tab w:val="left" w:pos="1100"/>
        </w:tabs>
        <w:jc w:val="both"/>
        <w:rPr>
          <w:rFonts w:ascii="Arial Narrow" w:hAnsi="Arial Narrow" w:cs="Tahoma"/>
          <w:sz w:val="22"/>
          <w:lang w:val="sr-Cyrl-CS"/>
        </w:rPr>
      </w:pPr>
    </w:p>
    <w:p w:rsidR="00A43E60" w:rsidRPr="00B66396" w:rsidRDefault="00A43E60" w:rsidP="00A43E60">
      <w:pPr>
        <w:tabs>
          <w:tab w:val="left" w:pos="300"/>
          <w:tab w:val="left" w:pos="1100"/>
        </w:tabs>
        <w:jc w:val="both"/>
        <w:rPr>
          <w:rFonts w:ascii="Arial Narrow" w:hAnsi="Arial Narrow" w:cs="Tahoma"/>
          <w:color w:val="0070C0"/>
          <w:sz w:val="22"/>
          <w:lang w:val="sr-Cyrl-CS"/>
        </w:rPr>
      </w:pPr>
      <w:r>
        <w:rPr>
          <w:rFonts w:ascii="Arial Narrow" w:hAnsi="Arial Narrow" w:cs="Tahoma"/>
          <w:sz w:val="22"/>
        </w:rPr>
        <w:t xml:space="preserve">By group of products, in the period January – May 2015, the highest </w:t>
      </w:r>
      <w:r w:rsidRPr="007A6714">
        <w:rPr>
          <w:rFonts w:ascii="Arial Narrow" w:hAnsi="Arial Narrow" w:cs="Tahoma"/>
          <w:sz w:val="22"/>
        </w:rPr>
        <w:t>share in export was that of</w:t>
      </w:r>
      <w:r w:rsidRPr="007E2179">
        <w:rPr>
          <w:rFonts w:ascii="Arial Narrow" w:hAnsi="Arial Narrow" w:cs="Tahoma"/>
          <w:sz w:val="22"/>
          <w:lang w:val="sr-Cyrl-BA"/>
        </w:rPr>
        <w:t xml:space="preserve"> </w:t>
      </w:r>
      <w:r>
        <w:rPr>
          <w:rFonts w:ascii="Arial Narrow" w:hAnsi="Arial Narrow" w:cs="Tahoma"/>
          <w:sz w:val="22"/>
          <w:lang w:val="sr-Cyrl-BA"/>
        </w:rPr>
        <w:t xml:space="preserve">artificial corundum, </w:t>
      </w:r>
      <w:r>
        <w:rPr>
          <w:rFonts w:ascii="Arial Narrow" w:hAnsi="Arial Narrow" w:cs="Tahoma"/>
          <w:sz w:val="22"/>
        </w:rPr>
        <w:t xml:space="preserve">aluminium oxide and aluminium hydroxide with the total value of 62 million KM, which was 6.2% of the total export, while the highest share in import was that of </w:t>
      </w:r>
      <w:r w:rsidRPr="007A6714">
        <w:rPr>
          <w:rFonts w:ascii="Arial Narrow" w:hAnsi="Arial Narrow" w:cs="Tahoma"/>
          <w:sz w:val="22"/>
        </w:rPr>
        <w:t>petroleum and oils obtained from bituminous minerals (</w:t>
      </w:r>
      <w:r>
        <w:rPr>
          <w:rFonts w:ascii="Arial Narrow" w:hAnsi="Arial Narrow" w:cs="Tahoma"/>
          <w:sz w:val="22"/>
        </w:rPr>
        <w:t>crude</w:t>
      </w:r>
      <w:r w:rsidRPr="007A6714">
        <w:rPr>
          <w:rFonts w:ascii="Arial Narrow" w:hAnsi="Arial Narrow" w:cs="Tahoma"/>
          <w:sz w:val="22"/>
        </w:rPr>
        <w:t>),</w:t>
      </w:r>
      <w:r>
        <w:rPr>
          <w:rFonts w:ascii="Arial Narrow" w:hAnsi="Arial Narrow" w:cs="Tahoma"/>
          <w:sz w:val="22"/>
        </w:rPr>
        <w:t xml:space="preserve"> with the total value of 220 million KM, which was 12.8% of the total import. </w:t>
      </w:r>
    </w:p>
    <w:p w:rsidR="00A43E60" w:rsidRDefault="00A43E60" w:rsidP="00055304">
      <w:pPr>
        <w:tabs>
          <w:tab w:val="left" w:pos="300"/>
          <w:tab w:val="left" w:pos="1100"/>
        </w:tabs>
        <w:jc w:val="both"/>
        <w:rPr>
          <w:rFonts w:ascii="Arial Narrow" w:hAnsi="Arial Narrow" w:cs="Tahoma"/>
          <w:bCs/>
          <w:sz w:val="22"/>
          <w:szCs w:val="22"/>
        </w:rPr>
      </w:pPr>
    </w:p>
    <w:p w:rsidR="00115CDB" w:rsidRPr="000749E0" w:rsidRDefault="00115CDB" w:rsidP="00115CDB">
      <w:pPr>
        <w:tabs>
          <w:tab w:val="left" w:pos="300"/>
          <w:tab w:val="left" w:pos="1100"/>
        </w:tabs>
        <w:jc w:val="both"/>
        <w:rPr>
          <w:rFonts w:ascii="Tahoma" w:hAnsi="Tahoma" w:cs="Tahoma"/>
          <w:sz w:val="18"/>
          <w:szCs w:val="18"/>
          <w:lang w:val="sr-Cyrl-CS"/>
        </w:rPr>
      </w:pPr>
    </w:p>
    <w:p w:rsidR="00252DE1" w:rsidRPr="000749E0" w:rsidRDefault="00252DE1" w:rsidP="00451451">
      <w:pPr>
        <w:tabs>
          <w:tab w:val="left" w:pos="300"/>
          <w:tab w:val="left" w:pos="1100"/>
        </w:tabs>
        <w:jc w:val="center"/>
        <w:rPr>
          <w:rFonts w:ascii="Tahoma" w:hAnsi="Tahoma" w:cs="Tahoma"/>
          <w:sz w:val="16"/>
          <w:szCs w:val="16"/>
          <w:lang w:val="sr-Latn-BA"/>
        </w:rPr>
      </w:pPr>
    </w:p>
    <w:p w:rsidR="00252DE1" w:rsidRPr="000749E0" w:rsidRDefault="00843472" w:rsidP="00451451">
      <w:pPr>
        <w:tabs>
          <w:tab w:val="left" w:pos="300"/>
          <w:tab w:val="left" w:pos="1100"/>
        </w:tabs>
        <w:jc w:val="center"/>
        <w:rPr>
          <w:rFonts w:ascii="Tahoma" w:hAnsi="Tahoma" w:cs="Tahoma"/>
          <w:sz w:val="16"/>
          <w:szCs w:val="16"/>
          <w:lang w:val="sr-Latn-BA"/>
        </w:rPr>
      </w:pPr>
      <w:r>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268.95pt;margin-top:2.4pt;width:64.2pt;height:19.75pt;z-index:251664384;mso-width-relative:margin;mso-height-relative:margin" stroked="f">
            <v:textbox style="mso-next-textbox:#_x0000_s1068">
              <w:txbxContent>
                <w:p w:rsidR="005B429E" w:rsidRPr="000A1309" w:rsidRDefault="005B429E" w:rsidP="008809BE">
                  <w:pPr>
                    <w:jc w:val="right"/>
                    <w:rPr>
                      <w:rFonts w:ascii="Arial Narrow" w:hAnsi="Arial Narrow" w:cs="Tahoma"/>
                      <w:sz w:val="16"/>
                      <w:szCs w:val="16"/>
                      <w:lang w:val="bs-Cyrl-BA"/>
                    </w:rPr>
                  </w:pPr>
                  <w:r>
                    <w:rPr>
                      <w:rFonts w:ascii="Arial Narrow" w:hAnsi="Arial Narrow" w:cs="Tahoma"/>
                      <w:sz w:val="16"/>
                      <w:szCs w:val="16"/>
                    </w:rPr>
                    <w:t>thous</w:t>
                  </w:r>
                  <w:r w:rsidRPr="000A1309">
                    <w:rPr>
                      <w:rFonts w:ascii="Arial Narrow" w:hAnsi="Arial Narrow" w:cs="Tahoma"/>
                      <w:sz w:val="16"/>
                      <w:szCs w:val="16"/>
                      <w:lang w:val="bs-Cyrl-BA"/>
                    </w:rPr>
                    <w:t>. КМ</w:t>
                  </w:r>
                </w:p>
              </w:txbxContent>
            </v:textbox>
          </v:shape>
        </w:pict>
      </w:r>
    </w:p>
    <w:p w:rsidR="00252DE1" w:rsidRPr="000749E0" w:rsidRDefault="00252DE1" w:rsidP="00451451">
      <w:pPr>
        <w:tabs>
          <w:tab w:val="left" w:pos="300"/>
          <w:tab w:val="left" w:pos="1100"/>
        </w:tabs>
        <w:jc w:val="center"/>
        <w:rPr>
          <w:rFonts w:ascii="Tahoma" w:hAnsi="Tahoma" w:cs="Tahoma"/>
          <w:sz w:val="16"/>
          <w:szCs w:val="16"/>
          <w:lang w:val="sr-Latn-BA"/>
        </w:rPr>
      </w:pPr>
    </w:p>
    <w:p w:rsidR="00BA70D8" w:rsidRPr="000749E0" w:rsidRDefault="00843472" w:rsidP="00451451">
      <w:pPr>
        <w:tabs>
          <w:tab w:val="left" w:pos="300"/>
          <w:tab w:val="left" w:pos="1100"/>
        </w:tabs>
        <w:jc w:val="center"/>
        <w:rPr>
          <w:rFonts w:ascii="Tahoma" w:hAnsi="Tahoma" w:cs="Tahoma"/>
          <w:sz w:val="16"/>
          <w:szCs w:val="16"/>
          <w:lang w:val="sr-Cyrl-BA"/>
        </w:rPr>
      </w:pPr>
      <w:r>
        <w:rPr>
          <w:rFonts w:ascii="Tahoma" w:hAnsi="Tahoma" w:cs="Tahoma"/>
          <w:b/>
          <w:noProof/>
          <w:sz w:val="16"/>
          <w:szCs w:val="16"/>
          <w:lang w:val="bs-Latn-BA" w:eastAsia="bs-Latn-BA"/>
        </w:rPr>
        <w:pict>
          <v:shape id="_x0000_s1067" type="#_x0000_t202" style="position:absolute;left:0;text-align:left;margin-left:277.7pt;margin-top:201.55pt;width:44.2pt;height:16.4pt;z-index:251663360;mso-height-percent:200;mso-position-horizontal-relative:text;mso-position-vertical-relative:text;mso-height-percent:200;mso-width-relative:margin;mso-height-relative:margin" stroked="f">
            <v:textbox style="mso-next-textbox:#_x0000_s1067;mso-fit-shape-to-text:t">
              <w:txbxContent>
                <w:p w:rsidR="005B429E" w:rsidRPr="000A1309" w:rsidRDefault="005B429E" w:rsidP="00955DB6">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5</w:t>
                  </w:r>
                </w:p>
              </w:txbxContent>
            </v:textbox>
          </v:shape>
        </w:pict>
      </w:r>
      <w:r>
        <w:rPr>
          <w:rFonts w:ascii="Tahoma" w:hAnsi="Tahoma" w:cs="Tahoma"/>
          <w:b/>
          <w:noProof/>
          <w:sz w:val="16"/>
          <w:szCs w:val="16"/>
          <w:lang w:eastAsia="zh-TW"/>
        </w:rPr>
        <w:pict>
          <v:shape id="_x0000_s1066" type="#_x0000_t202" style="position:absolute;left:0;text-align:left;margin-left:180pt;margin-top:201.55pt;width:37.85pt;height:16.4pt;z-index:251662336;mso-height-percent:200;mso-position-horizontal-relative:text;mso-position-vertical-relative:text;mso-height-percent:200;mso-width-relative:margin;mso-height-relative:margin" stroked="f">
            <v:textbox style="mso-next-textbox:#_x0000_s1066;mso-fit-shape-to-text:t">
              <w:txbxContent>
                <w:p w:rsidR="005B429E" w:rsidRPr="000A1309" w:rsidRDefault="005B429E" w:rsidP="00115CDB">
                  <w:pP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4</w:t>
                  </w:r>
                </w:p>
              </w:txbxContent>
            </v:textbox>
          </v:shape>
        </w:pict>
      </w:r>
      <w:r w:rsidR="003E557A" w:rsidRPr="000749E0">
        <w:rPr>
          <w:rFonts w:ascii="Tahoma" w:hAnsi="Tahoma" w:cs="Tahoma"/>
          <w:noProof/>
          <w:sz w:val="16"/>
          <w:szCs w:val="16"/>
        </w:rPr>
        <w:drawing>
          <wp:inline distT="0" distB="0" distL="0" distR="0">
            <wp:extent cx="4252823" cy="2656936"/>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p>
    <w:p w:rsidR="004E6814" w:rsidRPr="000749E0" w:rsidRDefault="004E6814" w:rsidP="00451451">
      <w:pPr>
        <w:tabs>
          <w:tab w:val="left" w:pos="300"/>
          <w:tab w:val="left" w:pos="1100"/>
        </w:tabs>
        <w:jc w:val="center"/>
        <w:rPr>
          <w:rFonts w:ascii="Tahoma" w:hAnsi="Tahoma" w:cs="Tahoma"/>
          <w:sz w:val="16"/>
          <w:szCs w:val="16"/>
          <w:lang w:val="sr-Cyrl-BA"/>
        </w:rPr>
      </w:pPr>
    </w:p>
    <w:p w:rsidR="004E6814" w:rsidRPr="000749E0" w:rsidRDefault="004E6814" w:rsidP="00451451">
      <w:pPr>
        <w:tabs>
          <w:tab w:val="left" w:pos="300"/>
          <w:tab w:val="left" w:pos="1100"/>
        </w:tabs>
        <w:jc w:val="center"/>
        <w:rPr>
          <w:rFonts w:ascii="Tahoma" w:hAnsi="Tahoma" w:cs="Tahoma"/>
          <w:sz w:val="16"/>
          <w:szCs w:val="16"/>
          <w:lang w:val="sr-Cyrl-BA"/>
        </w:rPr>
      </w:pPr>
    </w:p>
    <w:p w:rsidR="00777348" w:rsidRPr="004D732E" w:rsidRDefault="004D732E" w:rsidP="00777348">
      <w:pPr>
        <w:tabs>
          <w:tab w:val="left" w:pos="2535"/>
        </w:tabs>
        <w:jc w:val="center"/>
        <w:rPr>
          <w:rFonts w:ascii="Arial Narrow" w:hAnsi="Arial Narrow" w:cs="Tahoma"/>
          <w:iCs/>
          <w:sz w:val="16"/>
          <w:szCs w:val="22"/>
        </w:rPr>
      </w:pPr>
      <w:r>
        <w:rPr>
          <w:rFonts w:ascii="Arial Narrow" w:hAnsi="Arial Narrow" w:cs="Tahoma"/>
          <w:sz w:val="16"/>
          <w:szCs w:val="22"/>
        </w:rPr>
        <w:t>Graph</w:t>
      </w:r>
      <w:r w:rsidR="00777348" w:rsidRPr="000749E0">
        <w:rPr>
          <w:rFonts w:ascii="Arial Narrow" w:hAnsi="Arial Narrow" w:cs="Tahoma"/>
          <w:sz w:val="16"/>
          <w:szCs w:val="22"/>
          <w:lang w:val="ru-RU"/>
        </w:rPr>
        <w:t xml:space="preserve"> </w:t>
      </w:r>
      <w:r w:rsidR="0066022A" w:rsidRPr="000749E0">
        <w:rPr>
          <w:rFonts w:ascii="Arial Narrow" w:hAnsi="Arial Narrow" w:cs="Tahoma"/>
          <w:sz w:val="16"/>
          <w:szCs w:val="22"/>
          <w:lang w:val="sr-Latn-BA"/>
        </w:rPr>
        <w:t>3</w:t>
      </w:r>
      <w:r w:rsidR="00777348" w:rsidRPr="000749E0">
        <w:rPr>
          <w:rFonts w:ascii="Arial Narrow" w:hAnsi="Arial Narrow" w:cs="Tahoma"/>
          <w:sz w:val="16"/>
          <w:szCs w:val="22"/>
          <w:lang w:val="ru-RU"/>
        </w:rPr>
        <w:t xml:space="preserve">. </w:t>
      </w:r>
      <w:r>
        <w:rPr>
          <w:rFonts w:ascii="Arial Narrow" w:hAnsi="Arial Narrow" w:cs="Tahoma"/>
          <w:iCs/>
          <w:sz w:val="16"/>
          <w:szCs w:val="22"/>
        </w:rPr>
        <w:t>Export and import by month</w:t>
      </w:r>
    </w:p>
    <w:p w:rsidR="00115CDB" w:rsidRPr="000749E0" w:rsidRDefault="00115CDB" w:rsidP="00115CDB">
      <w:pPr>
        <w:tabs>
          <w:tab w:val="left" w:pos="2535"/>
        </w:tabs>
        <w:jc w:val="center"/>
        <w:rPr>
          <w:rFonts w:ascii="Tahoma" w:hAnsi="Tahoma" w:cs="Tahoma"/>
          <w:iCs/>
          <w:sz w:val="18"/>
          <w:szCs w:val="18"/>
          <w:lang w:val="ru-RU"/>
        </w:rPr>
      </w:pPr>
    </w:p>
    <w:p w:rsidR="00115CDB" w:rsidRPr="000749E0" w:rsidRDefault="00115CDB" w:rsidP="00115CDB">
      <w:pPr>
        <w:tabs>
          <w:tab w:val="left" w:pos="2535"/>
        </w:tabs>
        <w:jc w:val="center"/>
        <w:rPr>
          <w:rFonts w:ascii="Tahoma" w:hAnsi="Tahoma" w:cs="Tahoma"/>
          <w:b/>
          <w:spacing w:val="-16"/>
          <w:sz w:val="18"/>
          <w:szCs w:val="18"/>
          <w:lang w:val="ru-RU"/>
        </w:rPr>
      </w:pPr>
    </w:p>
    <w:p w:rsidR="00286C13" w:rsidRPr="000749E0" w:rsidRDefault="00286C13" w:rsidP="00115CDB">
      <w:pPr>
        <w:tabs>
          <w:tab w:val="left" w:pos="2535"/>
        </w:tabs>
        <w:jc w:val="center"/>
        <w:rPr>
          <w:rFonts w:ascii="Tahoma" w:hAnsi="Tahoma" w:cs="Tahoma"/>
          <w:b/>
          <w:spacing w:val="-16"/>
          <w:sz w:val="18"/>
          <w:szCs w:val="18"/>
          <w:lang w:val="ru-RU"/>
        </w:rPr>
      </w:pPr>
    </w:p>
    <w:p w:rsidR="00286C13" w:rsidRPr="000749E0" w:rsidRDefault="00286C13" w:rsidP="00115CDB">
      <w:pPr>
        <w:tabs>
          <w:tab w:val="left" w:pos="2535"/>
        </w:tabs>
        <w:jc w:val="center"/>
        <w:rPr>
          <w:rFonts w:ascii="Tahoma" w:hAnsi="Tahoma" w:cs="Tahoma"/>
          <w:b/>
          <w:spacing w:val="-16"/>
          <w:sz w:val="18"/>
          <w:szCs w:val="18"/>
          <w:lang w:val="ru-RU"/>
        </w:rPr>
      </w:pPr>
    </w:p>
    <w:p w:rsidR="00286C13" w:rsidRPr="000749E0" w:rsidRDefault="00286C13" w:rsidP="00115CDB">
      <w:pPr>
        <w:tabs>
          <w:tab w:val="left" w:pos="2535"/>
        </w:tabs>
        <w:jc w:val="center"/>
        <w:rPr>
          <w:rFonts w:ascii="Tahoma" w:hAnsi="Tahoma" w:cs="Tahoma"/>
          <w:b/>
          <w:spacing w:val="-16"/>
          <w:sz w:val="18"/>
          <w:szCs w:val="18"/>
          <w:lang w:val="ru-RU"/>
        </w:rPr>
      </w:pPr>
    </w:p>
    <w:p w:rsidR="00286C13" w:rsidRPr="000749E0" w:rsidRDefault="00286C13" w:rsidP="00115CDB">
      <w:pPr>
        <w:tabs>
          <w:tab w:val="left" w:pos="2535"/>
        </w:tabs>
        <w:jc w:val="center"/>
        <w:rPr>
          <w:rFonts w:ascii="Tahoma" w:hAnsi="Tahoma" w:cs="Tahoma"/>
          <w:b/>
          <w:spacing w:val="-16"/>
          <w:sz w:val="18"/>
          <w:szCs w:val="18"/>
          <w:lang w:val="ru-RU"/>
        </w:rPr>
      </w:pPr>
    </w:p>
    <w:p w:rsidR="00286C13" w:rsidRPr="000749E0" w:rsidRDefault="00286C13" w:rsidP="00115CDB">
      <w:pPr>
        <w:tabs>
          <w:tab w:val="left" w:pos="2535"/>
        </w:tabs>
        <w:jc w:val="center"/>
        <w:rPr>
          <w:rFonts w:ascii="Tahoma" w:hAnsi="Tahoma" w:cs="Tahoma"/>
          <w:b/>
          <w:spacing w:val="-16"/>
          <w:sz w:val="18"/>
          <w:szCs w:val="18"/>
          <w:lang w:val="ru-RU"/>
        </w:rPr>
      </w:pPr>
    </w:p>
    <w:p w:rsidR="00286C13" w:rsidRPr="000749E0" w:rsidRDefault="00286C13" w:rsidP="00115CDB">
      <w:pPr>
        <w:tabs>
          <w:tab w:val="left" w:pos="2535"/>
        </w:tabs>
        <w:jc w:val="center"/>
        <w:rPr>
          <w:rFonts w:ascii="Tahoma" w:hAnsi="Tahoma" w:cs="Tahoma"/>
          <w:b/>
          <w:spacing w:val="-16"/>
          <w:sz w:val="18"/>
          <w:szCs w:val="18"/>
          <w:lang w:val="ru-RU"/>
        </w:rPr>
      </w:pPr>
    </w:p>
    <w:p w:rsidR="00286C13" w:rsidRPr="000749E0" w:rsidRDefault="00286C13" w:rsidP="00115CDB">
      <w:pPr>
        <w:tabs>
          <w:tab w:val="left" w:pos="2535"/>
        </w:tabs>
        <w:jc w:val="center"/>
        <w:rPr>
          <w:rFonts w:ascii="Tahoma" w:hAnsi="Tahoma" w:cs="Tahoma"/>
          <w:b/>
          <w:spacing w:val="-16"/>
          <w:sz w:val="18"/>
          <w:szCs w:val="18"/>
          <w:lang w:val="ru-RU"/>
        </w:rPr>
      </w:pPr>
    </w:p>
    <w:p w:rsidR="00286C13" w:rsidRPr="000749E0" w:rsidRDefault="00286C13" w:rsidP="00115CDB">
      <w:pPr>
        <w:tabs>
          <w:tab w:val="left" w:pos="2535"/>
        </w:tabs>
        <w:jc w:val="center"/>
        <w:rPr>
          <w:rFonts w:ascii="Tahoma" w:hAnsi="Tahoma" w:cs="Tahoma"/>
          <w:b/>
          <w:spacing w:val="-16"/>
          <w:sz w:val="18"/>
          <w:szCs w:val="18"/>
          <w:lang w:val="sr-Latn-BA"/>
        </w:rPr>
      </w:pPr>
    </w:p>
    <w:p w:rsidR="00252DE1" w:rsidRPr="000749E0" w:rsidRDefault="00252DE1" w:rsidP="00115CDB">
      <w:pPr>
        <w:tabs>
          <w:tab w:val="left" w:pos="2535"/>
        </w:tabs>
        <w:jc w:val="center"/>
        <w:rPr>
          <w:rFonts w:ascii="Tahoma" w:hAnsi="Tahoma" w:cs="Tahoma"/>
          <w:b/>
          <w:spacing w:val="-16"/>
          <w:sz w:val="18"/>
          <w:szCs w:val="18"/>
          <w:lang w:val="sr-Latn-BA"/>
        </w:rPr>
      </w:pPr>
    </w:p>
    <w:p w:rsidR="00252DE1" w:rsidRPr="000749E0" w:rsidRDefault="00252DE1" w:rsidP="00115CDB">
      <w:pPr>
        <w:tabs>
          <w:tab w:val="left" w:pos="2535"/>
        </w:tabs>
        <w:jc w:val="center"/>
        <w:rPr>
          <w:rFonts w:ascii="Tahoma" w:hAnsi="Tahoma" w:cs="Tahoma"/>
          <w:b/>
          <w:spacing w:val="-16"/>
          <w:sz w:val="18"/>
          <w:szCs w:val="18"/>
          <w:lang w:val="sr-Latn-BA"/>
        </w:rPr>
      </w:pPr>
    </w:p>
    <w:p w:rsidR="00252DE1" w:rsidRPr="000749E0" w:rsidRDefault="00252DE1" w:rsidP="00115CDB">
      <w:pPr>
        <w:tabs>
          <w:tab w:val="left" w:pos="2535"/>
        </w:tabs>
        <w:jc w:val="center"/>
        <w:rPr>
          <w:rFonts w:ascii="Tahoma" w:hAnsi="Tahoma" w:cs="Tahoma"/>
          <w:b/>
          <w:spacing w:val="-16"/>
          <w:sz w:val="18"/>
          <w:szCs w:val="18"/>
          <w:lang w:val="sr-Latn-BA"/>
        </w:rPr>
      </w:pPr>
    </w:p>
    <w:p w:rsidR="00252DE1" w:rsidRPr="000749E0" w:rsidRDefault="00252DE1" w:rsidP="00115CDB">
      <w:pPr>
        <w:tabs>
          <w:tab w:val="left" w:pos="2535"/>
        </w:tabs>
        <w:jc w:val="center"/>
        <w:rPr>
          <w:rFonts w:ascii="Tahoma" w:hAnsi="Tahoma" w:cs="Tahoma"/>
          <w:b/>
          <w:spacing w:val="-16"/>
          <w:sz w:val="18"/>
          <w:szCs w:val="18"/>
          <w:lang w:val="sr-Latn-BA"/>
        </w:rPr>
      </w:pPr>
    </w:p>
    <w:p w:rsidR="00252DE1" w:rsidRPr="000749E0" w:rsidRDefault="00252DE1" w:rsidP="00115CDB">
      <w:pPr>
        <w:tabs>
          <w:tab w:val="left" w:pos="2535"/>
        </w:tabs>
        <w:jc w:val="center"/>
        <w:rPr>
          <w:rFonts w:ascii="Tahoma" w:hAnsi="Tahoma" w:cs="Tahoma"/>
          <w:b/>
          <w:spacing w:val="-16"/>
          <w:sz w:val="18"/>
          <w:szCs w:val="18"/>
          <w:lang w:val="sr-Latn-BA"/>
        </w:rPr>
      </w:pPr>
    </w:p>
    <w:p w:rsidR="00252DE1" w:rsidRPr="000749E0" w:rsidRDefault="00252DE1" w:rsidP="00115CDB">
      <w:pPr>
        <w:tabs>
          <w:tab w:val="left" w:pos="2535"/>
        </w:tabs>
        <w:jc w:val="center"/>
        <w:rPr>
          <w:rFonts w:ascii="Tahoma" w:hAnsi="Tahoma" w:cs="Tahoma"/>
          <w:b/>
          <w:spacing w:val="-16"/>
          <w:sz w:val="18"/>
          <w:szCs w:val="18"/>
          <w:lang w:val="sr-Latn-BA"/>
        </w:rPr>
      </w:pPr>
    </w:p>
    <w:p w:rsidR="00252DE1" w:rsidRPr="000749E0" w:rsidRDefault="00252DE1" w:rsidP="00115CDB">
      <w:pPr>
        <w:tabs>
          <w:tab w:val="left" w:pos="2535"/>
        </w:tabs>
        <w:jc w:val="center"/>
        <w:rPr>
          <w:rFonts w:ascii="Tahoma" w:hAnsi="Tahoma" w:cs="Tahoma"/>
          <w:b/>
          <w:spacing w:val="-16"/>
          <w:sz w:val="18"/>
          <w:szCs w:val="18"/>
          <w:lang w:val="sr-Latn-BA"/>
        </w:rPr>
      </w:pPr>
    </w:p>
    <w:p w:rsidR="00252DE1" w:rsidRPr="000749E0" w:rsidRDefault="00252DE1" w:rsidP="00115CDB">
      <w:pPr>
        <w:tabs>
          <w:tab w:val="left" w:pos="2535"/>
        </w:tabs>
        <w:jc w:val="center"/>
        <w:rPr>
          <w:rFonts w:ascii="Tahoma" w:hAnsi="Tahoma" w:cs="Tahoma"/>
          <w:b/>
          <w:spacing w:val="-16"/>
          <w:sz w:val="18"/>
          <w:szCs w:val="18"/>
          <w:lang w:val="sr-Latn-BA"/>
        </w:rPr>
      </w:pPr>
    </w:p>
    <w:p w:rsidR="00252DE1" w:rsidRPr="000749E0" w:rsidRDefault="00252DE1" w:rsidP="00115CDB">
      <w:pPr>
        <w:tabs>
          <w:tab w:val="left" w:pos="2535"/>
        </w:tabs>
        <w:jc w:val="center"/>
        <w:rPr>
          <w:rFonts w:ascii="Tahoma" w:hAnsi="Tahoma" w:cs="Tahoma"/>
          <w:b/>
          <w:spacing w:val="-16"/>
          <w:sz w:val="18"/>
          <w:szCs w:val="18"/>
          <w:lang w:val="sr-Latn-BA"/>
        </w:rPr>
      </w:pPr>
    </w:p>
    <w:p w:rsidR="00252DE1" w:rsidRPr="000749E0" w:rsidRDefault="00252DE1" w:rsidP="00115CDB">
      <w:pPr>
        <w:tabs>
          <w:tab w:val="left" w:pos="2535"/>
        </w:tabs>
        <w:jc w:val="center"/>
        <w:rPr>
          <w:rFonts w:ascii="Tahoma" w:hAnsi="Tahoma" w:cs="Tahoma"/>
          <w:b/>
          <w:spacing w:val="-16"/>
          <w:sz w:val="18"/>
          <w:szCs w:val="18"/>
          <w:lang w:val="sr-Latn-BA"/>
        </w:rPr>
      </w:pPr>
    </w:p>
    <w:p w:rsidR="00286C13" w:rsidRPr="000749E0" w:rsidRDefault="00286C13" w:rsidP="00115CDB">
      <w:pPr>
        <w:tabs>
          <w:tab w:val="left" w:pos="2535"/>
        </w:tabs>
        <w:jc w:val="center"/>
        <w:rPr>
          <w:rFonts w:ascii="Tahoma" w:hAnsi="Tahoma" w:cs="Tahoma"/>
          <w:b/>
          <w:spacing w:val="-16"/>
          <w:sz w:val="18"/>
          <w:szCs w:val="18"/>
          <w:lang w:val="ru-RU"/>
        </w:rPr>
      </w:pPr>
    </w:p>
    <w:p w:rsidR="00CC790C" w:rsidRPr="000749E0" w:rsidRDefault="00CC790C" w:rsidP="00115CDB">
      <w:pPr>
        <w:tabs>
          <w:tab w:val="left" w:pos="2535"/>
        </w:tabs>
        <w:jc w:val="center"/>
        <w:rPr>
          <w:rFonts w:ascii="Tahoma" w:hAnsi="Tahoma" w:cs="Tahoma"/>
          <w:b/>
          <w:spacing w:val="-16"/>
          <w:sz w:val="18"/>
          <w:szCs w:val="18"/>
          <w:lang w:val="ru-RU"/>
        </w:rPr>
      </w:pPr>
    </w:p>
    <w:p w:rsidR="00CC790C" w:rsidRPr="000749E0" w:rsidRDefault="00CC790C" w:rsidP="00115CDB">
      <w:pPr>
        <w:tabs>
          <w:tab w:val="left" w:pos="2535"/>
        </w:tabs>
        <w:jc w:val="center"/>
        <w:rPr>
          <w:rFonts w:ascii="Tahoma" w:hAnsi="Tahoma" w:cs="Tahoma"/>
          <w:b/>
          <w:spacing w:val="-16"/>
          <w:sz w:val="18"/>
          <w:szCs w:val="18"/>
          <w:lang w:val="ru-RU"/>
        </w:rPr>
      </w:pPr>
    </w:p>
    <w:p w:rsidR="00286C13" w:rsidRPr="000749E0" w:rsidRDefault="00286C13" w:rsidP="00115CDB">
      <w:pPr>
        <w:tabs>
          <w:tab w:val="left" w:pos="2535"/>
        </w:tabs>
        <w:jc w:val="center"/>
        <w:rPr>
          <w:rFonts w:ascii="Tahoma" w:hAnsi="Tahoma" w:cs="Tahoma"/>
          <w:b/>
          <w:spacing w:val="-16"/>
          <w:sz w:val="18"/>
          <w:szCs w:val="18"/>
          <w:lang w:val="sr-Latn-BA"/>
        </w:rPr>
      </w:pPr>
    </w:p>
    <w:p w:rsidR="00252DE1" w:rsidRDefault="00252DE1" w:rsidP="00115CDB">
      <w:pPr>
        <w:tabs>
          <w:tab w:val="left" w:pos="2535"/>
        </w:tabs>
        <w:jc w:val="center"/>
        <w:rPr>
          <w:rFonts w:ascii="Tahoma" w:hAnsi="Tahoma" w:cs="Tahoma"/>
          <w:b/>
          <w:spacing w:val="-16"/>
          <w:sz w:val="18"/>
          <w:szCs w:val="18"/>
          <w:lang w:val="sr-Cyrl-BA"/>
        </w:rPr>
      </w:pPr>
    </w:p>
    <w:p w:rsidR="00BE2B8A" w:rsidRPr="00BE2B8A" w:rsidRDefault="00BE2B8A" w:rsidP="00115CDB">
      <w:pPr>
        <w:tabs>
          <w:tab w:val="left" w:pos="2535"/>
        </w:tabs>
        <w:jc w:val="center"/>
        <w:rPr>
          <w:rFonts w:ascii="Tahoma" w:hAnsi="Tahoma" w:cs="Tahoma"/>
          <w:b/>
          <w:spacing w:val="-16"/>
          <w:sz w:val="18"/>
          <w:szCs w:val="18"/>
          <w:lang w:val="sr-Cyrl-BA"/>
        </w:rPr>
      </w:pPr>
    </w:p>
    <w:p w:rsidR="000D1CED" w:rsidRPr="000749E0" w:rsidRDefault="000D1CED" w:rsidP="00115CDB">
      <w:pPr>
        <w:rPr>
          <w:rFonts w:ascii="Tahoma" w:hAnsi="Tahoma" w:cs="Tahoma"/>
          <w:bCs/>
          <w:sz w:val="18"/>
          <w:szCs w:val="18"/>
          <w:lang w:val="sr-Cyrl-CS"/>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9"/>
      </w:tblGrid>
      <w:tr w:rsidR="004C20B5" w:rsidRPr="000749E0" w:rsidTr="009E2A9A">
        <w:trPr>
          <w:trHeight w:hRule="exact" w:val="340"/>
          <w:jc w:val="center"/>
        </w:trPr>
        <w:tc>
          <w:tcPr>
            <w:tcW w:w="10419" w:type="dxa"/>
            <w:tcBorders>
              <w:top w:val="nil"/>
              <w:left w:val="nil"/>
              <w:bottom w:val="nil"/>
              <w:right w:val="nil"/>
            </w:tcBorders>
          </w:tcPr>
          <w:p w:rsidR="009E2A9A" w:rsidRPr="000749E0" w:rsidRDefault="004D732E" w:rsidP="009E2A9A">
            <w:pPr>
              <w:jc w:val="both"/>
              <w:rPr>
                <w:rFonts w:ascii="Arial Narrow" w:hAnsi="Arial Narrow" w:cs="Tahoma"/>
                <w:b/>
                <w:sz w:val="22"/>
                <w:lang w:val="sr-Cyrl-CS"/>
              </w:rPr>
            </w:pPr>
            <w:r>
              <w:rPr>
                <w:rFonts w:ascii="Arial Narrow" w:hAnsi="Arial Narrow" w:cs="Tahoma"/>
                <w:b/>
                <w:sz w:val="22"/>
              </w:rPr>
              <w:t>PREPARED BY</w:t>
            </w:r>
            <w:r w:rsidR="009E2A9A" w:rsidRPr="000749E0">
              <w:rPr>
                <w:rFonts w:ascii="Arial Narrow" w:hAnsi="Arial Narrow" w:cs="Tahoma"/>
                <w:b/>
                <w:sz w:val="22"/>
                <w:lang w:val="sr-Cyrl-CS"/>
              </w:rPr>
              <w:t xml:space="preserve">: </w:t>
            </w:r>
          </w:p>
          <w:p w:rsidR="009E2A9A" w:rsidRPr="000749E0" w:rsidRDefault="009E2A9A" w:rsidP="009E2A9A">
            <w:pPr>
              <w:jc w:val="both"/>
              <w:rPr>
                <w:rFonts w:ascii="Tahoma" w:hAnsi="Tahoma" w:cs="Tahoma"/>
                <w:b/>
                <w:lang w:val="sr-Cyrl-CS"/>
              </w:rPr>
            </w:pPr>
          </w:p>
          <w:p w:rsidR="009E2A9A" w:rsidRPr="000749E0" w:rsidRDefault="009E2A9A" w:rsidP="009E2A9A">
            <w:pPr>
              <w:jc w:val="both"/>
              <w:rPr>
                <w:rFonts w:ascii="Tahoma" w:hAnsi="Tahoma" w:cs="Tahoma"/>
                <w:b/>
                <w:lang w:val="sr-Cyrl-CS"/>
              </w:rPr>
            </w:pPr>
          </w:p>
          <w:p w:rsidR="009E2A9A" w:rsidRPr="000749E0" w:rsidRDefault="009E2A9A" w:rsidP="009E2A9A">
            <w:pPr>
              <w:jc w:val="both"/>
              <w:rPr>
                <w:rFonts w:ascii="Tahoma" w:hAnsi="Tahoma" w:cs="Tahoma"/>
                <w:b/>
                <w:lang w:val="sr-Cyrl-CS"/>
              </w:rPr>
            </w:pPr>
          </w:p>
          <w:p w:rsidR="009E2A9A" w:rsidRPr="000749E0" w:rsidRDefault="009E2A9A" w:rsidP="009E2A9A">
            <w:pPr>
              <w:jc w:val="both"/>
              <w:rPr>
                <w:rFonts w:ascii="Tahoma" w:hAnsi="Tahoma" w:cs="Tahoma"/>
                <w:b/>
                <w:lang w:val="sr-Cyrl-CS"/>
              </w:rPr>
            </w:pPr>
          </w:p>
          <w:p w:rsidR="009E2A9A" w:rsidRPr="000749E0" w:rsidRDefault="009E2A9A" w:rsidP="009E2A9A">
            <w:pPr>
              <w:jc w:val="both"/>
              <w:rPr>
                <w:rFonts w:ascii="Tahoma" w:hAnsi="Tahoma" w:cs="Tahoma"/>
                <w:b/>
                <w:lang w:val="sr-Cyrl-CS"/>
              </w:rPr>
            </w:pPr>
          </w:p>
        </w:tc>
      </w:tr>
      <w:tr w:rsidR="0066022A" w:rsidRPr="000749E0" w:rsidTr="009E2A9A">
        <w:trPr>
          <w:trHeight w:val="709"/>
          <w:jc w:val="center"/>
        </w:trPr>
        <w:tc>
          <w:tcPr>
            <w:tcW w:w="10419" w:type="dxa"/>
            <w:tcBorders>
              <w:top w:val="nil"/>
              <w:left w:val="nil"/>
              <w:bottom w:val="nil"/>
              <w:right w:val="nil"/>
            </w:tcBorders>
          </w:tcPr>
          <w:p w:rsidR="0066022A" w:rsidRPr="000945DE" w:rsidRDefault="000945DE" w:rsidP="00CE10D7">
            <w:pPr>
              <w:jc w:val="both"/>
              <w:rPr>
                <w:rFonts w:ascii="Arial Narrow" w:hAnsi="Arial Narrow" w:cs="Tahoma"/>
                <w:b/>
                <w:sz w:val="18"/>
                <w:szCs w:val="18"/>
              </w:rPr>
            </w:pPr>
            <w:r>
              <w:rPr>
                <w:rFonts w:ascii="Arial Narrow" w:hAnsi="Arial Narrow" w:cs="Tahoma"/>
                <w:b/>
                <w:sz w:val="18"/>
                <w:szCs w:val="18"/>
              </w:rPr>
              <w:t>Social welfare statistics</w:t>
            </w:r>
          </w:p>
          <w:p w:rsidR="0066022A" w:rsidRPr="000749E0" w:rsidRDefault="008B4EF1" w:rsidP="00CE10D7">
            <w:pPr>
              <w:jc w:val="both"/>
              <w:rPr>
                <w:rFonts w:ascii="Arial Narrow" w:hAnsi="Arial Narrow" w:cs="Tahoma"/>
                <w:sz w:val="18"/>
                <w:szCs w:val="18"/>
                <w:lang w:val="sr-Cyrl-BA"/>
              </w:rPr>
            </w:pPr>
            <w:r>
              <w:rPr>
                <w:rFonts w:ascii="Arial Narrow" w:hAnsi="Arial Narrow" w:cs="Tahoma"/>
                <w:sz w:val="18"/>
                <w:szCs w:val="18"/>
              </w:rPr>
              <w:t>Suzana Adamov</w:t>
            </w:r>
            <w:r w:rsidRPr="000F6665">
              <w:rPr>
                <w:rFonts w:ascii="Arial Narrow" w:hAnsi="Arial Narrow" w:cs="Tahoma"/>
                <w:sz w:val="18"/>
                <w:szCs w:val="18"/>
              </w:rPr>
              <w:t>ić</w:t>
            </w:r>
          </w:p>
          <w:p w:rsidR="0066022A" w:rsidRPr="000749E0" w:rsidRDefault="00843472" w:rsidP="00CE10D7">
            <w:pPr>
              <w:jc w:val="both"/>
              <w:rPr>
                <w:rFonts w:ascii="Arial Narrow" w:hAnsi="Arial Narrow" w:cs="Tahoma"/>
                <w:b/>
                <w:sz w:val="18"/>
                <w:szCs w:val="18"/>
              </w:rPr>
            </w:pPr>
            <w:hyperlink r:id="rId13" w:history="1">
              <w:r w:rsidR="0066022A" w:rsidRPr="000749E0">
                <w:rPr>
                  <w:rStyle w:val="Hyperlink"/>
                  <w:rFonts w:ascii="Arial Narrow" w:hAnsi="Arial Narrow" w:cs="Tahoma"/>
                  <w:color w:val="auto"/>
                  <w:sz w:val="18"/>
                  <w:szCs w:val="18"/>
                  <w:lang w:val="sr-Latn-CS"/>
                </w:rPr>
                <w:t>suzana.adamovic@rzs.rs.ba</w:t>
              </w:r>
            </w:hyperlink>
            <w:r w:rsidR="0066022A" w:rsidRPr="000749E0">
              <w:rPr>
                <w:rFonts w:ascii="Arial Narrow" w:hAnsi="Arial Narrow" w:cs="Tahoma"/>
                <w:b/>
                <w:sz w:val="18"/>
                <w:szCs w:val="18"/>
              </w:rPr>
              <w:t xml:space="preserve"> </w:t>
            </w:r>
          </w:p>
          <w:p w:rsidR="0066022A" w:rsidRPr="000749E0" w:rsidRDefault="0066022A" w:rsidP="00CE10D7">
            <w:pPr>
              <w:jc w:val="both"/>
              <w:rPr>
                <w:rFonts w:ascii="Arial Narrow" w:hAnsi="Arial Narrow" w:cs="Tahoma"/>
                <w:sz w:val="18"/>
                <w:szCs w:val="18"/>
                <w:lang w:val="sr-Cyrl-CS"/>
              </w:rPr>
            </w:pPr>
          </w:p>
          <w:p w:rsidR="0066022A" w:rsidRPr="008B4EF1" w:rsidRDefault="008B4EF1" w:rsidP="0066022A">
            <w:pPr>
              <w:jc w:val="both"/>
              <w:rPr>
                <w:rFonts w:ascii="Arial Narrow" w:hAnsi="Arial Narrow" w:cs="Tahoma"/>
                <w:b/>
                <w:sz w:val="18"/>
                <w:szCs w:val="18"/>
              </w:rPr>
            </w:pPr>
            <w:r>
              <w:rPr>
                <w:rFonts w:ascii="Arial Narrow" w:hAnsi="Arial Narrow" w:cs="Tahoma"/>
                <w:b/>
                <w:sz w:val="18"/>
                <w:szCs w:val="18"/>
              </w:rPr>
              <w:t>Crime statistics</w:t>
            </w:r>
          </w:p>
          <w:p w:rsidR="0066022A" w:rsidRPr="008B4EF1" w:rsidRDefault="008B4EF1" w:rsidP="0066022A">
            <w:pPr>
              <w:jc w:val="both"/>
              <w:rPr>
                <w:rFonts w:ascii="Arial Narrow" w:hAnsi="Arial Narrow" w:cs="Tahoma"/>
                <w:sz w:val="18"/>
                <w:szCs w:val="18"/>
              </w:rPr>
            </w:pPr>
            <w:r>
              <w:rPr>
                <w:rFonts w:ascii="Arial Narrow" w:hAnsi="Arial Narrow" w:cs="Tahoma"/>
                <w:sz w:val="18"/>
                <w:szCs w:val="18"/>
              </w:rPr>
              <w:t>Vanja Vilip</w:t>
            </w:r>
            <w:r w:rsidRPr="000F6665">
              <w:rPr>
                <w:rFonts w:ascii="Arial Narrow" w:hAnsi="Arial Narrow" w:cs="Tahoma"/>
                <w:sz w:val="18"/>
                <w:szCs w:val="18"/>
              </w:rPr>
              <w:t>ić</w:t>
            </w:r>
          </w:p>
          <w:p w:rsidR="0066022A" w:rsidRPr="000749E0" w:rsidRDefault="00843472" w:rsidP="0066022A">
            <w:pPr>
              <w:jc w:val="both"/>
              <w:rPr>
                <w:rFonts w:ascii="Arial Narrow" w:hAnsi="Arial Narrow" w:cs="Tahoma"/>
                <w:b/>
                <w:sz w:val="18"/>
                <w:szCs w:val="18"/>
              </w:rPr>
            </w:pPr>
            <w:hyperlink r:id="rId14" w:history="1">
              <w:r w:rsidR="0066022A" w:rsidRPr="000749E0">
                <w:rPr>
                  <w:rStyle w:val="Hyperlink"/>
                  <w:rFonts w:ascii="Arial Narrow" w:hAnsi="Arial Narrow" w:cs="Tahoma"/>
                  <w:color w:val="auto"/>
                  <w:sz w:val="18"/>
                  <w:szCs w:val="18"/>
                  <w:lang w:val="sr-Latn-CS"/>
                </w:rPr>
                <w:t>vanja.vilipic@rzs.rs.ba</w:t>
              </w:r>
            </w:hyperlink>
            <w:r w:rsidR="0066022A" w:rsidRPr="000749E0">
              <w:rPr>
                <w:rFonts w:ascii="Arial Narrow" w:hAnsi="Arial Narrow" w:cs="Tahoma"/>
                <w:b/>
                <w:sz w:val="18"/>
                <w:szCs w:val="18"/>
              </w:rPr>
              <w:t xml:space="preserve"> </w:t>
            </w:r>
          </w:p>
          <w:p w:rsidR="0066022A" w:rsidRPr="000749E0" w:rsidRDefault="0066022A" w:rsidP="00CE10D7">
            <w:pPr>
              <w:jc w:val="both"/>
              <w:rPr>
                <w:rFonts w:ascii="Arial Narrow" w:hAnsi="Arial Narrow" w:cs="Tahoma"/>
                <w:sz w:val="18"/>
                <w:szCs w:val="18"/>
                <w:lang w:val="sr-Latn-BA"/>
              </w:rPr>
            </w:pPr>
          </w:p>
        </w:tc>
      </w:tr>
      <w:tr w:rsidR="0066022A" w:rsidRPr="000749E0" w:rsidTr="009E2A9A">
        <w:trPr>
          <w:trHeight w:val="709"/>
          <w:jc w:val="center"/>
        </w:trPr>
        <w:tc>
          <w:tcPr>
            <w:tcW w:w="10419" w:type="dxa"/>
            <w:tcBorders>
              <w:top w:val="nil"/>
              <w:left w:val="nil"/>
              <w:bottom w:val="nil"/>
              <w:right w:val="nil"/>
            </w:tcBorders>
          </w:tcPr>
          <w:p w:rsidR="008B4EF1" w:rsidRPr="002D6352" w:rsidRDefault="008B4EF1" w:rsidP="008B4EF1">
            <w:pPr>
              <w:jc w:val="both"/>
              <w:rPr>
                <w:rFonts w:ascii="Arial Narrow" w:hAnsi="Arial Narrow" w:cs="Tahoma"/>
                <w:b/>
                <w:sz w:val="18"/>
                <w:szCs w:val="18"/>
                <w:lang w:val="sr-Latn-BA"/>
              </w:rPr>
            </w:pPr>
            <w:r>
              <w:rPr>
                <w:rFonts w:ascii="Arial Narrow" w:hAnsi="Arial Narrow" w:cs="Tahoma"/>
                <w:b/>
                <w:sz w:val="18"/>
                <w:szCs w:val="18"/>
              </w:rPr>
              <w:t>Labour statistics</w:t>
            </w:r>
          </w:p>
          <w:p w:rsidR="008B4EF1" w:rsidRPr="002D6352" w:rsidRDefault="008B4EF1" w:rsidP="008B4EF1">
            <w:pPr>
              <w:jc w:val="both"/>
              <w:rPr>
                <w:rFonts w:ascii="Arial Narrow" w:hAnsi="Arial Narrow" w:cs="Tahoma"/>
                <w:sz w:val="18"/>
                <w:szCs w:val="18"/>
                <w:lang w:val="sr-Latn-BA"/>
              </w:rPr>
            </w:pPr>
            <w:r>
              <w:rPr>
                <w:rFonts w:ascii="Arial Narrow" w:hAnsi="Arial Narrow" w:cs="Tahoma"/>
                <w:sz w:val="18"/>
                <w:szCs w:val="18"/>
                <w:lang w:val="sr-Latn-BA"/>
              </w:rPr>
              <w:t>Biljana Glušac</w:t>
            </w:r>
          </w:p>
          <w:p w:rsidR="0066022A" w:rsidRPr="000749E0" w:rsidRDefault="00843472" w:rsidP="00A44E14">
            <w:pPr>
              <w:jc w:val="both"/>
              <w:rPr>
                <w:rFonts w:ascii="Arial Narrow" w:hAnsi="Arial Narrow" w:cs="Tahoma"/>
                <w:b/>
                <w:sz w:val="18"/>
                <w:szCs w:val="18"/>
              </w:rPr>
            </w:pPr>
            <w:hyperlink r:id="rId15" w:history="1">
              <w:r w:rsidR="0066022A" w:rsidRPr="000749E0">
                <w:rPr>
                  <w:rStyle w:val="Hyperlink"/>
                  <w:rFonts w:ascii="Arial Narrow" w:hAnsi="Arial Narrow" w:cs="Tahoma"/>
                  <w:color w:val="auto"/>
                  <w:sz w:val="18"/>
                  <w:szCs w:val="18"/>
                  <w:lang w:val="sr-Latn-CS"/>
                </w:rPr>
                <w:t>biljana.glusac@rzs.rs.ba</w:t>
              </w:r>
            </w:hyperlink>
            <w:r w:rsidR="0066022A" w:rsidRPr="000749E0">
              <w:rPr>
                <w:rFonts w:ascii="Arial Narrow" w:hAnsi="Arial Narrow" w:cs="Tahoma"/>
                <w:b/>
                <w:sz w:val="18"/>
                <w:szCs w:val="18"/>
              </w:rPr>
              <w:t xml:space="preserve"> </w:t>
            </w:r>
          </w:p>
          <w:p w:rsidR="0066022A" w:rsidRPr="000749E0" w:rsidRDefault="0066022A" w:rsidP="00B538D0">
            <w:pPr>
              <w:jc w:val="both"/>
              <w:rPr>
                <w:rFonts w:ascii="Arial Narrow" w:hAnsi="Arial Narrow" w:cs="Tahoma"/>
                <w:sz w:val="18"/>
                <w:szCs w:val="18"/>
                <w:lang w:val="sr-Cyrl-CS"/>
              </w:rPr>
            </w:pPr>
          </w:p>
        </w:tc>
      </w:tr>
      <w:tr w:rsidR="0066022A" w:rsidRPr="000749E0" w:rsidTr="009E2A9A">
        <w:trPr>
          <w:trHeight w:val="720"/>
          <w:jc w:val="center"/>
        </w:trPr>
        <w:tc>
          <w:tcPr>
            <w:tcW w:w="10419" w:type="dxa"/>
            <w:tcBorders>
              <w:top w:val="nil"/>
              <w:left w:val="nil"/>
              <w:bottom w:val="nil"/>
              <w:right w:val="nil"/>
            </w:tcBorders>
          </w:tcPr>
          <w:p w:rsidR="008B4EF1" w:rsidRPr="002D6352" w:rsidRDefault="008B4EF1" w:rsidP="008B4EF1">
            <w:pPr>
              <w:jc w:val="both"/>
              <w:rPr>
                <w:rFonts w:ascii="Arial Narrow" w:hAnsi="Arial Narrow" w:cs="Tahoma"/>
                <w:b/>
                <w:sz w:val="18"/>
                <w:szCs w:val="18"/>
                <w:lang w:val="sr-Latn-BA"/>
              </w:rPr>
            </w:pPr>
            <w:r>
              <w:rPr>
                <w:rFonts w:ascii="Arial Narrow" w:hAnsi="Arial Narrow" w:cs="Tahoma"/>
                <w:b/>
                <w:sz w:val="18"/>
                <w:szCs w:val="18"/>
                <w:lang w:val="sr-Latn-BA"/>
              </w:rPr>
              <w:t>Prices statistics</w:t>
            </w:r>
          </w:p>
          <w:p w:rsidR="008B4EF1" w:rsidRPr="000F6665" w:rsidRDefault="008B4EF1" w:rsidP="008B4EF1">
            <w:pPr>
              <w:jc w:val="both"/>
              <w:rPr>
                <w:rFonts w:ascii="Arial Narrow" w:hAnsi="Arial Narrow" w:cs="Tahoma"/>
                <w:sz w:val="18"/>
                <w:szCs w:val="18"/>
              </w:rPr>
            </w:pPr>
            <w:r w:rsidRPr="000F6665">
              <w:rPr>
                <w:rFonts w:ascii="Arial Narrow" w:hAnsi="Arial Narrow" w:cs="Tahoma"/>
                <w:sz w:val="18"/>
                <w:szCs w:val="18"/>
              </w:rPr>
              <w:t>Biljana Tešić</w:t>
            </w:r>
          </w:p>
          <w:p w:rsidR="0066022A" w:rsidRPr="000749E0" w:rsidRDefault="00843472" w:rsidP="00252DE1">
            <w:pPr>
              <w:jc w:val="both"/>
              <w:rPr>
                <w:rFonts w:ascii="Arial Narrow" w:hAnsi="Arial Narrow" w:cs="Tahoma"/>
                <w:sz w:val="18"/>
                <w:szCs w:val="18"/>
                <w:lang w:val="sr-Cyrl-CS"/>
              </w:rPr>
            </w:pPr>
            <w:hyperlink r:id="rId16" w:history="1">
              <w:r w:rsidR="0066022A" w:rsidRPr="000749E0">
                <w:rPr>
                  <w:rStyle w:val="Hyperlink"/>
                  <w:rFonts w:ascii="Arial Narrow" w:hAnsi="Arial Narrow" w:cs="Tahoma"/>
                  <w:color w:val="auto"/>
                  <w:sz w:val="18"/>
                  <w:szCs w:val="18"/>
                  <w:lang w:val="sr-Latn-CS"/>
                </w:rPr>
                <w:t>Biljana.tesic@rzs.rs.ba</w:t>
              </w:r>
            </w:hyperlink>
          </w:p>
        </w:tc>
      </w:tr>
      <w:tr w:rsidR="0066022A" w:rsidRPr="000749E0" w:rsidTr="00AE6E63">
        <w:trPr>
          <w:trHeight w:hRule="exact" w:val="861"/>
          <w:jc w:val="center"/>
        </w:trPr>
        <w:tc>
          <w:tcPr>
            <w:tcW w:w="10419" w:type="dxa"/>
            <w:tcBorders>
              <w:top w:val="nil"/>
              <w:left w:val="nil"/>
              <w:bottom w:val="nil"/>
              <w:right w:val="nil"/>
            </w:tcBorders>
          </w:tcPr>
          <w:p w:rsidR="008B4EF1" w:rsidRPr="000F6665" w:rsidRDefault="008B4EF1" w:rsidP="008B4EF1">
            <w:pPr>
              <w:jc w:val="both"/>
              <w:rPr>
                <w:rFonts w:ascii="Arial Narrow" w:hAnsi="Arial Narrow" w:cs="Tahoma"/>
                <w:b/>
                <w:sz w:val="18"/>
                <w:szCs w:val="18"/>
              </w:rPr>
            </w:pPr>
            <w:r w:rsidRPr="000F6665">
              <w:rPr>
                <w:rFonts w:ascii="Arial Narrow" w:hAnsi="Arial Narrow" w:cs="Tahoma"/>
                <w:b/>
                <w:sz w:val="18"/>
                <w:szCs w:val="18"/>
              </w:rPr>
              <w:t>Industry and mining statistics</w:t>
            </w:r>
          </w:p>
          <w:p w:rsidR="008B4EF1" w:rsidRPr="000F6665" w:rsidRDefault="008B4EF1" w:rsidP="008B4EF1">
            <w:pPr>
              <w:jc w:val="both"/>
              <w:rPr>
                <w:rFonts w:ascii="Arial Narrow" w:hAnsi="Arial Narrow" w:cs="Tahoma"/>
                <w:sz w:val="18"/>
                <w:szCs w:val="18"/>
              </w:rPr>
            </w:pPr>
            <w:r w:rsidRPr="000F6665">
              <w:rPr>
                <w:rFonts w:ascii="Arial Narrow" w:hAnsi="Arial Narrow" w:cs="Tahoma"/>
                <w:sz w:val="18"/>
                <w:szCs w:val="18"/>
              </w:rPr>
              <w:t>Mirjana Bandur</w:t>
            </w:r>
          </w:p>
          <w:p w:rsidR="0066022A" w:rsidRPr="000749E0" w:rsidRDefault="00843472" w:rsidP="00A91B02">
            <w:pPr>
              <w:jc w:val="both"/>
              <w:rPr>
                <w:rFonts w:ascii="Arial Narrow" w:hAnsi="Arial Narrow" w:cs="Tahoma"/>
                <w:sz w:val="18"/>
                <w:szCs w:val="18"/>
                <w:lang w:val="sr-Cyrl-CS"/>
              </w:rPr>
            </w:pPr>
            <w:hyperlink r:id="rId17" w:history="1">
              <w:r w:rsidR="0066022A" w:rsidRPr="000749E0">
                <w:rPr>
                  <w:rStyle w:val="Hyperlink"/>
                  <w:rFonts w:ascii="Arial Narrow" w:hAnsi="Arial Narrow" w:cs="Tahoma"/>
                  <w:color w:val="auto"/>
                  <w:sz w:val="18"/>
                  <w:szCs w:val="18"/>
                </w:rPr>
                <w:t>mirjana</w:t>
              </w:r>
              <w:r w:rsidR="0066022A" w:rsidRPr="000749E0">
                <w:rPr>
                  <w:rStyle w:val="Hyperlink"/>
                  <w:rFonts w:ascii="Arial Narrow" w:hAnsi="Arial Narrow" w:cs="Tahoma"/>
                  <w:color w:val="auto"/>
                  <w:sz w:val="18"/>
                  <w:szCs w:val="18"/>
                  <w:lang w:val="sr-Cyrl-BA"/>
                </w:rPr>
                <w:t>.</w:t>
              </w:r>
              <w:r w:rsidR="0066022A" w:rsidRPr="000749E0">
                <w:rPr>
                  <w:rStyle w:val="Hyperlink"/>
                  <w:rFonts w:ascii="Arial Narrow" w:hAnsi="Arial Narrow" w:cs="Tahoma"/>
                  <w:color w:val="auto"/>
                  <w:sz w:val="18"/>
                  <w:szCs w:val="18"/>
                </w:rPr>
                <w:t>bandur</w:t>
              </w:r>
              <w:r w:rsidR="0066022A" w:rsidRPr="000749E0">
                <w:rPr>
                  <w:rStyle w:val="Hyperlink"/>
                  <w:rFonts w:ascii="Arial Narrow" w:hAnsi="Arial Narrow" w:cs="Tahoma"/>
                  <w:color w:val="auto"/>
                  <w:sz w:val="18"/>
                  <w:szCs w:val="18"/>
                  <w:lang w:val="sr-Cyrl-BA"/>
                </w:rPr>
                <w:t>@</w:t>
              </w:r>
              <w:r w:rsidR="0066022A" w:rsidRPr="000749E0">
                <w:rPr>
                  <w:rStyle w:val="Hyperlink"/>
                  <w:rFonts w:ascii="Arial Narrow" w:hAnsi="Arial Narrow" w:cs="Tahoma"/>
                  <w:color w:val="auto"/>
                  <w:sz w:val="18"/>
                  <w:szCs w:val="18"/>
                </w:rPr>
                <w:t>rzs</w:t>
              </w:r>
              <w:r w:rsidR="0066022A" w:rsidRPr="000749E0">
                <w:rPr>
                  <w:rStyle w:val="Hyperlink"/>
                  <w:rFonts w:ascii="Arial Narrow" w:hAnsi="Arial Narrow" w:cs="Tahoma"/>
                  <w:color w:val="auto"/>
                  <w:sz w:val="18"/>
                  <w:szCs w:val="18"/>
                  <w:lang w:val="sr-Cyrl-BA"/>
                </w:rPr>
                <w:t>.</w:t>
              </w:r>
              <w:r w:rsidR="0066022A" w:rsidRPr="000749E0">
                <w:rPr>
                  <w:rStyle w:val="Hyperlink"/>
                  <w:rFonts w:ascii="Arial Narrow" w:hAnsi="Arial Narrow" w:cs="Tahoma"/>
                  <w:color w:val="auto"/>
                  <w:sz w:val="18"/>
                  <w:szCs w:val="18"/>
                </w:rPr>
                <w:t>rs</w:t>
              </w:r>
              <w:r w:rsidR="0066022A" w:rsidRPr="000749E0">
                <w:rPr>
                  <w:rStyle w:val="Hyperlink"/>
                  <w:rFonts w:ascii="Arial Narrow" w:hAnsi="Arial Narrow" w:cs="Tahoma"/>
                  <w:color w:val="auto"/>
                  <w:sz w:val="18"/>
                  <w:szCs w:val="18"/>
                  <w:lang w:val="sr-Cyrl-BA"/>
                </w:rPr>
                <w:t>.</w:t>
              </w:r>
              <w:r w:rsidR="0066022A" w:rsidRPr="000749E0">
                <w:rPr>
                  <w:rStyle w:val="Hyperlink"/>
                  <w:rFonts w:ascii="Arial Narrow" w:hAnsi="Arial Narrow" w:cs="Tahoma"/>
                  <w:color w:val="auto"/>
                  <w:sz w:val="18"/>
                  <w:szCs w:val="18"/>
                </w:rPr>
                <w:t>ba</w:t>
              </w:r>
            </w:hyperlink>
          </w:p>
        </w:tc>
      </w:tr>
      <w:tr w:rsidR="0066022A" w:rsidRPr="000749E0" w:rsidTr="009E2A9A">
        <w:trPr>
          <w:trHeight w:hRule="exact" w:val="680"/>
          <w:jc w:val="center"/>
        </w:trPr>
        <w:tc>
          <w:tcPr>
            <w:tcW w:w="10419" w:type="dxa"/>
            <w:tcBorders>
              <w:top w:val="nil"/>
              <w:left w:val="nil"/>
              <w:bottom w:val="nil"/>
              <w:right w:val="nil"/>
            </w:tcBorders>
          </w:tcPr>
          <w:p w:rsidR="008B4EF1" w:rsidRPr="00FB4FDD" w:rsidRDefault="008B4EF1" w:rsidP="008B4EF1">
            <w:pPr>
              <w:jc w:val="both"/>
              <w:rPr>
                <w:rFonts w:ascii="Arial Narrow" w:hAnsi="Arial Narrow" w:cs="Tahoma"/>
                <w:b/>
                <w:sz w:val="18"/>
                <w:szCs w:val="18"/>
                <w:lang w:val="sr-Latn-BA"/>
              </w:rPr>
            </w:pPr>
            <w:r>
              <w:rPr>
                <w:rFonts w:ascii="Arial Narrow" w:hAnsi="Arial Narrow" w:cs="Tahoma"/>
                <w:b/>
                <w:sz w:val="18"/>
                <w:szCs w:val="18"/>
                <w:lang w:val="sr-Latn-BA"/>
              </w:rPr>
              <w:t>External trade statistics</w:t>
            </w:r>
          </w:p>
          <w:p w:rsidR="008B4EF1" w:rsidRPr="00F04972" w:rsidRDefault="008B4EF1" w:rsidP="008B4EF1">
            <w:pPr>
              <w:jc w:val="both"/>
              <w:rPr>
                <w:rFonts w:ascii="Arial Narrow" w:hAnsi="Arial Narrow" w:cs="Tahoma"/>
                <w:sz w:val="18"/>
                <w:szCs w:val="18"/>
              </w:rPr>
            </w:pPr>
            <w:r>
              <w:rPr>
                <w:rFonts w:ascii="Arial Narrow" w:hAnsi="Arial Narrow" w:cs="Tahoma"/>
                <w:sz w:val="18"/>
                <w:szCs w:val="18"/>
                <w:lang w:val="sr-Latn-BA"/>
              </w:rPr>
              <w:t>Sanja Stojčević Uvalić, MSc</w:t>
            </w:r>
          </w:p>
          <w:p w:rsidR="0066022A" w:rsidRPr="000749E0" w:rsidRDefault="00843472" w:rsidP="009E2A9A">
            <w:pPr>
              <w:jc w:val="both"/>
              <w:rPr>
                <w:rFonts w:ascii="Arial Narrow" w:hAnsi="Arial Narrow"/>
                <w:sz w:val="18"/>
                <w:szCs w:val="18"/>
                <w:lang w:val="sr-Cyrl-CS"/>
              </w:rPr>
            </w:pPr>
            <w:hyperlink r:id="rId18" w:history="1">
              <w:r w:rsidR="0066022A" w:rsidRPr="000749E0">
                <w:rPr>
                  <w:rStyle w:val="Hyperlink"/>
                  <w:rFonts w:ascii="Arial Narrow" w:hAnsi="Arial Narrow" w:cs="Tahoma"/>
                  <w:color w:val="auto"/>
                  <w:sz w:val="18"/>
                  <w:szCs w:val="18"/>
                </w:rPr>
                <w:t>sanja</w:t>
              </w:r>
              <w:r w:rsidR="0066022A" w:rsidRPr="000749E0">
                <w:rPr>
                  <w:rStyle w:val="Hyperlink"/>
                  <w:rFonts w:ascii="Arial Narrow" w:hAnsi="Arial Narrow" w:cs="Tahoma"/>
                  <w:color w:val="auto"/>
                  <w:sz w:val="18"/>
                  <w:szCs w:val="18"/>
                  <w:lang w:val="sr-Cyrl-CS"/>
                </w:rPr>
                <w:t>.</w:t>
              </w:r>
              <w:r w:rsidR="0066022A" w:rsidRPr="000749E0">
                <w:rPr>
                  <w:rStyle w:val="Hyperlink"/>
                  <w:rFonts w:ascii="Arial Narrow" w:hAnsi="Arial Narrow" w:cs="Tahoma"/>
                  <w:color w:val="auto"/>
                  <w:sz w:val="18"/>
                  <w:szCs w:val="18"/>
                </w:rPr>
                <w:t>stojcevic</w:t>
              </w:r>
              <w:r w:rsidR="0066022A" w:rsidRPr="000749E0">
                <w:rPr>
                  <w:rStyle w:val="Hyperlink"/>
                  <w:rFonts w:ascii="Arial Narrow" w:hAnsi="Arial Narrow" w:cs="Tahoma"/>
                  <w:color w:val="auto"/>
                  <w:sz w:val="18"/>
                  <w:szCs w:val="18"/>
                  <w:lang w:val="sr-Cyrl-CS"/>
                </w:rPr>
                <w:t>@</w:t>
              </w:r>
              <w:r w:rsidR="0066022A" w:rsidRPr="000749E0">
                <w:rPr>
                  <w:rStyle w:val="Hyperlink"/>
                  <w:rFonts w:ascii="Arial Narrow" w:hAnsi="Arial Narrow" w:cs="Tahoma"/>
                  <w:color w:val="auto"/>
                  <w:sz w:val="18"/>
                  <w:szCs w:val="18"/>
                </w:rPr>
                <w:t>rzs</w:t>
              </w:r>
              <w:r w:rsidR="0066022A" w:rsidRPr="000749E0">
                <w:rPr>
                  <w:rStyle w:val="Hyperlink"/>
                  <w:rFonts w:ascii="Arial Narrow" w:hAnsi="Arial Narrow" w:cs="Tahoma"/>
                  <w:color w:val="auto"/>
                  <w:sz w:val="18"/>
                  <w:szCs w:val="18"/>
                  <w:lang w:val="sr-Cyrl-CS"/>
                </w:rPr>
                <w:t>.</w:t>
              </w:r>
              <w:r w:rsidR="0066022A" w:rsidRPr="000749E0">
                <w:rPr>
                  <w:rStyle w:val="Hyperlink"/>
                  <w:rFonts w:ascii="Arial Narrow" w:hAnsi="Arial Narrow" w:cs="Tahoma"/>
                  <w:color w:val="auto"/>
                  <w:sz w:val="18"/>
                  <w:szCs w:val="18"/>
                </w:rPr>
                <w:t>rs</w:t>
              </w:r>
              <w:r w:rsidR="0066022A" w:rsidRPr="000749E0">
                <w:rPr>
                  <w:rStyle w:val="Hyperlink"/>
                  <w:rFonts w:ascii="Arial Narrow" w:hAnsi="Arial Narrow" w:cs="Tahoma"/>
                  <w:color w:val="auto"/>
                  <w:sz w:val="18"/>
                  <w:szCs w:val="18"/>
                  <w:lang w:val="sr-Cyrl-CS"/>
                </w:rPr>
                <w:t>.</w:t>
              </w:r>
              <w:r w:rsidR="0066022A" w:rsidRPr="000749E0">
                <w:rPr>
                  <w:rStyle w:val="Hyperlink"/>
                  <w:rFonts w:ascii="Arial Narrow" w:hAnsi="Arial Narrow" w:cs="Tahoma"/>
                  <w:color w:val="auto"/>
                  <w:sz w:val="18"/>
                  <w:szCs w:val="18"/>
                </w:rPr>
                <w:t>ba</w:t>
              </w:r>
            </w:hyperlink>
          </w:p>
          <w:p w:rsidR="0066022A" w:rsidRPr="000749E0" w:rsidRDefault="0066022A" w:rsidP="009E2A9A">
            <w:pPr>
              <w:jc w:val="both"/>
              <w:rPr>
                <w:rFonts w:ascii="Arial Narrow" w:hAnsi="Arial Narrow"/>
                <w:sz w:val="18"/>
                <w:szCs w:val="18"/>
                <w:lang w:val="sr-Cyrl-BA"/>
              </w:rPr>
            </w:pPr>
          </w:p>
          <w:p w:rsidR="0066022A" w:rsidRPr="000749E0" w:rsidRDefault="0066022A" w:rsidP="009E2A9A">
            <w:pPr>
              <w:jc w:val="both"/>
              <w:rPr>
                <w:rFonts w:ascii="Arial Narrow" w:hAnsi="Arial Narrow"/>
                <w:sz w:val="18"/>
                <w:szCs w:val="18"/>
                <w:lang w:val="sr-Cyrl-BA"/>
              </w:rPr>
            </w:pPr>
          </w:p>
          <w:p w:rsidR="0066022A" w:rsidRPr="000749E0" w:rsidRDefault="0066022A" w:rsidP="009E2A9A">
            <w:pPr>
              <w:jc w:val="both"/>
              <w:rPr>
                <w:rFonts w:ascii="Arial Narrow" w:hAnsi="Arial Narrow" w:cs="Tahoma"/>
                <w:sz w:val="18"/>
                <w:szCs w:val="18"/>
                <w:lang w:val="sr-Cyrl-BA"/>
              </w:rPr>
            </w:pPr>
          </w:p>
          <w:p w:rsidR="0066022A" w:rsidRPr="000749E0" w:rsidRDefault="0066022A" w:rsidP="009E2A9A">
            <w:pPr>
              <w:jc w:val="both"/>
              <w:rPr>
                <w:rFonts w:ascii="Arial Narrow" w:hAnsi="Arial Narrow" w:cs="Tahoma"/>
                <w:sz w:val="18"/>
                <w:szCs w:val="18"/>
                <w:lang w:val="sr-Cyrl-CS"/>
              </w:rPr>
            </w:pPr>
          </w:p>
        </w:tc>
      </w:tr>
    </w:tbl>
    <w:p w:rsidR="009E2A9A" w:rsidRPr="000749E0" w:rsidRDefault="009E2A9A" w:rsidP="009E2A9A">
      <w:pPr>
        <w:tabs>
          <w:tab w:val="left" w:pos="300"/>
          <w:tab w:val="left" w:pos="1100"/>
        </w:tabs>
        <w:jc w:val="both"/>
        <w:rPr>
          <w:rFonts w:ascii="Tahoma" w:hAnsi="Tahoma" w:cs="Tahoma"/>
          <w:b/>
          <w:sz w:val="16"/>
          <w:szCs w:val="16"/>
          <w:lang w:val="ru-RU"/>
        </w:rPr>
      </w:pPr>
    </w:p>
    <w:p w:rsidR="009E2A9A" w:rsidRPr="000749E0" w:rsidRDefault="009E2A9A" w:rsidP="009E2A9A">
      <w:pPr>
        <w:tabs>
          <w:tab w:val="left" w:pos="300"/>
          <w:tab w:val="left" w:pos="1100"/>
        </w:tabs>
        <w:jc w:val="both"/>
        <w:rPr>
          <w:rFonts w:ascii="Tahoma" w:hAnsi="Tahoma" w:cs="Tahoma"/>
          <w:b/>
          <w:sz w:val="16"/>
          <w:szCs w:val="16"/>
          <w:lang w:val="sr-Cyrl-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C20B5" w:rsidRPr="000749E0" w:rsidTr="00B2585D">
        <w:trPr>
          <w:trHeight w:hRule="exact" w:val="1165"/>
          <w:jc w:val="center"/>
        </w:trPr>
        <w:tc>
          <w:tcPr>
            <w:tcW w:w="10646" w:type="dxa"/>
            <w:tcBorders>
              <w:top w:val="nil"/>
              <w:left w:val="nil"/>
              <w:bottom w:val="nil"/>
              <w:right w:val="nil"/>
            </w:tcBorders>
          </w:tcPr>
          <w:p w:rsidR="009E2A9A" w:rsidRPr="000749E0" w:rsidRDefault="009E2A9A" w:rsidP="009E2A9A">
            <w:pPr>
              <w:jc w:val="both"/>
              <w:rPr>
                <w:rFonts w:ascii="Arial Narrow" w:hAnsi="Arial Narrow" w:cs="Tahoma"/>
                <w:b/>
                <w:sz w:val="22"/>
                <w:lang w:val="sr-Cyrl-CS"/>
              </w:rPr>
            </w:pPr>
          </w:p>
          <w:p w:rsidR="009E2A9A" w:rsidRPr="000749E0" w:rsidRDefault="009E2A9A" w:rsidP="009E2A9A">
            <w:pPr>
              <w:jc w:val="both"/>
              <w:rPr>
                <w:rFonts w:ascii="Arial Narrow" w:hAnsi="Arial Narrow" w:cs="Tahoma"/>
                <w:b/>
                <w:sz w:val="22"/>
                <w:lang w:val="sr-Cyrl-CS"/>
              </w:rPr>
            </w:pPr>
          </w:p>
          <w:p w:rsidR="009E2A9A" w:rsidRPr="000749E0" w:rsidRDefault="009E2A9A" w:rsidP="009E2A9A">
            <w:pPr>
              <w:jc w:val="both"/>
              <w:rPr>
                <w:rFonts w:ascii="Arial Narrow" w:hAnsi="Arial Narrow" w:cs="Tahoma"/>
                <w:b/>
                <w:sz w:val="22"/>
                <w:lang w:val="sr-Cyrl-CS"/>
              </w:rPr>
            </w:pPr>
          </w:p>
          <w:p w:rsidR="009E2A9A" w:rsidRPr="008B4EF1" w:rsidRDefault="008B4EF1" w:rsidP="009E2A9A">
            <w:pPr>
              <w:jc w:val="both"/>
              <w:rPr>
                <w:rFonts w:ascii="Arial Narrow" w:hAnsi="Arial Narrow" w:cs="Tahoma"/>
                <w:b/>
                <w:sz w:val="22"/>
              </w:rPr>
            </w:pPr>
            <w:r>
              <w:rPr>
                <w:rFonts w:ascii="Arial Narrow" w:hAnsi="Arial Narrow" w:cs="Tahoma"/>
                <w:b/>
                <w:sz w:val="22"/>
              </w:rPr>
              <w:t>SYMBOLS</w:t>
            </w:r>
          </w:p>
        </w:tc>
      </w:tr>
      <w:tr w:rsidR="009E2A9A" w:rsidRPr="000749E0" w:rsidTr="00B2585D">
        <w:trPr>
          <w:trHeight w:hRule="exact" w:val="1025"/>
          <w:jc w:val="center"/>
        </w:trPr>
        <w:tc>
          <w:tcPr>
            <w:tcW w:w="10646" w:type="dxa"/>
            <w:tcBorders>
              <w:top w:val="nil"/>
              <w:left w:val="nil"/>
              <w:bottom w:val="nil"/>
              <w:right w:val="nil"/>
            </w:tcBorders>
          </w:tcPr>
          <w:p w:rsidR="009E2A9A" w:rsidRPr="008B4EF1" w:rsidRDefault="009E2A9A" w:rsidP="009E2A9A">
            <w:pPr>
              <w:jc w:val="both"/>
              <w:rPr>
                <w:rFonts w:ascii="Arial Narrow" w:hAnsi="Arial Narrow" w:cs="Tahoma"/>
                <w:bCs/>
                <w:sz w:val="18"/>
                <w:szCs w:val="16"/>
              </w:rPr>
            </w:pPr>
            <w:r w:rsidRPr="000749E0">
              <w:rPr>
                <w:rFonts w:ascii="Arial Narrow" w:hAnsi="Arial Narrow" w:cs="Tahoma"/>
                <w:b/>
                <w:bCs/>
                <w:sz w:val="22"/>
              </w:rPr>
              <w:sym w:font="Symbol" w:char="00C6"/>
            </w:r>
            <w:r w:rsidRPr="000749E0">
              <w:rPr>
                <w:rFonts w:ascii="Arial Narrow" w:hAnsi="Arial Narrow" w:cs="Tahoma"/>
                <w:b/>
                <w:bCs/>
                <w:sz w:val="32"/>
                <w:szCs w:val="28"/>
                <w:lang w:val="sr-Cyrl-CS"/>
              </w:rPr>
              <w:t xml:space="preserve"> </w:t>
            </w:r>
            <w:r w:rsidRPr="000749E0">
              <w:rPr>
                <w:rFonts w:ascii="Arial Narrow" w:hAnsi="Arial Narrow" w:cs="Tahoma"/>
                <w:bCs/>
                <w:sz w:val="18"/>
                <w:szCs w:val="16"/>
                <w:lang w:val="sr-Cyrl-CS"/>
              </w:rPr>
              <w:t xml:space="preserve">- </w:t>
            </w:r>
            <w:r w:rsidR="008B4EF1">
              <w:rPr>
                <w:rFonts w:ascii="Arial Narrow" w:hAnsi="Arial Narrow" w:cs="Tahoma"/>
                <w:bCs/>
                <w:sz w:val="18"/>
                <w:szCs w:val="16"/>
              </w:rPr>
              <w:t>average</w:t>
            </w:r>
          </w:p>
          <w:p w:rsidR="009E2A9A" w:rsidRPr="000749E0" w:rsidRDefault="00D61322" w:rsidP="00B538D0">
            <w:pPr>
              <w:rPr>
                <w:rFonts w:ascii="Arial Narrow" w:hAnsi="Arial Narrow" w:cs="Tahoma"/>
                <w:bCs/>
                <w:sz w:val="16"/>
                <w:szCs w:val="16"/>
                <w:lang w:val="sr-Latn-CS"/>
              </w:rPr>
            </w:pPr>
            <w:r w:rsidRPr="000749E0">
              <w:rPr>
                <w:rFonts w:ascii="Arial Narrow" w:hAnsi="Arial Narrow" w:cs="Tahoma"/>
                <w:sz w:val="18"/>
                <w:szCs w:val="16"/>
                <w:lang w:val="sr-Cyrl-BA" w:eastAsia="sr-Latn-BA"/>
              </w:rPr>
              <w:t>¹</w:t>
            </w:r>
            <w:r w:rsidRPr="000749E0">
              <w:rPr>
                <w:rFonts w:ascii="Arial Narrow" w:hAnsi="Arial Narrow" w:cs="Tahoma"/>
                <w:sz w:val="18"/>
                <w:szCs w:val="16"/>
                <w:lang w:eastAsia="sr-Latn-BA"/>
              </w:rPr>
              <w:t xml:space="preserve"> - </w:t>
            </w:r>
            <w:r w:rsidR="008B4EF1">
              <w:rPr>
                <w:rFonts w:ascii="Arial Narrow" w:hAnsi="Arial Narrow" w:cs="Tahoma"/>
                <w:sz w:val="18"/>
                <w:szCs w:val="16"/>
                <w:lang w:eastAsia="sr-Latn-BA"/>
              </w:rPr>
              <w:t>estimate</w:t>
            </w:r>
          </w:p>
          <w:p w:rsidR="009E2A9A" w:rsidRPr="000749E0" w:rsidRDefault="009E2A9A" w:rsidP="009E2A9A">
            <w:pPr>
              <w:jc w:val="both"/>
              <w:rPr>
                <w:rFonts w:ascii="Tahoma" w:hAnsi="Tahoma" w:cs="Tahoma"/>
                <w:bCs/>
                <w:sz w:val="16"/>
                <w:szCs w:val="16"/>
                <w:lang w:val="sr-Latn-CS"/>
              </w:rPr>
            </w:pPr>
          </w:p>
          <w:p w:rsidR="009E2A9A" w:rsidRPr="000749E0" w:rsidRDefault="009E2A9A" w:rsidP="009E2A9A">
            <w:pPr>
              <w:jc w:val="both"/>
              <w:rPr>
                <w:rFonts w:ascii="Tahoma" w:hAnsi="Tahoma" w:cs="Tahoma"/>
                <w:bCs/>
                <w:sz w:val="16"/>
                <w:szCs w:val="16"/>
                <w:lang w:val="sr-Latn-CS"/>
              </w:rPr>
            </w:pPr>
          </w:p>
          <w:p w:rsidR="009E2A9A" w:rsidRPr="000749E0" w:rsidRDefault="009E2A9A" w:rsidP="009E2A9A">
            <w:pPr>
              <w:jc w:val="both"/>
              <w:rPr>
                <w:rFonts w:ascii="Tahoma" w:hAnsi="Tahoma" w:cs="Tahoma"/>
                <w:bCs/>
                <w:sz w:val="16"/>
                <w:szCs w:val="16"/>
                <w:lang w:val="sr-Latn-CS"/>
              </w:rPr>
            </w:pPr>
          </w:p>
          <w:p w:rsidR="009E2A9A" w:rsidRPr="000749E0" w:rsidRDefault="009E2A9A" w:rsidP="009E2A9A">
            <w:pPr>
              <w:jc w:val="both"/>
              <w:rPr>
                <w:rFonts w:ascii="Tahoma" w:hAnsi="Tahoma" w:cs="Tahoma"/>
                <w:bCs/>
                <w:sz w:val="16"/>
                <w:szCs w:val="16"/>
                <w:lang w:val="sr-Latn-CS"/>
              </w:rPr>
            </w:pPr>
          </w:p>
          <w:p w:rsidR="009E2A9A" w:rsidRPr="000749E0" w:rsidRDefault="009E2A9A" w:rsidP="009E2A9A">
            <w:pPr>
              <w:jc w:val="both"/>
              <w:rPr>
                <w:rFonts w:ascii="Tahoma" w:hAnsi="Tahoma" w:cs="Tahoma"/>
                <w:bCs/>
                <w:sz w:val="16"/>
                <w:szCs w:val="16"/>
                <w:lang w:val="sr-Latn-CS"/>
              </w:rPr>
            </w:pPr>
          </w:p>
          <w:p w:rsidR="009E2A9A" w:rsidRPr="000749E0" w:rsidRDefault="009E2A9A" w:rsidP="009E2A9A">
            <w:pPr>
              <w:jc w:val="both"/>
              <w:rPr>
                <w:rFonts w:ascii="Tahoma" w:hAnsi="Tahoma" w:cs="Tahoma"/>
                <w:bCs/>
                <w:sz w:val="16"/>
                <w:szCs w:val="16"/>
                <w:lang w:val="sr-Latn-CS"/>
              </w:rPr>
            </w:pPr>
          </w:p>
          <w:p w:rsidR="009E2A9A" w:rsidRPr="000749E0" w:rsidRDefault="009E2A9A" w:rsidP="009E2A9A">
            <w:pPr>
              <w:jc w:val="both"/>
              <w:rPr>
                <w:rFonts w:ascii="Tahoma" w:hAnsi="Tahoma" w:cs="Tahoma"/>
                <w:b/>
                <w:sz w:val="16"/>
                <w:lang w:val="sr-Latn-CS"/>
              </w:rPr>
            </w:pPr>
          </w:p>
        </w:tc>
      </w:tr>
    </w:tbl>
    <w:p w:rsidR="00F04A4B" w:rsidRPr="000749E0" w:rsidRDefault="00F04A4B" w:rsidP="009E2A9A">
      <w:pPr>
        <w:tabs>
          <w:tab w:val="left" w:pos="300"/>
          <w:tab w:val="left" w:pos="1100"/>
        </w:tabs>
        <w:jc w:val="both"/>
        <w:rPr>
          <w:rFonts w:ascii="Tahoma" w:hAnsi="Tahoma" w:cs="Tahoma"/>
          <w:b/>
        </w:rPr>
      </w:pPr>
    </w:p>
    <w:p w:rsidR="002B070E" w:rsidRPr="000749E0" w:rsidRDefault="002B070E" w:rsidP="009E2A9A">
      <w:pPr>
        <w:tabs>
          <w:tab w:val="left" w:pos="300"/>
          <w:tab w:val="left" w:pos="1100"/>
        </w:tabs>
        <w:jc w:val="both"/>
        <w:rPr>
          <w:rFonts w:ascii="Tahoma" w:hAnsi="Tahoma" w:cs="Tahoma"/>
          <w:b/>
          <w:lang w:val="sr-Cyrl-CS"/>
        </w:rPr>
      </w:pPr>
    </w:p>
    <w:p w:rsidR="002B070E" w:rsidRPr="000749E0" w:rsidRDefault="002B070E" w:rsidP="009E2A9A">
      <w:pPr>
        <w:tabs>
          <w:tab w:val="left" w:pos="300"/>
          <w:tab w:val="left" w:pos="1100"/>
        </w:tabs>
        <w:jc w:val="both"/>
        <w:rPr>
          <w:rFonts w:ascii="Tahoma" w:hAnsi="Tahoma" w:cs="Tahoma"/>
          <w:b/>
          <w:lang w:val="sr-Cyrl-CS"/>
        </w:rPr>
      </w:pPr>
    </w:p>
    <w:p w:rsidR="000A1309" w:rsidRPr="000749E0" w:rsidRDefault="000A1309" w:rsidP="009E2A9A">
      <w:pPr>
        <w:tabs>
          <w:tab w:val="left" w:pos="300"/>
          <w:tab w:val="left" w:pos="1100"/>
        </w:tabs>
        <w:jc w:val="both"/>
        <w:rPr>
          <w:rFonts w:ascii="Tahoma" w:hAnsi="Tahoma" w:cs="Tahoma"/>
          <w:b/>
          <w:lang w:val="sr-Cyrl-CS"/>
        </w:rPr>
      </w:pPr>
    </w:p>
    <w:p w:rsidR="000A1309" w:rsidRPr="000749E0" w:rsidRDefault="000A1309" w:rsidP="009E2A9A">
      <w:pPr>
        <w:tabs>
          <w:tab w:val="left" w:pos="300"/>
          <w:tab w:val="left" w:pos="1100"/>
        </w:tabs>
        <w:jc w:val="both"/>
        <w:rPr>
          <w:rFonts w:ascii="Tahoma" w:hAnsi="Tahoma" w:cs="Tahoma"/>
          <w:b/>
          <w:lang w:val="sr-Cyrl-CS"/>
        </w:rPr>
      </w:pPr>
    </w:p>
    <w:p w:rsidR="00286C13" w:rsidRPr="000749E0" w:rsidRDefault="00286C13" w:rsidP="009E2A9A">
      <w:pPr>
        <w:tabs>
          <w:tab w:val="left" w:pos="300"/>
          <w:tab w:val="left" w:pos="1100"/>
        </w:tabs>
        <w:jc w:val="both"/>
        <w:rPr>
          <w:rFonts w:ascii="Tahoma" w:hAnsi="Tahoma" w:cs="Tahoma"/>
          <w:b/>
          <w:lang w:val="sr-Cyrl-CS"/>
        </w:rPr>
      </w:pPr>
    </w:p>
    <w:p w:rsidR="000D1CED" w:rsidRPr="000749E0" w:rsidRDefault="000D1CED" w:rsidP="009E2A9A">
      <w:pPr>
        <w:tabs>
          <w:tab w:val="left" w:pos="300"/>
          <w:tab w:val="left" w:pos="1100"/>
        </w:tabs>
        <w:jc w:val="both"/>
        <w:rPr>
          <w:rFonts w:ascii="Tahoma" w:hAnsi="Tahoma" w:cs="Tahoma"/>
          <w:b/>
          <w:lang w:val="sr-Cyrl-CS"/>
        </w:rPr>
      </w:pPr>
    </w:p>
    <w:p w:rsidR="000D1CED" w:rsidRPr="000749E0" w:rsidRDefault="000D1CED" w:rsidP="009E2A9A">
      <w:pPr>
        <w:tabs>
          <w:tab w:val="left" w:pos="300"/>
          <w:tab w:val="left" w:pos="1100"/>
        </w:tabs>
        <w:jc w:val="both"/>
        <w:rPr>
          <w:rFonts w:ascii="Tahoma" w:hAnsi="Tahoma" w:cs="Tahoma"/>
          <w:b/>
          <w:lang w:val="sr-Cyrl-CS"/>
        </w:rPr>
      </w:pPr>
    </w:p>
    <w:p w:rsidR="00586BCB" w:rsidRPr="000749E0" w:rsidRDefault="00586BCB" w:rsidP="009E2A9A">
      <w:pPr>
        <w:tabs>
          <w:tab w:val="left" w:pos="300"/>
          <w:tab w:val="left" w:pos="1100"/>
        </w:tabs>
        <w:jc w:val="both"/>
        <w:rPr>
          <w:rFonts w:ascii="Tahoma" w:hAnsi="Tahoma" w:cs="Tahoma"/>
          <w:b/>
        </w:rPr>
      </w:pPr>
    </w:p>
    <w:p w:rsidR="00586BCB" w:rsidRPr="000749E0" w:rsidRDefault="00586BCB" w:rsidP="009E2A9A">
      <w:pPr>
        <w:tabs>
          <w:tab w:val="left" w:pos="300"/>
          <w:tab w:val="left" w:pos="1100"/>
        </w:tabs>
        <w:jc w:val="both"/>
        <w:rPr>
          <w:rFonts w:ascii="Tahoma" w:hAnsi="Tahoma" w:cs="Tahoma"/>
          <w:b/>
        </w:rPr>
      </w:pPr>
    </w:p>
    <w:p w:rsidR="00586BCB" w:rsidRPr="000749E0" w:rsidRDefault="00586BCB" w:rsidP="009E2A9A">
      <w:pPr>
        <w:tabs>
          <w:tab w:val="left" w:pos="300"/>
          <w:tab w:val="left" w:pos="1100"/>
        </w:tabs>
        <w:jc w:val="both"/>
        <w:rPr>
          <w:rFonts w:ascii="Tahoma" w:hAnsi="Tahoma" w:cs="Tahoma"/>
          <w:b/>
          <w:lang w:val="sr-Latn-BA"/>
        </w:rPr>
      </w:pPr>
    </w:p>
    <w:p w:rsidR="00586BCB" w:rsidRPr="000749E0" w:rsidRDefault="00586BCB" w:rsidP="009E2A9A">
      <w:pPr>
        <w:tabs>
          <w:tab w:val="left" w:pos="300"/>
          <w:tab w:val="left" w:pos="1100"/>
        </w:tabs>
        <w:jc w:val="both"/>
        <w:rPr>
          <w:rFonts w:ascii="Tahoma" w:hAnsi="Tahoma" w:cs="Tahoma"/>
          <w:b/>
        </w:rPr>
      </w:pPr>
    </w:p>
    <w:p w:rsidR="009E2A9A" w:rsidRPr="000749E0" w:rsidRDefault="00843472" w:rsidP="009E2A9A">
      <w:pPr>
        <w:tabs>
          <w:tab w:val="left" w:pos="300"/>
          <w:tab w:val="left" w:pos="1100"/>
        </w:tabs>
        <w:jc w:val="both"/>
        <w:rPr>
          <w:rFonts w:ascii="Tahoma" w:hAnsi="Tahoma" w:cs="Tahoma"/>
          <w:b/>
          <w:lang w:val="sr-Cyrl-CS"/>
        </w:rPr>
      </w:pPr>
      <w:r>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4C20B5" w:rsidRPr="000749E0" w:rsidTr="00B2585D">
        <w:trPr>
          <w:trHeight w:hRule="exact" w:val="113"/>
        </w:trPr>
        <w:tc>
          <w:tcPr>
            <w:tcW w:w="10348" w:type="dxa"/>
            <w:tcMar>
              <w:left w:w="0" w:type="dxa"/>
              <w:right w:w="0" w:type="dxa"/>
            </w:tcMar>
          </w:tcPr>
          <w:p w:rsidR="009E2A9A" w:rsidRPr="000749E0" w:rsidRDefault="009E2A9A" w:rsidP="009E2A9A">
            <w:pPr>
              <w:jc w:val="both"/>
              <w:rPr>
                <w:rFonts w:ascii="Tahoma" w:hAnsi="Tahoma" w:cs="Tahoma"/>
                <w:sz w:val="16"/>
                <w:lang w:val="sr-Cyrl-CS"/>
              </w:rPr>
            </w:pPr>
          </w:p>
        </w:tc>
      </w:tr>
      <w:tr w:rsidR="004C20B5" w:rsidRPr="000749E0" w:rsidTr="00B2585D">
        <w:tc>
          <w:tcPr>
            <w:tcW w:w="10348" w:type="dxa"/>
            <w:tcMar>
              <w:left w:w="0" w:type="dxa"/>
              <w:right w:w="0" w:type="dxa"/>
            </w:tcMar>
          </w:tcPr>
          <w:p w:rsidR="009E2A9A" w:rsidRPr="000749E0" w:rsidRDefault="00587FC0" w:rsidP="009E2A9A">
            <w:pPr>
              <w:jc w:val="center"/>
              <w:rPr>
                <w:rFonts w:ascii="Arial Narrow" w:hAnsi="Arial Narrow" w:cs="Tahoma"/>
                <w:sz w:val="16"/>
                <w:szCs w:val="16"/>
                <w:lang w:val="sr-Latn-CS"/>
              </w:rPr>
            </w:pPr>
            <w:r w:rsidRPr="000F6665">
              <w:rPr>
                <w:rFonts w:ascii="Arial Narrow" w:hAnsi="Arial Narrow" w:cs="Tahoma"/>
                <w:sz w:val="18"/>
              </w:rPr>
              <w:t>The Release prepared by the Publications Division</w:t>
            </w:r>
          </w:p>
        </w:tc>
      </w:tr>
      <w:tr w:rsidR="004C20B5" w:rsidRPr="000749E0" w:rsidTr="00B2585D">
        <w:trPr>
          <w:trHeight w:val="1603"/>
        </w:trPr>
        <w:tc>
          <w:tcPr>
            <w:tcW w:w="10348" w:type="dxa"/>
            <w:tcMar>
              <w:left w:w="0" w:type="dxa"/>
              <w:right w:w="0" w:type="dxa"/>
            </w:tcMar>
          </w:tcPr>
          <w:p w:rsidR="00587FC0" w:rsidRPr="000F6665" w:rsidRDefault="00587FC0" w:rsidP="00587FC0">
            <w:pPr>
              <w:autoSpaceDE w:val="0"/>
              <w:autoSpaceDN w:val="0"/>
              <w:adjustRightInd w:val="0"/>
              <w:jc w:val="center"/>
              <w:rPr>
                <w:rFonts w:ascii="Arial Narrow" w:hAnsi="Arial Narrow" w:cs="Tahoma"/>
                <w:sz w:val="18"/>
                <w:szCs w:val="18"/>
              </w:rPr>
            </w:pPr>
            <w:r w:rsidRPr="000F6665">
              <w:rPr>
                <w:rFonts w:ascii="Arial Narrow" w:hAnsi="Arial Narrow" w:cs="Tahoma"/>
                <w:sz w:val="18"/>
                <w:szCs w:val="18"/>
              </w:rPr>
              <w:t>Vladan Sibinović, Head of the Division</w:t>
            </w:r>
          </w:p>
          <w:p w:rsidR="00587FC0" w:rsidRPr="000F6665" w:rsidRDefault="00587FC0" w:rsidP="00587FC0">
            <w:pPr>
              <w:autoSpaceDE w:val="0"/>
              <w:autoSpaceDN w:val="0"/>
              <w:adjustRightInd w:val="0"/>
              <w:jc w:val="center"/>
              <w:rPr>
                <w:rFonts w:ascii="Arial Narrow" w:hAnsi="Arial Narrow" w:cs="Tahoma"/>
                <w:sz w:val="18"/>
                <w:szCs w:val="18"/>
              </w:rPr>
            </w:pPr>
            <w:r w:rsidRPr="000F6665">
              <w:rPr>
                <w:rFonts w:ascii="Arial Narrow" w:hAnsi="Arial Narrow" w:cs="Tahoma"/>
                <w:sz w:val="18"/>
                <w:szCs w:val="18"/>
              </w:rPr>
              <w:t>Published by the Republika Srpska Institute of Statistics,</w:t>
            </w:r>
          </w:p>
          <w:p w:rsidR="00587FC0" w:rsidRPr="000F6665" w:rsidRDefault="00587FC0" w:rsidP="00587FC0">
            <w:pPr>
              <w:autoSpaceDE w:val="0"/>
              <w:autoSpaceDN w:val="0"/>
              <w:adjustRightInd w:val="0"/>
              <w:jc w:val="center"/>
              <w:rPr>
                <w:rFonts w:ascii="Arial Narrow" w:hAnsi="Arial Narrow" w:cs="Tahoma"/>
                <w:sz w:val="18"/>
                <w:szCs w:val="18"/>
              </w:rPr>
            </w:pPr>
            <w:r w:rsidRPr="000F6665">
              <w:rPr>
                <w:rFonts w:ascii="Arial Narrow" w:hAnsi="Arial Narrow" w:cs="Tahoma"/>
                <w:sz w:val="18"/>
                <w:szCs w:val="18"/>
              </w:rPr>
              <w:t>Republika Srpska, Banja Luka, Veljka Mlađenovića 12d</w:t>
            </w:r>
          </w:p>
          <w:p w:rsidR="00587FC0" w:rsidRPr="000F6665" w:rsidRDefault="00587FC0" w:rsidP="00587FC0">
            <w:pPr>
              <w:autoSpaceDE w:val="0"/>
              <w:autoSpaceDN w:val="0"/>
              <w:adjustRightInd w:val="0"/>
              <w:jc w:val="center"/>
              <w:rPr>
                <w:rFonts w:ascii="Arial Narrow" w:hAnsi="Arial Narrow" w:cs="Tahoma"/>
                <w:sz w:val="18"/>
                <w:szCs w:val="18"/>
              </w:rPr>
            </w:pPr>
            <w:r w:rsidRPr="000F6665">
              <w:rPr>
                <w:rFonts w:ascii="Arial Narrow" w:hAnsi="Arial Narrow" w:cs="Tahoma"/>
                <w:sz w:val="18"/>
                <w:szCs w:val="18"/>
              </w:rPr>
              <w:t>Radmila Čičković, PhD, Director General of the Institute</w:t>
            </w:r>
          </w:p>
          <w:p w:rsidR="00587FC0" w:rsidRPr="000F6665" w:rsidRDefault="00587FC0" w:rsidP="00587FC0">
            <w:pPr>
              <w:autoSpaceDE w:val="0"/>
              <w:autoSpaceDN w:val="0"/>
              <w:adjustRightInd w:val="0"/>
              <w:jc w:val="center"/>
              <w:rPr>
                <w:rFonts w:ascii="Arial Narrow" w:hAnsi="Arial Narrow" w:cs="Tahoma"/>
                <w:sz w:val="18"/>
                <w:szCs w:val="18"/>
              </w:rPr>
            </w:pPr>
            <w:r w:rsidRPr="000F6665">
              <w:rPr>
                <w:rFonts w:ascii="Arial Narrow" w:hAnsi="Arial Narrow" w:cs="Tahoma"/>
                <w:sz w:val="18"/>
                <w:szCs w:val="18"/>
              </w:rPr>
              <w:t>The Release is published online at: www.rzs.rs.ba</w:t>
            </w:r>
          </w:p>
          <w:p w:rsidR="00587FC0" w:rsidRDefault="00587FC0" w:rsidP="00587FC0">
            <w:pPr>
              <w:jc w:val="center"/>
            </w:pPr>
            <w:r w:rsidRPr="000F6665">
              <w:rPr>
                <w:rFonts w:ascii="Arial Narrow" w:hAnsi="Arial Narrow" w:cs="Tahoma"/>
                <w:sz w:val="18"/>
                <w:szCs w:val="18"/>
              </w:rPr>
              <w:t xml:space="preserve">telephone +387 51 332 700; e-mail: </w:t>
            </w:r>
            <w:hyperlink r:id="rId19" w:history="1">
              <w:r w:rsidRPr="000F6665">
                <w:rPr>
                  <w:rStyle w:val="Hyperlink"/>
                  <w:rFonts w:ascii="Arial Narrow" w:hAnsi="Arial Narrow" w:cs="Tahoma"/>
                  <w:color w:val="auto"/>
                  <w:sz w:val="18"/>
                  <w:szCs w:val="18"/>
                </w:rPr>
                <w:t>stat@rzs.rs.ba</w:t>
              </w:r>
            </w:hyperlink>
          </w:p>
          <w:p w:rsidR="009E2A9A" w:rsidRPr="000749E0" w:rsidRDefault="009E2A9A" w:rsidP="009E2A9A">
            <w:pPr>
              <w:jc w:val="center"/>
              <w:rPr>
                <w:rFonts w:ascii="Tahoma" w:hAnsi="Tahoma" w:cs="Tahoma"/>
                <w:b/>
                <w:bCs/>
                <w:sz w:val="16"/>
                <w:lang w:val="ru-RU"/>
              </w:rPr>
            </w:pPr>
          </w:p>
          <w:p w:rsidR="009E2A9A" w:rsidRPr="000749E0" w:rsidRDefault="00587FC0" w:rsidP="009E2A9A">
            <w:pPr>
              <w:autoSpaceDE w:val="0"/>
              <w:autoSpaceDN w:val="0"/>
              <w:adjustRightInd w:val="0"/>
              <w:ind w:left="-198"/>
              <w:jc w:val="center"/>
              <w:rPr>
                <w:rFonts w:ascii="Arial Narrow" w:hAnsi="Arial Narrow" w:cs="Tahoma"/>
                <w:b/>
                <w:bCs/>
                <w:sz w:val="16"/>
                <w:szCs w:val="18"/>
                <w:lang w:val="ru-RU"/>
              </w:rPr>
            </w:pPr>
            <w:r w:rsidRPr="000F6665">
              <w:rPr>
                <w:rFonts w:ascii="Arial Narrow" w:hAnsi="Arial Narrow" w:cs="Tahoma"/>
                <w:b/>
                <w:bCs/>
                <w:sz w:val="18"/>
              </w:rPr>
              <w:t>Data may be used provided the source is acknowledged</w:t>
            </w:r>
          </w:p>
        </w:tc>
      </w:tr>
    </w:tbl>
    <w:p w:rsidR="009E2A9A" w:rsidRPr="000749E0" w:rsidRDefault="00843472" w:rsidP="009E2A9A">
      <w:pPr>
        <w:rPr>
          <w:rFonts w:ascii="Tahoma" w:hAnsi="Tahoma" w:cs="Tahoma"/>
          <w:lang w:val="sr-Cyrl-BA"/>
        </w:rPr>
      </w:pPr>
      <w:r>
        <w:rPr>
          <w:rFonts w:ascii="Tahoma" w:hAnsi="Tahoma" w:cs="Tahoma"/>
          <w:noProof/>
          <w:lang w:val="bs-Latn-BA" w:eastAsia="bs-Latn-BA"/>
        </w:rPr>
        <w:pict>
          <v:line id="_x0000_s1071" style="position:absolute;z-index:251667456;mso-position-horizontal-relative:text;mso-position-vertical-relative:text" from="-2.5pt,108.2pt" to="510.5pt,108.2pt" strokecolor="#376ea5" strokeweight="1.5pt"/>
        </w:pict>
      </w:r>
    </w:p>
    <w:p w:rsidR="009E2A9A" w:rsidRPr="000749E0" w:rsidRDefault="009E2A9A" w:rsidP="009E2A9A">
      <w:pPr>
        <w:rPr>
          <w:rFonts w:ascii="Tahoma" w:hAnsi="Tahoma" w:cs="Tahoma"/>
          <w:lang w:val="sr-Latn-CS"/>
        </w:rPr>
      </w:pPr>
    </w:p>
    <w:sectPr w:rsidR="009E2A9A" w:rsidRPr="000749E0" w:rsidSect="0076768F">
      <w:headerReference w:type="default" r:id="rId20"/>
      <w:footerReference w:type="default" r:id="rId21"/>
      <w:footerReference w:type="first" r:id="rId22"/>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29E" w:rsidRDefault="005B429E">
      <w:r>
        <w:separator/>
      </w:r>
    </w:p>
  </w:endnote>
  <w:endnote w:type="continuationSeparator" w:id="0">
    <w:p w:rsidR="005B429E" w:rsidRDefault="005B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01"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9E" w:rsidRDefault="00843472"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5B429E" w:rsidRPr="00175687" w:rsidRDefault="005B429E"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43472">
                    <w:rPr>
                      <w:rFonts w:ascii="Tahoma" w:hAnsi="Tahoma" w:cs="Tahoma"/>
                      <w:noProof/>
                      <w:color w:val="FFFFFF"/>
                    </w:rPr>
                    <w:t>3</w:t>
                  </w:r>
                  <w:r w:rsidRPr="00175687">
                    <w:rPr>
                      <w:rFonts w:ascii="Tahoma" w:hAnsi="Tahoma" w:cs="Tahoma"/>
                      <w:color w:val="FFFFFF"/>
                    </w:rPr>
                    <w:fldChar w:fldCharType="end"/>
                  </w:r>
                </w:p>
              </w:txbxContent>
            </v:textbox>
          </v:shape>
          <w10:wrap anchorx="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9E" w:rsidRDefault="00843472"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5B429E" w:rsidRPr="00175687" w:rsidRDefault="005B429E"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843472">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29E" w:rsidRDefault="005B429E">
      <w:r>
        <w:separator/>
      </w:r>
    </w:p>
  </w:footnote>
  <w:footnote w:type="continuationSeparator" w:id="0">
    <w:p w:rsidR="005B429E" w:rsidRDefault="005B4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3375"/>
      <w:gridCol w:w="7062"/>
    </w:tblGrid>
    <w:tr w:rsidR="005B429E">
      <w:tc>
        <w:tcPr>
          <w:tcW w:w="1617" w:type="pct"/>
          <w:tcBorders>
            <w:bottom w:val="single" w:sz="4" w:space="0" w:color="943634"/>
          </w:tcBorders>
          <w:shd w:val="clear" w:color="auto" w:fill="365F91"/>
          <w:vAlign w:val="bottom"/>
        </w:tcPr>
        <w:p w:rsidR="005B429E" w:rsidRPr="00587FC0" w:rsidRDefault="005B429E"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5B429E" w:rsidRPr="00587FC0" w:rsidRDefault="005B429E"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5B429E" w:rsidRPr="005D5311" w:rsidRDefault="005B429E" w:rsidP="00252DE1">
          <w:pPr>
            <w:pStyle w:val="Header"/>
            <w:rPr>
              <w:bCs/>
              <w:color w:val="76923C"/>
              <w:sz w:val="24"/>
              <w:szCs w:val="24"/>
              <w:lang w:val="bs-Cyrl-BA"/>
            </w:rPr>
          </w:pPr>
          <w:r w:rsidRPr="00DB5870">
            <w:rPr>
              <w:rFonts w:ascii="Arial Narrow" w:hAnsi="Arial Narrow" w:cs="Tahoma"/>
              <w:color w:val="0070C0"/>
              <w:sz w:val="18"/>
              <w:lang w:val="sr-Cyrl-BA"/>
            </w:rPr>
            <w:t>[2</w:t>
          </w:r>
          <w:r>
            <w:rPr>
              <w:rFonts w:ascii="Arial Narrow" w:hAnsi="Arial Narrow" w:cs="Tahoma"/>
              <w:color w:val="0070C0"/>
              <w:sz w:val="18"/>
              <w:lang w:val="sr-Cyrl-BA"/>
            </w:rPr>
            <w:t>2</w:t>
          </w:r>
          <w:r w:rsidRPr="00587FC0">
            <w:rPr>
              <w:rFonts w:ascii="Arial Narrow" w:hAnsi="Arial Narrow" w:cs="Tahoma"/>
              <w:color w:val="0070C0"/>
              <w:sz w:val="18"/>
              <w:vertAlign w:val="superscript"/>
            </w:rPr>
            <w:t>nd</w:t>
          </w:r>
          <w:r>
            <w:rPr>
              <w:rFonts w:ascii="Arial Narrow" w:hAnsi="Arial Narrow" w:cs="Tahoma"/>
              <w:color w:val="0070C0"/>
              <w:sz w:val="18"/>
            </w:rPr>
            <w:t xml:space="preserve"> June</w:t>
          </w:r>
          <w:r w:rsidRPr="00DB5870">
            <w:rPr>
              <w:rFonts w:ascii="Arial Narrow" w:hAnsi="Arial Narrow" w:cs="Tahoma"/>
              <w:color w:val="0070C0"/>
              <w:sz w:val="18"/>
              <w:lang w:val="sr-Cyrl-BA"/>
            </w:rPr>
            <w:t xml:space="preserve"> 201</w:t>
          </w:r>
          <w:r>
            <w:rPr>
              <w:rFonts w:ascii="Arial Narrow" w:hAnsi="Arial Narrow" w:cs="Tahoma"/>
              <w:color w:val="0070C0"/>
              <w:sz w:val="18"/>
              <w:lang w:val="sr-Cyrl-BA"/>
            </w:rPr>
            <w:t>5</w:t>
          </w:r>
          <w:r w:rsidRPr="00DB5870">
            <w:rPr>
              <w:rFonts w:ascii="Arial Narrow" w:hAnsi="Arial Narrow" w:cs="Tahoma"/>
              <w:color w:val="0070C0"/>
              <w:sz w:val="18"/>
              <w:lang w:val="sr-Cyrl-BA"/>
            </w:rPr>
            <w:t>]</w:t>
          </w:r>
          <w:r w:rsidRPr="00DB5870">
            <w:rPr>
              <w:rFonts w:ascii="Tahoma" w:hAnsi="Tahoma" w:cs="Tahoma"/>
              <w:color w:val="0070C0"/>
              <w:sz w:val="18"/>
              <w:lang w:val="sr-Cyrl-BA"/>
            </w:rPr>
            <w:t xml:space="preserve">  </w:t>
          </w:r>
          <w:r>
            <w:rPr>
              <w:rFonts w:ascii="Arial Narrow" w:hAnsi="Arial Narrow" w:cs="Tahoma"/>
              <w:b/>
              <w:color w:val="0070C0"/>
              <w:sz w:val="34"/>
              <w:szCs w:val="34"/>
              <w:lang w:val="sr-Cyrl-CS"/>
            </w:rPr>
            <w:t>6</w:t>
          </w:r>
          <w:r w:rsidRPr="00DB5870">
            <w:rPr>
              <w:rFonts w:ascii="Arial Narrow" w:hAnsi="Arial Narrow" w:cs="Tahoma"/>
              <w:b/>
              <w:color w:val="0070C0"/>
              <w:sz w:val="34"/>
              <w:szCs w:val="34"/>
            </w:rPr>
            <w:t>/</w:t>
          </w:r>
          <w:r w:rsidRPr="00DB5870">
            <w:rPr>
              <w:rFonts w:ascii="Arial Narrow" w:hAnsi="Arial Narrow" w:cs="Tahoma"/>
              <w:b/>
              <w:color w:val="0070C0"/>
              <w:sz w:val="34"/>
              <w:szCs w:val="34"/>
              <w:lang w:val="sr-Cyrl-BA"/>
            </w:rPr>
            <w:t>1</w:t>
          </w:r>
          <w:r>
            <w:rPr>
              <w:rFonts w:ascii="Arial Narrow" w:hAnsi="Arial Narrow" w:cs="Tahoma"/>
              <w:b/>
              <w:color w:val="0070C0"/>
              <w:sz w:val="34"/>
              <w:szCs w:val="34"/>
              <w:lang w:val="sr-Cyrl-BA"/>
            </w:rPr>
            <w:t>5</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5B429E" w:rsidRDefault="00843472" w:rsidP="006D0CE1">
    <w:pPr>
      <w:pStyle w:val="Header"/>
      <w:ind w:right="360"/>
      <w:rPr>
        <w:rFonts w:ascii="Tahoma" w:hAnsi="Tahoma" w:cs="Tahoma"/>
        <w:sz w:val="16"/>
        <w:lang w:val="sr-Latn-CS"/>
      </w:rPr>
    </w:pPr>
    <w:r>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0C5F"/>
    <w:rsid w:val="0000107C"/>
    <w:rsid w:val="00001104"/>
    <w:rsid w:val="000012D7"/>
    <w:rsid w:val="000013DE"/>
    <w:rsid w:val="0000196F"/>
    <w:rsid w:val="00001AA6"/>
    <w:rsid w:val="00002145"/>
    <w:rsid w:val="0000258F"/>
    <w:rsid w:val="000025B1"/>
    <w:rsid w:val="00002914"/>
    <w:rsid w:val="00002BA6"/>
    <w:rsid w:val="00003366"/>
    <w:rsid w:val="0000385A"/>
    <w:rsid w:val="00003C36"/>
    <w:rsid w:val="00003DB0"/>
    <w:rsid w:val="00003E67"/>
    <w:rsid w:val="0000448E"/>
    <w:rsid w:val="00004492"/>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78"/>
    <w:rsid w:val="00010581"/>
    <w:rsid w:val="0001097F"/>
    <w:rsid w:val="00010B41"/>
    <w:rsid w:val="000110A0"/>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13F8"/>
    <w:rsid w:val="000217F5"/>
    <w:rsid w:val="00022012"/>
    <w:rsid w:val="000226F2"/>
    <w:rsid w:val="000227FB"/>
    <w:rsid w:val="00022A35"/>
    <w:rsid w:val="00022C48"/>
    <w:rsid w:val="00022F99"/>
    <w:rsid w:val="0002360C"/>
    <w:rsid w:val="00023649"/>
    <w:rsid w:val="00023721"/>
    <w:rsid w:val="00023D61"/>
    <w:rsid w:val="00024D86"/>
    <w:rsid w:val="0002500A"/>
    <w:rsid w:val="0002526D"/>
    <w:rsid w:val="00025429"/>
    <w:rsid w:val="000254D0"/>
    <w:rsid w:val="0002599F"/>
    <w:rsid w:val="000260ED"/>
    <w:rsid w:val="00026206"/>
    <w:rsid w:val="00026529"/>
    <w:rsid w:val="000266D0"/>
    <w:rsid w:val="00026A26"/>
    <w:rsid w:val="00026BD1"/>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CEF"/>
    <w:rsid w:val="00042D44"/>
    <w:rsid w:val="00042F45"/>
    <w:rsid w:val="00042FCA"/>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192"/>
    <w:rsid w:val="000631AE"/>
    <w:rsid w:val="0006323A"/>
    <w:rsid w:val="000636A7"/>
    <w:rsid w:val="00063B90"/>
    <w:rsid w:val="00063EEF"/>
    <w:rsid w:val="0006435E"/>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67C8F"/>
    <w:rsid w:val="00070140"/>
    <w:rsid w:val="00070149"/>
    <w:rsid w:val="00072832"/>
    <w:rsid w:val="000728BB"/>
    <w:rsid w:val="0007308C"/>
    <w:rsid w:val="000733C1"/>
    <w:rsid w:val="0007340D"/>
    <w:rsid w:val="0007341E"/>
    <w:rsid w:val="00073AB3"/>
    <w:rsid w:val="00073DC1"/>
    <w:rsid w:val="000749E0"/>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7AA"/>
    <w:rsid w:val="00082912"/>
    <w:rsid w:val="00082C41"/>
    <w:rsid w:val="00082D67"/>
    <w:rsid w:val="00082DA2"/>
    <w:rsid w:val="00082FC9"/>
    <w:rsid w:val="000831D0"/>
    <w:rsid w:val="00083276"/>
    <w:rsid w:val="00083569"/>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5DE"/>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1CB"/>
    <w:rsid w:val="0009752B"/>
    <w:rsid w:val="000979E3"/>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575"/>
    <w:rsid w:val="000A58CF"/>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63C1"/>
    <w:rsid w:val="000C6A1A"/>
    <w:rsid w:val="000C6B72"/>
    <w:rsid w:val="000C6C60"/>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38"/>
    <w:rsid w:val="000D7FBE"/>
    <w:rsid w:val="000E0B81"/>
    <w:rsid w:val="000E0CC6"/>
    <w:rsid w:val="000E0CF7"/>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D3E"/>
    <w:rsid w:val="000F0E12"/>
    <w:rsid w:val="000F0E43"/>
    <w:rsid w:val="000F0FB0"/>
    <w:rsid w:val="000F1185"/>
    <w:rsid w:val="000F1EDA"/>
    <w:rsid w:val="000F2712"/>
    <w:rsid w:val="000F27B9"/>
    <w:rsid w:val="000F2FBE"/>
    <w:rsid w:val="000F4CE7"/>
    <w:rsid w:val="000F4DE8"/>
    <w:rsid w:val="000F55DE"/>
    <w:rsid w:val="000F5794"/>
    <w:rsid w:val="000F57F7"/>
    <w:rsid w:val="000F5F23"/>
    <w:rsid w:val="000F5F69"/>
    <w:rsid w:val="000F6DEC"/>
    <w:rsid w:val="000F6E1C"/>
    <w:rsid w:val="000F6F19"/>
    <w:rsid w:val="000F7338"/>
    <w:rsid w:val="000F78E1"/>
    <w:rsid w:val="000F7922"/>
    <w:rsid w:val="000F7977"/>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24D"/>
    <w:rsid w:val="0011133B"/>
    <w:rsid w:val="001118CC"/>
    <w:rsid w:val="00111BA9"/>
    <w:rsid w:val="001121BE"/>
    <w:rsid w:val="001121DC"/>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944"/>
    <w:rsid w:val="00133A21"/>
    <w:rsid w:val="00133CDB"/>
    <w:rsid w:val="00133F73"/>
    <w:rsid w:val="001342E2"/>
    <w:rsid w:val="001343EF"/>
    <w:rsid w:val="00134456"/>
    <w:rsid w:val="00134484"/>
    <w:rsid w:val="00134E6F"/>
    <w:rsid w:val="00134EB9"/>
    <w:rsid w:val="001359AE"/>
    <w:rsid w:val="001361D7"/>
    <w:rsid w:val="001364A2"/>
    <w:rsid w:val="001364A4"/>
    <w:rsid w:val="00136588"/>
    <w:rsid w:val="001369A5"/>
    <w:rsid w:val="00136C7A"/>
    <w:rsid w:val="00136EF9"/>
    <w:rsid w:val="00137550"/>
    <w:rsid w:val="00137589"/>
    <w:rsid w:val="00137828"/>
    <w:rsid w:val="00137B14"/>
    <w:rsid w:val="00137C5C"/>
    <w:rsid w:val="00140ABB"/>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234"/>
    <w:rsid w:val="00153934"/>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2629"/>
    <w:rsid w:val="00162B49"/>
    <w:rsid w:val="001631DD"/>
    <w:rsid w:val="00163556"/>
    <w:rsid w:val="00163595"/>
    <w:rsid w:val="00163A9B"/>
    <w:rsid w:val="00163E2A"/>
    <w:rsid w:val="00164E59"/>
    <w:rsid w:val="001655F9"/>
    <w:rsid w:val="0016574C"/>
    <w:rsid w:val="001658E6"/>
    <w:rsid w:val="001658F6"/>
    <w:rsid w:val="00165B0F"/>
    <w:rsid w:val="00165FE9"/>
    <w:rsid w:val="001664E5"/>
    <w:rsid w:val="001665AD"/>
    <w:rsid w:val="00166C85"/>
    <w:rsid w:val="00167333"/>
    <w:rsid w:val="001700D8"/>
    <w:rsid w:val="001702DD"/>
    <w:rsid w:val="001704AA"/>
    <w:rsid w:val="0017077B"/>
    <w:rsid w:val="001712BD"/>
    <w:rsid w:val="00171B86"/>
    <w:rsid w:val="00171CD1"/>
    <w:rsid w:val="00172A89"/>
    <w:rsid w:val="0017306E"/>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16F"/>
    <w:rsid w:val="001825BC"/>
    <w:rsid w:val="00182CDB"/>
    <w:rsid w:val="0018317D"/>
    <w:rsid w:val="00183F3E"/>
    <w:rsid w:val="00183FBA"/>
    <w:rsid w:val="001845F2"/>
    <w:rsid w:val="00184BAE"/>
    <w:rsid w:val="00184CE0"/>
    <w:rsid w:val="00185169"/>
    <w:rsid w:val="0018539C"/>
    <w:rsid w:val="00186821"/>
    <w:rsid w:val="001868B0"/>
    <w:rsid w:val="00186D1F"/>
    <w:rsid w:val="001871A5"/>
    <w:rsid w:val="001872B7"/>
    <w:rsid w:val="001878D9"/>
    <w:rsid w:val="00187D0E"/>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51AE"/>
    <w:rsid w:val="001952E2"/>
    <w:rsid w:val="00195AC9"/>
    <w:rsid w:val="00195F3F"/>
    <w:rsid w:val="00196133"/>
    <w:rsid w:val="001966D3"/>
    <w:rsid w:val="00196D35"/>
    <w:rsid w:val="0019785A"/>
    <w:rsid w:val="0019795C"/>
    <w:rsid w:val="00197F64"/>
    <w:rsid w:val="00197F82"/>
    <w:rsid w:val="001A01E7"/>
    <w:rsid w:val="001A026F"/>
    <w:rsid w:val="001A0CB0"/>
    <w:rsid w:val="001A164F"/>
    <w:rsid w:val="001A1708"/>
    <w:rsid w:val="001A1901"/>
    <w:rsid w:val="001A1B78"/>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9CE"/>
    <w:rsid w:val="001B3F32"/>
    <w:rsid w:val="001B4666"/>
    <w:rsid w:val="001B4963"/>
    <w:rsid w:val="001B4B15"/>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5FB"/>
    <w:rsid w:val="001C5808"/>
    <w:rsid w:val="001C5DBF"/>
    <w:rsid w:val="001C6474"/>
    <w:rsid w:val="001C67D7"/>
    <w:rsid w:val="001C69B1"/>
    <w:rsid w:val="001C6A6F"/>
    <w:rsid w:val="001C6F45"/>
    <w:rsid w:val="001C703B"/>
    <w:rsid w:val="001C7275"/>
    <w:rsid w:val="001C77AB"/>
    <w:rsid w:val="001C787F"/>
    <w:rsid w:val="001D0554"/>
    <w:rsid w:val="001D0F80"/>
    <w:rsid w:val="001D1B61"/>
    <w:rsid w:val="001D1C4F"/>
    <w:rsid w:val="001D1E13"/>
    <w:rsid w:val="001D1FE4"/>
    <w:rsid w:val="001D25B2"/>
    <w:rsid w:val="001D2625"/>
    <w:rsid w:val="001D2989"/>
    <w:rsid w:val="001D2A95"/>
    <w:rsid w:val="001D2CF2"/>
    <w:rsid w:val="001D32FB"/>
    <w:rsid w:val="001D3478"/>
    <w:rsid w:val="001D3B70"/>
    <w:rsid w:val="001D4005"/>
    <w:rsid w:val="001D464D"/>
    <w:rsid w:val="001D49CD"/>
    <w:rsid w:val="001D4B40"/>
    <w:rsid w:val="001D4F92"/>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B1A"/>
    <w:rsid w:val="00216DAA"/>
    <w:rsid w:val="00216E68"/>
    <w:rsid w:val="0021716A"/>
    <w:rsid w:val="00217355"/>
    <w:rsid w:val="00217362"/>
    <w:rsid w:val="00217481"/>
    <w:rsid w:val="002178ED"/>
    <w:rsid w:val="00217A53"/>
    <w:rsid w:val="00217C95"/>
    <w:rsid w:val="00217FF4"/>
    <w:rsid w:val="0022030A"/>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5035"/>
    <w:rsid w:val="00225444"/>
    <w:rsid w:val="002254B2"/>
    <w:rsid w:val="00225FB3"/>
    <w:rsid w:val="00226533"/>
    <w:rsid w:val="0022693C"/>
    <w:rsid w:val="00226A96"/>
    <w:rsid w:val="00227A59"/>
    <w:rsid w:val="0023009E"/>
    <w:rsid w:val="002308A9"/>
    <w:rsid w:val="00230D4C"/>
    <w:rsid w:val="002314BE"/>
    <w:rsid w:val="00232455"/>
    <w:rsid w:val="0023291B"/>
    <w:rsid w:val="00233350"/>
    <w:rsid w:val="0023338C"/>
    <w:rsid w:val="00233634"/>
    <w:rsid w:val="002345C3"/>
    <w:rsid w:val="00234660"/>
    <w:rsid w:val="00234E18"/>
    <w:rsid w:val="00234F78"/>
    <w:rsid w:val="002359D5"/>
    <w:rsid w:val="00235B39"/>
    <w:rsid w:val="00235CB0"/>
    <w:rsid w:val="00235D8A"/>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E1"/>
    <w:rsid w:val="00253674"/>
    <w:rsid w:val="002537D9"/>
    <w:rsid w:val="0025382B"/>
    <w:rsid w:val="00253863"/>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774"/>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C13"/>
    <w:rsid w:val="002A0E02"/>
    <w:rsid w:val="002A1982"/>
    <w:rsid w:val="002A26CF"/>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46A"/>
    <w:rsid w:val="002B070E"/>
    <w:rsid w:val="002B087B"/>
    <w:rsid w:val="002B0900"/>
    <w:rsid w:val="002B0C47"/>
    <w:rsid w:val="002B12EA"/>
    <w:rsid w:val="002B16A4"/>
    <w:rsid w:val="002B1FEF"/>
    <w:rsid w:val="002B2143"/>
    <w:rsid w:val="002B2333"/>
    <w:rsid w:val="002B2749"/>
    <w:rsid w:val="002B36D8"/>
    <w:rsid w:val="002B39A1"/>
    <w:rsid w:val="002B3C27"/>
    <w:rsid w:val="002B3C81"/>
    <w:rsid w:val="002B3DE9"/>
    <w:rsid w:val="002B3EB3"/>
    <w:rsid w:val="002B40A0"/>
    <w:rsid w:val="002B41DE"/>
    <w:rsid w:val="002B4411"/>
    <w:rsid w:val="002B4A50"/>
    <w:rsid w:val="002B4AB5"/>
    <w:rsid w:val="002B4B27"/>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AA5"/>
    <w:rsid w:val="002D3B87"/>
    <w:rsid w:val="002D3C28"/>
    <w:rsid w:val="002D3D1C"/>
    <w:rsid w:val="002D4997"/>
    <w:rsid w:val="002D5198"/>
    <w:rsid w:val="002D5374"/>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24F0"/>
    <w:rsid w:val="002E252D"/>
    <w:rsid w:val="002E2616"/>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9F1"/>
    <w:rsid w:val="002E7B7C"/>
    <w:rsid w:val="002E7CBB"/>
    <w:rsid w:val="002F003D"/>
    <w:rsid w:val="002F0873"/>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1CF"/>
    <w:rsid w:val="0031435D"/>
    <w:rsid w:val="00314EDA"/>
    <w:rsid w:val="00316671"/>
    <w:rsid w:val="003169EF"/>
    <w:rsid w:val="003170C4"/>
    <w:rsid w:val="00317BE9"/>
    <w:rsid w:val="00317F21"/>
    <w:rsid w:val="003206D2"/>
    <w:rsid w:val="00320758"/>
    <w:rsid w:val="00320DFF"/>
    <w:rsid w:val="0032125D"/>
    <w:rsid w:val="003214C3"/>
    <w:rsid w:val="0032196C"/>
    <w:rsid w:val="00321BF0"/>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D4A"/>
    <w:rsid w:val="003369A1"/>
    <w:rsid w:val="00336F29"/>
    <w:rsid w:val="00336FDA"/>
    <w:rsid w:val="00337925"/>
    <w:rsid w:val="00337AB2"/>
    <w:rsid w:val="003401A5"/>
    <w:rsid w:val="003402DF"/>
    <w:rsid w:val="0034035A"/>
    <w:rsid w:val="00340396"/>
    <w:rsid w:val="00340B56"/>
    <w:rsid w:val="00341073"/>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3311"/>
    <w:rsid w:val="00373641"/>
    <w:rsid w:val="003736D2"/>
    <w:rsid w:val="0037389E"/>
    <w:rsid w:val="00373D2D"/>
    <w:rsid w:val="00374009"/>
    <w:rsid w:val="0037455A"/>
    <w:rsid w:val="00374A5B"/>
    <w:rsid w:val="00374E8D"/>
    <w:rsid w:val="003751C6"/>
    <w:rsid w:val="00375352"/>
    <w:rsid w:val="00376624"/>
    <w:rsid w:val="003766C3"/>
    <w:rsid w:val="00376B7A"/>
    <w:rsid w:val="00376EC0"/>
    <w:rsid w:val="0037746C"/>
    <w:rsid w:val="003777E1"/>
    <w:rsid w:val="00377C1F"/>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DE"/>
    <w:rsid w:val="0039420B"/>
    <w:rsid w:val="00394D75"/>
    <w:rsid w:val="00394DDE"/>
    <w:rsid w:val="0039534B"/>
    <w:rsid w:val="00395878"/>
    <w:rsid w:val="003961DF"/>
    <w:rsid w:val="003964C1"/>
    <w:rsid w:val="0039672B"/>
    <w:rsid w:val="00396802"/>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A7F18"/>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F53"/>
    <w:rsid w:val="003B71D7"/>
    <w:rsid w:val="003B74FC"/>
    <w:rsid w:val="003B7ABD"/>
    <w:rsid w:val="003C003A"/>
    <w:rsid w:val="003C067F"/>
    <w:rsid w:val="003C08C7"/>
    <w:rsid w:val="003C08DB"/>
    <w:rsid w:val="003C0DD0"/>
    <w:rsid w:val="003C12A9"/>
    <w:rsid w:val="003C12E1"/>
    <w:rsid w:val="003C17A2"/>
    <w:rsid w:val="003C1DBB"/>
    <w:rsid w:val="003C2209"/>
    <w:rsid w:val="003C2D8A"/>
    <w:rsid w:val="003C3173"/>
    <w:rsid w:val="003C37AD"/>
    <w:rsid w:val="003C39F3"/>
    <w:rsid w:val="003C474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E54"/>
    <w:rsid w:val="003E6516"/>
    <w:rsid w:val="003E6751"/>
    <w:rsid w:val="003E7689"/>
    <w:rsid w:val="003E793A"/>
    <w:rsid w:val="003F02D9"/>
    <w:rsid w:val="003F0BB4"/>
    <w:rsid w:val="003F0CE8"/>
    <w:rsid w:val="003F0D72"/>
    <w:rsid w:val="003F0E9A"/>
    <w:rsid w:val="003F0FB9"/>
    <w:rsid w:val="003F1109"/>
    <w:rsid w:val="003F14E1"/>
    <w:rsid w:val="003F1C1E"/>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518D"/>
    <w:rsid w:val="0040530C"/>
    <w:rsid w:val="00405C30"/>
    <w:rsid w:val="00406676"/>
    <w:rsid w:val="004070EE"/>
    <w:rsid w:val="004071BC"/>
    <w:rsid w:val="004075AA"/>
    <w:rsid w:val="0040787F"/>
    <w:rsid w:val="00407963"/>
    <w:rsid w:val="00407BAF"/>
    <w:rsid w:val="00407EBD"/>
    <w:rsid w:val="0041001A"/>
    <w:rsid w:val="00410206"/>
    <w:rsid w:val="00410BC0"/>
    <w:rsid w:val="00410FD1"/>
    <w:rsid w:val="004110F2"/>
    <w:rsid w:val="00411D51"/>
    <w:rsid w:val="00412202"/>
    <w:rsid w:val="004123C9"/>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2AF"/>
    <w:rsid w:val="004278E9"/>
    <w:rsid w:val="00427920"/>
    <w:rsid w:val="00427DFD"/>
    <w:rsid w:val="00430550"/>
    <w:rsid w:val="00430D76"/>
    <w:rsid w:val="00430E65"/>
    <w:rsid w:val="004319F0"/>
    <w:rsid w:val="00431CF6"/>
    <w:rsid w:val="00431EFB"/>
    <w:rsid w:val="00431FA7"/>
    <w:rsid w:val="00432260"/>
    <w:rsid w:val="004323F5"/>
    <w:rsid w:val="0043250A"/>
    <w:rsid w:val="004325DE"/>
    <w:rsid w:val="004328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053"/>
    <w:rsid w:val="004424C8"/>
    <w:rsid w:val="00442AA0"/>
    <w:rsid w:val="00443172"/>
    <w:rsid w:val="00443456"/>
    <w:rsid w:val="0044390C"/>
    <w:rsid w:val="00443EF2"/>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49A"/>
    <w:rsid w:val="00454645"/>
    <w:rsid w:val="004549B0"/>
    <w:rsid w:val="00454D24"/>
    <w:rsid w:val="004551B9"/>
    <w:rsid w:val="004552DC"/>
    <w:rsid w:val="0045570F"/>
    <w:rsid w:val="00455B31"/>
    <w:rsid w:val="00455DB5"/>
    <w:rsid w:val="00456B3F"/>
    <w:rsid w:val="00457173"/>
    <w:rsid w:val="00457CA3"/>
    <w:rsid w:val="00457ECB"/>
    <w:rsid w:val="00457F03"/>
    <w:rsid w:val="0046013D"/>
    <w:rsid w:val="004604EB"/>
    <w:rsid w:val="00460578"/>
    <w:rsid w:val="004607C9"/>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702A"/>
    <w:rsid w:val="004671E6"/>
    <w:rsid w:val="00467736"/>
    <w:rsid w:val="00467907"/>
    <w:rsid w:val="00467A8A"/>
    <w:rsid w:val="00467C52"/>
    <w:rsid w:val="004701AA"/>
    <w:rsid w:val="00470575"/>
    <w:rsid w:val="00470599"/>
    <w:rsid w:val="004705A6"/>
    <w:rsid w:val="004706A8"/>
    <w:rsid w:val="004706B3"/>
    <w:rsid w:val="00470732"/>
    <w:rsid w:val="00470BF4"/>
    <w:rsid w:val="00470E2C"/>
    <w:rsid w:val="00470E85"/>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58B7"/>
    <w:rsid w:val="00486AF3"/>
    <w:rsid w:val="00486BB4"/>
    <w:rsid w:val="0048713A"/>
    <w:rsid w:val="004873AA"/>
    <w:rsid w:val="00487404"/>
    <w:rsid w:val="0048741A"/>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6B3"/>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079"/>
    <w:rsid w:val="004B642C"/>
    <w:rsid w:val="004B65B0"/>
    <w:rsid w:val="004B6831"/>
    <w:rsid w:val="004B6832"/>
    <w:rsid w:val="004B6841"/>
    <w:rsid w:val="004B684A"/>
    <w:rsid w:val="004B6FC7"/>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E81"/>
    <w:rsid w:val="004C7FE4"/>
    <w:rsid w:val="004D012D"/>
    <w:rsid w:val="004D047A"/>
    <w:rsid w:val="004D0DAE"/>
    <w:rsid w:val="004D1260"/>
    <w:rsid w:val="004D1594"/>
    <w:rsid w:val="004D181B"/>
    <w:rsid w:val="004D1AFD"/>
    <w:rsid w:val="004D2A73"/>
    <w:rsid w:val="004D2EF5"/>
    <w:rsid w:val="004D4005"/>
    <w:rsid w:val="004D43C4"/>
    <w:rsid w:val="004D4DD2"/>
    <w:rsid w:val="004D5060"/>
    <w:rsid w:val="004D55E8"/>
    <w:rsid w:val="004D581F"/>
    <w:rsid w:val="004D58F0"/>
    <w:rsid w:val="004D5A28"/>
    <w:rsid w:val="004D5DF5"/>
    <w:rsid w:val="004D6CF1"/>
    <w:rsid w:val="004D6D03"/>
    <w:rsid w:val="004D703F"/>
    <w:rsid w:val="004D711C"/>
    <w:rsid w:val="004D732E"/>
    <w:rsid w:val="004D740C"/>
    <w:rsid w:val="004D7803"/>
    <w:rsid w:val="004D7874"/>
    <w:rsid w:val="004D7CA9"/>
    <w:rsid w:val="004E03E4"/>
    <w:rsid w:val="004E0439"/>
    <w:rsid w:val="004E0457"/>
    <w:rsid w:val="004E054D"/>
    <w:rsid w:val="004E0795"/>
    <w:rsid w:val="004E086F"/>
    <w:rsid w:val="004E0CC8"/>
    <w:rsid w:val="004E0DE5"/>
    <w:rsid w:val="004E0E93"/>
    <w:rsid w:val="004E1C2B"/>
    <w:rsid w:val="004E1D92"/>
    <w:rsid w:val="004E2122"/>
    <w:rsid w:val="004E21D8"/>
    <w:rsid w:val="004E22D6"/>
    <w:rsid w:val="004E2454"/>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6B2B"/>
    <w:rsid w:val="004F727C"/>
    <w:rsid w:val="004F7DB0"/>
    <w:rsid w:val="005000C2"/>
    <w:rsid w:val="005004A2"/>
    <w:rsid w:val="00500790"/>
    <w:rsid w:val="005007F8"/>
    <w:rsid w:val="00500C7B"/>
    <w:rsid w:val="005012BF"/>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5EBA"/>
    <w:rsid w:val="00506303"/>
    <w:rsid w:val="00507018"/>
    <w:rsid w:val="005073CC"/>
    <w:rsid w:val="005074F6"/>
    <w:rsid w:val="005076E5"/>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A1E"/>
    <w:rsid w:val="00521B73"/>
    <w:rsid w:val="00521E1B"/>
    <w:rsid w:val="0052236A"/>
    <w:rsid w:val="005226CB"/>
    <w:rsid w:val="0052298E"/>
    <w:rsid w:val="005234E8"/>
    <w:rsid w:val="00523A10"/>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F4"/>
    <w:rsid w:val="005429C0"/>
    <w:rsid w:val="00542A21"/>
    <w:rsid w:val="00542C96"/>
    <w:rsid w:val="00542CD5"/>
    <w:rsid w:val="00542D7B"/>
    <w:rsid w:val="0054311F"/>
    <w:rsid w:val="0054315B"/>
    <w:rsid w:val="00543329"/>
    <w:rsid w:val="00543397"/>
    <w:rsid w:val="00543645"/>
    <w:rsid w:val="00543DB1"/>
    <w:rsid w:val="00543FDD"/>
    <w:rsid w:val="00544594"/>
    <w:rsid w:val="005447EB"/>
    <w:rsid w:val="005447EC"/>
    <w:rsid w:val="0054487B"/>
    <w:rsid w:val="00544AD6"/>
    <w:rsid w:val="00544C08"/>
    <w:rsid w:val="0054536A"/>
    <w:rsid w:val="005456ED"/>
    <w:rsid w:val="005460E4"/>
    <w:rsid w:val="005461DE"/>
    <w:rsid w:val="00546250"/>
    <w:rsid w:val="005464E3"/>
    <w:rsid w:val="00546AEB"/>
    <w:rsid w:val="0054743F"/>
    <w:rsid w:val="005501F3"/>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551"/>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69D8"/>
    <w:rsid w:val="00576B31"/>
    <w:rsid w:val="00576C77"/>
    <w:rsid w:val="0057714E"/>
    <w:rsid w:val="005771B5"/>
    <w:rsid w:val="00577336"/>
    <w:rsid w:val="00577434"/>
    <w:rsid w:val="00577690"/>
    <w:rsid w:val="0058011A"/>
    <w:rsid w:val="00580DE0"/>
    <w:rsid w:val="005813EF"/>
    <w:rsid w:val="00581526"/>
    <w:rsid w:val="005818FA"/>
    <w:rsid w:val="00582928"/>
    <w:rsid w:val="0058353A"/>
    <w:rsid w:val="00583573"/>
    <w:rsid w:val="00583934"/>
    <w:rsid w:val="00583D8B"/>
    <w:rsid w:val="00584118"/>
    <w:rsid w:val="005841DF"/>
    <w:rsid w:val="00584618"/>
    <w:rsid w:val="00584656"/>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87FC0"/>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D3"/>
    <w:rsid w:val="005A5086"/>
    <w:rsid w:val="005A55F0"/>
    <w:rsid w:val="005A5687"/>
    <w:rsid w:val="005A5827"/>
    <w:rsid w:val="005A5E33"/>
    <w:rsid w:val="005A5F0E"/>
    <w:rsid w:val="005A6113"/>
    <w:rsid w:val="005A6721"/>
    <w:rsid w:val="005A6ADF"/>
    <w:rsid w:val="005A7795"/>
    <w:rsid w:val="005A7926"/>
    <w:rsid w:val="005A79FD"/>
    <w:rsid w:val="005A7BAC"/>
    <w:rsid w:val="005A7DC1"/>
    <w:rsid w:val="005A7EDD"/>
    <w:rsid w:val="005B0D19"/>
    <w:rsid w:val="005B0E07"/>
    <w:rsid w:val="005B12CF"/>
    <w:rsid w:val="005B12F7"/>
    <w:rsid w:val="005B17F5"/>
    <w:rsid w:val="005B18B5"/>
    <w:rsid w:val="005B1A41"/>
    <w:rsid w:val="005B1C29"/>
    <w:rsid w:val="005B2908"/>
    <w:rsid w:val="005B2918"/>
    <w:rsid w:val="005B3045"/>
    <w:rsid w:val="005B308E"/>
    <w:rsid w:val="005B360A"/>
    <w:rsid w:val="005B366E"/>
    <w:rsid w:val="005B3812"/>
    <w:rsid w:val="005B3DBA"/>
    <w:rsid w:val="005B429E"/>
    <w:rsid w:val="005B4378"/>
    <w:rsid w:val="005B4590"/>
    <w:rsid w:val="005B4924"/>
    <w:rsid w:val="005B4986"/>
    <w:rsid w:val="005B49A2"/>
    <w:rsid w:val="005B4E67"/>
    <w:rsid w:val="005B527E"/>
    <w:rsid w:val="005B547B"/>
    <w:rsid w:val="005B55D1"/>
    <w:rsid w:val="005B61C7"/>
    <w:rsid w:val="005B622F"/>
    <w:rsid w:val="005B696F"/>
    <w:rsid w:val="005B69FC"/>
    <w:rsid w:val="005B6A26"/>
    <w:rsid w:val="005B6F25"/>
    <w:rsid w:val="005B76AC"/>
    <w:rsid w:val="005B7860"/>
    <w:rsid w:val="005B7B7B"/>
    <w:rsid w:val="005B7E64"/>
    <w:rsid w:val="005C0430"/>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FD4"/>
    <w:rsid w:val="005F13EC"/>
    <w:rsid w:val="005F14A0"/>
    <w:rsid w:val="005F1C68"/>
    <w:rsid w:val="005F3049"/>
    <w:rsid w:val="005F3130"/>
    <w:rsid w:val="005F3A70"/>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D48"/>
    <w:rsid w:val="00623DA5"/>
    <w:rsid w:val="006240D5"/>
    <w:rsid w:val="00624567"/>
    <w:rsid w:val="00624876"/>
    <w:rsid w:val="00624B78"/>
    <w:rsid w:val="00624CFB"/>
    <w:rsid w:val="00624DBD"/>
    <w:rsid w:val="00624EDA"/>
    <w:rsid w:val="0062578C"/>
    <w:rsid w:val="006257F4"/>
    <w:rsid w:val="00625F70"/>
    <w:rsid w:val="00626270"/>
    <w:rsid w:val="006268EA"/>
    <w:rsid w:val="00626CC8"/>
    <w:rsid w:val="00627AE8"/>
    <w:rsid w:val="00627CD1"/>
    <w:rsid w:val="00627F78"/>
    <w:rsid w:val="00630452"/>
    <w:rsid w:val="006309EA"/>
    <w:rsid w:val="006312E8"/>
    <w:rsid w:val="00631FAD"/>
    <w:rsid w:val="00632574"/>
    <w:rsid w:val="00632AA3"/>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2D3"/>
    <w:rsid w:val="00640B02"/>
    <w:rsid w:val="00640D78"/>
    <w:rsid w:val="006411A4"/>
    <w:rsid w:val="00641561"/>
    <w:rsid w:val="0064294C"/>
    <w:rsid w:val="0064319E"/>
    <w:rsid w:val="00644528"/>
    <w:rsid w:val="006447A9"/>
    <w:rsid w:val="00644AF4"/>
    <w:rsid w:val="00644BBF"/>
    <w:rsid w:val="00645033"/>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20C9"/>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939"/>
    <w:rsid w:val="0066022A"/>
    <w:rsid w:val="00660409"/>
    <w:rsid w:val="00660A00"/>
    <w:rsid w:val="00660A85"/>
    <w:rsid w:val="00660DC6"/>
    <w:rsid w:val="00661850"/>
    <w:rsid w:val="00661EE6"/>
    <w:rsid w:val="00662052"/>
    <w:rsid w:val="00662279"/>
    <w:rsid w:val="006622E1"/>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866"/>
    <w:rsid w:val="0067319A"/>
    <w:rsid w:val="006732F7"/>
    <w:rsid w:val="0067365B"/>
    <w:rsid w:val="00673764"/>
    <w:rsid w:val="00673D83"/>
    <w:rsid w:val="00673ECA"/>
    <w:rsid w:val="00676268"/>
    <w:rsid w:val="0067642C"/>
    <w:rsid w:val="00676997"/>
    <w:rsid w:val="00676CDE"/>
    <w:rsid w:val="0067719B"/>
    <w:rsid w:val="0067771F"/>
    <w:rsid w:val="00677996"/>
    <w:rsid w:val="00677BBB"/>
    <w:rsid w:val="00677BDE"/>
    <w:rsid w:val="00680125"/>
    <w:rsid w:val="00680200"/>
    <w:rsid w:val="00680471"/>
    <w:rsid w:val="006804AA"/>
    <w:rsid w:val="00680DCA"/>
    <w:rsid w:val="00681593"/>
    <w:rsid w:val="00681670"/>
    <w:rsid w:val="00681B4A"/>
    <w:rsid w:val="00681DDD"/>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98F"/>
    <w:rsid w:val="006A415E"/>
    <w:rsid w:val="006A43C6"/>
    <w:rsid w:val="006A518E"/>
    <w:rsid w:val="006A5346"/>
    <w:rsid w:val="006A5AAF"/>
    <w:rsid w:val="006A5EA6"/>
    <w:rsid w:val="006A5F98"/>
    <w:rsid w:val="006A6137"/>
    <w:rsid w:val="006A64E0"/>
    <w:rsid w:val="006A669E"/>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4010"/>
    <w:rsid w:val="006D4CC2"/>
    <w:rsid w:val="006D4DEF"/>
    <w:rsid w:val="006D57FE"/>
    <w:rsid w:val="006D5EA6"/>
    <w:rsid w:val="006D5FD8"/>
    <w:rsid w:val="006D604D"/>
    <w:rsid w:val="006D634C"/>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F001E"/>
    <w:rsid w:val="006F0082"/>
    <w:rsid w:val="006F01FB"/>
    <w:rsid w:val="006F078A"/>
    <w:rsid w:val="006F1026"/>
    <w:rsid w:val="006F109A"/>
    <w:rsid w:val="006F13D1"/>
    <w:rsid w:val="006F1EF5"/>
    <w:rsid w:val="006F21EE"/>
    <w:rsid w:val="006F2C11"/>
    <w:rsid w:val="006F32EC"/>
    <w:rsid w:val="006F34BE"/>
    <w:rsid w:val="006F3D34"/>
    <w:rsid w:val="006F3EB6"/>
    <w:rsid w:val="006F434E"/>
    <w:rsid w:val="006F4894"/>
    <w:rsid w:val="006F51DF"/>
    <w:rsid w:val="006F5277"/>
    <w:rsid w:val="006F5590"/>
    <w:rsid w:val="006F571C"/>
    <w:rsid w:val="006F6047"/>
    <w:rsid w:val="006F6A56"/>
    <w:rsid w:val="006F6C22"/>
    <w:rsid w:val="006F6C7B"/>
    <w:rsid w:val="006F73B0"/>
    <w:rsid w:val="006F73BF"/>
    <w:rsid w:val="006F7E2D"/>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09C"/>
    <w:rsid w:val="00761102"/>
    <w:rsid w:val="007612E1"/>
    <w:rsid w:val="0076135D"/>
    <w:rsid w:val="00761944"/>
    <w:rsid w:val="00761B35"/>
    <w:rsid w:val="00761ED8"/>
    <w:rsid w:val="00761FF3"/>
    <w:rsid w:val="007629D9"/>
    <w:rsid w:val="00763320"/>
    <w:rsid w:val="00764128"/>
    <w:rsid w:val="00764307"/>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A52"/>
    <w:rsid w:val="00783BED"/>
    <w:rsid w:val="00783C10"/>
    <w:rsid w:val="00784B4E"/>
    <w:rsid w:val="00784DBE"/>
    <w:rsid w:val="00785617"/>
    <w:rsid w:val="00785EDB"/>
    <w:rsid w:val="007863E0"/>
    <w:rsid w:val="00786AD9"/>
    <w:rsid w:val="00786C07"/>
    <w:rsid w:val="00786C1B"/>
    <w:rsid w:val="00787325"/>
    <w:rsid w:val="0078765F"/>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FEE"/>
    <w:rsid w:val="007971C5"/>
    <w:rsid w:val="007973DA"/>
    <w:rsid w:val="007977C1"/>
    <w:rsid w:val="00797D41"/>
    <w:rsid w:val="007A053C"/>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5FA4"/>
    <w:rsid w:val="007A60CB"/>
    <w:rsid w:val="007A61EB"/>
    <w:rsid w:val="007A6675"/>
    <w:rsid w:val="007A68D2"/>
    <w:rsid w:val="007A6BE5"/>
    <w:rsid w:val="007A6D3F"/>
    <w:rsid w:val="007A6DAD"/>
    <w:rsid w:val="007A6DF3"/>
    <w:rsid w:val="007A7D2C"/>
    <w:rsid w:val="007A7E5D"/>
    <w:rsid w:val="007A7FAD"/>
    <w:rsid w:val="007B0209"/>
    <w:rsid w:val="007B02D0"/>
    <w:rsid w:val="007B065A"/>
    <w:rsid w:val="007B0A9F"/>
    <w:rsid w:val="007B0DDC"/>
    <w:rsid w:val="007B12AE"/>
    <w:rsid w:val="007B1398"/>
    <w:rsid w:val="007B19BD"/>
    <w:rsid w:val="007B1F6F"/>
    <w:rsid w:val="007B244E"/>
    <w:rsid w:val="007B2BE8"/>
    <w:rsid w:val="007B3132"/>
    <w:rsid w:val="007B317B"/>
    <w:rsid w:val="007B3344"/>
    <w:rsid w:val="007B3D5E"/>
    <w:rsid w:val="007B3DF0"/>
    <w:rsid w:val="007B56FD"/>
    <w:rsid w:val="007B607A"/>
    <w:rsid w:val="007B69A0"/>
    <w:rsid w:val="007B6AC0"/>
    <w:rsid w:val="007B6FC2"/>
    <w:rsid w:val="007C0081"/>
    <w:rsid w:val="007C0828"/>
    <w:rsid w:val="007C09B7"/>
    <w:rsid w:val="007C0B22"/>
    <w:rsid w:val="007C0BB1"/>
    <w:rsid w:val="007C0C7B"/>
    <w:rsid w:val="007C1316"/>
    <w:rsid w:val="007C1B95"/>
    <w:rsid w:val="007C1E1A"/>
    <w:rsid w:val="007C1ECD"/>
    <w:rsid w:val="007C2CBB"/>
    <w:rsid w:val="007C302C"/>
    <w:rsid w:val="007C3142"/>
    <w:rsid w:val="007C3569"/>
    <w:rsid w:val="007C3E1C"/>
    <w:rsid w:val="007C41E9"/>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1564"/>
    <w:rsid w:val="007D15CF"/>
    <w:rsid w:val="007D16CC"/>
    <w:rsid w:val="007D1A13"/>
    <w:rsid w:val="007D1B33"/>
    <w:rsid w:val="007D1DB5"/>
    <w:rsid w:val="007D207E"/>
    <w:rsid w:val="007D21F0"/>
    <w:rsid w:val="007D24A6"/>
    <w:rsid w:val="007D278B"/>
    <w:rsid w:val="007D28C2"/>
    <w:rsid w:val="007D2B08"/>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E01DB"/>
    <w:rsid w:val="007E050A"/>
    <w:rsid w:val="007E0910"/>
    <w:rsid w:val="007E0C0D"/>
    <w:rsid w:val="007E0E39"/>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D38"/>
    <w:rsid w:val="007E4F0D"/>
    <w:rsid w:val="007E4F1E"/>
    <w:rsid w:val="007E5132"/>
    <w:rsid w:val="007E52D6"/>
    <w:rsid w:val="007E540F"/>
    <w:rsid w:val="007E5525"/>
    <w:rsid w:val="007E5D75"/>
    <w:rsid w:val="007E6760"/>
    <w:rsid w:val="007E6990"/>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3C2"/>
    <w:rsid w:val="007F3559"/>
    <w:rsid w:val="007F3A74"/>
    <w:rsid w:val="007F3CB5"/>
    <w:rsid w:val="007F3F18"/>
    <w:rsid w:val="007F40A7"/>
    <w:rsid w:val="007F4258"/>
    <w:rsid w:val="007F456D"/>
    <w:rsid w:val="007F4847"/>
    <w:rsid w:val="007F4921"/>
    <w:rsid w:val="007F4A8F"/>
    <w:rsid w:val="007F507D"/>
    <w:rsid w:val="007F5217"/>
    <w:rsid w:val="007F598E"/>
    <w:rsid w:val="007F5A67"/>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5B1"/>
    <w:rsid w:val="008066C0"/>
    <w:rsid w:val="008066F8"/>
    <w:rsid w:val="00806A9D"/>
    <w:rsid w:val="0080700D"/>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9B6"/>
    <w:rsid w:val="00817C4A"/>
    <w:rsid w:val="00820340"/>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221F"/>
    <w:rsid w:val="00832A9A"/>
    <w:rsid w:val="00832F1F"/>
    <w:rsid w:val="0083315E"/>
    <w:rsid w:val="00833284"/>
    <w:rsid w:val="008336E9"/>
    <w:rsid w:val="00833780"/>
    <w:rsid w:val="00833D75"/>
    <w:rsid w:val="008341F2"/>
    <w:rsid w:val="008341FE"/>
    <w:rsid w:val="00834DEC"/>
    <w:rsid w:val="008351E6"/>
    <w:rsid w:val="008357BB"/>
    <w:rsid w:val="0083591D"/>
    <w:rsid w:val="00835F0E"/>
    <w:rsid w:val="008360F1"/>
    <w:rsid w:val="00836E56"/>
    <w:rsid w:val="00836F17"/>
    <w:rsid w:val="00837084"/>
    <w:rsid w:val="0083727B"/>
    <w:rsid w:val="0084005D"/>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472"/>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E5"/>
    <w:rsid w:val="00850DE9"/>
    <w:rsid w:val="008516EB"/>
    <w:rsid w:val="00851B45"/>
    <w:rsid w:val="00851D78"/>
    <w:rsid w:val="00851DC8"/>
    <w:rsid w:val="00851FE4"/>
    <w:rsid w:val="008526C3"/>
    <w:rsid w:val="00852B85"/>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A19"/>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E67"/>
    <w:rsid w:val="0087350E"/>
    <w:rsid w:val="00873A3D"/>
    <w:rsid w:val="008740A4"/>
    <w:rsid w:val="0087453E"/>
    <w:rsid w:val="00874543"/>
    <w:rsid w:val="0087526B"/>
    <w:rsid w:val="00875576"/>
    <w:rsid w:val="00876C49"/>
    <w:rsid w:val="00876EE0"/>
    <w:rsid w:val="00876FAB"/>
    <w:rsid w:val="008771D9"/>
    <w:rsid w:val="00877229"/>
    <w:rsid w:val="0087747F"/>
    <w:rsid w:val="00877623"/>
    <w:rsid w:val="008779F0"/>
    <w:rsid w:val="00877AA5"/>
    <w:rsid w:val="00877C32"/>
    <w:rsid w:val="008809BE"/>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4E44"/>
    <w:rsid w:val="008A5368"/>
    <w:rsid w:val="008A5563"/>
    <w:rsid w:val="008A586C"/>
    <w:rsid w:val="008A5D98"/>
    <w:rsid w:val="008A5E44"/>
    <w:rsid w:val="008A5F66"/>
    <w:rsid w:val="008A7375"/>
    <w:rsid w:val="008A74FC"/>
    <w:rsid w:val="008A7ABC"/>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4EF1"/>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136"/>
    <w:rsid w:val="008D4D00"/>
    <w:rsid w:val="008D4DB5"/>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52B"/>
    <w:rsid w:val="008F1861"/>
    <w:rsid w:val="008F1923"/>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241"/>
    <w:rsid w:val="008F6275"/>
    <w:rsid w:val="008F6757"/>
    <w:rsid w:val="008F6BAA"/>
    <w:rsid w:val="008F6C91"/>
    <w:rsid w:val="008F77F6"/>
    <w:rsid w:val="009000EB"/>
    <w:rsid w:val="009004A0"/>
    <w:rsid w:val="00901240"/>
    <w:rsid w:val="009023F5"/>
    <w:rsid w:val="00902D6C"/>
    <w:rsid w:val="00903136"/>
    <w:rsid w:val="00903748"/>
    <w:rsid w:val="009037EA"/>
    <w:rsid w:val="00903A70"/>
    <w:rsid w:val="00903B33"/>
    <w:rsid w:val="00903C1E"/>
    <w:rsid w:val="0090404D"/>
    <w:rsid w:val="00904133"/>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BA1"/>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5AF"/>
    <w:rsid w:val="00944D56"/>
    <w:rsid w:val="00944E98"/>
    <w:rsid w:val="0094551A"/>
    <w:rsid w:val="00945559"/>
    <w:rsid w:val="0094566F"/>
    <w:rsid w:val="00945BD9"/>
    <w:rsid w:val="00945CC1"/>
    <w:rsid w:val="00946517"/>
    <w:rsid w:val="009465A2"/>
    <w:rsid w:val="00946A19"/>
    <w:rsid w:val="0094784D"/>
    <w:rsid w:val="009478E4"/>
    <w:rsid w:val="00947C89"/>
    <w:rsid w:val="0095029F"/>
    <w:rsid w:val="0095037B"/>
    <w:rsid w:val="009504BA"/>
    <w:rsid w:val="009505D1"/>
    <w:rsid w:val="00950884"/>
    <w:rsid w:val="00950D8B"/>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06D"/>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435C"/>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C81"/>
    <w:rsid w:val="00981D26"/>
    <w:rsid w:val="009820C8"/>
    <w:rsid w:val="00982549"/>
    <w:rsid w:val="0098264C"/>
    <w:rsid w:val="0098279C"/>
    <w:rsid w:val="009828A8"/>
    <w:rsid w:val="00982DAB"/>
    <w:rsid w:val="009831F8"/>
    <w:rsid w:val="00983276"/>
    <w:rsid w:val="009832EF"/>
    <w:rsid w:val="009837D3"/>
    <w:rsid w:val="00983911"/>
    <w:rsid w:val="00983C5F"/>
    <w:rsid w:val="00983E6E"/>
    <w:rsid w:val="00983F89"/>
    <w:rsid w:val="009840A4"/>
    <w:rsid w:val="00984E26"/>
    <w:rsid w:val="00985695"/>
    <w:rsid w:val="009858C2"/>
    <w:rsid w:val="00985EA8"/>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DB3"/>
    <w:rsid w:val="0099720A"/>
    <w:rsid w:val="00997580"/>
    <w:rsid w:val="0099790E"/>
    <w:rsid w:val="009A0261"/>
    <w:rsid w:val="009A0355"/>
    <w:rsid w:val="009A099B"/>
    <w:rsid w:val="009A0A57"/>
    <w:rsid w:val="009A0B74"/>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442"/>
    <w:rsid w:val="009C069B"/>
    <w:rsid w:val="009C1178"/>
    <w:rsid w:val="009C118D"/>
    <w:rsid w:val="009C17AB"/>
    <w:rsid w:val="009C1882"/>
    <w:rsid w:val="009C1EDF"/>
    <w:rsid w:val="009C2510"/>
    <w:rsid w:val="009C27FA"/>
    <w:rsid w:val="009C2D0E"/>
    <w:rsid w:val="009C2E97"/>
    <w:rsid w:val="009C3434"/>
    <w:rsid w:val="009C3629"/>
    <w:rsid w:val="009C36A8"/>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DF8"/>
    <w:rsid w:val="009C7EDB"/>
    <w:rsid w:val="009D0039"/>
    <w:rsid w:val="009D0100"/>
    <w:rsid w:val="009D08E9"/>
    <w:rsid w:val="009D09F4"/>
    <w:rsid w:val="009D0EF9"/>
    <w:rsid w:val="009D1195"/>
    <w:rsid w:val="009D1DA4"/>
    <w:rsid w:val="009D21E1"/>
    <w:rsid w:val="009D26AF"/>
    <w:rsid w:val="009D2B99"/>
    <w:rsid w:val="009D3113"/>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DDE"/>
    <w:rsid w:val="009E753F"/>
    <w:rsid w:val="009E75EB"/>
    <w:rsid w:val="009E76BD"/>
    <w:rsid w:val="009E76FE"/>
    <w:rsid w:val="009E7915"/>
    <w:rsid w:val="009E7D32"/>
    <w:rsid w:val="009F0304"/>
    <w:rsid w:val="009F043C"/>
    <w:rsid w:val="009F0F49"/>
    <w:rsid w:val="009F0F9A"/>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53E"/>
    <w:rsid w:val="009F464A"/>
    <w:rsid w:val="009F47C2"/>
    <w:rsid w:val="009F486A"/>
    <w:rsid w:val="009F4AEA"/>
    <w:rsid w:val="009F552F"/>
    <w:rsid w:val="009F5531"/>
    <w:rsid w:val="009F5674"/>
    <w:rsid w:val="009F58C4"/>
    <w:rsid w:val="009F59A8"/>
    <w:rsid w:val="009F5B0F"/>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E4F"/>
    <w:rsid w:val="00A15386"/>
    <w:rsid w:val="00A15538"/>
    <w:rsid w:val="00A15614"/>
    <w:rsid w:val="00A15E0A"/>
    <w:rsid w:val="00A15E94"/>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917"/>
    <w:rsid w:val="00A40D20"/>
    <w:rsid w:val="00A40F41"/>
    <w:rsid w:val="00A410C2"/>
    <w:rsid w:val="00A41656"/>
    <w:rsid w:val="00A41CCC"/>
    <w:rsid w:val="00A41DC8"/>
    <w:rsid w:val="00A41E8B"/>
    <w:rsid w:val="00A42D09"/>
    <w:rsid w:val="00A42E44"/>
    <w:rsid w:val="00A42EC6"/>
    <w:rsid w:val="00A42F30"/>
    <w:rsid w:val="00A436CC"/>
    <w:rsid w:val="00A43981"/>
    <w:rsid w:val="00A439D4"/>
    <w:rsid w:val="00A43E60"/>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55C"/>
    <w:rsid w:val="00A57853"/>
    <w:rsid w:val="00A57C7E"/>
    <w:rsid w:val="00A60737"/>
    <w:rsid w:val="00A6090F"/>
    <w:rsid w:val="00A6131A"/>
    <w:rsid w:val="00A616ED"/>
    <w:rsid w:val="00A6234A"/>
    <w:rsid w:val="00A623FC"/>
    <w:rsid w:val="00A62438"/>
    <w:rsid w:val="00A62C85"/>
    <w:rsid w:val="00A62FE1"/>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1D6E"/>
    <w:rsid w:val="00A7261D"/>
    <w:rsid w:val="00A72757"/>
    <w:rsid w:val="00A727AE"/>
    <w:rsid w:val="00A72953"/>
    <w:rsid w:val="00A72B00"/>
    <w:rsid w:val="00A72CF6"/>
    <w:rsid w:val="00A73DD7"/>
    <w:rsid w:val="00A746BD"/>
    <w:rsid w:val="00A74B2E"/>
    <w:rsid w:val="00A74BDB"/>
    <w:rsid w:val="00A74C06"/>
    <w:rsid w:val="00A751FF"/>
    <w:rsid w:val="00A753E4"/>
    <w:rsid w:val="00A75768"/>
    <w:rsid w:val="00A76142"/>
    <w:rsid w:val="00A7682F"/>
    <w:rsid w:val="00A7723A"/>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FBC"/>
    <w:rsid w:val="00A85683"/>
    <w:rsid w:val="00A859DF"/>
    <w:rsid w:val="00A85FF0"/>
    <w:rsid w:val="00A8649C"/>
    <w:rsid w:val="00A86BC1"/>
    <w:rsid w:val="00A87773"/>
    <w:rsid w:val="00A87D08"/>
    <w:rsid w:val="00A87D87"/>
    <w:rsid w:val="00A87DDF"/>
    <w:rsid w:val="00A90589"/>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75F3"/>
    <w:rsid w:val="00A97913"/>
    <w:rsid w:val="00A97D38"/>
    <w:rsid w:val="00AA0204"/>
    <w:rsid w:val="00AA0823"/>
    <w:rsid w:val="00AA089C"/>
    <w:rsid w:val="00AA0E63"/>
    <w:rsid w:val="00AA117B"/>
    <w:rsid w:val="00AA1597"/>
    <w:rsid w:val="00AA1861"/>
    <w:rsid w:val="00AA20A0"/>
    <w:rsid w:val="00AA2389"/>
    <w:rsid w:val="00AA2969"/>
    <w:rsid w:val="00AA2F67"/>
    <w:rsid w:val="00AA2FAB"/>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4206"/>
    <w:rsid w:val="00AC42BA"/>
    <w:rsid w:val="00AC4669"/>
    <w:rsid w:val="00AC4A73"/>
    <w:rsid w:val="00AC4BE1"/>
    <w:rsid w:val="00AC4E2C"/>
    <w:rsid w:val="00AC50DA"/>
    <w:rsid w:val="00AC590B"/>
    <w:rsid w:val="00AC5A4A"/>
    <w:rsid w:val="00AC5ACB"/>
    <w:rsid w:val="00AC5FA4"/>
    <w:rsid w:val="00AC5FB5"/>
    <w:rsid w:val="00AC60A7"/>
    <w:rsid w:val="00AC612E"/>
    <w:rsid w:val="00AC612F"/>
    <w:rsid w:val="00AC64F1"/>
    <w:rsid w:val="00AC7674"/>
    <w:rsid w:val="00AC7684"/>
    <w:rsid w:val="00AC7D10"/>
    <w:rsid w:val="00AC7E24"/>
    <w:rsid w:val="00AD01AC"/>
    <w:rsid w:val="00AD0BA4"/>
    <w:rsid w:val="00AD0C08"/>
    <w:rsid w:val="00AD12C7"/>
    <w:rsid w:val="00AD2408"/>
    <w:rsid w:val="00AD31F9"/>
    <w:rsid w:val="00AD3224"/>
    <w:rsid w:val="00AD3689"/>
    <w:rsid w:val="00AD38B7"/>
    <w:rsid w:val="00AD3901"/>
    <w:rsid w:val="00AD4281"/>
    <w:rsid w:val="00AD43C9"/>
    <w:rsid w:val="00AD4418"/>
    <w:rsid w:val="00AD442D"/>
    <w:rsid w:val="00AD45CE"/>
    <w:rsid w:val="00AD47C5"/>
    <w:rsid w:val="00AD48AC"/>
    <w:rsid w:val="00AD4A3F"/>
    <w:rsid w:val="00AD4B1A"/>
    <w:rsid w:val="00AD4DC9"/>
    <w:rsid w:val="00AD578E"/>
    <w:rsid w:val="00AD5807"/>
    <w:rsid w:val="00AD5EBF"/>
    <w:rsid w:val="00AD68A0"/>
    <w:rsid w:val="00AD6B39"/>
    <w:rsid w:val="00AD6CE4"/>
    <w:rsid w:val="00AD6E8E"/>
    <w:rsid w:val="00AD7706"/>
    <w:rsid w:val="00AD786D"/>
    <w:rsid w:val="00AE01B4"/>
    <w:rsid w:val="00AE02FB"/>
    <w:rsid w:val="00AE082F"/>
    <w:rsid w:val="00AE0C42"/>
    <w:rsid w:val="00AE0EBC"/>
    <w:rsid w:val="00AE1071"/>
    <w:rsid w:val="00AE15DF"/>
    <w:rsid w:val="00AE183B"/>
    <w:rsid w:val="00AE1AF2"/>
    <w:rsid w:val="00AE1B19"/>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9DC"/>
    <w:rsid w:val="00AE55EC"/>
    <w:rsid w:val="00AE5886"/>
    <w:rsid w:val="00AE64D2"/>
    <w:rsid w:val="00AE693E"/>
    <w:rsid w:val="00AE6A86"/>
    <w:rsid w:val="00AE6E63"/>
    <w:rsid w:val="00AE6F28"/>
    <w:rsid w:val="00AE7F03"/>
    <w:rsid w:val="00AF01B9"/>
    <w:rsid w:val="00AF0DE8"/>
    <w:rsid w:val="00AF1EAF"/>
    <w:rsid w:val="00AF1FE7"/>
    <w:rsid w:val="00AF2569"/>
    <w:rsid w:val="00AF2E67"/>
    <w:rsid w:val="00AF300D"/>
    <w:rsid w:val="00AF3038"/>
    <w:rsid w:val="00AF3332"/>
    <w:rsid w:val="00AF33C9"/>
    <w:rsid w:val="00AF3E0A"/>
    <w:rsid w:val="00AF4074"/>
    <w:rsid w:val="00AF4419"/>
    <w:rsid w:val="00AF45D2"/>
    <w:rsid w:val="00AF45D7"/>
    <w:rsid w:val="00AF491D"/>
    <w:rsid w:val="00AF4B61"/>
    <w:rsid w:val="00AF4C4E"/>
    <w:rsid w:val="00AF4F33"/>
    <w:rsid w:val="00AF5448"/>
    <w:rsid w:val="00AF559F"/>
    <w:rsid w:val="00AF5618"/>
    <w:rsid w:val="00AF57B4"/>
    <w:rsid w:val="00AF57FF"/>
    <w:rsid w:val="00AF5845"/>
    <w:rsid w:val="00AF5BC3"/>
    <w:rsid w:val="00AF5C9F"/>
    <w:rsid w:val="00AF630B"/>
    <w:rsid w:val="00AF6488"/>
    <w:rsid w:val="00AF6C46"/>
    <w:rsid w:val="00AF7168"/>
    <w:rsid w:val="00AF7232"/>
    <w:rsid w:val="00AF73B0"/>
    <w:rsid w:val="00AF73EC"/>
    <w:rsid w:val="00AF7401"/>
    <w:rsid w:val="00AF742F"/>
    <w:rsid w:val="00AF74A9"/>
    <w:rsid w:val="00AF77EA"/>
    <w:rsid w:val="00AF78D3"/>
    <w:rsid w:val="00AF78D8"/>
    <w:rsid w:val="00B00C02"/>
    <w:rsid w:val="00B00C33"/>
    <w:rsid w:val="00B0119B"/>
    <w:rsid w:val="00B01494"/>
    <w:rsid w:val="00B01D55"/>
    <w:rsid w:val="00B02808"/>
    <w:rsid w:val="00B02887"/>
    <w:rsid w:val="00B02F3E"/>
    <w:rsid w:val="00B0341D"/>
    <w:rsid w:val="00B03BEA"/>
    <w:rsid w:val="00B040ED"/>
    <w:rsid w:val="00B0417C"/>
    <w:rsid w:val="00B04534"/>
    <w:rsid w:val="00B048D3"/>
    <w:rsid w:val="00B04B99"/>
    <w:rsid w:val="00B04FEB"/>
    <w:rsid w:val="00B0510C"/>
    <w:rsid w:val="00B055AA"/>
    <w:rsid w:val="00B06280"/>
    <w:rsid w:val="00B06CC6"/>
    <w:rsid w:val="00B06D8B"/>
    <w:rsid w:val="00B07584"/>
    <w:rsid w:val="00B0787F"/>
    <w:rsid w:val="00B07C23"/>
    <w:rsid w:val="00B10011"/>
    <w:rsid w:val="00B10AF9"/>
    <w:rsid w:val="00B10E7A"/>
    <w:rsid w:val="00B11663"/>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69D"/>
    <w:rsid w:val="00B21ED5"/>
    <w:rsid w:val="00B2200F"/>
    <w:rsid w:val="00B22174"/>
    <w:rsid w:val="00B22394"/>
    <w:rsid w:val="00B2263F"/>
    <w:rsid w:val="00B22AFE"/>
    <w:rsid w:val="00B22BA0"/>
    <w:rsid w:val="00B22E15"/>
    <w:rsid w:val="00B23602"/>
    <w:rsid w:val="00B2374C"/>
    <w:rsid w:val="00B24475"/>
    <w:rsid w:val="00B2460A"/>
    <w:rsid w:val="00B247BD"/>
    <w:rsid w:val="00B24D76"/>
    <w:rsid w:val="00B25132"/>
    <w:rsid w:val="00B25167"/>
    <w:rsid w:val="00B2585D"/>
    <w:rsid w:val="00B25902"/>
    <w:rsid w:val="00B25B2F"/>
    <w:rsid w:val="00B2605E"/>
    <w:rsid w:val="00B265B3"/>
    <w:rsid w:val="00B26C8C"/>
    <w:rsid w:val="00B26E4C"/>
    <w:rsid w:val="00B27AE5"/>
    <w:rsid w:val="00B3031E"/>
    <w:rsid w:val="00B3080B"/>
    <w:rsid w:val="00B30CEC"/>
    <w:rsid w:val="00B30F36"/>
    <w:rsid w:val="00B30FB7"/>
    <w:rsid w:val="00B310DD"/>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43"/>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270F"/>
    <w:rsid w:val="00B43658"/>
    <w:rsid w:val="00B438DA"/>
    <w:rsid w:val="00B43C80"/>
    <w:rsid w:val="00B43E9E"/>
    <w:rsid w:val="00B4426D"/>
    <w:rsid w:val="00B44A06"/>
    <w:rsid w:val="00B44D27"/>
    <w:rsid w:val="00B44EF3"/>
    <w:rsid w:val="00B45D54"/>
    <w:rsid w:val="00B46FB9"/>
    <w:rsid w:val="00B4708B"/>
    <w:rsid w:val="00B47AD9"/>
    <w:rsid w:val="00B47C0C"/>
    <w:rsid w:val="00B47DB9"/>
    <w:rsid w:val="00B47F77"/>
    <w:rsid w:val="00B50B7D"/>
    <w:rsid w:val="00B5147C"/>
    <w:rsid w:val="00B51E09"/>
    <w:rsid w:val="00B520CA"/>
    <w:rsid w:val="00B52521"/>
    <w:rsid w:val="00B5389D"/>
    <w:rsid w:val="00B538D0"/>
    <w:rsid w:val="00B53A93"/>
    <w:rsid w:val="00B53C72"/>
    <w:rsid w:val="00B53F86"/>
    <w:rsid w:val="00B54316"/>
    <w:rsid w:val="00B54322"/>
    <w:rsid w:val="00B54528"/>
    <w:rsid w:val="00B5460E"/>
    <w:rsid w:val="00B54754"/>
    <w:rsid w:val="00B554E5"/>
    <w:rsid w:val="00B5627A"/>
    <w:rsid w:val="00B56861"/>
    <w:rsid w:val="00B56D1A"/>
    <w:rsid w:val="00B56D84"/>
    <w:rsid w:val="00B574EC"/>
    <w:rsid w:val="00B57EE7"/>
    <w:rsid w:val="00B6013A"/>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00D"/>
    <w:rsid w:val="00B7132B"/>
    <w:rsid w:val="00B71404"/>
    <w:rsid w:val="00B7186B"/>
    <w:rsid w:val="00B71CA6"/>
    <w:rsid w:val="00B7241C"/>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005"/>
    <w:rsid w:val="00B82DAD"/>
    <w:rsid w:val="00B83038"/>
    <w:rsid w:val="00B831CA"/>
    <w:rsid w:val="00B83328"/>
    <w:rsid w:val="00B83919"/>
    <w:rsid w:val="00B8431C"/>
    <w:rsid w:val="00B8453F"/>
    <w:rsid w:val="00B8493B"/>
    <w:rsid w:val="00B84B2D"/>
    <w:rsid w:val="00B850D3"/>
    <w:rsid w:val="00B8548E"/>
    <w:rsid w:val="00B85D9D"/>
    <w:rsid w:val="00B85E7F"/>
    <w:rsid w:val="00B86248"/>
    <w:rsid w:val="00B862F8"/>
    <w:rsid w:val="00B8697F"/>
    <w:rsid w:val="00B86C82"/>
    <w:rsid w:val="00B86CA7"/>
    <w:rsid w:val="00B86D1C"/>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3D97"/>
    <w:rsid w:val="00B94F22"/>
    <w:rsid w:val="00B95277"/>
    <w:rsid w:val="00B9531E"/>
    <w:rsid w:val="00B955CF"/>
    <w:rsid w:val="00B958E2"/>
    <w:rsid w:val="00B961B9"/>
    <w:rsid w:val="00B96261"/>
    <w:rsid w:val="00B96381"/>
    <w:rsid w:val="00B964C0"/>
    <w:rsid w:val="00B96DAD"/>
    <w:rsid w:val="00B97493"/>
    <w:rsid w:val="00B97AFA"/>
    <w:rsid w:val="00BA016A"/>
    <w:rsid w:val="00BA15A5"/>
    <w:rsid w:val="00BA1BD6"/>
    <w:rsid w:val="00BA2375"/>
    <w:rsid w:val="00BA2D29"/>
    <w:rsid w:val="00BA2D77"/>
    <w:rsid w:val="00BA2D9E"/>
    <w:rsid w:val="00BA2EF0"/>
    <w:rsid w:val="00BA305E"/>
    <w:rsid w:val="00BA31AD"/>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B81"/>
    <w:rsid w:val="00BA7C62"/>
    <w:rsid w:val="00BB0BB7"/>
    <w:rsid w:val="00BB10F2"/>
    <w:rsid w:val="00BB122C"/>
    <w:rsid w:val="00BB14BF"/>
    <w:rsid w:val="00BB2A8D"/>
    <w:rsid w:val="00BB2C09"/>
    <w:rsid w:val="00BB2D51"/>
    <w:rsid w:val="00BB3429"/>
    <w:rsid w:val="00BB356F"/>
    <w:rsid w:val="00BB3BE7"/>
    <w:rsid w:val="00BB3D3A"/>
    <w:rsid w:val="00BB3E33"/>
    <w:rsid w:val="00BB3F7A"/>
    <w:rsid w:val="00BB4014"/>
    <w:rsid w:val="00BB4227"/>
    <w:rsid w:val="00BB4879"/>
    <w:rsid w:val="00BB5143"/>
    <w:rsid w:val="00BB562D"/>
    <w:rsid w:val="00BB5797"/>
    <w:rsid w:val="00BB5A0B"/>
    <w:rsid w:val="00BB5F7B"/>
    <w:rsid w:val="00BB6197"/>
    <w:rsid w:val="00BB69F9"/>
    <w:rsid w:val="00BB6A81"/>
    <w:rsid w:val="00BB7567"/>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220"/>
    <w:rsid w:val="00BD03A0"/>
    <w:rsid w:val="00BD0818"/>
    <w:rsid w:val="00BD0B9C"/>
    <w:rsid w:val="00BD0DA9"/>
    <w:rsid w:val="00BD0DF7"/>
    <w:rsid w:val="00BD0E71"/>
    <w:rsid w:val="00BD0EEF"/>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D"/>
    <w:rsid w:val="00BE0FD2"/>
    <w:rsid w:val="00BE103F"/>
    <w:rsid w:val="00BE1267"/>
    <w:rsid w:val="00BE18FE"/>
    <w:rsid w:val="00BE1ECA"/>
    <w:rsid w:val="00BE20BC"/>
    <w:rsid w:val="00BE23A8"/>
    <w:rsid w:val="00BE2741"/>
    <w:rsid w:val="00BE2B8A"/>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5A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5E9B"/>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7060"/>
    <w:rsid w:val="00C57701"/>
    <w:rsid w:val="00C57A21"/>
    <w:rsid w:val="00C57E5F"/>
    <w:rsid w:val="00C606A2"/>
    <w:rsid w:val="00C6075B"/>
    <w:rsid w:val="00C609AD"/>
    <w:rsid w:val="00C609D6"/>
    <w:rsid w:val="00C60ADE"/>
    <w:rsid w:val="00C60B30"/>
    <w:rsid w:val="00C60BE4"/>
    <w:rsid w:val="00C60CE1"/>
    <w:rsid w:val="00C613A1"/>
    <w:rsid w:val="00C6191E"/>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3AF"/>
    <w:rsid w:val="00C725C2"/>
    <w:rsid w:val="00C726F3"/>
    <w:rsid w:val="00C72A0B"/>
    <w:rsid w:val="00C72CE9"/>
    <w:rsid w:val="00C72D30"/>
    <w:rsid w:val="00C734F7"/>
    <w:rsid w:val="00C74115"/>
    <w:rsid w:val="00C742E8"/>
    <w:rsid w:val="00C7474D"/>
    <w:rsid w:val="00C748DE"/>
    <w:rsid w:val="00C74912"/>
    <w:rsid w:val="00C75199"/>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2F83"/>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19B5"/>
    <w:rsid w:val="00CA1ABF"/>
    <w:rsid w:val="00CA2138"/>
    <w:rsid w:val="00CA22E9"/>
    <w:rsid w:val="00CA28B4"/>
    <w:rsid w:val="00CA2A78"/>
    <w:rsid w:val="00CA3657"/>
    <w:rsid w:val="00CA36B3"/>
    <w:rsid w:val="00CA36BA"/>
    <w:rsid w:val="00CA3872"/>
    <w:rsid w:val="00CA3F05"/>
    <w:rsid w:val="00CA4047"/>
    <w:rsid w:val="00CA42E1"/>
    <w:rsid w:val="00CA4377"/>
    <w:rsid w:val="00CA4620"/>
    <w:rsid w:val="00CA4B0C"/>
    <w:rsid w:val="00CA4C1D"/>
    <w:rsid w:val="00CA543F"/>
    <w:rsid w:val="00CA5598"/>
    <w:rsid w:val="00CA56AA"/>
    <w:rsid w:val="00CA5ABC"/>
    <w:rsid w:val="00CA5FEE"/>
    <w:rsid w:val="00CA6714"/>
    <w:rsid w:val="00CA672D"/>
    <w:rsid w:val="00CA723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AA1"/>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6C1"/>
    <w:rsid w:val="00CC2C1E"/>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C2A"/>
    <w:rsid w:val="00CD208D"/>
    <w:rsid w:val="00CD228E"/>
    <w:rsid w:val="00CD26E9"/>
    <w:rsid w:val="00CD26F2"/>
    <w:rsid w:val="00CD300A"/>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80"/>
    <w:rsid w:val="00CF50FB"/>
    <w:rsid w:val="00CF52A5"/>
    <w:rsid w:val="00CF5425"/>
    <w:rsid w:val="00CF5D5A"/>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03F"/>
    <w:rsid w:val="00D0441E"/>
    <w:rsid w:val="00D047DB"/>
    <w:rsid w:val="00D05144"/>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69"/>
    <w:rsid w:val="00D237D7"/>
    <w:rsid w:val="00D23AB4"/>
    <w:rsid w:val="00D23BBD"/>
    <w:rsid w:val="00D23CED"/>
    <w:rsid w:val="00D2400B"/>
    <w:rsid w:val="00D24B04"/>
    <w:rsid w:val="00D24DD2"/>
    <w:rsid w:val="00D258EC"/>
    <w:rsid w:val="00D25CAA"/>
    <w:rsid w:val="00D262C8"/>
    <w:rsid w:val="00D26CAA"/>
    <w:rsid w:val="00D271E3"/>
    <w:rsid w:val="00D276A3"/>
    <w:rsid w:val="00D27C29"/>
    <w:rsid w:val="00D27F58"/>
    <w:rsid w:val="00D301B1"/>
    <w:rsid w:val="00D30242"/>
    <w:rsid w:val="00D30921"/>
    <w:rsid w:val="00D30C6C"/>
    <w:rsid w:val="00D31694"/>
    <w:rsid w:val="00D3193B"/>
    <w:rsid w:val="00D31BE3"/>
    <w:rsid w:val="00D325D6"/>
    <w:rsid w:val="00D329C6"/>
    <w:rsid w:val="00D32DBD"/>
    <w:rsid w:val="00D32F01"/>
    <w:rsid w:val="00D3310B"/>
    <w:rsid w:val="00D335D2"/>
    <w:rsid w:val="00D33742"/>
    <w:rsid w:val="00D33A9B"/>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7EE"/>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71"/>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1F02"/>
    <w:rsid w:val="00D71FC5"/>
    <w:rsid w:val="00D720BE"/>
    <w:rsid w:val="00D72227"/>
    <w:rsid w:val="00D72486"/>
    <w:rsid w:val="00D72770"/>
    <w:rsid w:val="00D72C77"/>
    <w:rsid w:val="00D72F59"/>
    <w:rsid w:val="00D732B1"/>
    <w:rsid w:val="00D7337A"/>
    <w:rsid w:val="00D73520"/>
    <w:rsid w:val="00D73616"/>
    <w:rsid w:val="00D73E18"/>
    <w:rsid w:val="00D74290"/>
    <w:rsid w:val="00D748EC"/>
    <w:rsid w:val="00D74D95"/>
    <w:rsid w:val="00D75074"/>
    <w:rsid w:val="00D75106"/>
    <w:rsid w:val="00D75495"/>
    <w:rsid w:val="00D75497"/>
    <w:rsid w:val="00D75FB0"/>
    <w:rsid w:val="00D766CA"/>
    <w:rsid w:val="00D76A3A"/>
    <w:rsid w:val="00D77276"/>
    <w:rsid w:val="00D77439"/>
    <w:rsid w:val="00D77913"/>
    <w:rsid w:val="00D77AAF"/>
    <w:rsid w:val="00D8008E"/>
    <w:rsid w:val="00D802B6"/>
    <w:rsid w:val="00D8084C"/>
    <w:rsid w:val="00D809FE"/>
    <w:rsid w:val="00D80D6A"/>
    <w:rsid w:val="00D80E52"/>
    <w:rsid w:val="00D813C0"/>
    <w:rsid w:val="00D81596"/>
    <w:rsid w:val="00D81E93"/>
    <w:rsid w:val="00D81EC9"/>
    <w:rsid w:val="00D82297"/>
    <w:rsid w:val="00D831AD"/>
    <w:rsid w:val="00D8361A"/>
    <w:rsid w:val="00D83B5A"/>
    <w:rsid w:val="00D83D9D"/>
    <w:rsid w:val="00D84151"/>
    <w:rsid w:val="00D84566"/>
    <w:rsid w:val="00D84618"/>
    <w:rsid w:val="00D8492B"/>
    <w:rsid w:val="00D84D95"/>
    <w:rsid w:val="00D84F80"/>
    <w:rsid w:val="00D857C4"/>
    <w:rsid w:val="00D85E40"/>
    <w:rsid w:val="00D85E56"/>
    <w:rsid w:val="00D863E0"/>
    <w:rsid w:val="00D8662A"/>
    <w:rsid w:val="00D86964"/>
    <w:rsid w:val="00D86C43"/>
    <w:rsid w:val="00D86EE8"/>
    <w:rsid w:val="00D871AB"/>
    <w:rsid w:val="00D8773A"/>
    <w:rsid w:val="00D907CD"/>
    <w:rsid w:val="00D907D4"/>
    <w:rsid w:val="00D90A60"/>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7"/>
    <w:rsid w:val="00D937ED"/>
    <w:rsid w:val="00D93995"/>
    <w:rsid w:val="00D94014"/>
    <w:rsid w:val="00D94028"/>
    <w:rsid w:val="00D94055"/>
    <w:rsid w:val="00D9445D"/>
    <w:rsid w:val="00D95015"/>
    <w:rsid w:val="00D95915"/>
    <w:rsid w:val="00D959AE"/>
    <w:rsid w:val="00D95B71"/>
    <w:rsid w:val="00D9624C"/>
    <w:rsid w:val="00D9634C"/>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4757"/>
    <w:rsid w:val="00DA4DBB"/>
    <w:rsid w:val="00DA518F"/>
    <w:rsid w:val="00DA531D"/>
    <w:rsid w:val="00DA5733"/>
    <w:rsid w:val="00DA573C"/>
    <w:rsid w:val="00DA5854"/>
    <w:rsid w:val="00DA5E2F"/>
    <w:rsid w:val="00DA6522"/>
    <w:rsid w:val="00DA68BE"/>
    <w:rsid w:val="00DA6E3B"/>
    <w:rsid w:val="00DA7017"/>
    <w:rsid w:val="00DA7381"/>
    <w:rsid w:val="00DA79E5"/>
    <w:rsid w:val="00DA7A53"/>
    <w:rsid w:val="00DA7CC4"/>
    <w:rsid w:val="00DA7D64"/>
    <w:rsid w:val="00DB0B11"/>
    <w:rsid w:val="00DB0CCF"/>
    <w:rsid w:val="00DB10D2"/>
    <w:rsid w:val="00DB175C"/>
    <w:rsid w:val="00DB1A91"/>
    <w:rsid w:val="00DB1ADD"/>
    <w:rsid w:val="00DB2228"/>
    <w:rsid w:val="00DB25AD"/>
    <w:rsid w:val="00DB26E3"/>
    <w:rsid w:val="00DB27BE"/>
    <w:rsid w:val="00DB2EA8"/>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87D"/>
    <w:rsid w:val="00DC2009"/>
    <w:rsid w:val="00DC2754"/>
    <w:rsid w:val="00DC2C3D"/>
    <w:rsid w:val="00DC2DEF"/>
    <w:rsid w:val="00DC3BA1"/>
    <w:rsid w:val="00DC3CB1"/>
    <w:rsid w:val="00DC3E06"/>
    <w:rsid w:val="00DC4395"/>
    <w:rsid w:val="00DC4742"/>
    <w:rsid w:val="00DC49D8"/>
    <w:rsid w:val="00DC4B65"/>
    <w:rsid w:val="00DC4D81"/>
    <w:rsid w:val="00DC6030"/>
    <w:rsid w:val="00DC6B10"/>
    <w:rsid w:val="00DC703C"/>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2AC"/>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33B"/>
    <w:rsid w:val="00DF0604"/>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5DA"/>
    <w:rsid w:val="00E00C8E"/>
    <w:rsid w:val="00E00EDF"/>
    <w:rsid w:val="00E01658"/>
    <w:rsid w:val="00E01B91"/>
    <w:rsid w:val="00E01E46"/>
    <w:rsid w:val="00E021E3"/>
    <w:rsid w:val="00E025CC"/>
    <w:rsid w:val="00E02840"/>
    <w:rsid w:val="00E02DC6"/>
    <w:rsid w:val="00E02ED8"/>
    <w:rsid w:val="00E032B0"/>
    <w:rsid w:val="00E035CF"/>
    <w:rsid w:val="00E03E36"/>
    <w:rsid w:val="00E043CC"/>
    <w:rsid w:val="00E04407"/>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4F4"/>
    <w:rsid w:val="00E147CA"/>
    <w:rsid w:val="00E14A2D"/>
    <w:rsid w:val="00E15BE0"/>
    <w:rsid w:val="00E15DCC"/>
    <w:rsid w:val="00E161B3"/>
    <w:rsid w:val="00E165D1"/>
    <w:rsid w:val="00E1693C"/>
    <w:rsid w:val="00E16961"/>
    <w:rsid w:val="00E16F47"/>
    <w:rsid w:val="00E1747E"/>
    <w:rsid w:val="00E2008E"/>
    <w:rsid w:val="00E20419"/>
    <w:rsid w:val="00E211A6"/>
    <w:rsid w:val="00E21234"/>
    <w:rsid w:val="00E21335"/>
    <w:rsid w:val="00E2141A"/>
    <w:rsid w:val="00E21A79"/>
    <w:rsid w:val="00E21BDE"/>
    <w:rsid w:val="00E21E9D"/>
    <w:rsid w:val="00E22440"/>
    <w:rsid w:val="00E22772"/>
    <w:rsid w:val="00E23481"/>
    <w:rsid w:val="00E23C07"/>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2405"/>
    <w:rsid w:val="00E324C6"/>
    <w:rsid w:val="00E327F9"/>
    <w:rsid w:val="00E32A08"/>
    <w:rsid w:val="00E32CE5"/>
    <w:rsid w:val="00E332C4"/>
    <w:rsid w:val="00E33948"/>
    <w:rsid w:val="00E33AB4"/>
    <w:rsid w:val="00E33B49"/>
    <w:rsid w:val="00E33B8A"/>
    <w:rsid w:val="00E33D13"/>
    <w:rsid w:val="00E33DC3"/>
    <w:rsid w:val="00E340A2"/>
    <w:rsid w:val="00E34736"/>
    <w:rsid w:val="00E34A9C"/>
    <w:rsid w:val="00E34C79"/>
    <w:rsid w:val="00E34D12"/>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9C2"/>
    <w:rsid w:val="00E42EED"/>
    <w:rsid w:val="00E43634"/>
    <w:rsid w:val="00E43B9C"/>
    <w:rsid w:val="00E43CD2"/>
    <w:rsid w:val="00E43FBD"/>
    <w:rsid w:val="00E449D5"/>
    <w:rsid w:val="00E4520B"/>
    <w:rsid w:val="00E4575A"/>
    <w:rsid w:val="00E459C0"/>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575"/>
    <w:rsid w:val="00E81CE7"/>
    <w:rsid w:val="00E81D4E"/>
    <w:rsid w:val="00E82C10"/>
    <w:rsid w:val="00E83247"/>
    <w:rsid w:val="00E83443"/>
    <w:rsid w:val="00E83701"/>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512"/>
    <w:rsid w:val="00E96567"/>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228D"/>
    <w:rsid w:val="00EA2480"/>
    <w:rsid w:val="00EA2609"/>
    <w:rsid w:val="00EA2871"/>
    <w:rsid w:val="00EA2A6A"/>
    <w:rsid w:val="00EA2CE3"/>
    <w:rsid w:val="00EA2F1E"/>
    <w:rsid w:val="00EA330F"/>
    <w:rsid w:val="00EA3E6C"/>
    <w:rsid w:val="00EA3F27"/>
    <w:rsid w:val="00EA4E62"/>
    <w:rsid w:val="00EA4E72"/>
    <w:rsid w:val="00EA5636"/>
    <w:rsid w:val="00EA571B"/>
    <w:rsid w:val="00EA5C4D"/>
    <w:rsid w:val="00EA634C"/>
    <w:rsid w:val="00EA6EC4"/>
    <w:rsid w:val="00EA7178"/>
    <w:rsid w:val="00EA743A"/>
    <w:rsid w:val="00EA75AB"/>
    <w:rsid w:val="00EA77CA"/>
    <w:rsid w:val="00EA7893"/>
    <w:rsid w:val="00EA7AA4"/>
    <w:rsid w:val="00EA7F25"/>
    <w:rsid w:val="00EB0297"/>
    <w:rsid w:val="00EB077E"/>
    <w:rsid w:val="00EB1C9A"/>
    <w:rsid w:val="00EB21F8"/>
    <w:rsid w:val="00EB2360"/>
    <w:rsid w:val="00EB2851"/>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A1E"/>
    <w:rsid w:val="00ED2DB4"/>
    <w:rsid w:val="00ED3619"/>
    <w:rsid w:val="00ED3695"/>
    <w:rsid w:val="00ED369D"/>
    <w:rsid w:val="00ED3748"/>
    <w:rsid w:val="00ED3868"/>
    <w:rsid w:val="00ED3DA5"/>
    <w:rsid w:val="00ED42CA"/>
    <w:rsid w:val="00ED4323"/>
    <w:rsid w:val="00ED4453"/>
    <w:rsid w:val="00ED4848"/>
    <w:rsid w:val="00ED4A21"/>
    <w:rsid w:val="00ED4D74"/>
    <w:rsid w:val="00ED4E40"/>
    <w:rsid w:val="00ED51BE"/>
    <w:rsid w:val="00ED51DA"/>
    <w:rsid w:val="00ED52A6"/>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F2F"/>
    <w:rsid w:val="00F1505F"/>
    <w:rsid w:val="00F1520D"/>
    <w:rsid w:val="00F1534D"/>
    <w:rsid w:val="00F15AA0"/>
    <w:rsid w:val="00F16018"/>
    <w:rsid w:val="00F165A6"/>
    <w:rsid w:val="00F16B64"/>
    <w:rsid w:val="00F16F00"/>
    <w:rsid w:val="00F17308"/>
    <w:rsid w:val="00F17452"/>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890"/>
    <w:rsid w:val="00F258A4"/>
    <w:rsid w:val="00F259AC"/>
    <w:rsid w:val="00F25BD2"/>
    <w:rsid w:val="00F26324"/>
    <w:rsid w:val="00F2635A"/>
    <w:rsid w:val="00F265A6"/>
    <w:rsid w:val="00F26644"/>
    <w:rsid w:val="00F2677A"/>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15B"/>
    <w:rsid w:val="00F40870"/>
    <w:rsid w:val="00F408B7"/>
    <w:rsid w:val="00F415CC"/>
    <w:rsid w:val="00F41633"/>
    <w:rsid w:val="00F42183"/>
    <w:rsid w:val="00F42374"/>
    <w:rsid w:val="00F42CE0"/>
    <w:rsid w:val="00F43593"/>
    <w:rsid w:val="00F436E7"/>
    <w:rsid w:val="00F43A12"/>
    <w:rsid w:val="00F43EFA"/>
    <w:rsid w:val="00F4425D"/>
    <w:rsid w:val="00F445C9"/>
    <w:rsid w:val="00F4508F"/>
    <w:rsid w:val="00F45236"/>
    <w:rsid w:val="00F4528D"/>
    <w:rsid w:val="00F463FE"/>
    <w:rsid w:val="00F46AC3"/>
    <w:rsid w:val="00F46E4F"/>
    <w:rsid w:val="00F47371"/>
    <w:rsid w:val="00F50091"/>
    <w:rsid w:val="00F508BC"/>
    <w:rsid w:val="00F50AD9"/>
    <w:rsid w:val="00F511C0"/>
    <w:rsid w:val="00F52054"/>
    <w:rsid w:val="00F526D3"/>
    <w:rsid w:val="00F52919"/>
    <w:rsid w:val="00F52B98"/>
    <w:rsid w:val="00F531E7"/>
    <w:rsid w:val="00F53202"/>
    <w:rsid w:val="00F53716"/>
    <w:rsid w:val="00F53891"/>
    <w:rsid w:val="00F53902"/>
    <w:rsid w:val="00F53E62"/>
    <w:rsid w:val="00F5460C"/>
    <w:rsid w:val="00F5473E"/>
    <w:rsid w:val="00F54964"/>
    <w:rsid w:val="00F55008"/>
    <w:rsid w:val="00F55397"/>
    <w:rsid w:val="00F556AD"/>
    <w:rsid w:val="00F557CB"/>
    <w:rsid w:val="00F558C2"/>
    <w:rsid w:val="00F55A1F"/>
    <w:rsid w:val="00F56043"/>
    <w:rsid w:val="00F560E1"/>
    <w:rsid w:val="00F56304"/>
    <w:rsid w:val="00F56534"/>
    <w:rsid w:val="00F566A5"/>
    <w:rsid w:val="00F56B1D"/>
    <w:rsid w:val="00F57BA6"/>
    <w:rsid w:val="00F57F23"/>
    <w:rsid w:val="00F6075A"/>
    <w:rsid w:val="00F61FE3"/>
    <w:rsid w:val="00F62B39"/>
    <w:rsid w:val="00F62C10"/>
    <w:rsid w:val="00F630AC"/>
    <w:rsid w:val="00F63139"/>
    <w:rsid w:val="00F6318C"/>
    <w:rsid w:val="00F63444"/>
    <w:rsid w:val="00F6390F"/>
    <w:rsid w:val="00F63C38"/>
    <w:rsid w:val="00F63C78"/>
    <w:rsid w:val="00F63E01"/>
    <w:rsid w:val="00F640EB"/>
    <w:rsid w:val="00F649C3"/>
    <w:rsid w:val="00F65123"/>
    <w:rsid w:val="00F65656"/>
    <w:rsid w:val="00F6579B"/>
    <w:rsid w:val="00F65892"/>
    <w:rsid w:val="00F65CB6"/>
    <w:rsid w:val="00F65E07"/>
    <w:rsid w:val="00F664DA"/>
    <w:rsid w:val="00F66E91"/>
    <w:rsid w:val="00F673FF"/>
    <w:rsid w:val="00F674B9"/>
    <w:rsid w:val="00F678B7"/>
    <w:rsid w:val="00F67FDF"/>
    <w:rsid w:val="00F70487"/>
    <w:rsid w:val="00F71192"/>
    <w:rsid w:val="00F71774"/>
    <w:rsid w:val="00F71785"/>
    <w:rsid w:val="00F7209A"/>
    <w:rsid w:val="00F721D9"/>
    <w:rsid w:val="00F72C59"/>
    <w:rsid w:val="00F72FD4"/>
    <w:rsid w:val="00F7349F"/>
    <w:rsid w:val="00F73A1B"/>
    <w:rsid w:val="00F749F1"/>
    <w:rsid w:val="00F74D93"/>
    <w:rsid w:val="00F75421"/>
    <w:rsid w:val="00F75EDD"/>
    <w:rsid w:val="00F7625A"/>
    <w:rsid w:val="00F76396"/>
    <w:rsid w:val="00F766A7"/>
    <w:rsid w:val="00F76B81"/>
    <w:rsid w:val="00F77D3F"/>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8F9"/>
    <w:rsid w:val="00F97AC2"/>
    <w:rsid w:val="00F97BD4"/>
    <w:rsid w:val="00F97C86"/>
    <w:rsid w:val="00F97F72"/>
    <w:rsid w:val="00FA0F22"/>
    <w:rsid w:val="00FA11D6"/>
    <w:rsid w:val="00FA135E"/>
    <w:rsid w:val="00FA14C1"/>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B7AA2"/>
    <w:rsid w:val="00FB7D28"/>
    <w:rsid w:val="00FC0237"/>
    <w:rsid w:val="00FC058D"/>
    <w:rsid w:val="00FC0826"/>
    <w:rsid w:val="00FC0DF0"/>
    <w:rsid w:val="00FC11BC"/>
    <w:rsid w:val="00FC1277"/>
    <w:rsid w:val="00FC158D"/>
    <w:rsid w:val="00FC1668"/>
    <w:rsid w:val="00FC1B19"/>
    <w:rsid w:val="00FC1B4B"/>
    <w:rsid w:val="00FC2473"/>
    <w:rsid w:val="00FC268E"/>
    <w:rsid w:val="00FC29E2"/>
    <w:rsid w:val="00FC2EB2"/>
    <w:rsid w:val="00FC3278"/>
    <w:rsid w:val="00FC335E"/>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0F61"/>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B02"/>
    <w:rsid w:val="00FD6FD3"/>
    <w:rsid w:val="00FD726B"/>
    <w:rsid w:val="00FD7706"/>
    <w:rsid w:val="00FD7BC2"/>
    <w:rsid w:val="00FE02AC"/>
    <w:rsid w:val="00FE041C"/>
    <w:rsid w:val="00FE09A3"/>
    <w:rsid w:val="00FE1089"/>
    <w:rsid w:val="00FE1260"/>
    <w:rsid w:val="00FE19FB"/>
    <w:rsid w:val="00FE1D4F"/>
    <w:rsid w:val="00FE21CF"/>
    <w:rsid w:val="00FE2436"/>
    <w:rsid w:val="00FE26DE"/>
    <w:rsid w:val="00FE2D8B"/>
    <w:rsid w:val="00FE2E11"/>
    <w:rsid w:val="00FE33A4"/>
    <w:rsid w:val="00FE375C"/>
    <w:rsid w:val="00FE3B25"/>
    <w:rsid w:val="00FE4C4E"/>
    <w:rsid w:val="00FE50A9"/>
    <w:rsid w:val="00FE5BA2"/>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15:docId w15:val="{0FB50058-DFB5-40BC-A128-9897A278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zana.adamovic@rzs.rs.ba" TargetMode="Externa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mailto:mirjana.bandur@rzs.rs.ba" TargetMode="External"/><Relationship Id="rId2" Type="http://schemas.openxmlformats.org/officeDocument/2006/relationships/numbering" Target="numbering.xml"/><Relationship Id="rId16" Type="http://schemas.openxmlformats.org/officeDocument/2006/relationships/hyperlink" Target="mailto:Biljana.tesic@rzs.rs.b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ljana.glusac@rzs.rs.ba"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anja.vilipic@rzs.rs.ba"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lusacbi\Desktop\Plate\2015\Maj\Grafiko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tojcevicsa.RZS\Desktop\SANJA\SPOLJNA%20TRGOVINA\za%20medije\Prezentacija,%20od%20avg2011\prezentacija%202015\maj%202015\za%20Graf%20V%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V</c:v>
                  </c:pt>
                  <c:pt idx="1">
                    <c:v>VI</c:v>
                  </c:pt>
                  <c:pt idx="2">
                    <c:v>VII</c:v>
                  </c:pt>
                  <c:pt idx="3">
                    <c:v>VIII</c:v>
                  </c:pt>
                  <c:pt idx="4">
                    <c:v>IX</c:v>
                  </c:pt>
                  <c:pt idx="5">
                    <c:v>X</c:v>
                  </c:pt>
                  <c:pt idx="6">
                    <c:v>XI</c:v>
                  </c:pt>
                  <c:pt idx="7">
                    <c:v>XII</c:v>
                  </c:pt>
                  <c:pt idx="8">
                    <c:v>I</c:v>
                  </c:pt>
                  <c:pt idx="9">
                    <c:v>II</c:v>
                  </c:pt>
                  <c:pt idx="10">
                    <c:v>III</c:v>
                  </c:pt>
                  <c:pt idx="11">
                    <c:v>IV</c:v>
                  </c:pt>
                  <c:pt idx="12">
                    <c:v>V</c:v>
                  </c:pt>
                </c:lvl>
                <c:lvl>
                  <c:pt idx="0">
                    <c:v>2014</c:v>
                  </c:pt>
                  <c:pt idx="8">
                    <c:v>2015</c:v>
                  </c:pt>
                </c:lvl>
              </c:multiLvlStrCache>
            </c:multiLvlStrRef>
          </c:cat>
          <c:val>
            <c:numRef>
              <c:f>'graf 2'!$C$1:$C$13</c:f>
              <c:numCache>
                <c:formatCode>0</c:formatCode>
                <c:ptCount val="13"/>
                <c:pt idx="0">
                  <c:v>818</c:v>
                </c:pt>
                <c:pt idx="1">
                  <c:v>837</c:v>
                </c:pt>
                <c:pt idx="2">
                  <c:v>830</c:v>
                </c:pt>
                <c:pt idx="3">
                  <c:v>825</c:v>
                </c:pt>
                <c:pt idx="4">
                  <c:v>831</c:v>
                </c:pt>
                <c:pt idx="5">
                  <c:v>826</c:v>
                </c:pt>
                <c:pt idx="6">
                  <c:v>827</c:v>
                </c:pt>
                <c:pt idx="7">
                  <c:v>836</c:v>
                </c:pt>
                <c:pt idx="8">
                  <c:v>812</c:v>
                </c:pt>
                <c:pt idx="9">
                  <c:v>834</c:v>
                </c:pt>
                <c:pt idx="10">
                  <c:v>831</c:v>
                </c:pt>
                <c:pt idx="11">
                  <c:v>835</c:v>
                </c:pt>
                <c:pt idx="12">
                  <c:v>832</c:v>
                </c:pt>
              </c:numCache>
            </c:numRef>
          </c:val>
          <c:smooth val="0"/>
        </c:ser>
        <c:dLbls>
          <c:showLegendKey val="0"/>
          <c:showVal val="0"/>
          <c:showCatName val="0"/>
          <c:showSerName val="0"/>
          <c:showPercent val="0"/>
          <c:showBubbleSize val="0"/>
        </c:dLbls>
        <c:smooth val="0"/>
        <c:axId val="119667240"/>
        <c:axId val="251750992"/>
      </c:lineChart>
      <c:catAx>
        <c:axId val="119667240"/>
        <c:scaling>
          <c:orientation val="minMax"/>
        </c:scaling>
        <c:delete val="0"/>
        <c:axPos val="b"/>
        <c:majorGridlines>
          <c:spPr>
            <a:ln w="3175"/>
          </c:spPr>
        </c:majorGridlines>
        <c:minorGridlines>
          <c:spPr>
            <a:ln w="3175"/>
          </c:spPr>
        </c:minorGridlines>
        <c:numFmt formatCode="General" sourceLinked="0"/>
        <c:majorTickMark val="out"/>
        <c:minorTickMark val="none"/>
        <c:tickLblPos val="nextTo"/>
        <c:txPr>
          <a:bodyPr/>
          <a:lstStyle/>
          <a:p>
            <a:pPr>
              <a:defRPr sz="800">
                <a:latin typeface="Arial Narrow" pitchFamily="34" charset="0"/>
              </a:defRPr>
            </a:pPr>
            <a:endParaRPr lang="en-US"/>
          </a:p>
        </c:txPr>
        <c:crossAx val="251750992"/>
        <c:crosses val="autoZero"/>
        <c:auto val="1"/>
        <c:lblAlgn val="ctr"/>
        <c:lblOffset val="100"/>
        <c:noMultiLvlLbl val="0"/>
      </c:catAx>
      <c:valAx>
        <c:axId val="251750992"/>
        <c:scaling>
          <c:orientation val="minMax"/>
          <c:max val="900"/>
          <c:min val="600"/>
        </c:scaling>
        <c:delete val="0"/>
        <c:axPos val="l"/>
        <c:majorGridlines>
          <c:spPr>
            <a:ln w="3175"/>
          </c:spPr>
        </c:majorGridlines>
        <c:numFmt formatCode="0" sourceLinked="1"/>
        <c:majorTickMark val="out"/>
        <c:minorTickMark val="none"/>
        <c:tickLblPos val="nextTo"/>
        <c:txPr>
          <a:bodyPr/>
          <a:lstStyle/>
          <a:p>
            <a:pPr>
              <a:defRPr sz="800">
                <a:latin typeface="Arial Narrow" pitchFamily="34" charset="0"/>
              </a:defRPr>
            </a:pPr>
            <a:endParaRPr lang="en-US"/>
          </a:p>
        </c:txPr>
        <c:crossAx val="11966724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V</c:v>
                  </c:pt>
                  <c:pt idx="1">
                    <c:v>VI</c:v>
                  </c:pt>
                  <c:pt idx="2">
                    <c:v>VII</c:v>
                  </c:pt>
                  <c:pt idx="3">
                    <c:v>VIII</c:v>
                  </c:pt>
                  <c:pt idx="4">
                    <c:v>IX</c:v>
                  </c:pt>
                  <c:pt idx="5">
                    <c:v>X</c:v>
                  </c:pt>
                  <c:pt idx="6">
                    <c:v>XI</c:v>
                  </c:pt>
                  <c:pt idx="7">
                    <c:v>XII</c:v>
                  </c:pt>
                  <c:pt idx="8">
                    <c:v>I</c:v>
                  </c:pt>
                  <c:pt idx="9">
                    <c:v>II</c:v>
                  </c:pt>
                  <c:pt idx="10">
                    <c:v>III</c:v>
                  </c:pt>
                  <c:pt idx="11">
                    <c:v>IV</c:v>
                  </c:pt>
                  <c:pt idx="12">
                    <c:v>V</c:v>
                  </c:pt>
                  <c:pt idx="13">
                    <c:v>VI</c:v>
                  </c:pt>
                  <c:pt idx="14">
                    <c:v>VII</c:v>
                  </c:pt>
                  <c:pt idx="15">
                    <c:v>VIII</c:v>
                  </c:pt>
                  <c:pt idx="16">
                    <c:v>IX</c:v>
                  </c:pt>
                  <c:pt idx="17">
                    <c:v>X</c:v>
                  </c:pt>
                  <c:pt idx="18">
                    <c:v>XI</c:v>
                  </c:pt>
                  <c:pt idx="19">
                    <c:v>XII</c:v>
                  </c:pt>
                  <c:pt idx="20">
                    <c:v>I</c:v>
                  </c:pt>
                  <c:pt idx="21">
                    <c:v>II</c:v>
                  </c:pt>
                  <c:pt idx="22">
                    <c:v>III</c:v>
                  </c:pt>
                  <c:pt idx="23">
                    <c:v>IV</c:v>
                  </c:pt>
                  <c:pt idx="24">
                    <c:v>V</c:v>
                  </c:pt>
                  <c:pt idx="25">
                    <c:v>VI</c:v>
                  </c:pt>
                  <c:pt idx="26">
                    <c:v>VII</c:v>
                  </c:pt>
                  <c:pt idx="27">
                    <c:v>VIII</c:v>
                  </c:pt>
                  <c:pt idx="28">
                    <c:v>IX</c:v>
                  </c:pt>
                  <c:pt idx="29">
                    <c:v>X</c:v>
                  </c:pt>
                  <c:pt idx="30">
                    <c:v>XI</c:v>
                  </c:pt>
                  <c:pt idx="31">
                    <c:v>XII</c:v>
                  </c:pt>
                  <c:pt idx="32">
                    <c:v>I</c:v>
                  </c:pt>
                  <c:pt idx="33">
                    <c:v>II</c:v>
                  </c:pt>
                  <c:pt idx="34">
                    <c:v>III</c:v>
                  </c:pt>
                  <c:pt idx="35">
                    <c:v>IV</c:v>
                  </c:pt>
                  <c:pt idx="36">
                    <c:v>V</c:v>
                  </c:pt>
                  <c:pt idx="37">
                    <c:v>VI</c:v>
                  </c:pt>
                  <c:pt idx="38">
                    <c:v>VII</c:v>
                  </c:pt>
                  <c:pt idx="39">
                    <c:v>VIII</c:v>
                  </c:pt>
                  <c:pt idx="40">
                    <c:v>IX</c:v>
                  </c:pt>
                  <c:pt idx="41">
                    <c:v>X</c:v>
                  </c:pt>
                  <c:pt idx="42">
                    <c:v>XI</c:v>
                  </c:pt>
                  <c:pt idx="43">
                    <c:v>XII</c:v>
                  </c:pt>
                  <c:pt idx="44">
                    <c:v>I</c:v>
                  </c:pt>
                  <c:pt idx="45">
                    <c:v>II</c:v>
                  </c:pt>
                  <c:pt idx="46">
                    <c:v>III</c:v>
                  </c:pt>
                  <c:pt idx="47">
                    <c:v>IV</c:v>
                  </c:pt>
                  <c:pt idx="48">
                    <c:v>V</c:v>
                  </c:pt>
                </c:lvl>
                <c:lvl>
                  <c:pt idx="0">
                    <c:v>2011</c:v>
                  </c:pt>
                  <c:pt idx="8">
                    <c:v>2012</c:v>
                  </c:pt>
                  <c:pt idx="20">
                    <c:v>2013</c:v>
                  </c:pt>
                  <c:pt idx="32">
                    <c:v>2014</c:v>
                  </c:pt>
                  <c:pt idx="44">
                    <c:v>2015</c:v>
                  </c:pt>
                </c:lvl>
              </c:multiLvlStrCache>
            </c:multiLvlStrRef>
          </c:cat>
          <c:val>
            <c:numRef>
              <c:f>Sheet2!$C$3:$C$50</c:f>
              <c:numCache>
                <c:formatCode>General</c:formatCode>
                <c:ptCount val="48"/>
                <c:pt idx="0">
                  <c:v>105.53546330533879</c:v>
                </c:pt>
                <c:pt idx="1">
                  <c:v>110.50460274480656</c:v>
                </c:pt>
                <c:pt idx="2">
                  <c:v>108.01202733589975</c:v>
                </c:pt>
                <c:pt idx="3">
                  <c:v>98.997863320920217</c:v>
                </c:pt>
                <c:pt idx="4">
                  <c:v>104.44854894005506</c:v>
                </c:pt>
                <c:pt idx="5">
                  <c:v>103.43960880850533</c:v>
                </c:pt>
                <c:pt idx="6">
                  <c:v>100.27869365357071</c:v>
                </c:pt>
                <c:pt idx="7">
                  <c:v>102.55335395935465</c:v>
                </c:pt>
                <c:pt idx="8">
                  <c:v>97.500069282378945</c:v>
                </c:pt>
                <c:pt idx="9">
                  <c:v>101.31903799096381</c:v>
                </c:pt>
                <c:pt idx="10">
                  <c:v>101.72734886436015</c:v>
                </c:pt>
                <c:pt idx="11">
                  <c:v>99.494202065454203</c:v>
                </c:pt>
                <c:pt idx="12">
                  <c:v>99.676209937255109</c:v>
                </c:pt>
                <c:pt idx="13">
                  <c:v>93.402060791865424</c:v>
                </c:pt>
                <c:pt idx="14">
                  <c:v>99.883520758146432</c:v>
                </c:pt>
                <c:pt idx="15">
                  <c:v>105.80582739565905</c:v>
                </c:pt>
                <c:pt idx="16">
                  <c:v>100.49188323601471</c:v>
                </c:pt>
                <c:pt idx="17">
                  <c:v>98.99699437401523</c:v>
                </c:pt>
                <c:pt idx="18">
                  <c:v>102.0320697135701</c:v>
                </c:pt>
                <c:pt idx="19">
                  <c:v>101.27769918921655</c:v>
                </c:pt>
                <c:pt idx="20">
                  <c:v>100.49431367510827</c:v>
                </c:pt>
                <c:pt idx="21">
                  <c:v>100.79777604845538</c:v>
                </c:pt>
                <c:pt idx="22">
                  <c:v>109.47883260539825</c:v>
                </c:pt>
                <c:pt idx="23">
                  <c:v>103.13330284599563</c:v>
                </c:pt>
                <c:pt idx="24">
                  <c:v>105.01475748153247</c:v>
                </c:pt>
                <c:pt idx="25">
                  <c:v>110.12803113705907</c:v>
                </c:pt>
                <c:pt idx="26">
                  <c:v>107.19004678235331</c:v>
                </c:pt>
                <c:pt idx="27">
                  <c:v>100.24316964728197</c:v>
                </c:pt>
                <c:pt idx="28">
                  <c:v>101.66936041240143</c:v>
                </c:pt>
                <c:pt idx="29">
                  <c:v>104.65840546279298</c:v>
                </c:pt>
                <c:pt idx="30">
                  <c:v>105.6952303873247</c:v>
                </c:pt>
                <c:pt idx="31">
                  <c:v>105.40399114875335</c:v>
                </c:pt>
                <c:pt idx="32">
                  <c:v>105.49930531988778</c:v>
                </c:pt>
                <c:pt idx="33">
                  <c:v>103.28869868367612</c:v>
                </c:pt>
                <c:pt idx="34">
                  <c:v>103.59954152599062</c:v>
                </c:pt>
                <c:pt idx="35">
                  <c:v>103.30461802362041</c:v>
                </c:pt>
                <c:pt idx="36">
                  <c:v>104.1319401668131</c:v>
                </c:pt>
                <c:pt idx="37">
                  <c:v>105.56744253467011</c:v>
                </c:pt>
                <c:pt idx="38">
                  <c:v>100.60983868265767</c:v>
                </c:pt>
                <c:pt idx="39">
                  <c:v>108.44272393884172</c:v>
                </c:pt>
                <c:pt idx="40">
                  <c:v>107.57992258007009</c:v>
                </c:pt>
                <c:pt idx="41">
                  <c:v>106.74991953121314</c:v>
                </c:pt>
                <c:pt idx="42">
                  <c:v>104.84300733501803</c:v>
                </c:pt>
                <c:pt idx="43">
                  <c:v>106.24656583298858</c:v>
                </c:pt>
                <c:pt idx="44">
                  <c:v>111.44618648439456</c:v>
                </c:pt>
                <c:pt idx="45">
                  <c:v>107.50346851455292</c:v>
                </c:pt>
                <c:pt idx="46">
                  <c:v>106.86739688607445</c:v>
                </c:pt>
                <c:pt idx="47">
                  <c:v>111.23038831802094</c:v>
                </c:pt>
              </c:numCache>
            </c:numRef>
          </c:val>
          <c:smooth val="0"/>
        </c:ser>
        <c:ser>
          <c:idx val="1"/>
          <c:order val="1"/>
          <c:tx>
            <c:strRef>
              <c:f>Sheet2!$D$1</c:f>
              <c:strCache>
                <c:ptCount val="1"/>
                <c:pt idx="0">
                  <c:v>Тренд индекси/
Trend indices</c:v>
                </c:pt>
              </c:strCache>
            </c:strRef>
          </c:tx>
          <c:marker>
            <c:symbol val="none"/>
          </c:marker>
          <c:cat>
            <c:multiLvlStrRef>
              <c:f>Sheet2!$A$2:$B$50</c:f>
              <c:multiLvlStrCache>
                <c:ptCount val="49"/>
                <c:lvl>
                  <c:pt idx="0">
                    <c:v>V</c:v>
                  </c:pt>
                  <c:pt idx="1">
                    <c:v>VI</c:v>
                  </c:pt>
                  <c:pt idx="2">
                    <c:v>VII</c:v>
                  </c:pt>
                  <c:pt idx="3">
                    <c:v>VIII</c:v>
                  </c:pt>
                  <c:pt idx="4">
                    <c:v>IX</c:v>
                  </c:pt>
                  <c:pt idx="5">
                    <c:v>X</c:v>
                  </c:pt>
                  <c:pt idx="6">
                    <c:v>XI</c:v>
                  </c:pt>
                  <c:pt idx="7">
                    <c:v>XII</c:v>
                  </c:pt>
                  <c:pt idx="8">
                    <c:v>I</c:v>
                  </c:pt>
                  <c:pt idx="9">
                    <c:v>II</c:v>
                  </c:pt>
                  <c:pt idx="10">
                    <c:v>III</c:v>
                  </c:pt>
                  <c:pt idx="11">
                    <c:v>IV</c:v>
                  </c:pt>
                  <c:pt idx="12">
                    <c:v>V</c:v>
                  </c:pt>
                  <c:pt idx="13">
                    <c:v>VI</c:v>
                  </c:pt>
                  <c:pt idx="14">
                    <c:v>VII</c:v>
                  </c:pt>
                  <c:pt idx="15">
                    <c:v>VIII</c:v>
                  </c:pt>
                  <c:pt idx="16">
                    <c:v>IX</c:v>
                  </c:pt>
                  <c:pt idx="17">
                    <c:v>X</c:v>
                  </c:pt>
                  <c:pt idx="18">
                    <c:v>XI</c:v>
                  </c:pt>
                  <c:pt idx="19">
                    <c:v>XII</c:v>
                  </c:pt>
                  <c:pt idx="20">
                    <c:v>I</c:v>
                  </c:pt>
                  <c:pt idx="21">
                    <c:v>II</c:v>
                  </c:pt>
                  <c:pt idx="22">
                    <c:v>III</c:v>
                  </c:pt>
                  <c:pt idx="23">
                    <c:v>IV</c:v>
                  </c:pt>
                  <c:pt idx="24">
                    <c:v>V</c:v>
                  </c:pt>
                  <c:pt idx="25">
                    <c:v>VI</c:v>
                  </c:pt>
                  <c:pt idx="26">
                    <c:v>VII</c:v>
                  </c:pt>
                  <c:pt idx="27">
                    <c:v>VIII</c:v>
                  </c:pt>
                  <c:pt idx="28">
                    <c:v>IX</c:v>
                  </c:pt>
                  <c:pt idx="29">
                    <c:v>X</c:v>
                  </c:pt>
                  <c:pt idx="30">
                    <c:v>XI</c:v>
                  </c:pt>
                  <c:pt idx="31">
                    <c:v>XII</c:v>
                  </c:pt>
                  <c:pt idx="32">
                    <c:v>I</c:v>
                  </c:pt>
                  <c:pt idx="33">
                    <c:v>II</c:v>
                  </c:pt>
                  <c:pt idx="34">
                    <c:v>III</c:v>
                  </c:pt>
                  <c:pt idx="35">
                    <c:v>IV</c:v>
                  </c:pt>
                  <c:pt idx="36">
                    <c:v>V</c:v>
                  </c:pt>
                  <c:pt idx="37">
                    <c:v>VI</c:v>
                  </c:pt>
                  <c:pt idx="38">
                    <c:v>VII</c:v>
                  </c:pt>
                  <c:pt idx="39">
                    <c:v>VIII</c:v>
                  </c:pt>
                  <c:pt idx="40">
                    <c:v>IX</c:v>
                  </c:pt>
                  <c:pt idx="41">
                    <c:v>X</c:v>
                  </c:pt>
                  <c:pt idx="42">
                    <c:v>XI</c:v>
                  </c:pt>
                  <c:pt idx="43">
                    <c:v>XII</c:v>
                  </c:pt>
                  <c:pt idx="44">
                    <c:v>I</c:v>
                  </c:pt>
                  <c:pt idx="45">
                    <c:v>II</c:v>
                  </c:pt>
                  <c:pt idx="46">
                    <c:v>III</c:v>
                  </c:pt>
                  <c:pt idx="47">
                    <c:v>IV</c:v>
                  </c:pt>
                  <c:pt idx="48">
                    <c:v>V</c:v>
                  </c:pt>
                </c:lvl>
                <c:lvl>
                  <c:pt idx="0">
                    <c:v>2011</c:v>
                  </c:pt>
                  <c:pt idx="8">
                    <c:v>2012</c:v>
                  </c:pt>
                  <c:pt idx="20">
                    <c:v>2013</c:v>
                  </c:pt>
                  <c:pt idx="32">
                    <c:v>2014</c:v>
                  </c:pt>
                  <c:pt idx="44">
                    <c:v>2015</c:v>
                  </c:pt>
                </c:lvl>
              </c:multiLvlStrCache>
            </c:multiLvlStrRef>
          </c:cat>
          <c:val>
            <c:numRef>
              <c:f>Sheet2!$D$2:$D$50</c:f>
              <c:numCache>
                <c:formatCode>General</c:formatCode>
                <c:ptCount val="49"/>
                <c:pt idx="0">
                  <c:v>102.69821531296273</c:v>
                </c:pt>
                <c:pt idx="1">
                  <c:v>102.93294161650172</c:v>
                </c:pt>
                <c:pt idx="2">
                  <c:v>103.05021263386928</c:v>
                </c:pt>
                <c:pt idx="3">
                  <c:v>102.91297275320487</c:v>
                </c:pt>
                <c:pt idx="4">
                  <c:v>102.62671580804184</c:v>
                </c:pt>
                <c:pt idx="5">
                  <c:v>102.40855884359107</c:v>
                </c:pt>
                <c:pt idx="6">
                  <c:v>102.15430022181249</c:v>
                </c:pt>
                <c:pt idx="7">
                  <c:v>101.85764561272028</c:v>
                </c:pt>
                <c:pt idx="8">
                  <c:v>101.5874237764271</c:v>
                </c:pt>
                <c:pt idx="9">
                  <c:v>101.33391766056353</c:v>
                </c:pt>
                <c:pt idx="10">
                  <c:v>101.17683368680011</c:v>
                </c:pt>
                <c:pt idx="11">
                  <c:v>101.04300678668218</c:v>
                </c:pt>
                <c:pt idx="12">
                  <c:v>100.89697434067921</c:v>
                </c:pt>
                <c:pt idx="13">
                  <c:v>100.78272442078681</c:v>
                </c:pt>
                <c:pt idx="14">
                  <c:v>100.76249882255009</c:v>
                </c:pt>
                <c:pt idx="15">
                  <c:v>100.97267133760155</c:v>
                </c:pt>
                <c:pt idx="16">
                  <c:v>101.24203706278755</c:v>
                </c:pt>
                <c:pt idx="17">
                  <c:v>101.38661609410612</c:v>
                </c:pt>
                <c:pt idx="18">
                  <c:v>101.55549427997539</c:v>
                </c:pt>
                <c:pt idx="19">
                  <c:v>101.81292116517832</c:v>
                </c:pt>
                <c:pt idx="20">
                  <c:v>102.09058919460131</c:v>
                </c:pt>
                <c:pt idx="21">
                  <c:v>102.39069191826806</c:v>
                </c:pt>
                <c:pt idx="22">
                  <c:v>102.79136653461404</c:v>
                </c:pt>
                <c:pt idx="23">
                  <c:v>103.21663768403538</c:v>
                </c:pt>
                <c:pt idx="24">
                  <c:v>103.50442574825723</c:v>
                </c:pt>
                <c:pt idx="25">
                  <c:v>103.76167227946668</c:v>
                </c:pt>
                <c:pt idx="26">
                  <c:v>103.98563508228712</c:v>
                </c:pt>
                <c:pt idx="27">
                  <c:v>104.01039987143791</c:v>
                </c:pt>
                <c:pt idx="28">
                  <c:v>103.94533726720286</c:v>
                </c:pt>
                <c:pt idx="29">
                  <c:v>103.99475970968606</c:v>
                </c:pt>
                <c:pt idx="30">
                  <c:v>104.14523139814395</c:v>
                </c:pt>
                <c:pt idx="31">
                  <c:v>104.28690874319048</c:v>
                </c:pt>
                <c:pt idx="32">
                  <c:v>104.39319678352706</c:v>
                </c:pt>
                <c:pt idx="33">
                  <c:v>104.46484817316501</c:v>
                </c:pt>
                <c:pt idx="34">
                  <c:v>104.52356768674662</c:v>
                </c:pt>
                <c:pt idx="35">
                  <c:v>104.62568557595172</c:v>
                </c:pt>
                <c:pt idx="36">
                  <c:v>104.78365094147752</c:v>
                </c:pt>
                <c:pt idx="37">
                  <c:v>105.01138690912236</c:v>
                </c:pt>
                <c:pt idx="38">
                  <c:v>105.26522903088468</c:v>
                </c:pt>
                <c:pt idx="39">
                  <c:v>105.57282447456427</c:v>
                </c:pt>
                <c:pt idx="40">
                  <c:v>106.0085941779643</c:v>
                </c:pt>
                <c:pt idx="41">
                  <c:v>106.43098195248373</c:v>
                </c:pt>
                <c:pt idx="42">
                  <c:v>106.80144838301526</c:v>
                </c:pt>
                <c:pt idx="43">
                  <c:v>107.20447324906539</c:v>
                </c:pt>
                <c:pt idx="44">
                  <c:v>107.70469626786426</c:v>
                </c:pt>
                <c:pt idx="45">
                  <c:v>108.25545504577131</c:v>
                </c:pt>
                <c:pt idx="46">
                  <c:v>108.74634997730595</c:v>
                </c:pt>
                <c:pt idx="47">
                  <c:v>109.28326429331646</c:v>
                </c:pt>
                <c:pt idx="48">
                  <c:v>109.91410099021287</c:v>
                </c:pt>
              </c:numCache>
            </c:numRef>
          </c:val>
          <c:smooth val="0"/>
        </c:ser>
        <c:dLbls>
          <c:showLegendKey val="0"/>
          <c:showVal val="0"/>
          <c:showCatName val="0"/>
          <c:showSerName val="0"/>
          <c:showPercent val="0"/>
          <c:showBubbleSize val="0"/>
        </c:dLbls>
        <c:smooth val="0"/>
        <c:axId val="251752168"/>
        <c:axId val="251752560"/>
      </c:lineChart>
      <c:catAx>
        <c:axId val="251752168"/>
        <c:scaling>
          <c:orientation val="minMax"/>
        </c:scaling>
        <c:delete val="0"/>
        <c:axPos val="b"/>
        <c:majorGridlines>
          <c:spPr>
            <a:ln w="6350">
              <a:solidFill>
                <a:schemeClr val="bg1">
                  <a:lumMod val="65000"/>
                </a:schemeClr>
              </a:solidFill>
            </a:ln>
          </c:spPr>
        </c:majorGridlines>
        <c:numFmt formatCode="General" sourceLinked="0"/>
        <c:majorTickMark val="out"/>
        <c:minorTickMark val="none"/>
        <c:tickLblPos val="nextTo"/>
        <c:spPr>
          <a:ln w="6350">
            <a:solidFill>
              <a:schemeClr val="bg1">
                <a:lumMod val="50000"/>
              </a:schemeClr>
            </a:solidFill>
          </a:ln>
        </c:spPr>
        <c:txPr>
          <a:bodyPr/>
          <a:lstStyle/>
          <a:p>
            <a:pPr>
              <a:defRPr sz="700">
                <a:latin typeface="Arial Narrow" pitchFamily="34" charset="0"/>
                <a:ea typeface="Tahoma" pitchFamily="34" charset="0"/>
                <a:cs typeface="Tahoma" pitchFamily="34" charset="0"/>
              </a:defRPr>
            </a:pPr>
            <a:endParaRPr lang="en-US"/>
          </a:p>
        </c:txPr>
        <c:crossAx val="251752560"/>
        <c:crosses val="autoZero"/>
        <c:auto val="1"/>
        <c:lblAlgn val="ctr"/>
        <c:lblOffset val="100"/>
        <c:noMultiLvlLbl val="0"/>
      </c:catAx>
      <c:valAx>
        <c:axId val="251752560"/>
        <c:scaling>
          <c:orientation val="minMax"/>
          <c:max val="115"/>
          <c:min val="80"/>
        </c:scaling>
        <c:delete val="0"/>
        <c:axPos val="l"/>
        <c:majorGridlines>
          <c:spPr>
            <a:ln w="6350">
              <a:solidFill>
                <a:schemeClr val="bg1">
                  <a:lumMod val="65000"/>
                </a:schemeClr>
              </a:solidFill>
            </a:ln>
          </c:spPr>
        </c:majorGridlines>
        <c:numFmt formatCode="General" sourceLinked="1"/>
        <c:majorTickMark val="out"/>
        <c:minorTickMark val="none"/>
        <c:tickLblPos val="nextTo"/>
        <c:spPr>
          <a:ln w="6350">
            <a:solidFill>
              <a:schemeClr val="bg1">
                <a:lumMod val="50000"/>
              </a:schemeClr>
            </a:solidFill>
          </a:ln>
        </c:spPr>
        <c:txPr>
          <a:bodyPr/>
          <a:lstStyle/>
          <a:p>
            <a:pPr>
              <a:defRPr sz="700">
                <a:latin typeface="Arial Narrow" pitchFamily="34" charset="0"/>
                <a:ea typeface="Tahoma" pitchFamily="34" charset="0"/>
                <a:cs typeface="Tahoma" pitchFamily="34" charset="0"/>
              </a:defRPr>
            </a:pPr>
            <a:endParaRPr lang="en-US"/>
          </a:p>
        </c:txPr>
        <c:crossAx val="251752168"/>
        <c:crosses val="autoZero"/>
        <c:crossBetween val="between"/>
        <c:majorUnit val="5"/>
      </c:valAx>
      <c:spPr>
        <a:noFill/>
        <a:ln w="6350">
          <a:solidFill>
            <a:schemeClr val="bg1">
              <a:lumMod val="65000"/>
            </a:schemeClr>
          </a:solidFill>
        </a:ln>
      </c:spPr>
    </c:plotArea>
    <c:legend>
      <c:legendPos val="b"/>
      <c:layout/>
      <c:overlay val="0"/>
      <c:txPr>
        <a:bodyPr/>
        <a:lstStyle/>
        <a:p>
          <a:pPr>
            <a:defRPr sz="700">
              <a:latin typeface="Arial Narrow" pitchFamily="34" charset="0"/>
              <a:ea typeface="Tahoma" pitchFamily="34" charset="0"/>
              <a:cs typeface="Tahoma" pitchFamily="34"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01509002675174"/>
          <c:y val="5.1400554097404488E-2"/>
          <c:w val="0.61829354290079785"/>
          <c:h val="0.8326195683872849"/>
        </c:manualLayout>
      </c:layout>
      <c:lineChart>
        <c:grouping val="standard"/>
        <c:varyColors val="0"/>
        <c:ser>
          <c:idx val="0"/>
          <c:order val="0"/>
          <c:tx>
            <c:strRef>
              <c:f>zaMaj2015!$A$2</c:f>
              <c:strCache>
                <c:ptCount val="1"/>
                <c:pt idx="0">
                  <c:v>увоз                   </c:v>
                </c:pt>
              </c:strCache>
            </c:strRef>
          </c:tx>
          <c:marker>
            <c:symbol val="none"/>
          </c:marker>
          <c:cat>
            <c:strRef>
              <c:f>zaMaj2015!$B$1:$N$1</c:f>
              <c:strCache>
                <c:ptCount val="13"/>
                <c:pt idx="0">
                  <c:v>V</c:v>
                </c:pt>
                <c:pt idx="1">
                  <c:v>VI</c:v>
                </c:pt>
                <c:pt idx="2">
                  <c:v>VII</c:v>
                </c:pt>
                <c:pt idx="3">
                  <c:v>VIII</c:v>
                </c:pt>
                <c:pt idx="4">
                  <c:v>IX</c:v>
                </c:pt>
                <c:pt idx="5">
                  <c:v>X</c:v>
                </c:pt>
                <c:pt idx="6">
                  <c:v>XI</c:v>
                </c:pt>
                <c:pt idx="7">
                  <c:v>XII</c:v>
                </c:pt>
                <c:pt idx="8">
                  <c:v>I</c:v>
                </c:pt>
                <c:pt idx="9">
                  <c:v>II</c:v>
                </c:pt>
                <c:pt idx="10">
                  <c:v>III</c:v>
                </c:pt>
                <c:pt idx="11">
                  <c:v>IV</c:v>
                </c:pt>
                <c:pt idx="12">
                  <c:v>V</c:v>
                </c:pt>
              </c:strCache>
            </c:strRef>
          </c:cat>
          <c:val>
            <c:numRef>
              <c:f>zaMaj2015!$B$2:$N$2</c:f>
              <c:numCache>
                <c:formatCode>General</c:formatCode>
                <c:ptCount val="13"/>
                <c:pt idx="0">
                  <c:v>430360</c:v>
                </c:pt>
                <c:pt idx="1">
                  <c:v>414297</c:v>
                </c:pt>
                <c:pt idx="2">
                  <c:v>412801</c:v>
                </c:pt>
                <c:pt idx="3">
                  <c:v>444841</c:v>
                </c:pt>
                <c:pt idx="4">
                  <c:v>421218</c:v>
                </c:pt>
                <c:pt idx="5">
                  <c:v>508654</c:v>
                </c:pt>
                <c:pt idx="6">
                  <c:v>432236</c:v>
                </c:pt>
                <c:pt idx="7">
                  <c:v>434262</c:v>
                </c:pt>
                <c:pt idx="8">
                  <c:v>223470</c:v>
                </c:pt>
                <c:pt idx="9">
                  <c:v>345458</c:v>
                </c:pt>
                <c:pt idx="10">
                  <c:v>403113</c:v>
                </c:pt>
                <c:pt idx="11">
                  <c:v>354819</c:v>
                </c:pt>
                <c:pt idx="12">
                  <c:v>392241</c:v>
                </c:pt>
              </c:numCache>
            </c:numRef>
          </c:val>
          <c:smooth val="0"/>
        </c:ser>
        <c:ser>
          <c:idx val="1"/>
          <c:order val="1"/>
          <c:tx>
            <c:strRef>
              <c:f>zaMaj2015!$A$3</c:f>
              <c:strCache>
                <c:ptCount val="1"/>
                <c:pt idx="0">
                  <c:v>извоз</c:v>
                </c:pt>
              </c:strCache>
            </c:strRef>
          </c:tx>
          <c:marker>
            <c:symbol val="none"/>
          </c:marker>
          <c:cat>
            <c:strRef>
              <c:f>zaMaj2015!$B$1:$N$1</c:f>
              <c:strCache>
                <c:ptCount val="13"/>
                <c:pt idx="0">
                  <c:v>V</c:v>
                </c:pt>
                <c:pt idx="1">
                  <c:v>VI</c:v>
                </c:pt>
                <c:pt idx="2">
                  <c:v>VII</c:v>
                </c:pt>
                <c:pt idx="3">
                  <c:v>VIII</c:v>
                </c:pt>
                <c:pt idx="4">
                  <c:v>IX</c:v>
                </c:pt>
                <c:pt idx="5">
                  <c:v>X</c:v>
                </c:pt>
                <c:pt idx="6">
                  <c:v>XI</c:v>
                </c:pt>
                <c:pt idx="7">
                  <c:v>XII</c:v>
                </c:pt>
                <c:pt idx="8">
                  <c:v>I</c:v>
                </c:pt>
                <c:pt idx="9">
                  <c:v>II</c:v>
                </c:pt>
                <c:pt idx="10">
                  <c:v>III</c:v>
                </c:pt>
                <c:pt idx="11">
                  <c:v>IV</c:v>
                </c:pt>
                <c:pt idx="12">
                  <c:v>V</c:v>
                </c:pt>
              </c:strCache>
            </c:strRef>
          </c:cat>
          <c:val>
            <c:numRef>
              <c:f>zaMaj2015!$B$3:$N$3</c:f>
              <c:numCache>
                <c:formatCode>General</c:formatCode>
                <c:ptCount val="13"/>
                <c:pt idx="0">
                  <c:v>202886</c:v>
                </c:pt>
                <c:pt idx="1">
                  <c:v>241773</c:v>
                </c:pt>
                <c:pt idx="2">
                  <c:v>258199</c:v>
                </c:pt>
                <c:pt idx="3">
                  <c:v>196460</c:v>
                </c:pt>
                <c:pt idx="4">
                  <c:v>249428</c:v>
                </c:pt>
                <c:pt idx="5">
                  <c:v>254890</c:v>
                </c:pt>
                <c:pt idx="6" formatCode="0">
                  <c:v>229750</c:v>
                </c:pt>
                <c:pt idx="7" formatCode="0">
                  <c:v>206445</c:v>
                </c:pt>
                <c:pt idx="8" formatCode="0">
                  <c:v>169568</c:v>
                </c:pt>
                <c:pt idx="9" formatCode="0">
                  <c:v>201039</c:v>
                </c:pt>
                <c:pt idx="10" formatCode="0">
                  <c:v>212672</c:v>
                </c:pt>
                <c:pt idx="11" formatCode="0">
                  <c:v>208107</c:v>
                </c:pt>
                <c:pt idx="12" formatCode="0">
                  <c:v>207040</c:v>
                </c:pt>
              </c:numCache>
            </c:numRef>
          </c:val>
          <c:smooth val="0"/>
        </c:ser>
        <c:dLbls>
          <c:showLegendKey val="0"/>
          <c:showVal val="0"/>
          <c:showCatName val="0"/>
          <c:showSerName val="0"/>
          <c:showPercent val="0"/>
          <c:showBubbleSize val="0"/>
        </c:dLbls>
        <c:smooth val="0"/>
        <c:axId val="251753736"/>
        <c:axId val="251754128"/>
      </c:lineChart>
      <c:catAx>
        <c:axId val="251753736"/>
        <c:scaling>
          <c:orientation val="minMax"/>
        </c:scaling>
        <c:delete val="0"/>
        <c:axPos val="b"/>
        <c:minorGridlines>
          <c:spPr>
            <a:ln w="3175"/>
          </c:spPr>
        </c:minorGridlines>
        <c:numFmt formatCode="General" sourceLinked="0"/>
        <c:majorTickMark val="out"/>
        <c:minorTickMark val="none"/>
        <c:tickLblPos val="nextTo"/>
        <c:txPr>
          <a:bodyPr/>
          <a:lstStyle/>
          <a:p>
            <a:pPr>
              <a:defRPr sz="800">
                <a:latin typeface="Arial Narrow" pitchFamily="34" charset="0"/>
              </a:defRPr>
            </a:pPr>
            <a:endParaRPr lang="en-US"/>
          </a:p>
        </c:txPr>
        <c:crossAx val="251754128"/>
        <c:crosses val="autoZero"/>
        <c:auto val="1"/>
        <c:lblAlgn val="ctr"/>
        <c:lblOffset val="100"/>
        <c:noMultiLvlLbl val="0"/>
      </c:catAx>
      <c:valAx>
        <c:axId val="251754128"/>
        <c:scaling>
          <c:orientation val="minMax"/>
        </c:scaling>
        <c:delete val="0"/>
        <c:axPos val="l"/>
        <c:majorGridlines>
          <c:spPr>
            <a:ln w="3175"/>
          </c:spPr>
        </c:majorGridlines>
        <c:numFmt formatCode="#,##0" sourceLinked="0"/>
        <c:majorTickMark val="out"/>
        <c:minorTickMark val="none"/>
        <c:tickLblPos val="nextTo"/>
        <c:txPr>
          <a:bodyPr/>
          <a:lstStyle/>
          <a:p>
            <a:pPr>
              <a:defRPr sz="800">
                <a:latin typeface="Arial Narrow" pitchFamily="34" charset="0"/>
              </a:defRPr>
            </a:pPr>
            <a:endParaRPr lang="en-US"/>
          </a:p>
        </c:txPr>
        <c:crossAx val="251753736"/>
        <c:crosses val="autoZero"/>
        <c:crossBetween val="between"/>
      </c:valAx>
    </c:plotArea>
    <c:legend>
      <c:legendPos val="r"/>
      <c:layout>
        <c:manualLayout>
          <c:xMode val="edge"/>
          <c:yMode val="edge"/>
          <c:x val="0.77373405853006361"/>
          <c:y val="0.34220861281228737"/>
          <c:w val="0.22202687485465539"/>
          <c:h val="0.1901782832701468"/>
        </c:manualLayout>
      </c:layout>
      <c:overlay val="0"/>
      <c:txPr>
        <a:bodyPr/>
        <a:lstStyle/>
        <a:p>
          <a:pPr>
            <a:defRPr sz="800">
              <a:latin typeface="Arial Narrow" pitchFamily="34" charset="0"/>
            </a:defRPr>
          </a:pPr>
          <a:endParaRPr lang="en-US"/>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0.84381</cdr:x>
      <cdr:y>0.3462</cdr:y>
    </cdr:from>
    <cdr:to>
      <cdr:x>0.98783</cdr:x>
      <cdr:y>0.44156</cdr:y>
    </cdr:to>
    <cdr:sp macro="" textlink="">
      <cdr:nvSpPr>
        <cdr:cNvPr id="2" name="TextBox 1"/>
        <cdr:cNvSpPr txBox="1"/>
      </cdr:nvSpPr>
      <cdr:spPr>
        <a:xfrm xmlns:a="http://schemas.openxmlformats.org/drawingml/2006/main">
          <a:off x="3588589" y="919835"/>
          <a:ext cx="612476" cy="253357"/>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import</a:t>
          </a:r>
        </a:p>
      </cdr:txBody>
    </cdr:sp>
  </cdr:relSizeAnchor>
  <cdr:relSizeAnchor xmlns:cdr="http://schemas.openxmlformats.org/drawingml/2006/chartDrawing">
    <cdr:from>
      <cdr:x>0.83976</cdr:x>
      <cdr:y>0.44156</cdr:y>
    </cdr:from>
    <cdr:to>
      <cdr:x>0.94247</cdr:x>
      <cdr:y>0.5266</cdr:y>
    </cdr:to>
    <cdr:sp macro="" textlink="">
      <cdr:nvSpPr>
        <cdr:cNvPr id="3" name="TextBox 1"/>
        <cdr:cNvSpPr txBox="1"/>
      </cdr:nvSpPr>
      <cdr:spPr>
        <a:xfrm xmlns:a="http://schemas.openxmlformats.org/drawingml/2006/main">
          <a:off x="3571336" y="1173193"/>
          <a:ext cx="436803" cy="225955"/>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export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116C-1416-4AF6-BC7B-E0D5166D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TotalTime>
  <Pages>5</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12548</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Vladan Sibinovic</cp:lastModifiedBy>
  <cp:revision>401</cp:revision>
  <cp:lastPrinted>2014-07-21T12:04:00Z</cp:lastPrinted>
  <dcterms:created xsi:type="dcterms:W3CDTF">2014-03-14T12:01:00Z</dcterms:created>
  <dcterms:modified xsi:type="dcterms:W3CDTF">2015-06-19T11:53:00Z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