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FB" w:rsidRPr="005C32FE"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5C32FE" w:rsidTr="005074F6">
        <w:trPr>
          <w:cantSplit/>
          <w:trHeight w:val="970"/>
        </w:trPr>
        <w:tc>
          <w:tcPr>
            <w:tcW w:w="7513" w:type="dxa"/>
            <w:gridSpan w:val="2"/>
            <w:tcBorders>
              <w:bottom w:val="nil"/>
            </w:tcBorders>
            <w:tcMar>
              <w:left w:w="0" w:type="dxa"/>
              <w:right w:w="0" w:type="dxa"/>
            </w:tcMar>
          </w:tcPr>
          <w:p w:rsidR="005D5311" w:rsidRPr="005C32FE" w:rsidRDefault="005D5311" w:rsidP="00687014">
            <w:pPr>
              <w:jc w:val="both"/>
              <w:outlineLvl w:val="0"/>
              <w:rPr>
                <w:rFonts w:ascii="Tahoma" w:hAnsi="Tahoma" w:cs="Tahoma"/>
                <w:sz w:val="16"/>
              </w:rPr>
            </w:pPr>
            <w:r w:rsidRPr="005C32FE">
              <w:rPr>
                <w:rFonts w:ascii="Tahoma" w:hAnsi="Tahoma" w:cs="Tahoma"/>
              </w:rPr>
              <w:br w:type="column"/>
            </w:r>
            <w:r w:rsidRPr="005C32FE">
              <w:rPr>
                <w:rFonts w:ascii="Tahoma" w:hAnsi="Tahoma" w:cs="Tahoma"/>
              </w:rPr>
              <w:br w:type="column"/>
            </w:r>
            <w:r w:rsidRPr="005C32FE">
              <w:rPr>
                <w:rFonts w:ascii="Tahoma" w:hAnsi="Tahoma" w:cs="Tahoma"/>
              </w:rPr>
              <w:br w:type="page"/>
            </w:r>
            <w:r w:rsidRPr="005C32FE">
              <w:rPr>
                <w:rFonts w:ascii="Tahoma" w:hAnsi="Tahoma" w:cs="Tahoma"/>
              </w:rPr>
              <w:br w:type="page"/>
            </w:r>
            <w:r w:rsidR="008B47D1" w:rsidRPr="005C32FE">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5C32FE">
              <w:rPr>
                <w:rFonts w:ascii="Tahoma" w:hAnsi="Tahoma" w:cs="Tahoma"/>
              </w:rPr>
              <w:t xml:space="preserve">     </w:t>
            </w:r>
          </w:p>
        </w:tc>
        <w:tc>
          <w:tcPr>
            <w:tcW w:w="2806" w:type="dxa"/>
            <w:tcBorders>
              <w:bottom w:val="nil"/>
            </w:tcBorders>
            <w:tcMar>
              <w:right w:w="57" w:type="dxa"/>
            </w:tcMar>
          </w:tcPr>
          <w:p w:rsidR="005D5311" w:rsidRPr="005C32FE" w:rsidRDefault="005D5311" w:rsidP="00094E6E">
            <w:pPr>
              <w:ind w:left="113"/>
              <w:jc w:val="both"/>
              <w:outlineLvl w:val="0"/>
              <w:rPr>
                <w:rFonts w:ascii="Tahoma" w:hAnsi="Tahoma" w:cs="Tahoma"/>
                <w:sz w:val="16"/>
              </w:rPr>
            </w:pPr>
          </w:p>
          <w:p w:rsidR="005D5311" w:rsidRPr="005C32FE" w:rsidRDefault="005D5311" w:rsidP="00094E6E">
            <w:pPr>
              <w:ind w:left="113"/>
              <w:jc w:val="both"/>
              <w:outlineLvl w:val="0"/>
              <w:rPr>
                <w:rFonts w:ascii="Tahoma" w:hAnsi="Tahoma" w:cs="Tahoma"/>
                <w:sz w:val="16"/>
              </w:rPr>
            </w:pPr>
          </w:p>
          <w:p w:rsidR="005D5311" w:rsidRPr="005C32FE" w:rsidRDefault="005D5311" w:rsidP="00094E6E">
            <w:pPr>
              <w:ind w:left="113"/>
              <w:jc w:val="both"/>
              <w:outlineLvl w:val="0"/>
              <w:rPr>
                <w:rFonts w:ascii="Tahoma" w:hAnsi="Tahoma" w:cs="Tahoma"/>
                <w:sz w:val="16"/>
              </w:rPr>
            </w:pPr>
          </w:p>
          <w:p w:rsidR="00E72BD4" w:rsidRPr="005C32FE" w:rsidRDefault="00BC381E" w:rsidP="00094E6E">
            <w:pPr>
              <w:ind w:left="113"/>
              <w:jc w:val="both"/>
              <w:outlineLvl w:val="0"/>
              <w:rPr>
                <w:rFonts w:ascii="Tahoma" w:hAnsi="Tahoma" w:cs="Tahoma"/>
                <w:sz w:val="16"/>
              </w:rPr>
            </w:pPr>
            <w:r w:rsidRPr="005C32FE">
              <w:rPr>
                <w:rFonts w:ascii="Tahoma" w:hAnsi="Tahoma" w:cs="Tahoma"/>
                <w:sz w:val="16"/>
              </w:rPr>
              <w:t xml:space="preserve">  </w:t>
            </w:r>
          </w:p>
          <w:p w:rsidR="005D5311" w:rsidRPr="005C32FE" w:rsidRDefault="004551B9" w:rsidP="005C32FE">
            <w:pPr>
              <w:jc w:val="right"/>
              <w:outlineLvl w:val="0"/>
              <w:rPr>
                <w:rFonts w:ascii="Tahoma" w:hAnsi="Tahoma" w:cs="Tahoma"/>
                <w:color w:val="1F497D" w:themeColor="text2"/>
                <w:sz w:val="16"/>
              </w:rPr>
            </w:pPr>
            <w:r w:rsidRPr="005C32FE">
              <w:rPr>
                <w:rFonts w:ascii="Tahoma" w:hAnsi="Tahoma" w:cs="Tahoma"/>
                <w:color w:val="1F497D" w:themeColor="text2"/>
                <w:sz w:val="16"/>
              </w:rPr>
              <w:t xml:space="preserve"> </w:t>
            </w:r>
            <w:r w:rsidR="009062FA" w:rsidRPr="005C32FE">
              <w:rPr>
                <w:rFonts w:ascii="Tahoma" w:hAnsi="Tahoma" w:cs="Tahoma"/>
                <w:color w:val="1F497D" w:themeColor="text2"/>
                <w:sz w:val="16"/>
              </w:rPr>
              <w:t xml:space="preserve">        </w:t>
            </w:r>
            <w:r w:rsidR="009820C8" w:rsidRPr="005C32FE">
              <w:rPr>
                <w:rFonts w:ascii="Tahoma" w:hAnsi="Tahoma" w:cs="Tahoma"/>
                <w:color w:val="1F497D" w:themeColor="text2"/>
                <w:sz w:val="16"/>
              </w:rPr>
              <w:t xml:space="preserve"> </w:t>
            </w:r>
            <w:r w:rsidRPr="005C32FE">
              <w:rPr>
                <w:rFonts w:ascii="Tahoma" w:hAnsi="Tahoma" w:cs="Tahoma"/>
                <w:color w:val="1F497D" w:themeColor="text2"/>
                <w:sz w:val="16"/>
              </w:rPr>
              <w:t xml:space="preserve"> </w:t>
            </w:r>
            <w:r w:rsidR="00A975F3" w:rsidRPr="005C32FE">
              <w:rPr>
                <w:rFonts w:ascii="Arial Narrow" w:hAnsi="Arial Narrow" w:cs="Tahoma"/>
                <w:color w:val="1F497D" w:themeColor="text2"/>
                <w:sz w:val="18"/>
              </w:rPr>
              <w:t>2</w:t>
            </w:r>
            <w:r w:rsidR="00C03D42" w:rsidRPr="005C32FE">
              <w:rPr>
                <w:rFonts w:ascii="Arial Narrow" w:hAnsi="Arial Narrow" w:cs="Tahoma"/>
                <w:color w:val="1F497D" w:themeColor="text2"/>
                <w:sz w:val="18"/>
              </w:rPr>
              <w:t>4</w:t>
            </w:r>
            <w:r w:rsidR="005C32FE" w:rsidRPr="005C32FE">
              <w:rPr>
                <w:rFonts w:ascii="Arial Narrow" w:hAnsi="Arial Narrow" w:cs="Tahoma"/>
                <w:color w:val="1F497D" w:themeColor="text2"/>
                <w:sz w:val="18"/>
                <w:vertAlign w:val="superscript"/>
              </w:rPr>
              <w:t>th</w:t>
            </w:r>
            <w:r w:rsidR="005C32FE" w:rsidRPr="005C32FE">
              <w:rPr>
                <w:rFonts w:ascii="Arial Narrow" w:hAnsi="Arial Narrow" w:cs="Tahoma"/>
                <w:color w:val="1F497D" w:themeColor="text2"/>
                <w:sz w:val="18"/>
              </w:rPr>
              <w:t xml:space="preserve"> December </w:t>
            </w:r>
            <w:r w:rsidR="00A15386" w:rsidRPr="005C32FE">
              <w:rPr>
                <w:rFonts w:ascii="Arial Narrow" w:hAnsi="Arial Narrow" w:cs="Tahoma"/>
                <w:color w:val="1F497D" w:themeColor="text2"/>
                <w:sz w:val="18"/>
              </w:rPr>
              <w:t>201</w:t>
            </w:r>
            <w:r w:rsidR="009430A7" w:rsidRPr="005C32FE">
              <w:rPr>
                <w:rFonts w:ascii="Arial Narrow" w:hAnsi="Arial Narrow" w:cs="Tahoma"/>
                <w:color w:val="1F497D" w:themeColor="text2"/>
                <w:sz w:val="18"/>
              </w:rPr>
              <w:t>5</w:t>
            </w:r>
            <w:r w:rsidR="00F6075A" w:rsidRPr="005C32FE">
              <w:rPr>
                <w:rFonts w:ascii="Tahoma" w:hAnsi="Tahoma" w:cs="Tahoma"/>
                <w:color w:val="1F497D" w:themeColor="text2"/>
                <w:sz w:val="18"/>
              </w:rPr>
              <w:t xml:space="preserve"> </w:t>
            </w:r>
            <w:r w:rsidR="00377E3D" w:rsidRPr="005C32FE">
              <w:rPr>
                <w:rFonts w:ascii="Arial Narrow" w:hAnsi="Arial Narrow" w:cs="Tahoma"/>
                <w:b/>
                <w:color w:val="1F497D" w:themeColor="text2"/>
                <w:sz w:val="34"/>
                <w:szCs w:val="34"/>
              </w:rPr>
              <w:t>1</w:t>
            </w:r>
            <w:r w:rsidR="00C03D42" w:rsidRPr="005C32FE">
              <w:rPr>
                <w:rFonts w:ascii="Arial Narrow" w:hAnsi="Arial Narrow" w:cs="Tahoma"/>
                <w:b/>
                <w:color w:val="1F497D" w:themeColor="text2"/>
                <w:sz w:val="34"/>
                <w:szCs w:val="34"/>
              </w:rPr>
              <w:t>2</w:t>
            </w:r>
            <w:r w:rsidR="00A975F3" w:rsidRPr="005C32FE">
              <w:rPr>
                <w:rFonts w:ascii="Arial Narrow" w:hAnsi="Arial Narrow" w:cs="Tahoma"/>
                <w:b/>
                <w:color w:val="1F497D" w:themeColor="text2"/>
                <w:sz w:val="34"/>
                <w:szCs w:val="34"/>
              </w:rPr>
              <w:t>/1</w:t>
            </w:r>
            <w:r w:rsidR="009430A7" w:rsidRPr="005C32FE">
              <w:rPr>
                <w:rFonts w:ascii="Arial Narrow" w:hAnsi="Arial Narrow" w:cs="Tahoma"/>
                <w:b/>
                <w:color w:val="1F497D" w:themeColor="text2"/>
                <w:sz w:val="34"/>
                <w:szCs w:val="34"/>
              </w:rPr>
              <w:t>5</w:t>
            </w:r>
            <w:r w:rsidR="00A975F3" w:rsidRPr="005C32FE">
              <w:rPr>
                <w:rFonts w:ascii="Tahoma" w:hAnsi="Tahoma" w:cs="Tahoma"/>
                <w:color w:val="1F497D" w:themeColor="text2"/>
                <w:sz w:val="16"/>
              </w:rPr>
              <w:t xml:space="preserve"> </w:t>
            </w:r>
          </w:p>
        </w:tc>
      </w:tr>
      <w:tr w:rsidR="004C20B5" w:rsidRPr="005C32FE" w:rsidTr="005074F6">
        <w:trPr>
          <w:cantSplit/>
        </w:trPr>
        <w:tc>
          <w:tcPr>
            <w:tcW w:w="5251" w:type="dxa"/>
            <w:vAlign w:val="center"/>
          </w:tcPr>
          <w:p w:rsidR="005D5311" w:rsidRPr="005C32FE" w:rsidRDefault="005D5311" w:rsidP="00094E6E">
            <w:pPr>
              <w:ind w:left="113"/>
              <w:jc w:val="both"/>
              <w:outlineLvl w:val="0"/>
              <w:rPr>
                <w:rFonts w:ascii="Tahoma" w:hAnsi="Tahoma" w:cs="Tahoma"/>
                <w:sz w:val="12"/>
              </w:rPr>
            </w:pPr>
          </w:p>
        </w:tc>
        <w:tc>
          <w:tcPr>
            <w:tcW w:w="5068" w:type="dxa"/>
            <w:gridSpan w:val="2"/>
            <w:vAlign w:val="center"/>
          </w:tcPr>
          <w:p w:rsidR="005D5311" w:rsidRPr="005C32FE" w:rsidRDefault="005D5311" w:rsidP="00094E6E">
            <w:pPr>
              <w:ind w:left="113"/>
              <w:jc w:val="both"/>
              <w:outlineLvl w:val="0"/>
              <w:rPr>
                <w:rFonts w:ascii="Tahoma" w:hAnsi="Tahoma" w:cs="Tahoma"/>
                <w:sz w:val="12"/>
              </w:rPr>
            </w:pPr>
          </w:p>
        </w:tc>
      </w:tr>
    </w:tbl>
    <w:p w:rsidR="000971CB" w:rsidRPr="005C32FE"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5C32FE" w:rsidTr="008B47D1">
        <w:trPr>
          <w:trHeight w:val="321"/>
          <w:jc w:val="center"/>
        </w:trPr>
        <w:tc>
          <w:tcPr>
            <w:tcW w:w="10624" w:type="dxa"/>
            <w:shd w:val="clear" w:color="auto" w:fill="336699"/>
          </w:tcPr>
          <w:p w:rsidR="00193339" w:rsidRPr="005C32FE" w:rsidRDefault="005C32FE" w:rsidP="00377E3D">
            <w:pPr>
              <w:jc w:val="center"/>
              <w:outlineLvl w:val="0"/>
              <w:rPr>
                <w:rFonts w:ascii="Arial Narrow" w:hAnsi="Arial Narrow" w:cs="Tahoma"/>
                <w:b/>
                <w:color w:val="FFFFFF" w:themeColor="background1"/>
                <w:sz w:val="34"/>
                <w:szCs w:val="34"/>
              </w:rPr>
            </w:pPr>
            <w:r>
              <w:rPr>
                <w:rFonts w:ascii="Arial Narrow" w:hAnsi="Arial Narrow" w:cs="Tahoma"/>
                <w:b/>
                <w:bCs/>
                <w:color w:val="FFFFFF" w:themeColor="background1"/>
                <w:spacing w:val="30"/>
                <w:sz w:val="34"/>
                <w:szCs w:val="34"/>
              </w:rPr>
              <w:t>December</w:t>
            </w:r>
            <w:r w:rsidR="007E158B" w:rsidRPr="005C32FE">
              <w:rPr>
                <w:rFonts w:ascii="Arial Narrow" w:hAnsi="Arial Narrow" w:cs="Tahoma"/>
                <w:b/>
                <w:bCs/>
                <w:color w:val="FFFFFF" w:themeColor="background1"/>
                <w:spacing w:val="30"/>
                <w:sz w:val="34"/>
                <w:szCs w:val="34"/>
              </w:rPr>
              <w:t xml:space="preserve"> </w:t>
            </w:r>
            <w:r w:rsidR="00AC7674" w:rsidRPr="005C32FE">
              <w:rPr>
                <w:rFonts w:ascii="Arial Narrow" w:hAnsi="Arial Narrow" w:cs="Tahoma"/>
                <w:b/>
                <w:bCs/>
                <w:color w:val="FFFFFF" w:themeColor="background1"/>
                <w:spacing w:val="30"/>
                <w:sz w:val="34"/>
                <w:szCs w:val="34"/>
              </w:rPr>
              <w:t>201</w:t>
            </w:r>
            <w:r w:rsidR="009430A7" w:rsidRPr="005C32FE">
              <w:rPr>
                <w:rFonts w:ascii="Arial Narrow" w:hAnsi="Arial Narrow" w:cs="Tahoma"/>
                <w:b/>
                <w:bCs/>
                <w:color w:val="FFFFFF" w:themeColor="background1"/>
                <w:spacing w:val="30"/>
                <w:sz w:val="34"/>
                <w:szCs w:val="34"/>
              </w:rPr>
              <w:t>5</w:t>
            </w:r>
          </w:p>
        </w:tc>
      </w:tr>
      <w:tr w:rsidR="004C20B5" w:rsidRPr="005C32FE" w:rsidTr="008B47D1">
        <w:trPr>
          <w:trHeight w:val="264"/>
          <w:jc w:val="center"/>
        </w:trPr>
        <w:tc>
          <w:tcPr>
            <w:tcW w:w="10624" w:type="dxa"/>
            <w:shd w:val="clear" w:color="auto" w:fill="336699"/>
          </w:tcPr>
          <w:p w:rsidR="00193339" w:rsidRPr="005C32FE" w:rsidRDefault="005C32FE" w:rsidP="00EF319F">
            <w:pPr>
              <w:jc w:val="center"/>
              <w:rPr>
                <w:rFonts w:ascii="Arial Narrow" w:hAnsi="Arial Narrow" w:cs="Tahoma"/>
                <w:color w:val="FFFFFF" w:themeColor="background1"/>
                <w:sz w:val="26"/>
                <w:szCs w:val="26"/>
              </w:rPr>
            </w:pPr>
            <w:r>
              <w:rPr>
                <w:rFonts w:ascii="Arial Narrow" w:hAnsi="Arial Narrow" w:cs="Tahoma"/>
                <w:bCs/>
                <w:color w:val="FFFFFF" w:themeColor="background1"/>
                <w:spacing w:val="30"/>
                <w:sz w:val="26"/>
                <w:szCs w:val="26"/>
              </w:rPr>
              <w:t>PRESS RELEASE</w:t>
            </w:r>
          </w:p>
        </w:tc>
      </w:tr>
    </w:tbl>
    <w:p w:rsidR="00EA4706" w:rsidRPr="005C32FE" w:rsidRDefault="00EA4706" w:rsidP="00EA4706">
      <w:pPr>
        <w:pStyle w:val="BodyTextIndent3"/>
        <w:tabs>
          <w:tab w:val="clear" w:pos="851"/>
        </w:tabs>
        <w:ind w:firstLine="0"/>
        <w:rPr>
          <w:rFonts w:ascii="Arial Narrow" w:hAnsi="Arial Narrow"/>
          <w:iCs/>
          <w:sz w:val="16"/>
        </w:rPr>
      </w:pPr>
    </w:p>
    <w:p w:rsidR="000F689B" w:rsidRPr="005C32FE" w:rsidRDefault="000F689B" w:rsidP="00D35CD4">
      <w:pPr>
        <w:jc w:val="both"/>
        <w:rPr>
          <w:rFonts w:ascii="Arial Narrow" w:hAnsi="Arial Narrow" w:cs="Tahoma"/>
          <w:b/>
        </w:rPr>
      </w:pPr>
    </w:p>
    <w:p w:rsidR="000F689B" w:rsidRPr="005C32FE" w:rsidRDefault="00E261C3" w:rsidP="00D35CD4">
      <w:pPr>
        <w:jc w:val="both"/>
        <w:rPr>
          <w:rFonts w:ascii="Arial Narrow" w:hAnsi="Arial Narrow" w:cs="Tahoma"/>
          <w:b/>
          <w:sz w:val="30"/>
          <w:szCs w:val="30"/>
        </w:rPr>
      </w:pPr>
      <w:r>
        <w:rPr>
          <w:rFonts w:ascii="Arial Narrow" w:hAnsi="Arial Narrow" w:cs="Tahoma"/>
          <w:b/>
          <w:sz w:val="30"/>
          <w:szCs w:val="30"/>
        </w:rPr>
        <w:t>In 2014,</w:t>
      </w:r>
      <w:r w:rsidR="000F689B" w:rsidRPr="005C32FE">
        <w:rPr>
          <w:rFonts w:ascii="Arial Narrow" w:hAnsi="Arial Narrow" w:cs="Tahoma"/>
          <w:b/>
          <w:sz w:val="30"/>
          <w:szCs w:val="30"/>
        </w:rPr>
        <w:t xml:space="preserve"> </w:t>
      </w:r>
      <w:r>
        <w:rPr>
          <w:rFonts w:ascii="Arial Narrow" w:hAnsi="Arial Narrow" w:cs="Tahoma"/>
          <w:b/>
          <w:sz w:val="30"/>
          <w:szCs w:val="30"/>
        </w:rPr>
        <w:t>public expenditure for formal education amounted to</w:t>
      </w:r>
      <w:r w:rsidR="000F689B" w:rsidRPr="005C32FE">
        <w:rPr>
          <w:rFonts w:ascii="Arial Narrow" w:hAnsi="Arial Narrow" w:cs="Tahoma"/>
          <w:b/>
          <w:sz w:val="30"/>
          <w:szCs w:val="30"/>
        </w:rPr>
        <w:t xml:space="preserve"> </w:t>
      </w:r>
      <w:r>
        <w:rPr>
          <w:rFonts w:ascii="Arial Narrow" w:hAnsi="Arial Narrow"/>
          <w:b/>
          <w:sz w:val="30"/>
          <w:szCs w:val="30"/>
        </w:rPr>
        <w:t>424,996,</w:t>
      </w:r>
      <w:r w:rsidR="000F689B" w:rsidRPr="005C32FE">
        <w:rPr>
          <w:rFonts w:ascii="Arial Narrow" w:hAnsi="Arial Narrow"/>
          <w:b/>
          <w:sz w:val="30"/>
          <w:szCs w:val="30"/>
        </w:rPr>
        <w:t>681</w:t>
      </w:r>
      <w:r w:rsidR="00432A2B" w:rsidRPr="005C32FE">
        <w:rPr>
          <w:rFonts w:ascii="Arial Narrow" w:hAnsi="Arial Narrow"/>
          <w:b/>
          <w:sz w:val="30"/>
          <w:szCs w:val="30"/>
        </w:rPr>
        <w:t xml:space="preserve"> КМ</w:t>
      </w:r>
    </w:p>
    <w:p w:rsidR="000F689B" w:rsidRPr="005C32FE" w:rsidRDefault="000F689B" w:rsidP="00D35CD4">
      <w:pPr>
        <w:jc w:val="both"/>
        <w:rPr>
          <w:rFonts w:ascii="Arial Narrow" w:hAnsi="Arial Narrow" w:cs="Tahoma"/>
          <w:b/>
        </w:rPr>
      </w:pPr>
    </w:p>
    <w:p w:rsidR="00E261C3" w:rsidRDefault="00E261C3" w:rsidP="000F689B">
      <w:pPr>
        <w:jc w:val="both"/>
        <w:rPr>
          <w:rFonts w:ascii="Arial Narrow" w:hAnsi="Arial Narrow"/>
          <w:sz w:val="22"/>
          <w:szCs w:val="24"/>
        </w:rPr>
      </w:pPr>
      <w:r>
        <w:rPr>
          <w:rFonts w:ascii="Arial Narrow" w:hAnsi="Arial Narrow"/>
          <w:sz w:val="22"/>
          <w:szCs w:val="24"/>
        </w:rPr>
        <w:t>In 2014, public expenditure (Republika Srpska government expenditure and expenditure of local self-government units) for formal education amounted to 424,996,</w:t>
      </w:r>
      <w:r w:rsidRPr="005C32FE">
        <w:rPr>
          <w:rFonts w:ascii="Arial Narrow" w:hAnsi="Arial Narrow"/>
          <w:sz w:val="22"/>
          <w:szCs w:val="24"/>
        </w:rPr>
        <w:t>681 КМ</w:t>
      </w:r>
      <w:r>
        <w:rPr>
          <w:rFonts w:ascii="Arial Narrow" w:hAnsi="Arial Narrow"/>
          <w:sz w:val="22"/>
          <w:szCs w:val="24"/>
        </w:rPr>
        <w:t xml:space="preserve"> or 4.8% of GDP. Expenditure for formal education in Gross domestic product increased by 0.3% in comparison with 2013. </w:t>
      </w:r>
    </w:p>
    <w:p w:rsidR="000F689B" w:rsidRDefault="000F689B" w:rsidP="000F689B">
      <w:pPr>
        <w:jc w:val="both"/>
        <w:rPr>
          <w:rFonts w:ascii="Arial Narrow" w:hAnsi="Arial Narrow"/>
          <w:sz w:val="22"/>
          <w:szCs w:val="24"/>
        </w:rPr>
      </w:pPr>
    </w:p>
    <w:p w:rsidR="000F689B" w:rsidRDefault="00E261C3" w:rsidP="000F689B">
      <w:pPr>
        <w:jc w:val="both"/>
        <w:rPr>
          <w:rFonts w:ascii="Arial Narrow" w:hAnsi="Arial Narrow"/>
          <w:sz w:val="22"/>
          <w:szCs w:val="24"/>
        </w:rPr>
      </w:pPr>
      <w:r w:rsidRPr="00E261C3">
        <w:rPr>
          <w:rFonts w:ascii="Arial Narrow" w:hAnsi="Arial Narrow"/>
          <w:sz w:val="22"/>
          <w:szCs w:val="24"/>
        </w:rPr>
        <w:t xml:space="preserve">Of the total amount of public expenditure for formal education, 95.6% was allocated directly to </w:t>
      </w:r>
      <w:r>
        <w:rPr>
          <w:rFonts w:ascii="Arial Narrow" w:hAnsi="Arial Narrow"/>
          <w:sz w:val="22"/>
          <w:szCs w:val="24"/>
        </w:rPr>
        <w:t xml:space="preserve">instructional and non-instructional </w:t>
      </w:r>
      <w:r w:rsidRPr="00E261C3">
        <w:rPr>
          <w:rFonts w:ascii="Arial Narrow" w:hAnsi="Arial Narrow"/>
          <w:sz w:val="22"/>
          <w:szCs w:val="24"/>
        </w:rPr>
        <w:t>educational institutions</w:t>
      </w:r>
      <w:r>
        <w:rPr>
          <w:rFonts w:ascii="Arial Narrow" w:hAnsi="Arial Narrow"/>
          <w:sz w:val="22"/>
          <w:szCs w:val="24"/>
        </w:rPr>
        <w:t xml:space="preserve">. </w:t>
      </w:r>
    </w:p>
    <w:p w:rsidR="00E261C3" w:rsidRDefault="00E261C3" w:rsidP="000F689B">
      <w:pPr>
        <w:jc w:val="both"/>
        <w:rPr>
          <w:rFonts w:ascii="Arial Narrow" w:hAnsi="Arial Narrow"/>
          <w:sz w:val="22"/>
          <w:szCs w:val="24"/>
        </w:rPr>
      </w:pPr>
    </w:p>
    <w:p w:rsidR="00E261C3" w:rsidRDefault="00E261C3" w:rsidP="000F689B">
      <w:pPr>
        <w:jc w:val="both"/>
        <w:rPr>
          <w:rFonts w:ascii="Arial Narrow" w:hAnsi="Arial Narrow"/>
          <w:sz w:val="22"/>
          <w:szCs w:val="24"/>
        </w:rPr>
      </w:pPr>
      <w:r>
        <w:rPr>
          <w:rFonts w:ascii="Arial Narrow" w:hAnsi="Arial Narrow"/>
          <w:sz w:val="22"/>
          <w:szCs w:val="24"/>
        </w:rPr>
        <w:t xml:space="preserve">In addition, of the total amount of public expenditure, 4.4% was paid for scholarships and rewards for pupils and students/households and subsidies for transport of pupils between home and school and for purchase of textbooks by the republic government and local self-government units. </w:t>
      </w:r>
    </w:p>
    <w:p w:rsidR="00E261C3" w:rsidRPr="005C32FE" w:rsidRDefault="00E261C3" w:rsidP="000F689B">
      <w:pPr>
        <w:jc w:val="both"/>
        <w:rPr>
          <w:rFonts w:ascii="Arial Narrow" w:hAnsi="Arial Narrow"/>
          <w:sz w:val="22"/>
          <w:szCs w:val="24"/>
        </w:rPr>
      </w:pPr>
      <w:r>
        <w:rPr>
          <w:rFonts w:ascii="Arial Narrow" w:hAnsi="Arial Narrow"/>
          <w:sz w:val="22"/>
          <w:szCs w:val="24"/>
        </w:rPr>
        <w:t xml:space="preserve"> </w:t>
      </w:r>
    </w:p>
    <w:p w:rsidR="000F689B" w:rsidRPr="005C32FE" w:rsidRDefault="00E261C3" w:rsidP="000F689B">
      <w:pPr>
        <w:jc w:val="both"/>
        <w:rPr>
          <w:rFonts w:ascii="Arial Narrow" w:hAnsi="Arial Narrow"/>
          <w:sz w:val="22"/>
          <w:szCs w:val="24"/>
        </w:rPr>
      </w:pPr>
      <w:r>
        <w:rPr>
          <w:rFonts w:ascii="Arial Narrow" w:hAnsi="Arial Narrow"/>
          <w:sz w:val="22"/>
          <w:szCs w:val="24"/>
        </w:rPr>
        <w:t>Total expenditure (public and private expenditure, foreign funds) for educational institutions in 2014 amounted to 478,688,</w:t>
      </w:r>
      <w:r w:rsidRPr="005C32FE">
        <w:rPr>
          <w:rFonts w:ascii="Arial Narrow" w:hAnsi="Arial Narrow"/>
          <w:sz w:val="22"/>
          <w:szCs w:val="24"/>
        </w:rPr>
        <w:t>670</w:t>
      </w:r>
      <w:r>
        <w:rPr>
          <w:rFonts w:ascii="Arial Narrow" w:hAnsi="Arial Narrow"/>
          <w:sz w:val="22"/>
          <w:szCs w:val="24"/>
        </w:rPr>
        <w:t xml:space="preserve"> KM or 5.4% of GDP. In the structure of total expenditure, 84.9% referred to public expenditure, 12.8% to private expenditure, and 2.3% were foreign funds. </w:t>
      </w:r>
    </w:p>
    <w:p w:rsidR="000F689B" w:rsidRPr="005C32FE" w:rsidRDefault="000F689B" w:rsidP="000F689B">
      <w:pPr>
        <w:jc w:val="both"/>
        <w:rPr>
          <w:rFonts w:ascii="Arial Narrow" w:hAnsi="Arial Narrow"/>
          <w:sz w:val="22"/>
          <w:szCs w:val="24"/>
        </w:rPr>
      </w:pPr>
    </w:p>
    <w:p w:rsidR="00394B52" w:rsidRDefault="00394B52" w:rsidP="000F689B">
      <w:pPr>
        <w:jc w:val="both"/>
        <w:rPr>
          <w:rFonts w:ascii="Arial Narrow" w:hAnsi="Arial Narrow"/>
          <w:sz w:val="22"/>
          <w:szCs w:val="24"/>
        </w:rPr>
      </w:pPr>
      <w:r>
        <w:rPr>
          <w:rFonts w:ascii="Arial Narrow" w:hAnsi="Arial Narrow"/>
          <w:sz w:val="22"/>
          <w:szCs w:val="24"/>
        </w:rPr>
        <w:t>Compared to 2013, private expenditure decreased by 1.9%, while foreign funds increased by 2.0%. In the structure of total expenditure, preschool education had a share of 6.3%, primary education participated with 45.0%, secondary education with 19.6% and higher education with 29.1%.</w:t>
      </w:r>
    </w:p>
    <w:p w:rsidR="00B42B45" w:rsidRPr="005C32FE" w:rsidRDefault="00B42B45" w:rsidP="000F689B">
      <w:pPr>
        <w:jc w:val="both"/>
        <w:rPr>
          <w:rFonts w:ascii="Arial Narrow" w:hAnsi="Arial Narrow"/>
          <w:spacing w:val="-2"/>
          <w:sz w:val="22"/>
          <w:szCs w:val="24"/>
        </w:rPr>
      </w:pPr>
    </w:p>
    <w:p w:rsidR="00394B52" w:rsidRDefault="00394B52" w:rsidP="000F689B">
      <w:pPr>
        <w:jc w:val="both"/>
        <w:rPr>
          <w:rFonts w:ascii="Arial Narrow" w:hAnsi="Arial Narrow"/>
          <w:spacing w:val="-2"/>
          <w:sz w:val="22"/>
          <w:szCs w:val="24"/>
        </w:rPr>
      </w:pPr>
      <w:r>
        <w:rPr>
          <w:rFonts w:ascii="Arial Narrow" w:hAnsi="Arial Narrow"/>
          <w:spacing w:val="-2"/>
          <w:sz w:val="22"/>
          <w:szCs w:val="24"/>
        </w:rPr>
        <w:t>Total expenditure for formal education by purpose of consumption in 2014 amounted to 513,889,</w:t>
      </w:r>
      <w:r w:rsidRPr="005C32FE">
        <w:rPr>
          <w:rFonts w:ascii="Arial Narrow" w:hAnsi="Arial Narrow"/>
          <w:spacing w:val="-2"/>
          <w:sz w:val="22"/>
          <w:szCs w:val="24"/>
        </w:rPr>
        <w:t>762 КМ</w:t>
      </w:r>
      <w:r>
        <w:rPr>
          <w:rFonts w:ascii="Arial Narrow" w:hAnsi="Arial Narrow"/>
          <w:spacing w:val="-2"/>
          <w:sz w:val="22"/>
          <w:szCs w:val="24"/>
        </w:rPr>
        <w:t xml:space="preserve"> and these cover public and private expenditure</w:t>
      </w:r>
      <w:r w:rsidR="00265633">
        <w:rPr>
          <w:rFonts w:ascii="Arial Narrow" w:hAnsi="Arial Narrow"/>
          <w:spacing w:val="-2"/>
          <w:sz w:val="22"/>
          <w:szCs w:val="24"/>
        </w:rPr>
        <w:t xml:space="preserve"> and foreign funds for educational institutions and expenditure of households for educational goods and services outside educational institutions. Of the total amount of expenditure, 489,</w:t>
      </w:r>
      <w:r w:rsidR="00265633" w:rsidRPr="005C32FE">
        <w:rPr>
          <w:rFonts w:ascii="Arial Narrow" w:hAnsi="Arial Narrow"/>
          <w:spacing w:val="-2"/>
          <w:sz w:val="22"/>
          <w:szCs w:val="24"/>
        </w:rPr>
        <w:t>571</w:t>
      </w:r>
      <w:r w:rsidR="00265633">
        <w:rPr>
          <w:rFonts w:ascii="Arial Narrow" w:hAnsi="Arial Narrow"/>
          <w:spacing w:val="-2"/>
          <w:sz w:val="22"/>
          <w:szCs w:val="24"/>
        </w:rPr>
        <w:t>,</w:t>
      </w:r>
      <w:r w:rsidR="00265633" w:rsidRPr="005C32FE">
        <w:rPr>
          <w:rFonts w:ascii="Arial Narrow" w:hAnsi="Arial Narrow"/>
          <w:spacing w:val="-2"/>
          <w:sz w:val="22"/>
          <w:szCs w:val="24"/>
        </w:rPr>
        <w:t xml:space="preserve">196 КМ </w:t>
      </w:r>
      <w:r w:rsidR="00D84407">
        <w:rPr>
          <w:rFonts w:ascii="Arial Narrow" w:hAnsi="Arial Narrow"/>
          <w:spacing w:val="-2"/>
          <w:sz w:val="22"/>
          <w:szCs w:val="24"/>
        </w:rPr>
        <w:t>or 95</w:t>
      </w:r>
      <w:r w:rsidR="00265633">
        <w:rPr>
          <w:rFonts w:ascii="Arial Narrow" w:hAnsi="Arial Narrow"/>
          <w:spacing w:val="-2"/>
          <w:sz w:val="22"/>
          <w:szCs w:val="24"/>
        </w:rPr>
        <w:t>.</w:t>
      </w:r>
      <w:r w:rsidR="00D84407">
        <w:rPr>
          <w:rFonts w:ascii="Arial Narrow" w:hAnsi="Arial Narrow"/>
          <w:spacing w:val="-2"/>
          <w:sz w:val="22"/>
          <w:szCs w:val="24"/>
        </w:rPr>
        <w:t>3</w:t>
      </w:r>
      <w:r w:rsidR="00265633" w:rsidRPr="005C32FE">
        <w:rPr>
          <w:rFonts w:ascii="Arial Narrow" w:hAnsi="Arial Narrow"/>
          <w:spacing w:val="-2"/>
          <w:sz w:val="22"/>
          <w:szCs w:val="24"/>
        </w:rPr>
        <w:t>%</w:t>
      </w:r>
      <w:r w:rsidR="00265633">
        <w:rPr>
          <w:rFonts w:ascii="Arial Narrow" w:hAnsi="Arial Narrow"/>
          <w:spacing w:val="-2"/>
          <w:sz w:val="22"/>
          <w:szCs w:val="24"/>
        </w:rPr>
        <w:t xml:space="preserve"> referred to current expenditure (material costs, gross wages and expenditure of households for educational goods and services outside educational institutions, which accounted for 7.4%), and 24,318,</w:t>
      </w:r>
      <w:r w:rsidR="00265633" w:rsidRPr="005C32FE">
        <w:rPr>
          <w:rFonts w:ascii="Arial Narrow" w:hAnsi="Arial Narrow"/>
          <w:spacing w:val="-2"/>
          <w:sz w:val="22"/>
          <w:szCs w:val="24"/>
        </w:rPr>
        <w:t xml:space="preserve">566 КМ </w:t>
      </w:r>
      <w:r w:rsidR="00265633">
        <w:rPr>
          <w:rFonts w:ascii="Arial Narrow" w:hAnsi="Arial Narrow"/>
          <w:spacing w:val="-2"/>
          <w:sz w:val="22"/>
          <w:szCs w:val="24"/>
        </w:rPr>
        <w:t>or 4.</w:t>
      </w:r>
      <w:r w:rsidR="00265633" w:rsidRPr="005C32FE">
        <w:rPr>
          <w:rFonts w:ascii="Arial Narrow" w:hAnsi="Arial Narrow"/>
          <w:spacing w:val="-2"/>
          <w:sz w:val="22"/>
          <w:szCs w:val="24"/>
        </w:rPr>
        <w:t>7%</w:t>
      </w:r>
      <w:r w:rsidR="00265633">
        <w:rPr>
          <w:rFonts w:ascii="Arial Narrow" w:hAnsi="Arial Narrow"/>
          <w:spacing w:val="-2"/>
          <w:sz w:val="22"/>
          <w:szCs w:val="24"/>
        </w:rPr>
        <w:t xml:space="preserve"> referred to capital expenditure. </w:t>
      </w:r>
    </w:p>
    <w:p w:rsidR="00030FBE" w:rsidRDefault="00030FBE" w:rsidP="000F689B">
      <w:pPr>
        <w:jc w:val="both"/>
        <w:rPr>
          <w:rFonts w:ascii="Arial Narrow" w:hAnsi="Arial Narrow"/>
          <w:spacing w:val="-2"/>
          <w:sz w:val="22"/>
          <w:szCs w:val="24"/>
        </w:rPr>
      </w:pPr>
    </w:p>
    <w:p w:rsidR="00CE21E2" w:rsidRDefault="00C41393" w:rsidP="00030FBE">
      <w:pPr>
        <w:jc w:val="both"/>
        <w:rPr>
          <w:rFonts w:ascii="Arial Narrow" w:hAnsi="Arial Narrow"/>
          <w:b/>
          <w:sz w:val="30"/>
          <w:szCs w:val="30"/>
        </w:rPr>
      </w:pPr>
      <w:r>
        <w:rPr>
          <w:rFonts w:ascii="Arial Narrow" w:hAnsi="Arial Narrow"/>
          <w:b/>
          <w:sz w:val="30"/>
          <w:szCs w:val="30"/>
        </w:rPr>
        <w:t xml:space="preserve">In Srpska, </w:t>
      </w:r>
      <w:r w:rsidR="00CE21E2">
        <w:rPr>
          <w:rFonts w:ascii="Arial Narrow" w:hAnsi="Arial Narrow"/>
          <w:b/>
          <w:sz w:val="30"/>
          <w:szCs w:val="30"/>
        </w:rPr>
        <w:t>personal computer was used by 47.8% of households and 100% of enterprises</w:t>
      </w:r>
    </w:p>
    <w:p w:rsidR="00030FBE" w:rsidRPr="005C32FE" w:rsidRDefault="00030FBE" w:rsidP="00030FBE">
      <w:pPr>
        <w:jc w:val="both"/>
        <w:rPr>
          <w:rFonts w:ascii="Arial Narrow" w:hAnsi="Arial Narrow"/>
          <w:sz w:val="22"/>
          <w:szCs w:val="22"/>
        </w:rPr>
      </w:pPr>
    </w:p>
    <w:p w:rsidR="00C41393" w:rsidRDefault="00C41393" w:rsidP="00030FBE">
      <w:pPr>
        <w:jc w:val="both"/>
        <w:rPr>
          <w:rFonts w:ascii="Arial Narrow" w:hAnsi="Arial Narrow"/>
          <w:sz w:val="22"/>
          <w:szCs w:val="22"/>
        </w:rPr>
      </w:pPr>
      <w:r>
        <w:rPr>
          <w:rFonts w:ascii="Arial Narrow" w:hAnsi="Arial Narrow"/>
          <w:sz w:val="22"/>
          <w:szCs w:val="22"/>
        </w:rPr>
        <w:t xml:space="preserve">In Republika Srpska, in 2015, personal computer was used by 47.8% of households, which represents an increase by 3.5% compared to the previous year. Of the total number of households, 59.0% have an Internet connection, which represents an increase by 11.8% compared to the previous year. Personal computer was used by 46.6% of persons, while 45.9% of persons used Internet services, which represents an increase by approximately three percent. </w:t>
      </w:r>
    </w:p>
    <w:p w:rsidR="00030FBE" w:rsidRPr="005C32FE" w:rsidRDefault="00030FBE" w:rsidP="00030FBE">
      <w:pPr>
        <w:jc w:val="both"/>
        <w:rPr>
          <w:rFonts w:ascii="Arial Narrow" w:hAnsi="Arial Narrow"/>
          <w:sz w:val="22"/>
          <w:szCs w:val="22"/>
        </w:rPr>
      </w:pPr>
    </w:p>
    <w:p w:rsidR="00116B6B" w:rsidRDefault="00116B6B" w:rsidP="00030FBE">
      <w:pPr>
        <w:jc w:val="both"/>
        <w:rPr>
          <w:rFonts w:ascii="Arial Narrow" w:hAnsi="Arial Narrow"/>
          <w:sz w:val="22"/>
          <w:szCs w:val="22"/>
        </w:rPr>
      </w:pPr>
      <w:r>
        <w:rPr>
          <w:rFonts w:ascii="Arial Narrow" w:hAnsi="Arial Narrow"/>
          <w:sz w:val="22"/>
          <w:szCs w:val="22"/>
        </w:rPr>
        <w:t xml:space="preserve">During the reference quarter, namely the period between June and August this year, 75.7% of surveyed persons used a personal computer daily, while 80.0% of persons accessed the Internet on the daily basis. </w:t>
      </w:r>
    </w:p>
    <w:p w:rsidR="00116B6B" w:rsidRDefault="00116B6B" w:rsidP="00030FBE">
      <w:pPr>
        <w:jc w:val="both"/>
        <w:rPr>
          <w:rFonts w:ascii="Arial Narrow" w:hAnsi="Arial Narrow"/>
          <w:sz w:val="22"/>
          <w:szCs w:val="22"/>
        </w:rPr>
      </w:pPr>
    </w:p>
    <w:p w:rsidR="00030FBE" w:rsidRPr="005C32FE" w:rsidRDefault="0090476B" w:rsidP="00030FBE">
      <w:pPr>
        <w:jc w:val="both"/>
        <w:rPr>
          <w:rFonts w:ascii="Arial Narrow" w:hAnsi="Arial Narrow"/>
          <w:sz w:val="22"/>
          <w:szCs w:val="22"/>
        </w:rPr>
      </w:pPr>
      <w:r>
        <w:rPr>
          <w:rFonts w:ascii="Arial Narrow" w:hAnsi="Arial Narrow"/>
          <w:sz w:val="22"/>
          <w:szCs w:val="22"/>
        </w:rPr>
        <w:t xml:space="preserve">Based on the survey results, it may be concluded that persons aged between 16 and 24 years and persons who completed higher education accounted for a majority of those who used a personal computer and Internet services. </w:t>
      </w:r>
    </w:p>
    <w:p w:rsidR="00030FBE" w:rsidRPr="005C32FE" w:rsidRDefault="00030FBE" w:rsidP="00030FBE">
      <w:pPr>
        <w:jc w:val="both"/>
        <w:rPr>
          <w:rFonts w:ascii="Arial Narrow" w:hAnsi="Arial Narrow"/>
          <w:sz w:val="22"/>
          <w:szCs w:val="22"/>
        </w:rPr>
      </w:pPr>
    </w:p>
    <w:p w:rsidR="0090476B" w:rsidRDefault="0090476B" w:rsidP="00030FBE">
      <w:pPr>
        <w:pStyle w:val="BodyTextIndent3"/>
        <w:tabs>
          <w:tab w:val="left" w:pos="720"/>
        </w:tabs>
        <w:ind w:firstLine="0"/>
        <w:rPr>
          <w:rFonts w:ascii="Arial Narrow" w:hAnsi="Arial Narrow"/>
          <w:sz w:val="22"/>
          <w:szCs w:val="22"/>
        </w:rPr>
      </w:pPr>
      <w:r>
        <w:rPr>
          <w:rFonts w:ascii="Arial Narrow" w:hAnsi="Arial Narrow"/>
          <w:sz w:val="22"/>
          <w:szCs w:val="22"/>
        </w:rPr>
        <w:t xml:space="preserve">In the population aged between 16 and 24 years, 78.8% of persons have a social network account (Facebook, Twitter, etc.). </w:t>
      </w:r>
    </w:p>
    <w:p w:rsidR="00030FBE" w:rsidRPr="005C32FE" w:rsidRDefault="00030FBE" w:rsidP="00030FBE">
      <w:pPr>
        <w:pStyle w:val="BodyTextIndent3"/>
        <w:tabs>
          <w:tab w:val="left" w:pos="720"/>
        </w:tabs>
        <w:ind w:firstLine="0"/>
        <w:rPr>
          <w:rFonts w:ascii="Arial Narrow" w:hAnsi="Arial Narrow"/>
          <w:sz w:val="22"/>
          <w:szCs w:val="22"/>
        </w:rPr>
      </w:pPr>
    </w:p>
    <w:p w:rsidR="0090476B" w:rsidRDefault="0090476B" w:rsidP="00030FBE">
      <w:pPr>
        <w:pStyle w:val="BodyTextIndent3"/>
        <w:tabs>
          <w:tab w:val="left" w:pos="720"/>
        </w:tabs>
        <w:ind w:firstLine="0"/>
        <w:rPr>
          <w:rFonts w:ascii="Arial Narrow" w:hAnsi="Arial Narrow"/>
          <w:sz w:val="22"/>
          <w:szCs w:val="22"/>
        </w:rPr>
      </w:pPr>
      <w:r>
        <w:rPr>
          <w:rFonts w:ascii="Arial Narrow" w:hAnsi="Arial Narrow"/>
          <w:sz w:val="22"/>
          <w:szCs w:val="22"/>
        </w:rPr>
        <w:t xml:space="preserve">The presence of all information and communication devices in households has been increasing. Thus, mobile phone is used by 83.7% of persons, which represents an increase by 7.1% compared to the previous year.  </w:t>
      </w:r>
    </w:p>
    <w:p w:rsidR="00030FBE" w:rsidRPr="005C32FE" w:rsidRDefault="00030FBE" w:rsidP="00030FBE">
      <w:pPr>
        <w:pStyle w:val="BodyTextIndent3"/>
        <w:tabs>
          <w:tab w:val="clear" w:pos="851"/>
        </w:tabs>
        <w:ind w:firstLine="0"/>
        <w:rPr>
          <w:rFonts w:ascii="Arial Narrow" w:hAnsi="Arial Narrow"/>
          <w:iCs/>
          <w:sz w:val="22"/>
          <w:szCs w:val="22"/>
        </w:rPr>
      </w:pPr>
    </w:p>
    <w:p w:rsidR="005237D0" w:rsidRDefault="005237D0" w:rsidP="00030FBE">
      <w:pPr>
        <w:pStyle w:val="BodyTextIndent3"/>
        <w:tabs>
          <w:tab w:val="clear" w:pos="851"/>
        </w:tabs>
        <w:ind w:firstLine="0"/>
        <w:rPr>
          <w:rFonts w:ascii="Arial Narrow" w:hAnsi="Arial Narrow"/>
          <w:iCs/>
          <w:sz w:val="22"/>
          <w:szCs w:val="22"/>
        </w:rPr>
      </w:pPr>
    </w:p>
    <w:p w:rsidR="005237D0" w:rsidRDefault="005237D0" w:rsidP="00030FBE">
      <w:pPr>
        <w:pStyle w:val="BodyTextIndent3"/>
        <w:tabs>
          <w:tab w:val="clear" w:pos="851"/>
        </w:tabs>
        <w:ind w:firstLine="0"/>
        <w:rPr>
          <w:rFonts w:ascii="Arial Narrow" w:hAnsi="Arial Narrow"/>
          <w:iCs/>
          <w:sz w:val="22"/>
          <w:szCs w:val="22"/>
        </w:rPr>
      </w:pPr>
    </w:p>
    <w:p w:rsidR="005237D0" w:rsidRDefault="005237D0" w:rsidP="00030FBE">
      <w:pPr>
        <w:pStyle w:val="BodyTextIndent3"/>
        <w:tabs>
          <w:tab w:val="clear" w:pos="851"/>
        </w:tabs>
        <w:ind w:firstLine="0"/>
        <w:rPr>
          <w:rFonts w:ascii="Arial Narrow" w:hAnsi="Arial Narrow"/>
          <w:iCs/>
          <w:sz w:val="22"/>
          <w:szCs w:val="22"/>
        </w:rPr>
      </w:pPr>
    </w:p>
    <w:p w:rsidR="00A01DCE" w:rsidRDefault="00A01DCE" w:rsidP="00030FBE">
      <w:pPr>
        <w:pStyle w:val="BodyTextIndent3"/>
        <w:tabs>
          <w:tab w:val="clear" w:pos="851"/>
        </w:tabs>
        <w:ind w:firstLine="0"/>
        <w:rPr>
          <w:rFonts w:ascii="Arial Narrow" w:hAnsi="Arial Narrow"/>
          <w:iCs/>
          <w:sz w:val="22"/>
          <w:szCs w:val="22"/>
        </w:rPr>
      </w:pPr>
      <w:r>
        <w:rPr>
          <w:rFonts w:ascii="Arial Narrow" w:hAnsi="Arial Narrow"/>
          <w:iCs/>
          <w:sz w:val="22"/>
          <w:szCs w:val="22"/>
        </w:rPr>
        <w:t xml:space="preserve">Results of the survey on enterprises indicate that 100% of enterprises in 2015 used a personal computer for business purposes. The use of information and communication technologies (use of personal computers, Internet access, website) is the most common in enterprises in the area of information and communication and in financial institutions (100.0%). </w:t>
      </w:r>
    </w:p>
    <w:p w:rsidR="00030FBE" w:rsidRDefault="00030FBE" w:rsidP="00030FBE">
      <w:pPr>
        <w:pStyle w:val="BodyTextIndent3"/>
        <w:tabs>
          <w:tab w:val="clear" w:pos="851"/>
        </w:tabs>
        <w:ind w:firstLine="0"/>
        <w:rPr>
          <w:rFonts w:ascii="Arial Narrow" w:hAnsi="Arial Narrow"/>
          <w:iCs/>
          <w:sz w:val="22"/>
          <w:szCs w:val="22"/>
        </w:rPr>
      </w:pPr>
    </w:p>
    <w:p w:rsidR="00A01DCE" w:rsidRPr="005C32FE" w:rsidRDefault="00A01DCE" w:rsidP="00030FBE">
      <w:pPr>
        <w:pStyle w:val="BodyTextIndent3"/>
        <w:tabs>
          <w:tab w:val="clear" w:pos="851"/>
        </w:tabs>
        <w:ind w:firstLine="0"/>
        <w:rPr>
          <w:rFonts w:ascii="Arial Narrow" w:hAnsi="Arial Narrow"/>
          <w:sz w:val="22"/>
          <w:szCs w:val="22"/>
        </w:rPr>
      </w:pPr>
      <w:r>
        <w:rPr>
          <w:rFonts w:ascii="Arial Narrow" w:hAnsi="Arial Narrow"/>
          <w:iCs/>
          <w:sz w:val="22"/>
          <w:szCs w:val="22"/>
        </w:rPr>
        <w:t xml:space="preserve">Of all surveyed enterprises, 98.5% have Internet access, which represents an increase by 0.7% compared to the previous year. Results indicate that 61% of enterprises have a website, while 34.6% used one of social networks for business purposes. </w:t>
      </w:r>
    </w:p>
    <w:p w:rsidR="000F689B" w:rsidRPr="005C32FE" w:rsidRDefault="000F689B" w:rsidP="00D35CD4">
      <w:pPr>
        <w:jc w:val="both"/>
        <w:rPr>
          <w:rFonts w:ascii="Arial Narrow" w:hAnsi="Arial Narrow" w:cs="Tahoma"/>
          <w:b/>
        </w:rPr>
      </w:pPr>
    </w:p>
    <w:p w:rsidR="00E33D13" w:rsidRPr="005C32FE" w:rsidRDefault="004A0C2C" w:rsidP="00396802">
      <w:pPr>
        <w:ind w:left="-142"/>
        <w:jc w:val="both"/>
        <w:rPr>
          <w:rFonts w:ascii="Arial Narrow" w:hAnsi="Arial Narrow" w:cs="Tahoma"/>
          <w:b/>
          <w:sz w:val="30"/>
          <w:szCs w:val="30"/>
        </w:rPr>
      </w:pPr>
      <w:r w:rsidRPr="005C32FE">
        <w:rPr>
          <w:rFonts w:ascii="Arial Narrow" w:hAnsi="Arial Narrow" w:cs="Tahoma"/>
          <w:b/>
          <w:sz w:val="30"/>
          <w:szCs w:val="30"/>
        </w:rPr>
        <w:t xml:space="preserve"> </w:t>
      </w:r>
      <w:r w:rsidR="002B5FFC" w:rsidRPr="005C32FE">
        <w:rPr>
          <w:rFonts w:ascii="Arial Narrow" w:hAnsi="Arial Narrow" w:cs="Tahoma"/>
          <w:b/>
          <w:sz w:val="30"/>
          <w:szCs w:val="30"/>
        </w:rPr>
        <w:t xml:space="preserve"> </w:t>
      </w:r>
      <w:r w:rsidR="00676FB4">
        <w:rPr>
          <w:rFonts w:ascii="Arial Narrow" w:hAnsi="Arial Narrow" w:cs="Tahoma"/>
          <w:b/>
          <w:sz w:val="30"/>
          <w:szCs w:val="30"/>
        </w:rPr>
        <w:t>Average net wage in November</w:t>
      </w:r>
      <w:r w:rsidR="00E33D13" w:rsidRPr="005C32FE">
        <w:rPr>
          <w:rFonts w:ascii="Arial Narrow" w:hAnsi="Arial Narrow" w:cs="Tahoma"/>
          <w:b/>
          <w:sz w:val="30"/>
          <w:szCs w:val="30"/>
        </w:rPr>
        <w:t xml:space="preserve"> 8</w:t>
      </w:r>
      <w:r w:rsidR="00FF3EA0" w:rsidRPr="005C32FE">
        <w:rPr>
          <w:rFonts w:ascii="Arial Narrow" w:hAnsi="Arial Narrow" w:cs="Tahoma"/>
          <w:b/>
          <w:sz w:val="30"/>
          <w:szCs w:val="30"/>
        </w:rPr>
        <w:t>2</w:t>
      </w:r>
      <w:r w:rsidR="00625174" w:rsidRPr="005C32FE">
        <w:rPr>
          <w:rFonts w:ascii="Arial Narrow" w:hAnsi="Arial Narrow" w:cs="Tahoma"/>
          <w:b/>
          <w:sz w:val="30"/>
          <w:szCs w:val="30"/>
        </w:rPr>
        <w:t>4</w:t>
      </w:r>
      <w:r w:rsidR="00E33D13" w:rsidRPr="005C32FE">
        <w:rPr>
          <w:rFonts w:ascii="Arial Narrow" w:hAnsi="Arial Narrow" w:cs="Tahoma"/>
          <w:b/>
          <w:sz w:val="30"/>
          <w:szCs w:val="30"/>
        </w:rPr>
        <w:t xml:space="preserve"> КМ</w:t>
      </w:r>
    </w:p>
    <w:p w:rsidR="00E33D13" w:rsidRPr="005C32FE" w:rsidRDefault="00676FB4" w:rsidP="00E33D13">
      <w:pPr>
        <w:tabs>
          <w:tab w:val="left" w:pos="4343"/>
        </w:tabs>
        <w:jc w:val="both"/>
        <w:rPr>
          <w:rFonts w:ascii="Arial Narrow" w:hAnsi="Arial Narrow" w:cs="Tahoma"/>
          <w:b/>
          <w:i/>
          <w:sz w:val="28"/>
          <w:szCs w:val="28"/>
        </w:rPr>
      </w:pPr>
      <w:r>
        <w:rPr>
          <w:rFonts w:ascii="Arial Narrow" w:hAnsi="Arial Narrow" w:cs="Tahoma"/>
          <w:b/>
          <w:sz w:val="28"/>
          <w:szCs w:val="28"/>
        </w:rPr>
        <w:t>The highest average net wage was that in the section</w:t>
      </w:r>
      <w:r w:rsidRPr="005A735F">
        <w:rPr>
          <w:rFonts w:ascii="Arial Narrow" w:hAnsi="Arial Narrow" w:cs="Tahoma"/>
          <w:b/>
          <w:sz w:val="28"/>
          <w:szCs w:val="28"/>
          <w:lang w:val="sr-Cyrl-CS"/>
        </w:rPr>
        <w:t xml:space="preserve"> </w:t>
      </w:r>
      <w:r>
        <w:rPr>
          <w:rFonts w:ascii="Arial Narrow" w:hAnsi="Arial Narrow" w:cs="Tahoma"/>
          <w:b/>
          <w:i/>
          <w:sz w:val="28"/>
          <w:szCs w:val="28"/>
        </w:rPr>
        <w:t xml:space="preserve">Financial and insurance activities </w:t>
      </w:r>
      <w:r>
        <w:rPr>
          <w:rFonts w:ascii="Arial Narrow" w:hAnsi="Arial Narrow" w:cs="Tahoma"/>
          <w:b/>
          <w:sz w:val="28"/>
          <w:szCs w:val="28"/>
        </w:rPr>
        <w:t>1,</w:t>
      </w:r>
      <w:r w:rsidR="00E33D13" w:rsidRPr="005C32FE">
        <w:rPr>
          <w:rFonts w:ascii="Arial Narrow" w:hAnsi="Arial Narrow" w:cs="Tahoma"/>
          <w:b/>
          <w:sz w:val="28"/>
          <w:szCs w:val="28"/>
        </w:rPr>
        <w:t>2</w:t>
      </w:r>
      <w:r w:rsidR="00F0781C" w:rsidRPr="005C32FE">
        <w:rPr>
          <w:rFonts w:ascii="Arial Narrow" w:hAnsi="Arial Narrow" w:cs="Tahoma"/>
          <w:b/>
          <w:sz w:val="28"/>
          <w:szCs w:val="28"/>
        </w:rPr>
        <w:t>65</w:t>
      </w:r>
      <w:r w:rsidR="00E33D13" w:rsidRPr="005C32FE">
        <w:rPr>
          <w:rFonts w:ascii="Arial Narrow" w:hAnsi="Arial Narrow" w:cs="Tahoma"/>
          <w:b/>
          <w:sz w:val="28"/>
          <w:szCs w:val="28"/>
        </w:rPr>
        <w:t xml:space="preserve"> КМ, </w:t>
      </w:r>
      <w:r>
        <w:rPr>
          <w:rFonts w:ascii="Arial Narrow" w:hAnsi="Arial Narrow" w:cs="Tahoma"/>
          <w:b/>
          <w:sz w:val="28"/>
          <w:szCs w:val="28"/>
        </w:rPr>
        <w:t>while the lowest one was that in the section</w:t>
      </w:r>
      <w:r w:rsidRPr="005A735F">
        <w:rPr>
          <w:rFonts w:ascii="Arial Narrow" w:hAnsi="Arial Narrow" w:cs="Tahoma"/>
          <w:b/>
          <w:sz w:val="28"/>
          <w:szCs w:val="28"/>
          <w:lang w:val="sr-Cyrl-CS"/>
        </w:rPr>
        <w:t xml:space="preserve"> </w:t>
      </w:r>
      <w:r>
        <w:rPr>
          <w:rFonts w:ascii="Arial Narrow" w:hAnsi="Arial Narrow" w:cs="Tahoma"/>
          <w:b/>
          <w:i/>
          <w:sz w:val="28"/>
          <w:szCs w:val="28"/>
        </w:rPr>
        <w:t>Administrative and support service activities</w:t>
      </w:r>
      <w:r w:rsidRPr="005A735F">
        <w:rPr>
          <w:rFonts w:ascii="Arial Narrow" w:hAnsi="Arial Narrow" w:cs="Tahoma"/>
          <w:b/>
          <w:i/>
          <w:sz w:val="28"/>
          <w:szCs w:val="28"/>
          <w:lang w:val="sr-Cyrl-CS"/>
        </w:rPr>
        <w:t xml:space="preserve"> </w:t>
      </w:r>
      <w:r w:rsidR="00E33D13" w:rsidRPr="005C32FE">
        <w:rPr>
          <w:rFonts w:ascii="Arial Narrow" w:hAnsi="Arial Narrow" w:cs="Tahoma"/>
          <w:b/>
          <w:sz w:val="28"/>
          <w:szCs w:val="28"/>
        </w:rPr>
        <w:t>5</w:t>
      </w:r>
      <w:r w:rsidR="00FF3EA0" w:rsidRPr="005C32FE">
        <w:rPr>
          <w:rFonts w:ascii="Arial Narrow" w:hAnsi="Arial Narrow" w:cs="Tahoma"/>
          <w:b/>
          <w:sz w:val="28"/>
          <w:szCs w:val="28"/>
        </w:rPr>
        <w:t>1</w:t>
      </w:r>
      <w:r w:rsidR="00F0781C" w:rsidRPr="005C32FE">
        <w:rPr>
          <w:rFonts w:ascii="Arial Narrow" w:hAnsi="Arial Narrow" w:cs="Tahoma"/>
          <w:b/>
          <w:sz w:val="28"/>
          <w:szCs w:val="28"/>
        </w:rPr>
        <w:t>6</w:t>
      </w:r>
      <w:r w:rsidR="00E33D13" w:rsidRPr="005C32FE">
        <w:rPr>
          <w:rFonts w:ascii="Arial Narrow" w:hAnsi="Arial Narrow" w:cs="Tahoma"/>
          <w:b/>
          <w:sz w:val="28"/>
          <w:szCs w:val="28"/>
        </w:rPr>
        <w:t xml:space="preserve"> КМ</w:t>
      </w:r>
    </w:p>
    <w:p w:rsidR="00E33D13" w:rsidRPr="005C32FE" w:rsidRDefault="00470221" w:rsidP="00470221">
      <w:pPr>
        <w:tabs>
          <w:tab w:val="left" w:pos="1651"/>
          <w:tab w:val="left" w:pos="2192"/>
        </w:tabs>
        <w:jc w:val="both"/>
        <w:rPr>
          <w:rFonts w:ascii="Tahoma" w:hAnsi="Tahoma" w:cs="Tahoma"/>
          <w:b/>
        </w:rPr>
      </w:pPr>
      <w:r w:rsidRPr="005C32FE">
        <w:rPr>
          <w:rFonts w:ascii="Tahoma" w:hAnsi="Tahoma" w:cs="Tahoma"/>
          <w:b/>
        </w:rPr>
        <w:tab/>
      </w:r>
      <w:r w:rsidRPr="005C32FE">
        <w:rPr>
          <w:rFonts w:ascii="Tahoma" w:hAnsi="Tahoma" w:cs="Tahoma"/>
          <w:b/>
        </w:rPr>
        <w:tab/>
      </w:r>
    </w:p>
    <w:p w:rsidR="00676FB4" w:rsidRDefault="00676FB4" w:rsidP="00E33D13">
      <w:pPr>
        <w:tabs>
          <w:tab w:val="left" w:pos="1134"/>
        </w:tabs>
        <w:jc w:val="both"/>
        <w:rPr>
          <w:rFonts w:ascii="Arial Narrow" w:hAnsi="Arial Narrow" w:cs="Tahoma"/>
          <w:sz w:val="22"/>
        </w:rPr>
      </w:pPr>
      <w:r>
        <w:rPr>
          <w:rFonts w:ascii="Arial Narrow" w:hAnsi="Arial Narrow" w:cs="Tahoma"/>
          <w:sz w:val="22"/>
        </w:rPr>
        <w:t>Average monthly net wage of employed persons in Republika Srpska</w:t>
      </w:r>
      <w:r w:rsidRPr="00016810">
        <w:rPr>
          <w:rFonts w:ascii="Arial Narrow" w:hAnsi="Arial Narrow" w:cs="Tahoma"/>
          <w:b/>
          <w:sz w:val="22"/>
          <w:lang w:val="ru-RU"/>
        </w:rPr>
        <w:t xml:space="preserve"> </w:t>
      </w:r>
      <w:r>
        <w:rPr>
          <w:rFonts w:ascii="Arial Narrow" w:hAnsi="Arial Narrow" w:cs="Tahoma"/>
          <w:sz w:val="22"/>
        </w:rPr>
        <w:t>paid in</w:t>
      </w:r>
      <w:r w:rsidRPr="00D20AF8">
        <w:rPr>
          <w:rFonts w:ascii="Arial Narrow" w:hAnsi="Arial Narrow" w:cs="Tahoma"/>
          <w:sz w:val="22"/>
          <w:lang w:val="sr-Cyrl-CS"/>
        </w:rPr>
        <w:t xml:space="preserve"> </w:t>
      </w:r>
      <w:r>
        <w:rPr>
          <w:rFonts w:ascii="Arial Narrow" w:hAnsi="Arial Narrow" w:cs="Tahoma"/>
          <w:sz w:val="22"/>
        </w:rPr>
        <w:t>November</w:t>
      </w:r>
      <w:r w:rsidRPr="00D20AF8">
        <w:rPr>
          <w:rFonts w:ascii="Arial Narrow" w:hAnsi="Arial Narrow" w:cs="Tahoma"/>
          <w:sz w:val="22"/>
          <w:lang w:val="sr-Cyrl-CS"/>
        </w:rPr>
        <w:t xml:space="preserve"> 2015</w:t>
      </w:r>
      <w:r w:rsidRPr="00D20AF8">
        <w:rPr>
          <w:rFonts w:ascii="Arial Narrow" w:hAnsi="Arial Narrow" w:cs="Tahoma"/>
          <w:sz w:val="22"/>
          <w:lang w:val="ru-RU"/>
        </w:rPr>
        <w:t xml:space="preserve"> </w:t>
      </w:r>
      <w:r>
        <w:rPr>
          <w:rFonts w:ascii="Arial Narrow" w:hAnsi="Arial Narrow" w:cs="Tahoma"/>
          <w:sz w:val="22"/>
        </w:rPr>
        <w:t>was</w:t>
      </w:r>
      <w:r w:rsidRPr="00D20AF8">
        <w:rPr>
          <w:rFonts w:ascii="Arial Narrow" w:hAnsi="Arial Narrow" w:cs="Tahoma"/>
          <w:b/>
          <w:sz w:val="22"/>
          <w:lang w:val="sr-Cyrl-CS"/>
        </w:rPr>
        <w:t xml:space="preserve"> </w:t>
      </w:r>
      <w:r w:rsidRPr="00D20AF8">
        <w:rPr>
          <w:rFonts w:ascii="Arial Narrow" w:hAnsi="Arial Narrow" w:cs="Tahoma"/>
          <w:sz w:val="22"/>
          <w:lang w:val="sr-Cyrl-CS"/>
        </w:rPr>
        <w:t>824 КМ</w:t>
      </w:r>
      <w:r w:rsidRPr="00D20AF8">
        <w:rPr>
          <w:rFonts w:ascii="Arial Narrow" w:hAnsi="Arial Narrow" w:cs="Tahoma"/>
          <w:sz w:val="22"/>
          <w:lang w:val="hr-HR"/>
        </w:rPr>
        <w:t>,</w:t>
      </w:r>
      <w:r w:rsidRPr="00D20AF8">
        <w:rPr>
          <w:rFonts w:ascii="Arial Narrow" w:hAnsi="Arial Narrow" w:cs="Tahoma"/>
          <w:sz w:val="22"/>
          <w:lang w:val="ru-RU"/>
        </w:rPr>
        <w:t xml:space="preserve"> </w:t>
      </w:r>
      <w:r>
        <w:rPr>
          <w:rFonts w:ascii="Arial Narrow" w:hAnsi="Arial Narrow" w:cs="Tahoma"/>
          <w:sz w:val="22"/>
        </w:rPr>
        <w:t>while average monthly gross wage was</w:t>
      </w:r>
      <w:r w:rsidRPr="00D20AF8">
        <w:rPr>
          <w:rFonts w:ascii="Arial Narrow" w:hAnsi="Arial Narrow" w:cs="Tahoma"/>
          <w:sz w:val="22"/>
          <w:lang w:val="ru-RU"/>
        </w:rPr>
        <w:t xml:space="preserve"> </w:t>
      </w:r>
      <w:r>
        <w:rPr>
          <w:rFonts w:ascii="Arial Narrow" w:hAnsi="Arial Narrow" w:cs="Tahoma"/>
          <w:sz w:val="22"/>
          <w:lang w:val="sr-Cyrl-CS"/>
        </w:rPr>
        <w:t>1,</w:t>
      </w:r>
      <w:r w:rsidRPr="00D20AF8">
        <w:rPr>
          <w:rFonts w:ascii="Arial Narrow" w:hAnsi="Arial Narrow" w:cs="Tahoma"/>
          <w:sz w:val="22"/>
          <w:lang w:val="sr-Cyrl-CS"/>
        </w:rPr>
        <w:t>3</w:t>
      </w:r>
      <w:r>
        <w:rPr>
          <w:rFonts w:ascii="Arial Narrow" w:hAnsi="Arial Narrow" w:cs="Tahoma"/>
          <w:sz w:val="22"/>
          <w:lang w:val="sr-Cyrl-CS"/>
        </w:rPr>
        <w:t>28</w:t>
      </w:r>
      <w:r w:rsidRPr="00D20AF8">
        <w:rPr>
          <w:rFonts w:ascii="Arial Narrow" w:hAnsi="Arial Narrow" w:cs="Tahoma"/>
          <w:sz w:val="22"/>
          <w:lang w:val="sr-Cyrl-CS"/>
        </w:rPr>
        <w:t xml:space="preserve"> КМ</w:t>
      </w:r>
      <w:r>
        <w:rPr>
          <w:rFonts w:ascii="Arial Narrow" w:hAnsi="Arial Narrow" w:cs="Tahoma"/>
          <w:sz w:val="22"/>
        </w:rPr>
        <w:t>.</w:t>
      </w:r>
    </w:p>
    <w:p w:rsidR="00676FB4" w:rsidRDefault="00676FB4" w:rsidP="00E33D13">
      <w:pPr>
        <w:tabs>
          <w:tab w:val="left" w:pos="1134"/>
        </w:tabs>
        <w:jc w:val="both"/>
        <w:rPr>
          <w:rFonts w:ascii="Arial Narrow" w:hAnsi="Arial Narrow" w:cs="Tahoma"/>
          <w:sz w:val="22"/>
        </w:rPr>
      </w:pPr>
    </w:p>
    <w:p w:rsidR="00676FB4" w:rsidRPr="00364482" w:rsidRDefault="00676FB4" w:rsidP="00676FB4">
      <w:pPr>
        <w:tabs>
          <w:tab w:val="left" w:pos="1134"/>
        </w:tabs>
        <w:jc w:val="both"/>
        <w:rPr>
          <w:rFonts w:ascii="Arial Narrow" w:hAnsi="Arial Narrow" w:cs="Tahoma"/>
          <w:sz w:val="22"/>
        </w:rPr>
      </w:pPr>
      <w:r>
        <w:rPr>
          <w:rFonts w:ascii="Arial Narrow" w:hAnsi="Arial Narrow" w:cs="Tahoma"/>
          <w:sz w:val="22"/>
        </w:rPr>
        <w:t xml:space="preserve">Compared to November 2014, average net wage paid in November 2015 was really 1.8% higher, while compared to October 2015 it was really 0.3% higher. </w:t>
      </w:r>
    </w:p>
    <w:p w:rsidR="00676FB4" w:rsidRPr="00676FB4" w:rsidRDefault="00676FB4" w:rsidP="00E33D13">
      <w:pPr>
        <w:tabs>
          <w:tab w:val="left" w:pos="1134"/>
        </w:tabs>
        <w:jc w:val="both"/>
        <w:rPr>
          <w:rFonts w:ascii="Arial Narrow" w:hAnsi="Arial Narrow" w:cs="Tahoma"/>
          <w:sz w:val="22"/>
        </w:rPr>
      </w:pPr>
    </w:p>
    <w:p w:rsidR="00676FB4" w:rsidRDefault="00676FB4" w:rsidP="00676FB4">
      <w:pPr>
        <w:tabs>
          <w:tab w:val="left" w:pos="4343"/>
        </w:tabs>
        <w:jc w:val="both"/>
        <w:rPr>
          <w:rFonts w:ascii="Arial Narrow" w:hAnsi="Arial Narrow" w:cs="Tahoma"/>
          <w:i/>
          <w:sz w:val="22"/>
        </w:rPr>
      </w:pPr>
      <w:r>
        <w:rPr>
          <w:rFonts w:ascii="Arial Narrow" w:hAnsi="Arial Narrow" w:cs="Tahoma"/>
          <w:sz w:val="22"/>
        </w:rPr>
        <w:t xml:space="preserve">In November 2015, the highest average net wage, by section of activities, was paid in the section </w:t>
      </w:r>
      <w:r w:rsidRPr="007E517E">
        <w:rPr>
          <w:rFonts w:ascii="Arial Narrow" w:hAnsi="Arial Narrow" w:cs="Tahoma"/>
          <w:i/>
          <w:sz w:val="22"/>
        </w:rPr>
        <w:t>Financial and insurance activities</w:t>
      </w:r>
      <w:r>
        <w:rPr>
          <w:rFonts w:ascii="Arial Narrow" w:hAnsi="Arial Narrow" w:cs="Tahoma"/>
          <w:sz w:val="22"/>
        </w:rPr>
        <w:t xml:space="preserve"> and it amounted to 1,265 KM.</w:t>
      </w:r>
      <w:r w:rsidRPr="0022017B">
        <w:rPr>
          <w:rFonts w:ascii="Arial Narrow" w:hAnsi="Arial Narrow" w:cs="Tahoma"/>
          <w:sz w:val="22"/>
        </w:rPr>
        <w:t xml:space="preserve"> </w:t>
      </w:r>
      <w:r>
        <w:rPr>
          <w:rFonts w:ascii="Arial Narrow" w:hAnsi="Arial Narrow" w:cs="Tahoma"/>
          <w:sz w:val="22"/>
        </w:rPr>
        <w:t xml:space="preserve">On the other hand, the lowest average net wage in November 2015 was the one paid in the section </w:t>
      </w:r>
      <w:r w:rsidRPr="00294434">
        <w:rPr>
          <w:rFonts w:ascii="Arial Narrow" w:hAnsi="Arial Narrow" w:cs="Tahoma"/>
          <w:i/>
          <w:sz w:val="22"/>
        </w:rPr>
        <w:t>Administrative and support service activities</w:t>
      </w:r>
      <w:r>
        <w:rPr>
          <w:rFonts w:ascii="Arial Narrow" w:hAnsi="Arial Narrow" w:cs="Tahoma"/>
          <w:i/>
          <w:sz w:val="22"/>
        </w:rPr>
        <w:t xml:space="preserve"> </w:t>
      </w:r>
      <w:r>
        <w:rPr>
          <w:rFonts w:ascii="Arial Narrow" w:hAnsi="Arial Narrow" w:cs="Tahoma"/>
          <w:sz w:val="22"/>
        </w:rPr>
        <w:t>516</w:t>
      </w:r>
      <w:r w:rsidRPr="0022017B">
        <w:rPr>
          <w:rFonts w:ascii="Arial Narrow" w:hAnsi="Arial Narrow" w:cs="Tahoma"/>
          <w:sz w:val="22"/>
        </w:rPr>
        <w:t xml:space="preserve"> KM.</w:t>
      </w:r>
      <w:r>
        <w:rPr>
          <w:rFonts w:ascii="Arial Narrow" w:hAnsi="Arial Narrow" w:cs="Tahoma"/>
          <w:i/>
          <w:sz w:val="22"/>
        </w:rPr>
        <w:t xml:space="preserve"> </w:t>
      </w:r>
    </w:p>
    <w:p w:rsidR="00676FB4" w:rsidRDefault="00676FB4" w:rsidP="00676FB4">
      <w:pPr>
        <w:tabs>
          <w:tab w:val="left" w:pos="4343"/>
        </w:tabs>
        <w:jc w:val="both"/>
        <w:rPr>
          <w:rFonts w:ascii="Arial Narrow" w:hAnsi="Arial Narrow" w:cs="Tahoma"/>
          <w:i/>
          <w:sz w:val="22"/>
        </w:rPr>
      </w:pPr>
    </w:p>
    <w:p w:rsidR="00B82005" w:rsidRPr="005C32FE" w:rsidRDefault="00676FB4" w:rsidP="00B82005">
      <w:pPr>
        <w:tabs>
          <w:tab w:val="left" w:pos="1134"/>
        </w:tabs>
        <w:jc w:val="both"/>
        <w:rPr>
          <w:rFonts w:ascii="Arial Narrow" w:hAnsi="Arial Narrow" w:cs="Tahoma"/>
          <w:sz w:val="22"/>
        </w:rPr>
      </w:pPr>
      <w:r>
        <w:rPr>
          <w:rFonts w:ascii="Arial Narrow" w:hAnsi="Arial Narrow" w:cs="Tahoma"/>
          <w:sz w:val="22"/>
        </w:rPr>
        <w:t xml:space="preserve">In November 2015, compared to October 2015, a nominal increase in net wages was recorded in the sections </w:t>
      </w:r>
      <w:r>
        <w:rPr>
          <w:rFonts w:ascii="Arial Narrow" w:hAnsi="Arial Narrow" w:cs="Tahoma"/>
          <w:i/>
          <w:sz w:val="22"/>
        </w:rPr>
        <w:t>Mining and quarrying</w:t>
      </w:r>
      <w:r>
        <w:rPr>
          <w:rFonts w:ascii="Arial Narrow" w:hAnsi="Arial Narrow" w:cs="Tahoma"/>
          <w:sz w:val="22"/>
        </w:rPr>
        <w:t xml:space="preserve"> 4.2%, </w:t>
      </w:r>
      <w:r>
        <w:rPr>
          <w:rFonts w:ascii="Arial Narrow" w:hAnsi="Arial Narrow" w:cs="Tahoma"/>
          <w:i/>
          <w:sz w:val="22"/>
        </w:rPr>
        <w:t>Agriculture, forestry and fishing</w:t>
      </w:r>
      <w:r>
        <w:rPr>
          <w:rFonts w:ascii="Arial Narrow" w:hAnsi="Arial Narrow" w:cs="Tahoma"/>
          <w:sz w:val="22"/>
        </w:rPr>
        <w:t xml:space="preserve"> 2.1% and </w:t>
      </w:r>
      <w:r>
        <w:rPr>
          <w:rFonts w:ascii="Arial Narrow" w:hAnsi="Arial Narrow" w:cs="Tahoma"/>
          <w:i/>
          <w:sz w:val="22"/>
        </w:rPr>
        <w:t>Human health and social work activities</w:t>
      </w:r>
      <w:r>
        <w:rPr>
          <w:rFonts w:ascii="Arial Narrow" w:hAnsi="Arial Narrow" w:cs="Tahoma"/>
          <w:sz w:val="22"/>
        </w:rPr>
        <w:t xml:space="preserve"> 1.7%</w:t>
      </w:r>
    </w:p>
    <w:p w:rsidR="00E33D13" w:rsidRPr="005C32FE" w:rsidRDefault="00E33D13" w:rsidP="00E33D13">
      <w:pPr>
        <w:jc w:val="both"/>
        <w:rPr>
          <w:rFonts w:ascii="Arial Narrow" w:hAnsi="Arial Narrow" w:cs="Tahoma"/>
          <w:sz w:val="22"/>
        </w:rPr>
      </w:pPr>
    </w:p>
    <w:p w:rsidR="00676FB4" w:rsidRPr="0022017B" w:rsidRDefault="00676FB4" w:rsidP="00676FB4">
      <w:pPr>
        <w:jc w:val="both"/>
        <w:rPr>
          <w:rFonts w:ascii="Arial Narrow" w:hAnsi="Arial Narrow" w:cs="Tahoma"/>
          <w:sz w:val="22"/>
        </w:rPr>
      </w:pPr>
      <w:r>
        <w:rPr>
          <w:rFonts w:ascii="Arial Narrow" w:hAnsi="Arial Narrow" w:cs="Tahoma"/>
          <w:sz w:val="22"/>
        </w:rPr>
        <w:t xml:space="preserve">A decrease in nominal wages was recorded in the sections </w:t>
      </w:r>
      <w:r w:rsidR="00DD1CEF">
        <w:rPr>
          <w:rFonts w:ascii="Arial Narrow" w:hAnsi="Arial Narrow" w:cs="Tahoma"/>
          <w:i/>
          <w:sz w:val="22"/>
        </w:rPr>
        <w:t>Education</w:t>
      </w:r>
      <w:r w:rsidR="00DD1CEF">
        <w:rPr>
          <w:rFonts w:ascii="Arial Narrow" w:hAnsi="Arial Narrow" w:cs="Tahoma"/>
          <w:sz w:val="22"/>
        </w:rPr>
        <w:t xml:space="preserve"> 2.7</w:t>
      </w:r>
      <w:r>
        <w:rPr>
          <w:rFonts w:ascii="Arial Narrow" w:hAnsi="Arial Narrow" w:cs="Tahoma"/>
          <w:sz w:val="22"/>
        </w:rPr>
        <w:t xml:space="preserve">%, </w:t>
      </w:r>
      <w:r w:rsidR="00DD1CEF">
        <w:rPr>
          <w:rFonts w:ascii="Arial Narrow" w:hAnsi="Arial Narrow" w:cs="Tahoma"/>
          <w:i/>
          <w:sz w:val="22"/>
        </w:rPr>
        <w:t>Public administration and defence; compulsory social security</w:t>
      </w:r>
      <w:r>
        <w:rPr>
          <w:rFonts w:ascii="Arial Narrow" w:hAnsi="Arial Narrow" w:cs="Tahoma"/>
          <w:sz w:val="22"/>
        </w:rPr>
        <w:t xml:space="preserve"> </w:t>
      </w:r>
      <w:r w:rsidR="00DD1CEF">
        <w:rPr>
          <w:rFonts w:ascii="Arial Narrow" w:hAnsi="Arial Narrow" w:cs="Tahoma"/>
          <w:sz w:val="22"/>
        </w:rPr>
        <w:t>1.1</w:t>
      </w:r>
      <w:r>
        <w:rPr>
          <w:rFonts w:ascii="Arial Narrow" w:hAnsi="Arial Narrow" w:cs="Tahoma"/>
          <w:sz w:val="22"/>
        </w:rPr>
        <w:t xml:space="preserve">% and </w:t>
      </w:r>
      <w:r w:rsidR="00DD1CEF">
        <w:rPr>
          <w:rFonts w:ascii="Arial Narrow" w:hAnsi="Arial Narrow" w:cs="Tahoma"/>
          <w:i/>
          <w:sz w:val="22"/>
        </w:rPr>
        <w:t>Wholesale and retail trade, repair of motor vehicles and motorcycles</w:t>
      </w:r>
      <w:r w:rsidR="00DD1CEF">
        <w:rPr>
          <w:rFonts w:ascii="Arial Narrow" w:hAnsi="Arial Narrow" w:cs="Tahoma"/>
          <w:sz w:val="22"/>
        </w:rPr>
        <w:t xml:space="preserve"> 0.8</w:t>
      </w:r>
      <w:r>
        <w:rPr>
          <w:rFonts w:ascii="Arial Narrow" w:hAnsi="Arial Narrow" w:cs="Tahoma"/>
          <w:sz w:val="22"/>
        </w:rPr>
        <w:t xml:space="preserve">%. </w:t>
      </w:r>
    </w:p>
    <w:p w:rsidR="00396802" w:rsidRPr="005C32FE" w:rsidRDefault="00396802" w:rsidP="00E33D13">
      <w:pPr>
        <w:jc w:val="both"/>
        <w:rPr>
          <w:rFonts w:ascii="Tahoma" w:hAnsi="Tahoma" w:cs="Tahoma"/>
          <w:i/>
          <w:sz w:val="14"/>
        </w:rPr>
      </w:pPr>
    </w:p>
    <w:p w:rsidR="00E33D13" w:rsidRPr="005C32FE" w:rsidRDefault="00E33D13" w:rsidP="00E33D13">
      <w:pPr>
        <w:jc w:val="both"/>
        <w:rPr>
          <w:rFonts w:ascii="Arial Narrow" w:hAnsi="Arial Narrow" w:cs="Tahoma"/>
          <w:sz w:val="22"/>
          <w:szCs w:val="22"/>
        </w:rPr>
      </w:pPr>
      <w:r w:rsidRPr="005C32FE">
        <w:rPr>
          <w:rFonts w:ascii="Tahoma" w:hAnsi="Tahoma" w:cs="Tahoma"/>
          <w:i/>
          <w:sz w:val="14"/>
        </w:rPr>
        <w:t xml:space="preserve"> </w:t>
      </w:r>
      <w:r w:rsidRPr="005C32FE">
        <w:rPr>
          <w:rFonts w:ascii="Tahoma" w:hAnsi="Tahoma" w:cs="Tahoma"/>
          <w:sz w:val="14"/>
        </w:rPr>
        <w:t xml:space="preserve">   </w:t>
      </w:r>
      <w:r w:rsidRPr="005C32FE">
        <w:rPr>
          <w:rFonts w:ascii="Tahoma" w:hAnsi="Tahoma" w:cs="Tahoma"/>
          <w:sz w:val="14"/>
        </w:rPr>
        <w:tab/>
      </w:r>
      <w:r w:rsidRPr="005C32FE">
        <w:rPr>
          <w:rFonts w:ascii="Tahoma" w:hAnsi="Tahoma" w:cs="Tahoma"/>
          <w:sz w:val="14"/>
        </w:rPr>
        <w:tab/>
        <w:t xml:space="preserve">            </w:t>
      </w:r>
      <w:r w:rsidR="00F85AAC" w:rsidRPr="005C32FE">
        <w:rPr>
          <w:rFonts w:ascii="Tahoma" w:hAnsi="Tahoma" w:cs="Tahoma"/>
          <w:sz w:val="14"/>
        </w:rPr>
        <w:t xml:space="preserve">   </w:t>
      </w:r>
      <w:r w:rsidRPr="005C32FE">
        <w:rPr>
          <w:rFonts w:ascii="Arial Narrow" w:hAnsi="Arial Narrow" w:cs="Tahoma"/>
          <w:sz w:val="22"/>
          <w:szCs w:val="22"/>
        </w:rPr>
        <w:t>км</w:t>
      </w:r>
    </w:p>
    <w:p w:rsidR="00E33D13" w:rsidRPr="005C32FE" w:rsidRDefault="00D53D89" w:rsidP="00E33D13">
      <w:pPr>
        <w:jc w:val="center"/>
        <w:rPr>
          <w:rFonts w:ascii="Tahoma" w:hAnsi="Tahoma" w:cs="Tahoma"/>
        </w:rPr>
      </w:pPr>
      <w:r w:rsidRPr="005C32FE">
        <w:rPr>
          <w:noProof/>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D485B" w:rsidRPr="005C32FE">
        <w:rPr>
          <w:rFonts w:ascii="Tahoma" w:hAnsi="Tahoma" w:cs="Tahoma"/>
          <w:noProof/>
          <w:szCs w:val="18"/>
        </w:rPr>
        <w:drawing>
          <wp:anchor distT="0" distB="0" distL="114300" distR="114300" simplePos="0" relativeHeight="251659776" behindDoc="0" locked="0" layoutInCell="1" allowOverlap="1">
            <wp:simplePos x="0" y="0"/>
            <wp:positionH relativeFrom="column">
              <wp:posOffset>955040</wp:posOffset>
            </wp:positionH>
            <wp:positionV relativeFrom="paragraph">
              <wp:posOffset>2057771</wp:posOffset>
            </wp:positionV>
            <wp:extent cx="4504690" cy="461010"/>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0" cstate="print"/>
                    <a:stretch>
                      <a:fillRect/>
                    </a:stretch>
                  </pic:blipFill>
                  <pic:spPr>
                    <a:xfrm>
                      <a:off x="0" y="0"/>
                      <a:ext cx="4504690" cy="461010"/>
                    </a:xfrm>
                    <a:prstGeom prst="rect">
                      <a:avLst/>
                    </a:prstGeom>
                  </pic:spPr>
                </pic:pic>
              </a:graphicData>
            </a:graphic>
          </wp:anchor>
        </w:drawing>
      </w:r>
      <w:r w:rsidR="00E33D13" w:rsidRPr="005C32FE">
        <w:rPr>
          <w:rFonts w:ascii="Tahoma" w:hAnsi="Tahoma" w:cs="Tahoma"/>
          <w:szCs w:val="18"/>
        </w:rPr>
        <w:t xml:space="preserve">   </w:t>
      </w:r>
    </w:p>
    <w:p w:rsidR="00E33D13" w:rsidRPr="005C32FE" w:rsidRDefault="00E33D13" w:rsidP="00E33D13">
      <w:pPr>
        <w:jc w:val="center"/>
        <w:rPr>
          <w:rFonts w:ascii="Tahoma" w:hAnsi="Tahoma" w:cs="Tahoma"/>
          <w:sz w:val="18"/>
          <w:szCs w:val="18"/>
        </w:rPr>
      </w:pPr>
    </w:p>
    <w:p w:rsidR="00E33D13" w:rsidRPr="005C32FE" w:rsidRDefault="00113B46" w:rsidP="00E33D13">
      <w:pPr>
        <w:jc w:val="center"/>
        <w:outlineLvl w:val="0"/>
        <w:rPr>
          <w:rFonts w:ascii="Arial Narrow" w:hAnsi="Arial Narrow" w:cs="Tahoma"/>
          <w:sz w:val="16"/>
          <w:szCs w:val="22"/>
        </w:rPr>
      </w:pPr>
      <w:r>
        <w:rPr>
          <w:rFonts w:ascii="Arial Narrow" w:hAnsi="Arial Narrow" w:cs="Tahoma"/>
          <w:sz w:val="16"/>
          <w:szCs w:val="22"/>
        </w:rPr>
        <w:t>Graph</w:t>
      </w:r>
      <w:r w:rsidR="00E33D13" w:rsidRPr="005C32FE">
        <w:rPr>
          <w:rFonts w:ascii="Arial Narrow" w:hAnsi="Arial Narrow" w:cs="Tahoma"/>
          <w:sz w:val="16"/>
          <w:szCs w:val="22"/>
        </w:rPr>
        <w:t xml:space="preserve"> </w:t>
      </w:r>
      <w:r w:rsidR="0066022A" w:rsidRPr="005C32FE">
        <w:rPr>
          <w:rFonts w:ascii="Arial Narrow" w:hAnsi="Arial Narrow" w:cs="Tahoma"/>
          <w:sz w:val="16"/>
          <w:szCs w:val="22"/>
        </w:rPr>
        <w:t>1</w:t>
      </w:r>
      <w:r w:rsidR="00E33D13" w:rsidRPr="005C32FE">
        <w:rPr>
          <w:rFonts w:ascii="Arial Narrow" w:hAnsi="Arial Narrow" w:cs="Tahoma"/>
          <w:sz w:val="16"/>
          <w:szCs w:val="22"/>
        </w:rPr>
        <w:t xml:space="preserve">. </w:t>
      </w:r>
      <w:r>
        <w:rPr>
          <w:rFonts w:ascii="Arial Narrow" w:hAnsi="Arial Narrow" w:cs="Tahoma"/>
          <w:sz w:val="16"/>
          <w:szCs w:val="22"/>
        </w:rPr>
        <w:t>Average net wages of employed persons by month</w:t>
      </w:r>
    </w:p>
    <w:p w:rsidR="00BE051D" w:rsidRPr="005C32FE" w:rsidRDefault="00BE051D">
      <w:pPr>
        <w:rPr>
          <w:rFonts w:ascii="Arial Narrow" w:hAnsi="Arial Narrow" w:cs="Tahoma"/>
          <w:sz w:val="22"/>
        </w:rPr>
      </w:pPr>
    </w:p>
    <w:p w:rsidR="005237D0" w:rsidRDefault="005237D0" w:rsidP="00B6034D">
      <w:pPr>
        <w:rPr>
          <w:rFonts w:ascii="Arial Narrow" w:hAnsi="Arial Narrow" w:cs="Tahoma"/>
          <w:b/>
          <w:sz w:val="30"/>
          <w:szCs w:val="30"/>
        </w:rPr>
      </w:pPr>
    </w:p>
    <w:p w:rsidR="005237D0" w:rsidRDefault="005237D0" w:rsidP="00B6034D">
      <w:pPr>
        <w:rPr>
          <w:rFonts w:ascii="Arial Narrow" w:hAnsi="Arial Narrow" w:cs="Tahoma"/>
          <w:b/>
          <w:sz w:val="30"/>
          <w:szCs w:val="30"/>
        </w:rPr>
      </w:pPr>
    </w:p>
    <w:p w:rsidR="005237D0" w:rsidRDefault="005237D0" w:rsidP="00B6034D">
      <w:pPr>
        <w:rPr>
          <w:rFonts w:ascii="Arial Narrow" w:hAnsi="Arial Narrow" w:cs="Tahoma"/>
          <w:b/>
          <w:sz w:val="30"/>
          <w:szCs w:val="30"/>
        </w:rPr>
      </w:pPr>
    </w:p>
    <w:p w:rsidR="005237D0" w:rsidRDefault="005237D0" w:rsidP="00B6034D">
      <w:pPr>
        <w:rPr>
          <w:rFonts w:ascii="Arial Narrow" w:hAnsi="Arial Narrow" w:cs="Tahoma"/>
          <w:b/>
          <w:sz w:val="30"/>
          <w:szCs w:val="30"/>
        </w:rPr>
      </w:pPr>
    </w:p>
    <w:p w:rsidR="005237D0" w:rsidRDefault="005237D0" w:rsidP="00B6034D">
      <w:pPr>
        <w:rPr>
          <w:rFonts w:ascii="Arial Narrow" w:hAnsi="Arial Narrow" w:cs="Tahoma"/>
          <w:b/>
          <w:sz w:val="30"/>
          <w:szCs w:val="30"/>
        </w:rPr>
      </w:pPr>
    </w:p>
    <w:p w:rsidR="00B6034D" w:rsidRPr="005C32FE" w:rsidRDefault="003C71E2" w:rsidP="00B6034D">
      <w:pPr>
        <w:rPr>
          <w:rFonts w:ascii="Arial Narrow" w:hAnsi="Arial Narrow" w:cs="Tahoma"/>
          <w:b/>
          <w:sz w:val="30"/>
          <w:szCs w:val="30"/>
        </w:rPr>
      </w:pPr>
      <w:r>
        <w:rPr>
          <w:rFonts w:ascii="Arial Narrow" w:hAnsi="Arial Narrow" w:cs="Tahoma"/>
          <w:b/>
          <w:sz w:val="30"/>
          <w:szCs w:val="30"/>
        </w:rPr>
        <w:t>Monthly inflation</w:t>
      </w:r>
      <w:r>
        <w:rPr>
          <w:rFonts w:ascii="Arial Narrow" w:hAnsi="Arial Narrow" w:cs="Tahoma"/>
          <w:b/>
          <w:sz w:val="30"/>
          <w:szCs w:val="30"/>
          <w:lang w:val="sr-Cyrl-BA"/>
        </w:rPr>
        <w:t xml:space="preserve"> </w:t>
      </w:r>
      <w:r>
        <w:rPr>
          <w:rFonts w:ascii="Arial Narrow" w:hAnsi="Arial Narrow" w:cs="Tahoma"/>
          <w:b/>
          <w:sz w:val="30"/>
          <w:szCs w:val="30"/>
        </w:rPr>
        <w:t>-</w:t>
      </w:r>
      <w:r>
        <w:rPr>
          <w:rFonts w:ascii="Arial Narrow" w:hAnsi="Arial Narrow" w:cs="Tahoma"/>
          <w:b/>
          <w:sz w:val="30"/>
          <w:szCs w:val="30"/>
          <w:lang w:val="sr-Cyrl-BA"/>
        </w:rPr>
        <w:t>0.2</w:t>
      </w:r>
      <w:r w:rsidRPr="00D20AF8">
        <w:rPr>
          <w:rFonts w:ascii="Arial Narrow" w:hAnsi="Arial Narrow" w:cs="Tahoma"/>
          <w:b/>
          <w:sz w:val="30"/>
          <w:szCs w:val="30"/>
          <w:lang w:val="sr-Cyrl-BA"/>
        </w:rPr>
        <w:t>%</w:t>
      </w:r>
      <w:r>
        <w:rPr>
          <w:rFonts w:ascii="Arial Narrow" w:hAnsi="Arial Narrow" w:cs="Tahoma"/>
          <w:b/>
          <w:sz w:val="30"/>
          <w:szCs w:val="30"/>
        </w:rPr>
        <w:t xml:space="preserve"> in</w:t>
      </w:r>
      <w:r w:rsidRPr="005C32FE">
        <w:rPr>
          <w:rFonts w:ascii="Arial Narrow" w:hAnsi="Arial Narrow" w:cs="Tahoma"/>
          <w:b/>
          <w:sz w:val="30"/>
          <w:szCs w:val="30"/>
        </w:rPr>
        <w:t xml:space="preserve"> </w:t>
      </w:r>
      <w:r>
        <w:rPr>
          <w:rFonts w:ascii="Arial Narrow" w:hAnsi="Arial Narrow" w:cs="Tahoma"/>
          <w:b/>
          <w:sz w:val="30"/>
          <w:szCs w:val="30"/>
        </w:rPr>
        <w:t xml:space="preserve">November </w:t>
      </w:r>
      <w:r w:rsidR="00B6034D" w:rsidRPr="005C32FE">
        <w:rPr>
          <w:rFonts w:ascii="Arial Narrow" w:hAnsi="Arial Narrow" w:cs="Tahoma"/>
          <w:b/>
          <w:sz w:val="30"/>
          <w:szCs w:val="30"/>
        </w:rPr>
        <w:t>2015</w:t>
      </w:r>
    </w:p>
    <w:p w:rsidR="00B6034D" w:rsidRPr="005C32FE" w:rsidRDefault="003C71E2" w:rsidP="00B6034D">
      <w:pPr>
        <w:rPr>
          <w:rFonts w:ascii="Arial Narrow" w:hAnsi="Arial Narrow" w:cs="Tahoma"/>
          <w:b/>
          <w:sz w:val="30"/>
          <w:szCs w:val="30"/>
        </w:rPr>
      </w:pPr>
      <w:r>
        <w:rPr>
          <w:rFonts w:ascii="Arial Narrow" w:hAnsi="Arial Narrow" w:cs="Tahoma"/>
          <w:b/>
          <w:sz w:val="30"/>
          <w:szCs w:val="30"/>
        </w:rPr>
        <w:t>Annual inflation</w:t>
      </w:r>
      <w:r w:rsidR="00B6034D" w:rsidRPr="005C32FE">
        <w:rPr>
          <w:rFonts w:ascii="Arial Narrow" w:hAnsi="Arial Narrow" w:cs="Tahoma"/>
          <w:b/>
          <w:sz w:val="30"/>
          <w:szCs w:val="30"/>
        </w:rPr>
        <w:t xml:space="preserve"> (</w:t>
      </w:r>
      <w:r>
        <w:rPr>
          <w:rFonts w:ascii="Arial Narrow" w:hAnsi="Arial Narrow" w:cs="Tahoma"/>
          <w:b/>
          <w:sz w:val="30"/>
          <w:szCs w:val="30"/>
        </w:rPr>
        <w:t xml:space="preserve">November </w:t>
      </w:r>
      <w:r w:rsidR="00B6034D" w:rsidRPr="005C32FE">
        <w:rPr>
          <w:rFonts w:ascii="Arial Narrow" w:hAnsi="Arial Narrow" w:cs="Tahoma"/>
          <w:b/>
          <w:sz w:val="30"/>
          <w:szCs w:val="30"/>
        </w:rPr>
        <w:t>2015/</w:t>
      </w:r>
      <w:r>
        <w:rPr>
          <w:rFonts w:ascii="Arial Narrow" w:hAnsi="Arial Narrow" w:cs="Tahoma"/>
          <w:b/>
          <w:sz w:val="30"/>
          <w:szCs w:val="30"/>
        </w:rPr>
        <w:t>November 2014) -2.</w:t>
      </w:r>
      <w:r w:rsidR="00B6034D" w:rsidRPr="005C32FE">
        <w:rPr>
          <w:rFonts w:ascii="Arial Narrow" w:hAnsi="Arial Narrow" w:cs="Tahoma"/>
          <w:b/>
          <w:sz w:val="30"/>
          <w:szCs w:val="30"/>
        </w:rPr>
        <w:t>0%</w:t>
      </w:r>
    </w:p>
    <w:p w:rsidR="00E045B0" w:rsidRPr="005C32FE" w:rsidRDefault="00E045B0" w:rsidP="00E045B0">
      <w:pPr>
        <w:spacing w:after="120"/>
        <w:jc w:val="both"/>
        <w:rPr>
          <w:rFonts w:ascii="Arial Narrow" w:hAnsi="Arial Narrow" w:cs="Tahoma"/>
        </w:rPr>
      </w:pPr>
    </w:p>
    <w:p w:rsidR="003C71E2" w:rsidRDefault="003C71E2" w:rsidP="003C71E2">
      <w:pPr>
        <w:spacing w:after="120"/>
        <w:jc w:val="both"/>
        <w:rPr>
          <w:rFonts w:ascii="Arial Narrow" w:hAnsi="Arial Narrow" w:cs="Tahoma"/>
        </w:rPr>
      </w:pPr>
      <w:r w:rsidRPr="003C71E2">
        <w:rPr>
          <w:rFonts w:ascii="Arial Narrow" w:hAnsi="Arial Narrow" w:cs="Tahoma"/>
        </w:rPr>
        <w:t xml:space="preserve">Prices of products and services for personal consumption in Republika Srpska, measured with the consumer price index, in November 2015, compared to the previous month, were on the average 0.2% lower, while they were 2.0% lower at the annual level. </w:t>
      </w:r>
    </w:p>
    <w:p w:rsidR="00B6034D" w:rsidRDefault="003C71E2" w:rsidP="002D35F0">
      <w:pPr>
        <w:spacing w:after="120"/>
        <w:jc w:val="both"/>
        <w:rPr>
          <w:rFonts w:ascii="Arial Narrow" w:hAnsi="Arial Narrow" w:cs="Tahoma"/>
        </w:rPr>
      </w:pPr>
      <w:r>
        <w:rPr>
          <w:rFonts w:ascii="Arial Narrow" w:hAnsi="Arial Narrow" w:cs="Tahoma"/>
        </w:rPr>
        <w:t xml:space="preserve">Of the 12 main divisions of products and services, an increase in prices was recorded in three divisions, a decrease was recorded in five divisions, while prices in four divisions remained on the average at the same level. </w:t>
      </w:r>
    </w:p>
    <w:p w:rsidR="003C71E2" w:rsidRDefault="00980E64" w:rsidP="00B6034D">
      <w:pPr>
        <w:jc w:val="both"/>
        <w:rPr>
          <w:rFonts w:ascii="Arial Narrow" w:hAnsi="Arial Narrow" w:cs="Tahoma"/>
        </w:rPr>
      </w:pPr>
      <w:r>
        <w:rPr>
          <w:rFonts w:ascii="Arial Narrow" w:hAnsi="Arial Narrow" w:cs="Tahoma"/>
        </w:rPr>
        <w:t xml:space="preserve">The highest increase in prices was recorded in the division </w:t>
      </w:r>
      <w:r w:rsidRPr="001D4652">
        <w:rPr>
          <w:rFonts w:ascii="Arial Narrow" w:hAnsi="Arial Narrow" w:cs="Tahoma"/>
          <w:i/>
        </w:rPr>
        <w:t>Restaurants and hotels</w:t>
      </w:r>
      <w:r>
        <w:rPr>
          <w:rFonts w:ascii="Arial Narrow" w:hAnsi="Arial Narrow" w:cs="Tahoma"/>
        </w:rPr>
        <w:t xml:space="preserve"> (2.5), due to higher prices of student accommodation in the group </w:t>
      </w:r>
      <w:r w:rsidR="001D4652" w:rsidRPr="001D4652">
        <w:rPr>
          <w:rFonts w:ascii="Arial Narrow" w:hAnsi="Arial Narrow" w:cs="Tahoma"/>
        </w:rPr>
        <w:t>a</w:t>
      </w:r>
      <w:r w:rsidRPr="001D4652">
        <w:rPr>
          <w:rFonts w:ascii="Arial Narrow" w:hAnsi="Arial Narrow" w:cs="Tahoma"/>
        </w:rPr>
        <w:t>ccommodation services</w:t>
      </w:r>
      <w:r>
        <w:rPr>
          <w:rFonts w:ascii="Arial Narrow" w:hAnsi="Arial Narrow" w:cs="Tahoma"/>
        </w:rPr>
        <w:t xml:space="preserve"> (4.5%) and higher prices of meals in student canteens, in the group </w:t>
      </w:r>
      <w:r w:rsidR="001D4652" w:rsidRPr="001D4652">
        <w:rPr>
          <w:rFonts w:ascii="Arial Narrow" w:hAnsi="Arial Narrow" w:cs="Tahoma"/>
        </w:rPr>
        <w:t>c</w:t>
      </w:r>
      <w:r w:rsidRPr="001D4652">
        <w:rPr>
          <w:rFonts w:ascii="Arial Narrow" w:hAnsi="Arial Narrow" w:cs="Tahoma"/>
        </w:rPr>
        <w:t>atering services</w:t>
      </w:r>
      <w:r>
        <w:rPr>
          <w:rFonts w:ascii="Arial Narrow" w:hAnsi="Arial Narrow" w:cs="Tahoma"/>
        </w:rPr>
        <w:t xml:space="preserve"> (1.4%). </w:t>
      </w:r>
      <w:r w:rsidR="001D4652">
        <w:rPr>
          <w:rFonts w:ascii="Arial Narrow" w:hAnsi="Arial Narrow" w:cs="Tahoma"/>
        </w:rPr>
        <w:t xml:space="preserve">A slight increase was also recorded in the division </w:t>
      </w:r>
      <w:r w:rsidR="001D4652" w:rsidRPr="001D4652">
        <w:rPr>
          <w:rFonts w:ascii="Arial Narrow" w:hAnsi="Arial Narrow" w:cs="Tahoma"/>
          <w:i/>
        </w:rPr>
        <w:t>Alcoholic beverages and tobacco</w:t>
      </w:r>
      <w:r w:rsidR="001D4652">
        <w:rPr>
          <w:rFonts w:ascii="Arial Narrow" w:hAnsi="Arial Narrow" w:cs="Tahoma"/>
        </w:rPr>
        <w:t xml:space="preserve"> (0.1%), namely in the group alcoholic beverages (0.3%), as a result of higher purchase prices, and in the division </w:t>
      </w:r>
      <w:r w:rsidR="001D4652" w:rsidRPr="001D4652">
        <w:rPr>
          <w:rFonts w:ascii="Arial Narrow" w:hAnsi="Arial Narrow" w:cs="Tahoma"/>
          <w:i/>
        </w:rPr>
        <w:t>Health care</w:t>
      </w:r>
      <w:r w:rsidR="001D4652">
        <w:rPr>
          <w:rFonts w:ascii="Arial Narrow" w:hAnsi="Arial Narrow" w:cs="Tahoma"/>
        </w:rPr>
        <w:t>, in which an increase 0.1% was recorded as well.</w:t>
      </w:r>
    </w:p>
    <w:p w:rsidR="00980E64" w:rsidRPr="005C32FE" w:rsidRDefault="00980E64" w:rsidP="00B6034D">
      <w:pPr>
        <w:jc w:val="both"/>
        <w:rPr>
          <w:rFonts w:ascii="Arial Narrow" w:hAnsi="Arial Narrow" w:cs="Tahoma"/>
        </w:rPr>
      </w:pPr>
    </w:p>
    <w:p w:rsidR="007B7FB6" w:rsidRDefault="007B7FB6" w:rsidP="007B7FB6">
      <w:pPr>
        <w:jc w:val="both"/>
        <w:rPr>
          <w:rFonts w:ascii="Arial Narrow" w:hAnsi="Arial Narrow" w:cs="Tahoma"/>
        </w:rPr>
      </w:pPr>
      <w:r w:rsidRPr="007B7FB6">
        <w:rPr>
          <w:rFonts w:ascii="Arial Narrow" w:hAnsi="Arial Narrow" w:cs="Tahoma"/>
        </w:rPr>
        <w:t>In the divisions Clothing and footwear, Housing, Communication, and Education prices remained on the average at the same level.</w:t>
      </w:r>
    </w:p>
    <w:p w:rsidR="007B7FB6" w:rsidRDefault="007B7FB6" w:rsidP="007B7FB6">
      <w:pPr>
        <w:jc w:val="both"/>
        <w:rPr>
          <w:rFonts w:ascii="Arial Narrow" w:hAnsi="Arial Narrow" w:cs="Tahoma"/>
        </w:rPr>
      </w:pPr>
    </w:p>
    <w:p w:rsidR="007B7FB6" w:rsidRDefault="00953036" w:rsidP="007B7FB6">
      <w:pPr>
        <w:jc w:val="both"/>
        <w:rPr>
          <w:rFonts w:ascii="Arial Narrow" w:hAnsi="Arial Narrow" w:cs="Tahoma"/>
        </w:rPr>
      </w:pPr>
      <w:r>
        <w:rPr>
          <w:rFonts w:ascii="Arial Narrow" w:hAnsi="Arial Narrow" w:cs="Tahoma"/>
        </w:rPr>
        <w:t xml:space="preserve">The highest decrease in prices in November was recorded in the division </w:t>
      </w:r>
      <w:r w:rsidRPr="00953036">
        <w:rPr>
          <w:rFonts w:ascii="Arial Narrow" w:hAnsi="Arial Narrow" w:cs="Tahoma"/>
          <w:i/>
        </w:rPr>
        <w:t>Other goods and services</w:t>
      </w:r>
      <w:r>
        <w:rPr>
          <w:rFonts w:ascii="Arial Narrow" w:hAnsi="Arial Narrow" w:cs="Tahoma"/>
        </w:rPr>
        <w:t xml:space="preserve"> (0.9%), in the group personal care products (2.3%), due to various discounts. A decrease in prices was also recorded in the division </w:t>
      </w:r>
      <w:r w:rsidRPr="00953036">
        <w:rPr>
          <w:rFonts w:ascii="Arial Narrow" w:hAnsi="Arial Narrow" w:cs="Tahoma"/>
          <w:i/>
        </w:rPr>
        <w:t>Transport</w:t>
      </w:r>
      <w:r>
        <w:rPr>
          <w:rFonts w:ascii="Arial Narrow" w:hAnsi="Arial Narrow" w:cs="Tahoma"/>
        </w:rPr>
        <w:t xml:space="preserve"> (0.7%), as a result of the continued trend of lower purchase prices of fuels and lubricants, and in the division </w:t>
      </w:r>
      <w:r w:rsidRPr="00953036">
        <w:rPr>
          <w:rFonts w:ascii="Arial Narrow" w:hAnsi="Arial Narrow" w:cs="Tahoma"/>
          <w:i/>
        </w:rPr>
        <w:t>Food and non-alcoholic beverages</w:t>
      </w:r>
      <w:r>
        <w:rPr>
          <w:rFonts w:ascii="Arial Narrow" w:hAnsi="Arial Narrow" w:cs="Tahoma"/>
        </w:rPr>
        <w:t xml:space="preserve"> (0.4%), due to various discounts and permanently low prices of certain products.  A slight decrease in prices was also recorded in the division </w:t>
      </w:r>
      <w:r w:rsidRPr="00953036">
        <w:rPr>
          <w:rFonts w:ascii="Arial Narrow" w:hAnsi="Arial Narrow" w:cs="Tahoma"/>
          <w:i/>
        </w:rPr>
        <w:t>Furnishings and other equipment</w:t>
      </w:r>
      <w:r>
        <w:rPr>
          <w:rFonts w:ascii="Arial Narrow" w:hAnsi="Arial Narrow" w:cs="Tahoma"/>
        </w:rPr>
        <w:t xml:space="preserve"> (0.3%), </w:t>
      </w:r>
      <w:r w:rsidR="00DB4779">
        <w:rPr>
          <w:rFonts w:ascii="Arial Narrow" w:hAnsi="Arial Narrow" w:cs="Tahoma"/>
        </w:rPr>
        <w:t>in the group household equipment, as a result of discounts</w:t>
      </w:r>
      <w:r w:rsidR="00CD1439">
        <w:rPr>
          <w:rFonts w:ascii="Arial Narrow" w:hAnsi="Arial Narrow" w:cs="Tahoma"/>
        </w:rPr>
        <w:t xml:space="preserve"> beginning with the end of the year.</w:t>
      </w:r>
    </w:p>
    <w:p w:rsidR="00152F07" w:rsidRPr="005C32FE" w:rsidRDefault="00152F07" w:rsidP="00E045B0">
      <w:pPr>
        <w:jc w:val="both"/>
        <w:rPr>
          <w:rFonts w:ascii="Arial Narrow" w:hAnsi="Arial Narrow" w:cs="Tahoma"/>
        </w:rPr>
      </w:pPr>
    </w:p>
    <w:p w:rsidR="00CA3895" w:rsidRPr="005C32FE" w:rsidRDefault="00CD1439" w:rsidP="00CA3895">
      <w:pPr>
        <w:tabs>
          <w:tab w:val="left" w:pos="0"/>
          <w:tab w:val="left" w:pos="1100"/>
        </w:tabs>
        <w:jc w:val="both"/>
        <w:rPr>
          <w:rFonts w:ascii="Arial Narrow" w:hAnsi="Arial Narrow" w:cs="Tahoma"/>
          <w:b/>
          <w:bCs/>
          <w:sz w:val="28"/>
          <w:szCs w:val="28"/>
        </w:rPr>
      </w:pPr>
      <w:r>
        <w:rPr>
          <w:rFonts w:ascii="Arial Narrow" w:hAnsi="Arial Narrow" w:cs="Tahoma"/>
          <w:b/>
          <w:bCs/>
          <w:sz w:val="28"/>
          <w:szCs w:val="28"/>
        </w:rPr>
        <w:t>Working-day adjusted industrial production</w:t>
      </w:r>
      <w:r w:rsidRPr="00D20AF8">
        <w:rPr>
          <w:rFonts w:ascii="Arial Narrow" w:hAnsi="Arial Narrow" w:cs="Tahoma"/>
          <w:b/>
          <w:sz w:val="28"/>
          <w:szCs w:val="28"/>
          <w:lang w:val="sr-Cyrl-CS"/>
        </w:rPr>
        <w:t xml:space="preserve"> </w:t>
      </w:r>
      <w:r w:rsidR="00CA3895" w:rsidRPr="005C32FE">
        <w:rPr>
          <w:rFonts w:ascii="Arial Narrow" w:hAnsi="Arial Narrow" w:cs="Tahoma"/>
          <w:b/>
          <w:sz w:val="28"/>
          <w:szCs w:val="28"/>
        </w:rPr>
        <w:t>(</w:t>
      </w:r>
      <w:r>
        <w:rPr>
          <w:rFonts w:ascii="Arial Narrow" w:hAnsi="Arial Narrow" w:cs="Tahoma"/>
          <w:b/>
          <w:sz w:val="28"/>
          <w:szCs w:val="28"/>
        </w:rPr>
        <w:t>January</w:t>
      </w:r>
      <w:r w:rsidR="00CA3895" w:rsidRPr="005C32FE">
        <w:rPr>
          <w:rFonts w:ascii="Arial Narrow" w:hAnsi="Arial Narrow" w:cs="Tahoma"/>
          <w:b/>
          <w:sz w:val="28"/>
          <w:szCs w:val="28"/>
        </w:rPr>
        <w:t>-</w:t>
      </w:r>
      <w:r>
        <w:rPr>
          <w:rFonts w:ascii="Arial Narrow" w:hAnsi="Arial Narrow" w:cs="Tahoma"/>
          <w:b/>
          <w:sz w:val="28"/>
          <w:szCs w:val="28"/>
        </w:rPr>
        <w:t>November</w:t>
      </w:r>
      <w:r w:rsidR="00CA3895" w:rsidRPr="005C32FE">
        <w:rPr>
          <w:rFonts w:ascii="Arial Narrow" w:hAnsi="Arial Narrow" w:cs="Tahoma"/>
          <w:b/>
          <w:sz w:val="28"/>
          <w:szCs w:val="28"/>
        </w:rPr>
        <w:t xml:space="preserve"> 2015/</w:t>
      </w:r>
      <w:r>
        <w:rPr>
          <w:rFonts w:ascii="Arial Narrow" w:hAnsi="Arial Narrow" w:cs="Tahoma"/>
          <w:b/>
          <w:sz w:val="28"/>
          <w:szCs w:val="28"/>
        </w:rPr>
        <w:t>January</w:t>
      </w:r>
      <w:r w:rsidR="00CA3895" w:rsidRPr="005C32FE">
        <w:rPr>
          <w:rFonts w:ascii="Arial Narrow" w:hAnsi="Arial Narrow" w:cs="Tahoma"/>
          <w:b/>
          <w:sz w:val="28"/>
          <w:szCs w:val="28"/>
        </w:rPr>
        <w:t>-</w:t>
      </w:r>
      <w:r>
        <w:rPr>
          <w:rFonts w:ascii="Arial Narrow" w:hAnsi="Arial Narrow" w:cs="Tahoma"/>
          <w:b/>
          <w:sz w:val="28"/>
          <w:szCs w:val="28"/>
        </w:rPr>
        <w:t>November</w:t>
      </w:r>
      <w:r w:rsidR="00CA3895" w:rsidRPr="005C32FE">
        <w:rPr>
          <w:rFonts w:ascii="Arial Narrow" w:hAnsi="Arial Narrow" w:cs="Tahoma"/>
          <w:b/>
          <w:bCs/>
          <w:sz w:val="28"/>
          <w:szCs w:val="28"/>
        </w:rPr>
        <w:t xml:space="preserve"> 201</w:t>
      </w:r>
      <w:r>
        <w:rPr>
          <w:rFonts w:ascii="Arial Narrow" w:hAnsi="Arial Narrow" w:cs="Tahoma"/>
          <w:b/>
          <w:bCs/>
          <w:sz w:val="28"/>
          <w:szCs w:val="28"/>
        </w:rPr>
        <w:t>4</w:t>
      </w:r>
      <w:r w:rsidR="00CA3895" w:rsidRPr="005C32FE">
        <w:rPr>
          <w:rFonts w:ascii="Arial Narrow" w:hAnsi="Arial Narrow" w:cs="Tahoma"/>
          <w:b/>
          <w:bCs/>
          <w:sz w:val="28"/>
          <w:szCs w:val="28"/>
        </w:rPr>
        <w:t xml:space="preserve">) </w:t>
      </w:r>
      <w:r>
        <w:rPr>
          <w:rFonts w:ascii="Arial Narrow" w:hAnsi="Arial Narrow" w:cs="Tahoma"/>
          <w:b/>
          <w:bCs/>
          <w:sz w:val="28"/>
          <w:szCs w:val="28"/>
        </w:rPr>
        <w:t>increased by 3.</w:t>
      </w:r>
      <w:r w:rsidR="00CA3895" w:rsidRPr="005C32FE">
        <w:rPr>
          <w:rFonts w:ascii="Arial Narrow" w:hAnsi="Arial Narrow" w:cs="Tahoma"/>
          <w:b/>
          <w:bCs/>
          <w:sz w:val="28"/>
          <w:szCs w:val="28"/>
        </w:rPr>
        <w:t>0%</w:t>
      </w:r>
    </w:p>
    <w:p w:rsidR="00BA7878" w:rsidRPr="005C32FE" w:rsidRDefault="00CD1439" w:rsidP="00BA7878">
      <w:pPr>
        <w:tabs>
          <w:tab w:val="left" w:pos="0"/>
          <w:tab w:val="left" w:pos="1100"/>
        </w:tabs>
        <w:jc w:val="both"/>
        <w:rPr>
          <w:rFonts w:ascii="Arial Narrow" w:hAnsi="Arial Narrow" w:cs="Tahoma"/>
          <w:b/>
          <w:spacing w:val="-4"/>
          <w:sz w:val="28"/>
          <w:szCs w:val="28"/>
        </w:rPr>
      </w:pPr>
      <w:r>
        <w:rPr>
          <w:rFonts w:ascii="Arial Narrow" w:hAnsi="Arial Narrow" w:cs="Tahoma"/>
          <w:b/>
          <w:sz w:val="28"/>
          <w:szCs w:val="28"/>
        </w:rPr>
        <w:t>Number of employees in industry</w:t>
      </w:r>
      <w:r w:rsidR="00BA7878" w:rsidRPr="005C32FE">
        <w:rPr>
          <w:rFonts w:ascii="Arial Narrow" w:hAnsi="Arial Narrow" w:cs="Tahoma"/>
          <w:b/>
          <w:sz w:val="28"/>
          <w:szCs w:val="28"/>
        </w:rPr>
        <w:t xml:space="preserve"> (</w:t>
      </w:r>
      <w:r>
        <w:rPr>
          <w:rFonts w:ascii="Arial Narrow" w:hAnsi="Arial Narrow" w:cs="Tahoma"/>
          <w:b/>
          <w:sz w:val="28"/>
          <w:szCs w:val="28"/>
        </w:rPr>
        <w:t>January</w:t>
      </w:r>
      <w:r w:rsidR="00FD4624" w:rsidRPr="005C32FE">
        <w:rPr>
          <w:rFonts w:ascii="Arial Narrow" w:hAnsi="Arial Narrow" w:cs="Tahoma"/>
          <w:b/>
          <w:sz w:val="28"/>
          <w:szCs w:val="28"/>
        </w:rPr>
        <w:t>-</w:t>
      </w:r>
      <w:r>
        <w:rPr>
          <w:rFonts w:ascii="Arial Narrow" w:hAnsi="Arial Narrow" w:cs="Tahoma"/>
          <w:b/>
          <w:sz w:val="28"/>
          <w:szCs w:val="28"/>
        </w:rPr>
        <w:t>November</w:t>
      </w:r>
      <w:r w:rsidR="00FD4624" w:rsidRPr="005C32FE">
        <w:rPr>
          <w:rFonts w:ascii="Arial Narrow" w:hAnsi="Arial Narrow" w:cs="Tahoma"/>
          <w:b/>
          <w:sz w:val="28"/>
          <w:szCs w:val="28"/>
        </w:rPr>
        <w:t xml:space="preserve"> 2015/</w:t>
      </w:r>
      <w:r>
        <w:rPr>
          <w:rFonts w:ascii="Arial Narrow" w:hAnsi="Arial Narrow" w:cs="Tahoma"/>
          <w:b/>
          <w:sz w:val="28"/>
          <w:szCs w:val="28"/>
        </w:rPr>
        <w:t>January</w:t>
      </w:r>
      <w:r w:rsidR="00FD4624" w:rsidRPr="005C32FE">
        <w:rPr>
          <w:rFonts w:ascii="Arial Narrow" w:hAnsi="Arial Narrow" w:cs="Tahoma"/>
          <w:b/>
          <w:sz w:val="28"/>
          <w:szCs w:val="28"/>
        </w:rPr>
        <w:t>-</w:t>
      </w:r>
      <w:r>
        <w:rPr>
          <w:rFonts w:ascii="Arial Narrow" w:hAnsi="Arial Narrow" w:cs="Tahoma"/>
          <w:b/>
          <w:sz w:val="28"/>
          <w:szCs w:val="28"/>
        </w:rPr>
        <w:t>November</w:t>
      </w:r>
      <w:r w:rsidR="00FD4624" w:rsidRPr="005C32FE">
        <w:rPr>
          <w:rFonts w:ascii="Arial Narrow" w:hAnsi="Arial Narrow" w:cs="Tahoma"/>
          <w:b/>
          <w:bCs/>
          <w:sz w:val="28"/>
          <w:szCs w:val="28"/>
        </w:rPr>
        <w:t xml:space="preserve"> 201</w:t>
      </w:r>
      <w:r>
        <w:rPr>
          <w:rFonts w:ascii="Arial Narrow" w:hAnsi="Arial Narrow" w:cs="Tahoma"/>
          <w:b/>
          <w:bCs/>
          <w:sz w:val="28"/>
          <w:szCs w:val="28"/>
        </w:rPr>
        <w:t>4</w:t>
      </w:r>
      <w:r w:rsidR="00BA7878" w:rsidRPr="005C32FE">
        <w:rPr>
          <w:rFonts w:ascii="Arial Narrow" w:hAnsi="Arial Narrow" w:cs="Tahoma"/>
          <w:b/>
          <w:sz w:val="28"/>
          <w:szCs w:val="28"/>
        </w:rPr>
        <w:t xml:space="preserve">) </w:t>
      </w:r>
      <w:r>
        <w:rPr>
          <w:rFonts w:ascii="Arial Narrow" w:hAnsi="Arial Narrow" w:cs="Tahoma"/>
          <w:b/>
          <w:sz w:val="28"/>
          <w:szCs w:val="28"/>
        </w:rPr>
        <w:t>increased by</w:t>
      </w:r>
      <w:r w:rsidR="00BA7878" w:rsidRPr="005C32FE">
        <w:rPr>
          <w:rFonts w:ascii="Arial Narrow" w:hAnsi="Arial Narrow" w:cs="Tahoma"/>
          <w:b/>
          <w:sz w:val="28"/>
          <w:szCs w:val="28"/>
        </w:rPr>
        <w:t xml:space="preserve"> </w:t>
      </w:r>
      <w:r w:rsidR="00FD4624" w:rsidRPr="005C32FE">
        <w:rPr>
          <w:rFonts w:ascii="Arial Narrow" w:hAnsi="Arial Narrow" w:cs="Tahoma"/>
          <w:b/>
          <w:sz w:val="28"/>
          <w:szCs w:val="28"/>
        </w:rPr>
        <w:t>1</w:t>
      </w:r>
      <w:r>
        <w:rPr>
          <w:rFonts w:ascii="Arial Narrow" w:hAnsi="Arial Narrow" w:cs="Tahoma"/>
          <w:b/>
          <w:sz w:val="28"/>
          <w:szCs w:val="28"/>
        </w:rPr>
        <w:t>.</w:t>
      </w:r>
      <w:r w:rsidR="00FD4624" w:rsidRPr="005C32FE">
        <w:rPr>
          <w:rFonts w:ascii="Arial Narrow" w:hAnsi="Arial Narrow" w:cs="Tahoma"/>
          <w:b/>
          <w:sz w:val="28"/>
          <w:szCs w:val="28"/>
        </w:rPr>
        <w:t>3</w:t>
      </w:r>
      <w:r w:rsidR="00BA7878" w:rsidRPr="005C32FE">
        <w:rPr>
          <w:rFonts w:ascii="Arial Narrow" w:hAnsi="Arial Narrow" w:cs="Tahoma"/>
          <w:b/>
          <w:sz w:val="28"/>
          <w:szCs w:val="28"/>
        </w:rPr>
        <w:t>%</w:t>
      </w:r>
    </w:p>
    <w:p w:rsidR="00BA7878" w:rsidRPr="005C32FE" w:rsidRDefault="00BA7878" w:rsidP="00CA3895">
      <w:pPr>
        <w:jc w:val="both"/>
        <w:rPr>
          <w:rFonts w:ascii="Arial Narrow" w:hAnsi="Arial Narrow" w:cs="Tahoma"/>
          <w:b/>
          <w:sz w:val="22"/>
          <w:szCs w:val="22"/>
        </w:rPr>
      </w:pPr>
    </w:p>
    <w:p w:rsidR="00CF6C46" w:rsidRDefault="00CF6C46" w:rsidP="00CA3895">
      <w:pPr>
        <w:jc w:val="both"/>
        <w:rPr>
          <w:rFonts w:ascii="Arial Narrow" w:hAnsi="Arial Narrow" w:cs="Tahoma"/>
          <w:sz w:val="22"/>
          <w:szCs w:val="22"/>
        </w:rPr>
      </w:pPr>
      <w:r w:rsidRPr="007E517E">
        <w:rPr>
          <w:rFonts w:ascii="Arial Narrow" w:hAnsi="Arial Narrow" w:cs="Tahoma"/>
          <w:b/>
          <w:sz w:val="22"/>
        </w:rPr>
        <w:t>Working-day adjusted industrial production</w:t>
      </w:r>
      <w:r w:rsidRPr="007E517E">
        <w:rPr>
          <w:rFonts w:ascii="Arial Narrow" w:hAnsi="Arial Narrow" w:cs="Tahoma"/>
          <w:sz w:val="22"/>
        </w:rPr>
        <w:t xml:space="preserve"> </w:t>
      </w:r>
      <w:r>
        <w:rPr>
          <w:rFonts w:ascii="Arial Narrow" w:hAnsi="Arial Narrow" w:cs="Tahoma"/>
          <w:sz w:val="22"/>
          <w:szCs w:val="22"/>
        </w:rPr>
        <w:t xml:space="preserve">in the period January - November 2015, compared to the same period of 2014, increased by 3.0%. In the section </w:t>
      </w:r>
      <w:r w:rsidRPr="00CF6C46">
        <w:rPr>
          <w:rFonts w:ascii="Arial Narrow" w:hAnsi="Arial Narrow" w:cs="Tahoma"/>
          <w:i/>
          <w:sz w:val="22"/>
          <w:szCs w:val="22"/>
        </w:rPr>
        <w:t>Mining and quarrying</w:t>
      </w:r>
      <w:r>
        <w:rPr>
          <w:rFonts w:ascii="Arial Narrow" w:hAnsi="Arial Narrow" w:cs="Tahoma"/>
          <w:sz w:val="22"/>
          <w:szCs w:val="22"/>
        </w:rPr>
        <w:t xml:space="preserve"> an increase by 10.7% was recorded and in the section  </w:t>
      </w:r>
      <w:r>
        <w:rPr>
          <w:rFonts w:ascii="Arial Narrow" w:hAnsi="Arial Narrow" w:cs="Tahoma"/>
          <w:i/>
          <w:sz w:val="22"/>
          <w:szCs w:val="22"/>
        </w:rPr>
        <w:t xml:space="preserve">Manufacturing </w:t>
      </w:r>
      <w:r>
        <w:rPr>
          <w:rFonts w:ascii="Arial Narrow" w:hAnsi="Arial Narrow" w:cs="Tahoma"/>
          <w:sz w:val="22"/>
          <w:szCs w:val="22"/>
        </w:rPr>
        <w:t xml:space="preserve">an increase by 2.6%, and in the section </w:t>
      </w:r>
      <w:r w:rsidRPr="00200154">
        <w:rPr>
          <w:rFonts w:ascii="Arial Narrow" w:hAnsi="Arial Narrow" w:cs="Tahoma"/>
          <w:i/>
          <w:sz w:val="22"/>
          <w:szCs w:val="22"/>
        </w:rPr>
        <w:t>Electricity, gas, steam and air-conditioning</w:t>
      </w:r>
      <w:r>
        <w:rPr>
          <w:rFonts w:ascii="Arial Narrow" w:hAnsi="Arial Narrow" w:cs="Tahoma"/>
          <w:i/>
          <w:sz w:val="22"/>
          <w:szCs w:val="22"/>
        </w:rPr>
        <w:t xml:space="preserve"> supply</w:t>
      </w:r>
      <w:r>
        <w:rPr>
          <w:rFonts w:ascii="Arial Narrow" w:hAnsi="Arial Narrow" w:cs="Tahoma"/>
          <w:sz w:val="22"/>
          <w:szCs w:val="22"/>
        </w:rPr>
        <w:t xml:space="preserve"> an increase by 0.5% was recorded.</w:t>
      </w:r>
    </w:p>
    <w:p w:rsidR="00CF6C46" w:rsidRDefault="00CF6C46" w:rsidP="00CA3895">
      <w:pPr>
        <w:jc w:val="both"/>
        <w:rPr>
          <w:rFonts w:ascii="Arial Narrow" w:hAnsi="Arial Narrow" w:cs="Tahoma"/>
          <w:b/>
          <w:sz w:val="22"/>
          <w:szCs w:val="22"/>
        </w:rPr>
      </w:pPr>
      <w:r>
        <w:rPr>
          <w:rFonts w:ascii="Arial Narrow" w:hAnsi="Arial Narrow" w:cs="Tahoma"/>
          <w:sz w:val="22"/>
          <w:szCs w:val="22"/>
        </w:rPr>
        <w:t xml:space="preserve">By main industrial group, based on economic purpose of products, working-day adjusted production of consumer non-durables in the period January – November 2015, compared to the same period of the previous year, was 6.2% higher, production of intermediate goods was 5.2% higher, production of consumer durables was 4.1% higher and production of energy was 2.4% higher, while production of capital goods was 7.8% lower.  </w:t>
      </w:r>
    </w:p>
    <w:p w:rsidR="00152F07" w:rsidRPr="005C32FE" w:rsidRDefault="00152F07" w:rsidP="00152F07">
      <w:pPr>
        <w:jc w:val="both"/>
        <w:rPr>
          <w:rFonts w:ascii="Arial Narrow" w:hAnsi="Arial Narrow" w:cs="Tahoma"/>
          <w:b/>
          <w:sz w:val="22"/>
          <w:szCs w:val="22"/>
        </w:rPr>
      </w:pPr>
    </w:p>
    <w:p w:rsidR="007E72B3" w:rsidRDefault="007E72B3" w:rsidP="000213F8">
      <w:pPr>
        <w:jc w:val="both"/>
        <w:rPr>
          <w:rFonts w:ascii="Arial Narrow" w:hAnsi="Arial Narrow" w:cs="Tahoma"/>
          <w:b/>
          <w:sz w:val="22"/>
          <w:szCs w:val="22"/>
        </w:rPr>
      </w:pPr>
      <w:r>
        <w:rPr>
          <w:rFonts w:ascii="Arial Narrow" w:hAnsi="Arial Narrow" w:cs="Tahoma"/>
          <w:b/>
          <w:sz w:val="22"/>
          <w:szCs w:val="22"/>
        </w:rPr>
        <w:t>Number of employees in industry</w:t>
      </w:r>
      <w:r w:rsidRPr="00016810">
        <w:rPr>
          <w:rFonts w:ascii="Arial Narrow" w:hAnsi="Arial Narrow" w:cs="Tahoma"/>
          <w:sz w:val="22"/>
          <w:szCs w:val="22"/>
          <w:lang w:val="ru-RU"/>
        </w:rPr>
        <w:t xml:space="preserve"> </w:t>
      </w:r>
      <w:r>
        <w:rPr>
          <w:rFonts w:ascii="Arial Narrow" w:hAnsi="Arial Narrow" w:cs="Tahoma"/>
          <w:sz w:val="22"/>
          <w:szCs w:val="22"/>
        </w:rPr>
        <w:t xml:space="preserve">in November 2015, compared to the average monthly number of employed persons in 2014, was 1.8% higher. Compared to the same month of the previous year, it was 0.6% higher, while compared to October 2015 it was 0.3% lower. Number of employees in industry in the period January – November 2015, compared to the same period of the previous year, was 1.3% higher. During the same period, in the section </w:t>
      </w:r>
      <w:r w:rsidRPr="007E517E">
        <w:rPr>
          <w:rFonts w:ascii="Arial Narrow" w:hAnsi="Arial Narrow" w:cs="Tahoma"/>
          <w:i/>
          <w:spacing w:val="-2"/>
          <w:sz w:val="22"/>
        </w:rPr>
        <w:t>Electricity, gas, steam and air-conditioning supply</w:t>
      </w:r>
      <w:r>
        <w:rPr>
          <w:rFonts w:ascii="Arial Narrow" w:hAnsi="Arial Narrow" w:cs="Tahoma"/>
          <w:i/>
          <w:spacing w:val="-2"/>
          <w:sz w:val="22"/>
        </w:rPr>
        <w:t xml:space="preserve"> </w:t>
      </w:r>
      <w:r>
        <w:rPr>
          <w:rFonts w:ascii="Arial Narrow" w:hAnsi="Arial Narrow" w:cs="Tahoma"/>
          <w:spacing w:val="-2"/>
          <w:sz w:val="22"/>
        </w:rPr>
        <w:t xml:space="preserve">an increase by 2.7% was recorded, in the section </w:t>
      </w:r>
      <w:r w:rsidRPr="007E517E">
        <w:rPr>
          <w:rFonts w:ascii="Arial Narrow" w:hAnsi="Arial Narrow" w:cs="Tahoma"/>
          <w:i/>
          <w:spacing w:val="-2"/>
          <w:sz w:val="22"/>
        </w:rPr>
        <w:t xml:space="preserve">Mining and quarrying </w:t>
      </w:r>
      <w:r w:rsidRPr="007E517E">
        <w:rPr>
          <w:rFonts w:ascii="Arial Narrow" w:hAnsi="Arial Narrow" w:cs="Tahoma"/>
          <w:spacing w:val="-2"/>
          <w:sz w:val="22"/>
        </w:rPr>
        <w:t xml:space="preserve">an </w:t>
      </w:r>
      <w:r>
        <w:rPr>
          <w:rFonts w:ascii="Arial Narrow" w:hAnsi="Arial Narrow" w:cs="Tahoma"/>
          <w:spacing w:val="-2"/>
          <w:sz w:val="22"/>
        </w:rPr>
        <w:t xml:space="preserve">increase by 1.8% and in the section </w:t>
      </w:r>
      <w:r w:rsidRPr="007E517E">
        <w:rPr>
          <w:rFonts w:ascii="Arial Narrow" w:hAnsi="Arial Narrow" w:cs="Tahoma"/>
          <w:i/>
          <w:spacing w:val="-2"/>
          <w:sz w:val="22"/>
        </w:rPr>
        <w:t>Manufacturing</w:t>
      </w:r>
      <w:r>
        <w:rPr>
          <w:rFonts w:ascii="Arial Narrow" w:hAnsi="Arial Narrow" w:cs="Tahoma"/>
          <w:i/>
          <w:spacing w:val="-2"/>
          <w:sz w:val="22"/>
        </w:rPr>
        <w:t xml:space="preserve"> </w:t>
      </w:r>
      <w:r>
        <w:rPr>
          <w:rFonts w:ascii="Arial Narrow" w:hAnsi="Arial Narrow" w:cs="Tahoma"/>
          <w:spacing w:val="-2"/>
          <w:sz w:val="22"/>
        </w:rPr>
        <w:t>an increase by 1.1% was recorded.</w:t>
      </w:r>
    </w:p>
    <w:p w:rsidR="00FD4624" w:rsidRPr="005C32FE" w:rsidRDefault="00FD4624" w:rsidP="000213F8">
      <w:pPr>
        <w:jc w:val="both"/>
        <w:rPr>
          <w:rFonts w:ascii="Arial Narrow" w:hAnsi="Arial Narrow" w:cs="Tahoma"/>
          <w:sz w:val="22"/>
          <w:szCs w:val="22"/>
        </w:rPr>
      </w:pPr>
    </w:p>
    <w:p w:rsidR="000213F8" w:rsidRPr="005C32FE" w:rsidRDefault="002D35F0" w:rsidP="00DC2009">
      <w:pPr>
        <w:jc w:val="center"/>
        <w:rPr>
          <w:rFonts w:ascii="Arial Narrow" w:hAnsi="Arial Narrow" w:cs="Tahoma"/>
          <w:sz w:val="22"/>
          <w:szCs w:val="22"/>
        </w:rPr>
      </w:pPr>
      <w:r>
        <w:rPr>
          <w:noProof/>
        </w:rPr>
        <w:lastRenderedPageBreak/>
        <w:drawing>
          <wp:inline distT="0" distB="0" distL="0" distR="0" wp14:anchorId="63D471FE" wp14:editId="682615D5">
            <wp:extent cx="6480810" cy="30530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D9D" w:rsidRPr="005C32FE" w:rsidRDefault="00113B46" w:rsidP="00B85D9D">
      <w:pPr>
        <w:jc w:val="center"/>
        <w:rPr>
          <w:rFonts w:ascii="Arial Narrow" w:hAnsi="Arial Narrow" w:cs="Tahoma"/>
          <w:sz w:val="16"/>
          <w:szCs w:val="16"/>
        </w:rPr>
      </w:pPr>
      <w:r>
        <w:rPr>
          <w:rFonts w:ascii="Arial Narrow" w:hAnsi="Arial Narrow" w:cs="Tahoma"/>
          <w:sz w:val="16"/>
          <w:szCs w:val="16"/>
          <w:lang w:val="sr-Latn-CS"/>
        </w:rPr>
        <w:t>Graph</w:t>
      </w:r>
      <w:r w:rsidRPr="005A735F">
        <w:rPr>
          <w:rFonts w:ascii="Arial Narrow" w:hAnsi="Arial Narrow" w:cs="Tahoma"/>
          <w:sz w:val="16"/>
          <w:szCs w:val="16"/>
          <w:lang w:val="sr-Latn-CS"/>
        </w:rPr>
        <w:t xml:space="preserve"> 2. </w:t>
      </w:r>
      <w:r>
        <w:rPr>
          <w:rFonts w:ascii="Arial Narrow" w:hAnsi="Arial Narrow" w:cs="Tahoma"/>
          <w:sz w:val="16"/>
          <w:szCs w:val="16"/>
          <w:lang w:val="sr-Latn-CS"/>
        </w:rPr>
        <w:t>Indices of industrial production</w:t>
      </w:r>
      <w:r w:rsidR="00B85D9D" w:rsidRPr="005C32FE">
        <w:rPr>
          <w:rFonts w:ascii="Arial Narrow" w:hAnsi="Arial Narrow" w:cs="Tahoma"/>
          <w:sz w:val="16"/>
          <w:szCs w:val="16"/>
        </w:rPr>
        <w:t xml:space="preserve">, </w:t>
      </w:r>
      <w:r>
        <w:rPr>
          <w:rFonts w:ascii="Arial Narrow" w:hAnsi="Arial Narrow" w:cs="Tahoma"/>
          <w:sz w:val="16"/>
          <w:szCs w:val="16"/>
        </w:rPr>
        <w:t>November</w:t>
      </w:r>
      <w:r w:rsidR="00B85D9D" w:rsidRPr="005C32FE">
        <w:rPr>
          <w:rFonts w:ascii="Arial Narrow" w:hAnsi="Arial Narrow" w:cs="Tahoma"/>
          <w:sz w:val="16"/>
          <w:szCs w:val="16"/>
        </w:rPr>
        <w:t xml:space="preserve"> 2011 – </w:t>
      </w:r>
      <w:r>
        <w:rPr>
          <w:rFonts w:ascii="Arial Narrow" w:hAnsi="Arial Narrow" w:cs="Tahoma"/>
          <w:sz w:val="16"/>
          <w:szCs w:val="16"/>
        </w:rPr>
        <w:t>November</w:t>
      </w:r>
      <w:r w:rsidR="00B85D9D" w:rsidRPr="005C32FE">
        <w:rPr>
          <w:rFonts w:ascii="Arial Narrow" w:hAnsi="Arial Narrow" w:cs="Tahoma"/>
          <w:sz w:val="16"/>
          <w:szCs w:val="16"/>
        </w:rPr>
        <w:t xml:space="preserve"> 2015 (</w:t>
      </w:r>
      <w:r w:rsidR="00B85D9D" w:rsidRPr="005C32FE">
        <w:rPr>
          <w:rFonts w:ascii="Arial Narrow" w:hAnsi="Arial Narrow" w:cs="Tahoma"/>
          <w:sz w:val="16"/>
          <w:szCs w:val="16"/>
        </w:rPr>
        <w:sym w:font="Symbol" w:char="F0C6"/>
      </w:r>
      <w:r w:rsidR="00B85D9D" w:rsidRPr="005C32FE">
        <w:rPr>
          <w:rFonts w:ascii="Arial Narrow" w:hAnsi="Arial Narrow" w:cs="Tahoma"/>
          <w:sz w:val="16"/>
          <w:szCs w:val="16"/>
        </w:rPr>
        <w:t>2010=100)</w:t>
      </w:r>
    </w:p>
    <w:p w:rsidR="000213F8" w:rsidRPr="005C32FE" w:rsidRDefault="000213F8" w:rsidP="009A0B74">
      <w:pPr>
        <w:jc w:val="both"/>
        <w:rPr>
          <w:rFonts w:ascii="Arial Narrow" w:hAnsi="Arial Narrow" w:cs="Tahoma"/>
          <w:sz w:val="22"/>
          <w:szCs w:val="22"/>
        </w:rPr>
      </w:pPr>
    </w:p>
    <w:p w:rsidR="00EF6DEF" w:rsidRPr="005C32FE" w:rsidRDefault="00EF6DEF" w:rsidP="009A0B74">
      <w:pPr>
        <w:jc w:val="both"/>
        <w:rPr>
          <w:rFonts w:ascii="Arial Narrow" w:hAnsi="Arial Narrow" w:cs="Tahoma"/>
          <w:sz w:val="22"/>
          <w:szCs w:val="22"/>
        </w:rPr>
      </w:pPr>
    </w:p>
    <w:p w:rsidR="00F442FA" w:rsidRPr="005C32FE" w:rsidRDefault="006166C5" w:rsidP="00F442FA">
      <w:pPr>
        <w:rPr>
          <w:rFonts w:ascii="Arial Narrow" w:hAnsi="Arial Narrow" w:cs="Tahoma"/>
          <w:b/>
          <w:sz w:val="30"/>
          <w:szCs w:val="30"/>
        </w:rPr>
      </w:pPr>
      <w:r w:rsidRPr="007E517E">
        <w:rPr>
          <w:rFonts w:ascii="Arial Narrow" w:hAnsi="Arial Narrow" w:cs="Tahoma"/>
          <w:b/>
          <w:sz w:val="30"/>
          <w:szCs w:val="30"/>
        </w:rPr>
        <w:t>Coverage of import with export (in the period January</w:t>
      </w:r>
      <w:r>
        <w:rPr>
          <w:rFonts w:ascii="Arial Narrow" w:hAnsi="Arial Narrow" w:cs="Tahoma"/>
          <w:b/>
          <w:sz w:val="30"/>
          <w:szCs w:val="30"/>
        </w:rPr>
        <w:t xml:space="preserve"> </w:t>
      </w:r>
      <w:r w:rsidR="00F442FA" w:rsidRPr="005C32FE">
        <w:rPr>
          <w:rFonts w:ascii="Arial Narrow" w:hAnsi="Arial Narrow" w:cs="Tahoma"/>
          <w:b/>
          <w:sz w:val="30"/>
          <w:szCs w:val="30"/>
        </w:rPr>
        <w:t>-</w:t>
      </w:r>
      <w:r>
        <w:rPr>
          <w:rFonts w:ascii="Arial Narrow" w:hAnsi="Arial Narrow" w:cs="Tahoma"/>
          <w:b/>
          <w:sz w:val="30"/>
          <w:szCs w:val="30"/>
        </w:rPr>
        <w:t>November</w:t>
      </w:r>
      <w:r w:rsidR="00F442FA" w:rsidRPr="005C32FE">
        <w:rPr>
          <w:rFonts w:ascii="Arial Narrow" w:hAnsi="Arial Narrow" w:cs="Tahoma"/>
          <w:b/>
          <w:sz w:val="30"/>
          <w:szCs w:val="30"/>
        </w:rPr>
        <w:t xml:space="preserve"> 201</w:t>
      </w:r>
      <w:r>
        <w:rPr>
          <w:rFonts w:ascii="Arial Narrow" w:hAnsi="Arial Narrow" w:cs="Tahoma"/>
          <w:b/>
          <w:sz w:val="30"/>
          <w:szCs w:val="30"/>
        </w:rPr>
        <w:t>5</w:t>
      </w:r>
      <w:r w:rsidR="00F442FA" w:rsidRPr="005C32FE">
        <w:rPr>
          <w:rFonts w:ascii="Arial Narrow" w:hAnsi="Arial Narrow" w:cs="Tahoma"/>
          <w:b/>
          <w:sz w:val="30"/>
          <w:szCs w:val="30"/>
        </w:rPr>
        <w:t xml:space="preserve">) </w:t>
      </w:r>
      <w:r w:rsidR="008F10AE" w:rsidRPr="005C32FE">
        <w:rPr>
          <w:rFonts w:ascii="Arial Narrow" w:hAnsi="Arial Narrow" w:cs="Tahoma"/>
          <w:b/>
          <w:sz w:val="30"/>
          <w:szCs w:val="30"/>
        </w:rPr>
        <w:t>5</w:t>
      </w:r>
      <w:r w:rsidR="00E34FF5" w:rsidRPr="005C32FE">
        <w:rPr>
          <w:rFonts w:ascii="Arial Narrow" w:hAnsi="Arial Narrow" w:cs="Tahoma"/>
          <w:b/>
          <w:sz w:val="30"/>
          <w:szCs w:val="30"/>
        </w:rPr>
        <w:t>9</w:t>
      </w:r>
      <w:r>
        <w:rPr>
          <w:rFonts w:ascii="Arial Narrow" w:hAnsi="Arial Narrow" w:cs="Tahoma"/>
          <w:b/>
          <w:sz w:val="30"/>
          <w:szCs w:val="30"/>
        </w:rPr>
        <w:t>.</w:t>
      </w:r>
      <w:r w:rsidR="008902BA" w:rsidRPr="005C32FE">
        <w:rPr>
          <w:rFonts w:ascii="Arial Narrow" w:hAnsi="Arial Narrow" w:cs="Tahoma"/>
          <w:b/>
          <w:sz w:val="30"/>
          <w:szCs w:val="30"/>
        </w:rPr>
        <w:t>2</w:t>
      </w:r>
      <w:r w:rsidR="00F442FA" w:rsidRPr="005C32FE">
        <w:rPr>
          <w:rFonts w:ascii="Arial Narrow" w:hAnsi="Arial Narrow" w:cs="Tahoma"/>
          <w:b/>
          <w:sz w:val="30"/>
          <w:szCs w:val="30"/>
        </w:rPr>
        <w:t xml:space="preserve">% </w:t>
      </w:r>
    </w:p>
    <w:p w:rsidR="00F442FA" w:rsidRPr="005C32FE" w:rsidRDefault="00F442FA" w:rsidP="00F442FA">
      <w:pPr>
        <w:tabs>
          <w:tab w:val="left" w:pos="300"/>
          <w:tab w:val="left" w:pos="1100"/>
        </w:tabs>
        <w:jc w:val="both"/>
        <w:rPr>
          <w:rFonts w:ascii="Tahoma" w:hAnsi="Tahoma" w:cs="Tahoma"/>
          <w:b/>
        </w:rPr>
      </w:pPr>
    </w:p>
    <w:p w:rsidR="008F3E7E" w:rsidRDefault="008F3E7E" w:rsidP="00F442FA">
      <w:pPr>
        <w:jc w:val="both"/>
        <w:rPr>
          <w:rFonts w:ascii="Arial Narrow" w:hAnsi="Arial Narrow" w:cs="Tahoma"/>
          <w:sz w:val="22"/>
        </w:rPr>
      </w:pPr>
      <w:r>
        <w:rPr>
          <w:rFonts w:ascii="Arial Narrow" w:hAnsi="Arial Narrow" w:cs="Tahoma"/>
          <w:sz w:val="22"/>
        </w:rPr>
        <w:t>In November 2015, the value of export was 202 million KM and the value of import was 345 million KM.</w:t>
      </w:r>
    </w:p>
    <w:p w:rsidR="008F3E7E" w:rsidRPr="009E5326" w:rsidRDefault="008F3E7E" w:rsidP="008F3E7E">
      <w:pPr>
        <w:jc w:val="both"/>
        <w:rPr>
          <w:rFonts w:ascii="Arial Narrow" w:hAnsi="Arial Narrow" w:cs="Tahoma"/>
          <w:sz w:val="22"/>
        </w:rPr>
      </w:pPr>
      <w:r>
        <w:rPr>
          <w:rFonts w:ascii="Arial Narrow" w:hAnsi="Arial Narrow" w:cs="Tahoma"/>
          <w:sz w:val="22"/>
        </w:rPr>
        <w:t xml:space="preserve">In the total external trade of Republika Srpska in November of the current year, the percentage of coverage of import with export was 58.7%. The percentage of coverage of import with export in the first eleven months of the current year was 59.2%. </w:t>
      </w:r>
    </w:p>
    <w:p w:rsidR="008F3E7E" w:rsidRDefault="008F3E7E" w:rsidP="00F442FA">
      <w:pPr>
        <w:jc w:val="both"/>
        <w:rPr>
          <w:rFonts w:ascii="Arial Narrow" w:hAnsi="Arial Narrow" w:cs="Tahoma"/>
          <w:sz w:val="22"/>
        </w:rPr>
      </w:pPr>
    </w:p>
    <w:p w:rsidR="008F3E7E" w:rsidRDefault="008F3E7E" w:rsidP="008F3E7E">
      <w:pPr>
        <w:jc w:val="both"/>
        <w:rPr>
          <w:rFonts w:ascii="Arial Narrow" w:hAnsi="Arial Narrow" w:cs="Tahoma"/>
          <w:sz w:val="22"/>
        </w:rPr>
      </w:pPr>
      <w:r>
        <w:rPr>
          <w:rFonts w:ascii="Arial Narrow" w:hAnsi="Arial Narrow" w:cs="Tahoma"/>
          <w:sz w:val="22"/>
        </w:rPr>
        <w:t xml:space="preserve">In the period January – November 2015, the value of export was 2 billion and 367 million KM, which represented a decrease by 4.8% compared to the same period of the previous year. During the same period, the value of import was 3 billion and 997 million KM, which represented a decrease by 11.4% compared to the same period of the previous year. </w:t>
      </w:r>
    </w:p>
    <w:p w:rsidR="00F442FA" w:rsidRPr="005C32FE" w:rsidRDefault="00F442FA" w:rsidP="00F442FA">
      <w:pPr>
        <w:jc w:val="both"/>
        <w:rPr>
          <w:rFonts w:ascii="Arial Narrow" w:hAnsi="Arial Narrow" w:cs="Tahoma"/>
          <w:sz w:val="22"/>
        </w:rPr>
      </w:pPr>
    </w:p>
    <w:p w:rsidR="008F3E7E" w:rsidRPr="007E517E" w:rsidRDefault="008F3E7E" w:rsidP="008F3E7E">
      <w:pPr>
        <w:jc w:val="both"/>
        <w:rPr>
          <w:rFonts w:ascii="Arial Narrow" w:hAnsi="Arial Narrow" w:cs="Tahoma"/>
          <w:sz w:val="22"/>
        </w:rPr>
      </w:pPr>
      <w:r w:rsidRPr="007E517E">
        <w:rPr>
          <w:rFonts w:ascii="Arial Narrow" w:hAnsi="Arial Narrow" w:cs="Tahoma"/>
          <w:sz w:val="22"/>
        </w:rPr>
        <w:t xml:space="preserve">In terms of the geographical distribution of external trade of Republika Srpska, in the period January – </w:t>
      </w:r>
      <w:r>
        <w:rPr>
          <w:rFonts w:ascii="Arial Narrow" w:hAnsi="Arial Narrow" w:cs="Tahoma"/>
          <w:sz w:val="22"/>
        </w:rPr>
        <w:t>November</w:t>
      </w:r>
      <w:r w:rsidRPr="007E517E">
        <w:rPr>
          <w:rFonts w:ascii="Arial Narrow" w:hAnsi="Arial Narrow" w:cs="Tahoma"/>
          <w:sz w:val="22"/>
        </w:rPr>
        <w:t xml:space="preserve"> 2015, the highest value of export was that of export to Italy, with </w:t>
      </w:r>
      <w:r>
        <w:rPr>
          <w:rFonts w:ascii="Arial Narrow" w:hAnsi="Arial Narrow" w:cs="Tahoma"/>
          <w:sz w:val="22"/>
        </w:rPr>
        <w:t>432 million KM or 18.2</w:t>
      </w:r>
      <w:r w:rsidRPr="007E517E">
        <w:rPr>
          <w:rFonts w:ascii="Arial Narrow" w:hAnsi="Arial Narrow" w:cs="Tahoma"/>
          <w:sz w:val="22"/>
        </w:rPr>
        <w:t xml:space="preserve">%, followed by Serbia, with </w:t>
      </w:r>
      <w:r>
        <w:rPr>
          <w:rFonts w:ascii="Arial Narrow" w:hAnsi="Arial Narrow" w:cs="Tahoma"/>
          <w:sz w:val="22"/>
        </w:rPr>
        <w:t>310 million KM or 13.1</w:t>
      </w:r>
      <w:r w:rsidRPr="007E517E">
        <w:rPr>
          <w:rFonts w:ascii="Arial Narrow" w:hAnsi="Arial Narrow" w:cs="Tahoma"/>
          <w:sz w:val="22"/>
        </w:rPr>
        <w:t xml:space="preserve">% of the total realised export. During the same period, the highest value of import was that of import from Serbia, with </w:t>
      </w:r>
      <w:r>
        <w:rPr>
          <w:rFonts w:ascii="Arial Narrow" w:hAnsi="Arial Narrow" w:cs="Tahoma"/>
          <w:sz w:val="22"/>
        </w:rPr>
        <w:t>696</w:t>
      </w:r>
      <w:r w:rsidRPr="007E517E">
        <w:rPr>
          <w:rFonts w:ascii="Arial Narrow" w:hAnsi="Arial Narrow" w:cs="Tahoma"/>
          <w:sz w:val="22"/>
        </w:rPr>
        <w:t xml:space="preserve"> million KM or </w:t>
      </w:r>
      <w:r>
        <w:rPr>
          <w:rFonts w:ascii="Arial Narrow" w:hAnsi="Arial Narrow" w:cs="Tahoma"/>
          <w:sz w:val="22"/>
        </w:rPr>
        <w:t>17.4</w:t>
      </w:r>
      <w:r w:rsidRPr="007E517E">
        <w:rPr>
          <w:rFonts w:ascii="Arial Narrow" w:hAnsi="Arial Narrow" w:cs="Tahoma"/>
          <w:sz w:val="22"/>
        </w:rPr>
        <w:t xml:space="preserve">%, followed by Russia, with </w:t>
      </w:r>
      <w:r>
        <w:rPr>
          <w:rFonts w:ascii="Arial Narrow" w:hAnsi="Arial Narrow" w:cs="Tahoma"/>
          <w:sz w:val="22"/>
        </w:rPr>
        <w:t>651</w:t>
      </w:r>
      <w:r w:rsidRPr="007E517E">
        <w:rPr>
          <w:rFonts w:ascii="Arial Narrow" w:hAnsi="Arial Narrow" w:cs="Tahoma"/>
          <w:sz w:val="22"/>
        </w:rPr>
        <w:t xml:space="preserve"> million </w:t>
      </w:r>
      <w:r>
        <w:rPr>
          <w:rFonts w:ascii="Arial Narrow" w:hAnsi="Arial Narrow" w:cs="Tahoma"/>
          <w:sz w:val="22"/>
        </w:rPr>
        <w:t>KM or 16.3</w:t>
      </w:r>
      <w:r w:rsidRPr="007E517E">
        <w:rPr>
          <w:rFonts w:ascii="Arial Narrow" w:hAnsi="Arial Narrow" w:cs="Tahoma"/>
          <w:sz w:val="22"/>
        </w:rPr>
        <w:t>% of the total realised import.</w:t>
      </w:r>
    </w:p>
    <w:p w:rsidR="008F3E7E" w:rsidRPr="00AE4875" w:rsidRDefault="008F3E7E" w:rsidP="008F3E7E">
      <w:pPr>
        <w:jc w:val="both"/>
        <w:rPr>
          <w:rFonts w:ascii="Arial Narrow" w:hAnsi="Arial Narrow" w:cs="Tahoma"/>
          <w:sz w:val="22"/>
        </w:rPr>
      </w:pPr>
    </w:p>
    <w:p w:rsidR="00F442FA" w:rsidRPr="005C32FE" w:rsidRDefault="008F3E7E" w:rsidP="00F442FA">
      <w:pPr>
        <w:jc w:val="both"/>
        <w:rPr>
          <w:rFonts w:ascii="Arial Narrow" w:hAnsi="Arial Narrow" w:cs="Tahoma"/>
          <w:sz w:val="22"/>
        </w:rPr>
      </w:pPr>
      <w:r w:rsidRPr="007E517E">
        <w:rPr>
          <w:rFonts w:ascii="Arial Narrow" w:hAnsi="Arial Narrow" w:cs="Tahoma"/>
          <w:sz w:val="22"/>
        </w:rPr>
        <w:t xml:space="preserve">By group of products, in the period January – </w:t>
      </w:r>
      <w:r>
        <w:rPr>
          <w:rFonts w:ascii="Arial Narrow" w:hAnsi="Arial Narrow" w:cs="Tahoma"/>
          <w:sz w:val="22"/>
        </w:rPr>
        <w:t>November</w:t>
      </w:r>
      <w:r w:rsidRPr="007E517E">
        <w:rPr>
          <w:rFonts w:ascii="Arial Narrow" w:hAnsi="Arial Narrow" w:cs="Tahoma"/>
          <w:sz w:val="22"/>
        </w:rPr>
        <w:t xml:space="preserve"> 2015, the highest share in export </w:t>
      </w:r>
      <w:r w:rsidRPr="00676177">
        <w:rPr>
          <w:rFonts w:ascii="Arial Narrow" w:hAnsi="Arial Narrow" w:cs="Tahoma"/>
          <w:sz w:val="22"/>
        </w:rPr>
        <w:t>was that of processed wood with</w:t>
      </w:r>
      <w:r w:rsidRPr="007E517E">
        <w:rPr>
          <w:rFonts w:ascii="Arial Narrow" w:hAnsi="Arial Narrow" w:cs="Tahoma"/>
          <w:sz w:val="22"/>
        </w:rPr>
        <w:t xml:space="preserve"> the total value of </w:t>
      </w:r>
      <w:r>
        <w:rPr>
          <w:rFonts w:ascii="Arial Narrow" w:hAnsi="Arial Narrow" w:cs="Tahoma"/>
          <w:sz w:val="22"/>
        </w:rPr>
        <w:t>150 million KM, which was 6.3</w:t>
      </w:r>
      <w:r w:rsidRPr="007E517E">
        <w:rPr>
          <w:rFonts w:ascii="Arial Narrow" w:hAnsi="Arial Narrow" w:cs="Tahoma"/>
          <w:sz w:val="22"/>
        </w:rPr>
        <w:t>% of the total export, while the highest share i</w:t>
      </w:r>
      <w:bookmarkStart w:id="0" w:name="_GoBack"/>
      <w:bookmarkEnd w:id="0"/>
      <w:r w:rsidRPr="007E517E">
        <w:rPr>
          <w:rFonts w:ascii="Arial Narrow" w:hAnsi="Arial Narrow" w:cs="Tahoma"/>
          <w:sz w:val="22"/>
        </w:rPr>
        <w:t xml:space="preserve">n import was that of petroleum and oils obtained from bituminous minerals (crude), with the total value of </w:t>
      </w:r>
      <w:r>
        <w:rPr>
          <w:rFonts w:ascii="Arial Narrow" w:hAnsi="Arial Narrow" w:cs="Tahoma"/>
          <w:sz w:val="22"/>
        </w:rPr>
        <w:t>604 million KM, which was 15.1</w:t>
      </w:r>
      <w:r w:rsidRPr="007E517E">
        <w:rPr>
          <w:rFonts w:ascii="Arial Narrow" w:hAnsi="Arial Narrow" w:cs="Tahoma"/>
          <w:sz w:val="22"/>
        </w:rPr>
        <w:t>% of the total import.</w:t>
      </w:r>
    </w:p>
    <w:p w:rsidR="00252DE1" w:rsidRPr="005C32FE" w:rsidRDefault="00252DE1" w:rsidP="00D41A79">
      <w:pPr>
        <w:tabs>
          <w:tab w:val="left" w:pos="300"/>
          <w:tab w:val="left" w:pos="1100"/>
        </w:tabs>
        <w:rPr>
          <w:rFonts w:ascii="Tahoma" w:hAnsi="Tahoma" w:cs="Tahoma"/>
          <w:sz w:val="16"/>
          <w:szCs w:val="16"/>
        </w:rPr>
      </w:pPr>
    </w:p>
    <w:p w:rsidR="003206D9" w:rsidRPr="005C32FE" w:rsidRDefault="005237D0" w:rsidP="00451451">
      <w:pPr>
        <w:tabs>
          <w:tab w:val="left" w:pos="300"/>
          <w:tab w:val="left" w:pos="1100"/>
        </w:tabs>
        <w:jc w:val="center"/>
        <w:rPr>
          <w:rFonts w:ascii="Tahoma" w:hAnsi="Tahoma" w:cs="Tahoma"/>
          <w:sz w:val="16"/>
          <w:szCs w:val="16"/>
        </w:rPr>
      </w:pPr>
      <w:r>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281.3pt;margin-top:1.3pt;width:64.2pt;height:19.75pt;z-index:251664384;mso-width-relative:margin;mso-height-relative:margin" filled="f" stroked="f">
            <v:textbox style="mso-next-textbox:#_x0000_s1068">
              <w:txbxContent>
                <w:p w:rsidR="00CA3895" w:rsidRPr="000A1309" w:rsidRDefault="00912A42" w:rsidP="008809BE">
                  <w:pPr>
                    <w:jc w:val="right"/>
                    <w:rPr>
                      <w:rFonts w:ascii="Arial Narrow" w:hAnsi="Arial Narrow" w:cs="Tahoma"/>
                      <w:sz w:val="16"/>
                      <w:szCs w:val="16"/>
                      <w:lang w:val="bs-Cyrl-BA"/>
                    </w:rPr>
                  </w:pPr>
                  <w:r>
                    <w:rPr>
                      <w:rFonts w:ascii="Arial Narrow" w:hAnsi="Arial Narrow" w:cs="Tahoma"/>
                      <w:sz w:val="16"/>
                      <w:szCs w:val="16"/>
                    </w:rPr>
                    <w:t>thous</w:t>
                  </w:r>
                  <w:r w:rsidR="00CA3895" w:rsidRPr="000A1309">
                    <w:rPr>
                      <w:rFonts w:ascii="Arial Narrow" w:hAnsi="Arial Narrow" w:cs="Tahoma"/>
                      <w:sz w:val="16"/>
                      <w:szCs w:val="16"/>
                      <w:lang w:val="bs-Cyrl-BA"/>
                    </w:rPr>
                    <w:t>. КМ</w:t>
                  </w:r>
                </w:p>
              </w:txbxContent>
            </v:textbox>
          </v:shape>
        </w:pict>
      </w:r>
    </w:p>
    <w:p w:rsidR="00BA70D8" w:rsidRPr="005C32FE" w:rsidRDefault="005237D0" w:rsidP="00451451">
      <w:pPr>
        <w:tabs>
          <w:tab w:val="left" w:pos="300"/>
          <w:tab w:val="left" w:pos="1100"/>
        </w:tabs>
        <w:jc w:val="center"/>
        <w:rPr>
          <w:rFonts w:ascii="Tahoma" w:hAnsi="Tahoma" w:cs="Tahoma"/>
          <w:sz w:val="16"/>
          <w:szCs w:val="16"/>
        </w:rPr>
      </w:pPr>
      <w:r>
        <w:rPr>
          <w:noProof/>
        </w:rPr>
        <w:pict>
          <v:shape id="_x0000_s1075" type="#_x0000_t202" style="position:absolute;left:0;text-align:left;margin-left:373.7pt;margin-top:67.5pt;width:38.7pt;height:21.25pt;z-index:25167155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" fillcolor="window" stroked="f">
            <v:textbox>
              <w:txbxContent>
                <w:p w:rsidR="00121540" w:rsidRDefault="00121540" w:rsidP="00121540">
                  <w:pPr>
                    <w:pStyle w:val="NormalWeb"/>
                    <w:spacing w:before="0" w:beforeAutospacing="0" w:after="0" w:afterAutospacing="0"/>
                  </w:pPr>
                  <w:r>
                    <w:rPr>
                      <w:rFonts w:ascii="Arial Narrow" w:hAnsi="Arial Narrow" w:cstheme="minorBidi"/>
                      <w:sz w:val="16"/>
                      <w:szCs w:val="16"/>
                    </w:rPr>
                    <w:t>export</w:t>
                  </w:r>
                </w:p>
              </w:txbxContent>
            </v:textbox>
          </v:shape>
        </w:pict>
      </w:r>
      <w:r>
        <w:rPr>
          <w:noProof/>
        </w:rPr>
        <w:pict>
          <v:shape id="TextBox 1" o:spid="_x0000_s1073" type="#_x0000_t202" style="position:absolute;left:0;text-align:left;margin-left:374.05pt;margin-top:51.95pt;width:36.05pt;height:16.25pt;z-index:2516695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" fillcolor="window" stroked="f">
            <v:path arrowok="t"/>
            <v:textbox>
              <w:txbxContent>
                <w:p w:rsidR="00912A42" w:rsidRDefault="00912A42" w:rsidP="00912A42">
                  <w:pPr>
                    <w:pStyle w:val="NormalWeb"/>
                    <w:spacing w:before="0" w:beforeAutospacing="0" w:after="0" w:afterAutospacing="0"/>
                  </w:pPr>
                  <w:r>
                    <w:rPr>
                      <w:rFonts w:ascii="Arial Narrow" w:hAnsi="Arial Narrow" w:cstheme="minorBidi"/>
                      <w:sz w:val="16"/>
                      <w:szCs w:val="16"/>
                    </w:rPr>
                    <w:t>import</w:t>
                  </w:r>
                </w:p>
              </w:txbxContent>
            </v:textbox>
          </v:shape>
        </w:pict>
      </w:r>
      <w:r>
        <w:rPr>
          <w:rFonts w:ascii="Tahoma" w:hAnsi="Tahoma" w:cs="Tahoma"/>
          <w:b/>
          <w:noProof/>
          <w:sz w:val="16"/>
          <w:szCs w:val="16"/>
          <w:lang w:eastAsia="zh-TW"/>
        </w:rPr>
        <w:pict>
          <v:shape id="_x0000_s1066" type="#_x0000_t202" style="position:absolute;left:0;text-align:left;margin-left:143.1pt;margin-top:152.2pt;width:37.85pt;height:16.4pt;z-index:251662336;mso-height-percent:200;mso-position-horizontal-relative:text;mso-position-vertical-relative:text;mso-height-percent:200;mso-width-relative:margin;mso-height-relative:margin" stroked="f">
            <v:textbox style="mso-next-textbox:#_x0000_s1066;mso-fit-shape-to-text:t">
              <w:txbxContent>
                <w:p w:rsidR="00CA3895" w:rsidRPr="000A1309" w:rsidRDefault="00CA3895" w:rsidP="00115CDB">
                  <w:pP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4</w:t>
                  </w:r>
                </w:p>
              </w:txbxContent>
            </v:textbox>
          </v:shape>
        </w:pict>
      </w:r>
      <w:r>
        <w:rPr>
          <w:rFonts w:ascii="Tahoma" w:hAnsi="Tahoma" w:cs="Tahoma"/>
          <w:b/>
          <w:noProof/>
          <w:sz w:val="16"/>
          <w:szCs w:val="16"/>
          <w:lang w:eastAsia="bs-Latn-BA"/>
        </w:rPr>
        <w:pict>
          <v:shape id="_x0000_s1067" type="#_x0000_t202" style="position:absolute;left:0;text-align:left;margin-left:243.3pt;margin-top:152.2pt;width:44.2pt;height:16.4pt;z-index:251663360;mso-height-percent:200;mso-position-horizontal-relative:text;mso-position-vertical-relative:text;mso-height-percent:200;mso-width-relative:margin;mso-height-relative:margin" stroked="f">
            <v:textbox style="mso-next-textbox:#_x0000_s1067;mso-fit-shape-to-text:t">
              <w:txbxContent>
                <w:p w:rsidR="00CA3895" w:rsidRPr="000A1309" w:rsidRDefault="00CA389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5</w:t>
                  </w:r>
                </w:p>
              </w:txbxContent>
            </v:textbox>
          </v:shape>
        </w:pict>
      </w:r>
      <w:r w:rsidR="008902BA" w:rsidRPr="005C32FE">
        <w:rPr>
          <w:noProof/>
        </w:rPr>
        <w:drawing>
          <wp:inline distT="0" distB="0" distL="0" distR="0">
            <wp:extent cx="3699164" cy="197130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6814" w:rsidRPr="005C32FE" w:rsidRDefault="004E6814" w:rsidP="00451451">
      <w:pPr>
        <w:tabs>
          <w:tab w:val="left" w:pos="300"/>
          <w:tab w:val="left" w:pos="1100"/>
        </w:tabs>
        <w:jc w:val="center"/>
        <w:rPr>
          <w:rFonts w:ascii="Tahoma" w:hAnsi="Tahoma" w:cs="Tahoma"/>
          <w:sz w:val="16"/>
          <w:szCs w:val="16"/>
        </w:rPr>
      </w:pPr>
    </w:p>
    <w:p w:rsidR="004E6814" w:rsidRPr="005C32FE" w:rsidRDefault="004E6814" w:rsidP="00451451">
      <w:pPr>
        <w:tabs>
          <w:tab w:val="left" w:pos="300"/>
          <w:tab w:val="left" w:pos="1100"/>
        </w:tabs>
        <w:jc w:val="center"/>
        <w:rPr>
          <w:rFonts w:ascii="Tahoma" w:hAnsi="Tahoma" w:cs="Tahoma"/>
          <w:sz w:val="16"/>
          <w:szCs w:val="16"/>
        </w:rPr>
      </w:pPr>
    </w:p>
    <w:p w:rsidR="00777348" w:rsidRPr="005C32FE" w:rsidRDefault="00912A42" w:rsidP="00777348">
      <w:pPr>
        <w:tabs>
          <w:tab w:val="left" w:pos="2535"/>
        </w:tabs>
        <w:jc w:val="center"/>
        <w:rPr>
          <w:rFonts w:ascii="Arial Narrow" w:hAnsi="Arial Narrow" w:cs="Tahoma"/>
          <w:iCs/>
          <w:sz w:val="16"/>
          <w:szCs w:val="22"/>
        </w:rPr>
      </w:pPr>
      <w:r>
        <w:rPr>
          <w:rFonts w:ascii="Arial Narrow" w:hAnsi="Arial Narrow" w:cs="Tahoma"/>
          <w:sz w:val="16"/>
          <w:szCs w:val="22"/>
        </w:rPr>
        <w:t>Graph</w:t>
      </w:r>
      <w:r w:rsidR="00777348" w:rsidRPr="005C32FE">
        <w:rPr>
          <w:rFonts w:ascii="Arial Narrow" w:hAnsi="Arial Narrow" w:cs="Tahoma"/>
          <w:sz w:val="16"/>
          <w:szCs w:val="22"/>
        </w:rPr>
        <w:t xml:space="preserve"> </w:t>
      </w:r>
      <w:r w:rsidR="0066022A" w:rsidRPr="005C32FE">
        <w:rPr>
          <w:rFonts w:ascii="Arial Narrow" w:hAnsi="Arial Narrow" w:cs="Tahoma"/>
          <w:sz w:val="16"/>
          <w:szCs w:val="22"/>
        </w:rPr>
        <w:t>3</w:t>
      </w:r>
      <w:r w:rsidR="00777348" w:rsidRPr="005C32FE">
        <w:rPr>
          <w:rFonts w:ascii="Arial Narrow" w:hAnsi="Arial Narrow" w:cs="Tahoma"/>
          <w:sz w:val="16"/>
          <w:szCs w:val="22"/>
        </w:rPr>
        <w:t xml:space="preserve">. </w:t>
      </w:r>
      <w:r>
        <w:rPr>
          <w:rFonts w:ascii="Arial Narrow" w:hAnsi="Arial Narrow" w:cs="Tahoma"/>
          <w:iCs/>
          <w:sz w:val="16"/>
          <w:szCs w:val="22"/>
        </w:rPr>
        <w:t>Export and import by month</w:t>
      </w:r>
    </w:p>
    <w:p w:rsidR="00115CDB" w:rsidRPr="005C32FE" w:rsidRDefault="00115CDB" w:rsidP="00115CDB">
      <w:pPr>
        <w:tabs>
          <w:tab w:val="left" w:pos="2535"/>
        </w:tabs>
        <w:jc w:val="center"/>
        <w:rPr>
          <w:rFonts w:ascii="Tahoma" w:hAnsi="Tahoma" w:cs="Tahoma"/>
          <w:iCs/>
          <w:sz w:val="18"/>
          <w:szCs w:val="18"/>
        </w:rPr>
      </w:pPr>
    </w:p>
    <w:p w:rsidR="00252DE1" w:rsidRPr="005C32FE" w:rsidRDefault="00252DE1" w:rsidP="00115CDB">
      <w:pPr>
        <w:tabs>
          <w:tab w:val="left" w:pos="2535"/>
        </w:tabs>
        <w:jc w:val="center"/>
        <w:rPr>
          <w:rFonts w:ascii="Tahoma" w:hAnsi="Tahoma" w:cs="Tahoma"/>
          <w:b/>
          <w:spacing w:val="-16"/>
          <w:sz w:val="18"/>
          <w:szCs w:val="18"/>
        </w:rPr>
      </w:pPr>
    </w:p>
    <w:p w:rsidR="000D1CED" w:rsidRPr="005C32FE" w:rsidRDefault="000D1CED" w:rsidP="00115CDB">
      <w:pPr>
        <w:rPr>
          <w:rFonts w:ascii="Tahoma" w:hAnsi="Tahoma" w:cs="Tahoma"/>
          <w:bCs/>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4C20B5" w:rsidRPr="005C32FE" w:rsidTr="009E2A9A">
        <w:trPr>
          <w:trHeight w:hRule="exact" w:val="340"/>
          <w:jc w:val="center"/>
        </w:trPr>
        <w:tc>
          <w:tcPr>
            <w:tcW w:w="10419" w:type="dxa"/>
            <w:tcBorders>
              <w:top w:val="nil"/>
              <w:left w:val="nil"/>
              <w:bottom w:val="nil"/>
              <w:right w:val="nil"/>
            </w:tcBorders>
          </w:tcPr>
          <w:p w:rsidR="009E2A9A" w:rsidRPr="005C32FE" w:rsidRDefault="005C32FE" w:rsidP="009E2A9A">
            <w:pPr>
              <w:jc w:val="both"/>
              <w:rPr>
                <w:rFonts w:ascii="Arial Narrow" w:hAnsi="Arial Narrow" w:cs="Tahoma"/>
                <w:b/>
                <w:sz w:val="22"/>
              </w:rPr>
            </w:pPr>
            <w:r>
              <w:rPr>
                <w:rFonts w:ascii="Arial Narrow" w:hAnsi="Arial Narrow" w:cs="Tahoma"/>
                <w:b/>
                <w:sz w:val="22"/>
              </w:rPr>
              <w:t>PREPARED BY</w:t>
            </w:r>
            <w:r w:rsidR="009E2A9A" w:rsidRPr="005C32FE">
              <w:rPr>
                <w:rFonts w:ascii="Arial Narrow" w:hAnsi="Arial Narrow" w:cs="Tahoma"/>
                <w:b/>
                <w:sz w:val="22"/>
              </w:rPr>
              <w:t xml:space="preserve">: </w:t>
            </w:r>
          </w:p>
          <w:p w:rsidR="009E2A9A" w:rsidRPr="005C32FE" w:rsidRDefault="009E2A9A" w:rsidP="009E2A9A">
            <w:pPr>
              <w:jc w:val="both"/>
              <w:rPr>
                <w:rFonts w:ascii="Tahoma" w:hAnsi="Tahoma" w:cs="Tahoma"/>
                <w:b/>
              </w:rPr>
            </w:pPr>
          </w:p>
          <w:p w:rsidR="009E2A9A" w:rsidRPr="005C32FE" w:rsidRDefault="009E2A9A" w:rsidP="009E2A9A">
            <w:pPr>
              <w:jc w:val="both"/>
              <w:rPr>
                <w:rFonts w:ascii="Tahoma" w:hAnsi="Tahoma" w:cs="Tahoma"/>
                <w:b/>
              </w:rPr>
            </w:pPr>
          </w:p>
          <w:p w:rsidR="009E2A9A" w:rsidRPr="005C32FE" w:rsidRDefault="009E2A9A" w:rsidP="009E2A9A">
            <w:pPr>
              <w:jc w:val="both"/>
              <w:rPr>
                <w:rFonts w:ascii="Tahoma" w:hAnsi="Tahoma" w:cs="Tahoma"/>
                <w:b/>
              </w:rPr>
            </w:pPr>
          </w:p>
          <w:p w:rsidR="009E2A9A" w:rsidRPr="005C32FE" w:rsidRDefault="009E2A9A" w:rsidP="009E2A9A">
            <w:pPr>
              <w:jc w:val="both"/>
              <w:rPr>
                <w:rFonts w:ascii="Tahoma" w:hAnsi="Tahoma" w:cs="Tahoma"/>
                <w:b/>
              </w:rPr>
            </w:pPr>
          </w:p>
          <w:p w:rsidR="009E2A9A" w:rsidRPr="005C32FE" w:rsidRDefault="009E2A9A" w:rsidP="009E2A9A">
            <w:pPr>
              <w:jc w:val="both"/>
              <w:rPr>
                <w:rFonts w:ascii="Tahoma" w:hAnsi="Tahoma" w:cs="Tahoma"/>
                <w:b/>
              </w:rPr>
            </w:pPr>
          </w:p>
        </w:tc>
      </w:tr>
      <w:tr w:rsidR="00EF6DEF" w:rsidRPr="005C32FE" w:rsidTr="009E2A9A">
        <w:trPr>
          <w:trHeight w:val="709"/>
          <w:jc w:val="center"/>
        </w:trPr>
        <w:tc>
          <w:tcPr>
            <w:tcW w:w="10419" w:type="dxa"/>
            <w:tcBorders>
              <w:top w:val="nil"/>
              <w:left w:val="nil"/>
              <w:bottom w:val="nil"/>
              <w:right w:val="nil"/>
            </w:tcBorders>
          </w:tcPr>
          <w:p w:rsidR="00030FBE" w:rsidRPr="005C32FE" w:rsidRDefault="00030FBE" w:rsidP="00030FBE">
            <w:pPr>
              <w:jc w:val="both"/>
              <w:rPr>
                <w:rFonts w:ascii="Arial Narrow" w:hAnsi="Arial Narrow" w:cs="Tahoma"/>
                <w:b/>
                <w:sz w:val="18"/>
                <w:szCs w:val="18"/>
              </w:rPr>
            </w:pPr>
            <w:r>
              <w:rPr>
                <w:rFonts w:ascii="Arial Narrow" w:hAnsi="Arial Narrow" w:cs="Tahoma"/>
                <w:b/>
                <w:sz w:val="18"/>
                <w:szCs w:val="18"/>
              </w:rPr>
              <w:t>Financial statistics of education</w:t>
            </w:r>
          </w:p>
          <w:p w:rsidR="00030FBE" w:rsidRDefault="005237D0" w:rsidP="00030FBE">
            <w:pPr>
              <w:jc w:val="both"/>
              <w:rPr>
                <w:rStyle w:val="Hyperlink"/>
                <w:rFonts w:ascii="Arial Narrow" w:hAnsi="Arial Narrow" w:cs="Tahoma"/>
                <w:color w:val="auto"/>
                <w:sz w:val="18"/>
                <w:szCs w:val="18"/>
              </w:rPr>
            </w:pPr>
            <w:hyperlink r:id="rId13" w:history="1">
              <w:r w:rsidR="00030FBE" w:rsidRPr="005C32FE">
                <w:rPr>
                  <w:rStyle w:val="Hyperlink"/>
                  <w:rFonts w:ascii="Arial Narrow" w:hAnsi="Arial Narrow" w:cs="Tahoma"/>
                  <w:color w:val="auto"/>
                  <w:sz w:val="18"/>
                  <w:szCs w:val="18"/>
                </w:rPr>
                <w:t>stat@rzs.rs.ba</w:t>
              </w:r>
            </w:hyperlink>
          </w:p>
          <w:p w:rsidR="00030FBE" w:rsidRDefault="00030FBE" w:rsidP="00030FBE">
            <w:pPr>
              <w:jc w:val="both"/>
              <w:rPr>
                <w:rFonts w:ascii="Arial Narrow" w:hAnsi="Arial Narrow" w:cs="Tahoma"/>
                <w:b/>
                <w:sz w:val="18"/>
                <w:szCs w:val="18"/>
              </w:rPr>
            </w:pPr>
          </w:p>
          <w:p w:rsidR="00EF6DEF" w:rsidRPr="005C32FE" w:rsidRDefault="005C32FE" w:rsidP="00EF6DEF">
            <w:pPr>
              <w:jc w:val="both"/>
              <w:rPr>
                <w:rFonts w:ascii="Arial Narrow" w:hAnsi="Arial Narrow" w:cs="Tahoma"/>
                <w:b/>
                <w:sz w:val="18"/>
                <w:szCs w:val="18"/>
                <w:lang w:val="sr-Latn-BA"/>
              </w:rPr>
            </w:pPr>
            <w:r>
              <w:rPr>
                <w:rFonts w:ascii="Arial Narrow" w:hAnsi="Arial Narrow" w:cs="Tahoma"/>
                <w:b/>
                <w:sz w:val="18"/>
                <w:szCs w:val="18"/>
              </w:rPr>
              <w:t>Information and communication technologies statistics</w:t>
            </w:r>
          </w:p>
          <w:p w:rsidR="00EF6DEF" w:rsidRPr="005C32FE" w:rsidRDefault="005C32FE" w:rsidP="00EF6DEF">
            <w:pPr>
              <w:jc w:val="both"/>
              <w:rPr>
                <w:rFonts w:ascii="Arial Narrow" w:hAnsi="Arial Narrow" w:cs="Tahoma"/>
                <w:sz w:val="18"/>
                <w:szCs w:val="18"/>
              </w:rPr>
            </w:pPr>
            <w:r>
              <w:rPr>
                <w:rFonts w:ascii="Arial Narrow" w:hAnsi="Arial Narrow" w:cs="Tahoma"/>
                <w:sz w:val="18"/>
                <w:szCs w:val="18"/>
              </w:rPr>
              <w:t>Suzana Adamović</w:t>
            </w:r>
          </w:p>
          <w:p w:rsidR="00EF6DEF" w:rsidRPr="005C32FE" w:rsidRDefault="005237D0" w:rsidP="00EF6DEF">
            <w:pPr>
              <w:jc w:val="both"/>
              <w:rPr>
                <w:rFonts w:ascii="Arial Narrow" w:hAnsi="Arial Narrow" w:cs="Tahoma"/>
                <w:b/>
                <w:sz w:val="18"/>
                <w:szCs w:val="18"/>
              </w:rPr>
            </w:pPr>
            <w:hyperlink r:id="rId14" w:history="1">
              <w:r w:rsidR="00EF6DEF" w:rsidRPr="005C32FE">
                <w:rPr>
                  <w:rStyle w:val="Hyperlink"/>
                  <w:rFonts w:ascii="Arial Narrow" w:hAnsi="Arial Narrow" w:cs="Tahoma"/>
                  <w:color w:val="auto"/>
                  <w:sz w:val="18"/>
                  <w:szCs w:val="18"/>
                </w:rPr>
                <w:t>suzana.adamovic@rzs.rs.ba</w:t>
              </w:r>
            </w:hyperlink>
            <w:r w:rsidR="00EF6DEF" w:rsidRPr="005C32FE">
              <w:rPr>
                <w:rFonts w:ascii="Arial Narrow" w:hAnsi="Arial Narrow" w:cs="Tahoma"/>
                <w:b/>
                <w:sz w:val="18"/>
                <w:szCs w:val="18"/>
              </w:rPr>
              <w:t xml:space="preserve"> </w:t>
            </w:r>
          </w:p>
          <w:p w:rsidR="00EF6DEF" w:rsidRPr="005C32FE" w:rsidRDefault="005C32FE" w:rsidP="009E2A9A">
            <w:pPr>
              <w:jc w:val="both"/>
              <w:rPr>
                <w:rFonts w:ascii="Arial Narrow" w:hAnsi="Arial Narrow" w:cs="Tahoma"/>
                <w:sz w:val="18"/>
                <w:szCs w:val="18"/>
              </w:rPr>
            </w:pPr>
            <w:r>
              <w:rPr>
                <w:rFonts w:ascii="Arial Narrow" w:hAnsi="Arial Narrow" w:cs="Tahoma"/>
                <w:sz w:val="18"/>
                <w:szCs w:val="18"/>
              </w:rPr>
              <w:t>Aleksandra Đonlaga</w:t>
            </w:r>
          </w:p>
          <w:p w:rsidR="00EF6DEF" w:rsidRPr="005C32FE" w:rsidRDefault="005237D0" w:rsidP="00EF6DEF">
            <w:pPr>
              <w:jc w:val="both"/>
              <w:rPr>
                <w:rFonts w:ascii="Arial Narrow" w:hAnsi="Arial Narrow" w:cs="Tahoma"/>
                <w:b/>
                <w:sz w:val="18"/>
                <w:szCs w:val="18"/>
              </w:rPr>
            </w:pPr>
            <w:hyperlink r:id="rId15" w:history="1">
              <w:r w:rsidR="00EF6DEF" w:rsidRPr="005C32FE">
                <w:rPr>
                  <w:rStyle w:val="Hyperlink"/>
                  <w:rFonts w:ascii="Arial Narrow" w:hAnsi="Arial Narrow" w:cs="Tahoma"/>
                  <w:color w:val="auto"/>
                  <w:sz w:val="18"/>
                  <w:szCs w:val="18"/>
                </w:rPr>
                <w:t>aleksandra.djonlaga@rzs.rs.ba</w:t>
              </w:r>
            </w:hyperlink>
            <w:r w:rsidR="00EF6DEF" w:rsidRPr="005C32FE">
              <w:rPr>
                <w:rFonts w:ascii="Arial Narrow" w:hAnsi="Arial Narrow" w:cs="Tahoma"/>
                <w:b/>
                <w:sz w:val="18"/>
                <w:szCs w:val="18"/>
              </w:rPr>
              <w:t xml:space="preserve"> </w:t>
            </w:r>
          </w:p>
          <w:p w:rsidR="00EF6DEF" w:rsidRPr="005C32FE" w:rsidRDefault="00EF6DEF" w:rsidP="00EF6DEF">
            <w:pPr>
              <w:jc w:val="both"/>
              <w:rPr>
                <w:rFonts w:ascii="Arial Narrow" w:hAnsi="Arial Narrow" w:cs="Tahoma"/>
                <w:b/>
                <w:sz w:val="18"/>
                <w:szCs w:val="18"/>
              </w:rPr>
            </w:pPr>
          </w:p>
        </w:tc>
      </w:tr>
      <w:tr w:rsidR="00EF6DEF" w:rsidRPr="005C32FE" w:rsidTr="009E2A9A">
        <w:trPr>
          <w:trHeight w:val="709"/>
          <w:jc w:val="center"/>
        </w:trPr>
        <w:tc>
          <w:tcPr>
            <w:tcW w:w="10419" w:type="dxa"/>
            <w:tcBorders>
              <w:top w:val="nil"/>
              <w:left w:val="nil"/>
              <w:bottom w:val="nil"/>
              <w:right w:val="nil"/>
            </w:tcBorders>
          </w:tcPr>
          <w:p w:rsidR="00EF6DEF" w:rsidRPr="005C32FE" w:rsidRDefault="005C32FE" w:rsidP="00EF6DEF">
            <w:pPr>
              <w:jc w:val="both"/>
              <w:rPr>
                <w:rFonts w:ascii="Arial Narrow" w:hAnsi="Arial Narrow" w:cs="Tahoma"/>
                <w:b/>
                <w:sz w:val="18"/>
                <w:szCs w:val="18"/>
              </w:rPr>
            </w:pPr>
            <w:r>
              <w:rPr>
                <w:rFonts w:ascii="Arial Narrow" w:hAnsi="Arial Narrow" w:cs="Tahoma"/>
                <w:b/>
                <w:sz w:val="18"/>
                <w:szCs w:val="18"/>
              </w:rPr>
              <w:t>Labour statistics</w:t>
            </w:r>
          </w:p>
          <w:p w:rsidR="005C32FE" w:rsidRPr="007E517E" w:rsidRDefault="005C32FE" w:rsidP="005C32FE">
            <w:pPr>
              <w:jc w:val="both"/>
              <w:rPr>
                <w:rFonts w:ascii="Arial Narrow" w:hAnsi="Arial Narrow" w:cs="Tahoma"/>
                <w:sz w:val="18"/>
                <w:szCs w:val="18"/>
              </w:rPr>
            </w:pPr>
            <w:r w:rsidRPr="007E517E">
              <w:rPr>
                <w:rFonts w:ascii="Arial Narrow" w:hAnsi="Arial Narrow" w:cs="Tahoma"/>
                <w:sz w:val="18"/>
                <w:szCs w:val="18"/>
              </w:rPr>
              <w:t>Biljana Glušac</w:t>
            </w:r>
          </w:p>
          <w:p w:rsidR="00EF6DEF" w:rsidRPr="005C32FE" w:rsidRDefault="005237D0" w:rsidP="00EF6DEF">
            <w:pPr>
              <w:jc w:val="both"/>
              <w:rPr>
                <w:rFonts w:ascii="Arial Narrow" w:hAnsi="Arial Narrow" w:cs="Tahoma"/>
                <w:b/>
                <w:sz w:val="18"/>
                <w:szCs w:val="18"/>
              </w:rPr>
            </w:pPr>
            <w:hyperlink r:id="rId16" w:history="1">
              <w:r w:rsidR="00EF6DEF" w:rsidRPr="005C32FE">
                <w:rPr>
                  <w:rStyle w:val="Hyperlink"/>
                  <w:rFonts w:ascii="Arial Narrow" w:hAnsi="Arial Narrow" w:cs="Tahoma"/>
                  <w:color w:val="auto"/>
                  <w:sz w:val="18"/>
                  <w:szCs w:val="18"/>
                </w:rPr>
                <w:t>biljana.glusac@rzs.rs.ba</w:t>
              </w:r>
            </w:hyperlink>
            <w:r w:rsidR="00EF6DEF" w:rsidRPr="005C32FE">
              <w:rPr>
                <w:rFonts w:ascii="Arial Narrow" w:hAnsi="Arial Narrow" w:cs="Tahoma"/>
                <w:b/>
                <w:sz w:val="18"/>
                <w:szCs w:val="18"/>
              </w:rPr>
              <w:t xml:space="preserve"> </w:t>
            </w:r>
          </w:p>
          <w:p w:rsidR="00EF6DEF" w:rsidRPr="005C32FE" w:rsidRDefault="00EF6DEF" w:rsidP="00EF6DEF">
            <w:pPr>
              <w:jc w:val="both"/>
              <w:rPr>
                <w:rFonts w:ascii="Arial Narrow" w:hAnsi="Arial Narrow" w:cs="Tahoma"/>
                <w:sz w:val="18"/>
                <w:szCs w:val="18"/>
              </w:rPr>
            </w:pPr>
          </w:p>
        </w:tc>
      </w:tr>
      <w:tr w:rsidR="00EF6DEF" w:rsidRPr="005C32FE" w:rsidTr="009E2A9A">
        <w:trPr>
          <w:trHeight w:val="720"/>
          <w:jc w:val="center"/>
        </w:trPr>
        <w:tc>
          <w:tcPr>
            <w:tcW w:w="10419" w:type="dxa"/>
            <w:tcBorders>
              <w:top w:val="nil"/>
              <w:left w:val="nil"/>
              <w:bottom w:val="nil"/>
              <w:right w:val="nil"/>
            </w:tcBorders>
          </w:tcPr>
          <w:p w:rsidR="005C32FE" w:rsidRPr="007E517E" w:rsidRDefault="005C32FE" w:rsidP="005C32FE">
            <w:pPr>
              <w:jc w:val="both"/>
              <w:rPr>
                <w:rFonts w:ascii="Arial Narrow" w:hAnsi="Arial Narrow" w:cs="Tahoma"/>
                <w:b/>
                <w:sz w:val="18"/>
                <w:szCs w:val="18"/>
              </w:rPr>
            </w:pPr>
            <w:r w:rsidRPr="007E517E">
              <w:rPr>
                <w:rFonts w:ascii="Arial Narrow" w:hAnsi="Arial Narrow" w:cs="Tahoma"/>
                <w:b/>
                <w:sz w:val="18"/>
                <w:szCs w:val="18"/>
              </w:rPr>
              <w:t>Prices statistics</w:t>
            </w:r>
          </w:p>
          <w:p w:rsidR="005C32FE" w:rsidRPr="007E517E" w:rsidRDefault="005C32FE" w:rsidP="005C32FE">
            <w:pPr>
              <w:jc w:val="both"/>
              <w:rPr>
                <w:rFonts w:ascii="Arial Narrow" w:hAnsi="Arial Narrow" w:cs="Tahoma"/>
                <w:sz w:val="18"/>
                <w:szCs w:val="18"/>
              </w:rPr>
            </w:pPr>
            <w:r w:rsidRPr="007E517E">
              <w:rPr>
                <w:rFonts w:ascii="Arial Narrow" w:hAnsi="Arial Narrow" w:cs="Tahoma"/>
                <w:sz w:val="18"/>
                <w:szCs w:val="18"/>
              </w:rPr>
              <w:t>Biljana Tešić</w:t>
            </w:r>
          </w:p>
          <w:p w:rsidR="00EF6DEF" w:rsidRPr="005C32FE" w:rsidRDefault="005237D0" w:rsidP="00EF6DEF">
            <w:pPr>
              <w:jc w:val="both"/>
              <w:rPr>
                <w:rFonts w:ascii="Arial Narrow" w:hAnsi="Arial Narrow" w:cs="Tahoma"/>
                <w:sz w:val="18"/>
                <w:szCs w:val="18"/>
              </w:rPr>
            </w:pPr>
            <w:hyperlink r:id="rId17" w:history="1">
              <w:r w:rsidR="00EF6DEF" w:rsidRPr="005C32FE">
                <w:rPr>
                  <w:rStyle w:val="Hyperlink"/>
                  <w:rFonts w:ascii="Arial Narrow" w:hAnsi="Arial Narrow" w:cs="Tahoma"/>
                  <w:color w:val="auto"/>
                  <w:sz w:val="18"/>
                  <w:szCs w:val="18"/>
                </w:rPr>
                <w:t>Biljana.tesic@rzs.rs.ba</w:t>
              </w:r>
            </w:hyperlink>
          </w:p>
        </w:tc>
      </w:tr>
      <w:tr w:rsidR="00EF6DEF" w:rsidRPr="005C32FE" w:rsidTr="00AE6E63">
        <w:trPr>
          <w:trHeight w:hRule="exact" w:val="861"/>
          <w:jc w:val="center"/>
        </w:trPr>
        <w:tc>
          <w:tcPr>
            <w:tcW w:w="10419" w:type="dxa"/>
            <w:tcBorders>
              <w:top w:val="nil"/>
              <w:left w:val="nil"/>
              <w:bottom w:val="nil"/>
              <w:right w:val="nil"/>
            </w:tcBorders>
          </w:tcPr>
          <w:p w:rsidR="005C32FE" w:rsidRPr="007E517E" w:rsidRDefault="005C32FE" w:rsidP="005C32FE">
            <w:pPr>
              <w:jc w:val="both"/>
              <w:rPr>
                <w:rFonts w:ascii="Arial Narrow" w:hAnsi="Arial Narrow" w:cs="Tahoma"/>
                <w:b/>
                <w:sz w:val="18"/>
                <w:szCs w:val="18"/>
              </w:rPr>
            </w:pPr>
            <w:r w:rsidRPr="007E517E">
              <w:rPr>
                <w:rFonts w:ascii="Arial Narrow" w:hAnsi="Arial Narrow" w:cs="Tahoma"/>
                <w:b/>
                <w:sz w:val="18"/>
                <w:szCs w:val="18"/>
              </w:rPr>
              <w:t>Industry and mining statistics</w:t>
            </w:r>
          </w:p>
          <w:p w:rsidR="005C32FE" w:rsidRPr="007E517E" w:rsidRDefault="005C32FE" w:rsidP="005C32FE">
            <w:pPr>
              <w:jc w:val="both"/>
              <w:rPr>
                <w:rFonts w:ascii="Arial Narrow" w:hAnsi="Arial Narrow" w:cs="Tahoma"/>
                <w:sz w:val="18"/>
                <w:szCs w:val="18"/>
              </w:rPr>
            </w:pPr>
            <w:r w:rsidRPr="007E517E">
              <w:rPr>
                <w:rFonts w:ascii="Arial Narrow" w:hAnsi="Arial Narrow" w:cs="Tahoma"/>
                <w:sz w:val="18"/>
                <w:szCs w:val="18"/>
              </w:rPr>
              <w:t>Mirjana Bandur</w:t>
            </w:r>
          </w:p>
          <w:p w:rsidR="00EF6DEF" w:rsidRPr="005C32FE" w:rsidRDefault="005237D0" w:rsidP="00EF6DEF">
            <w:pPr>
              <w:jc w:val="both"/>
              <w:rPr>
                <w:rFonts w:ascii="Arial Narrow" w:hAnsi="Arial Narrow" w:cs="Tahoma"/>
                <w:sz w:val="18"/>
                <w:szCs w:val="18"/>
              </w:rPr>
            </w:pPr>
            <w:hyperlink r:id="rId18" w:history="1">
              <w:r w:rsidR="00EF6DEF" w:rsidRPr="005C32FE">
                <w:rPr>
                  <w:rStyle w:val="Hyperlink"/>
                  <w:rFonts w:ascii="Arial Narrow" w:hAnsi="Arial Narrow" w:cs="Tahoma"/>
                  <w:color w:val="auto"/>
                  <w:sz w:val="18"/>
                  <w:szCs w:val="18"/>
                </w:rPr>
                <w:t>mirjana.bandur@rzs.rs.ba</w:t>
              </w:r>
            </w:hyperlink>
          </w:p>
        </w:tc>
      </w:tr>
      <w:tr w:rsidR="00EF6DEF" w:rsidRPr="005C32FE" w:rsidTr="009E2A9A">
        <w:trPr>
          <w:trHeight w:hRule="exact" w:val="680"/>
          <w:jc w:val="center"/>
        </w:trPr>
        <w:tc>
          <w:tcPr>
            <w:tcW w:w="10419" w:type="dxa"/>
            <w:tcBorders>
              <w:top w:val="nil"/>
              <w:left w:val="nil"/>
              <w:bottom w:val="nil"/>
              <w:right w:val="nil"/>
            </w:tcBorders>
          </w:tcPr>
          <w:p w:rsidR="005C32FE" w:rsidRPr="00700714" w:rsidRDefault="005C32FE" w:rsidP="005C32FE">
            <w:pPr>
              <w:jc w:val="both"/>
              <w:rPr>
                <w:rFonts w:ascii="Arial Narrow" w:hAnsi="Arial Narrow" w:cs="Tahoma"/>
                <w:b/>
                <w:sz w:val="18"/>
                <w:szCs w:val="18"/>
              </w:rPr>
            </w:pPr>
            <w:r>
              <w:rPr>
                <w:rFonts w:ascii="Arial Narrow" w:hAnsi="Arial Narrow" w:cs="Tahoma"/>
                <w:b/>
                <w:sz w:val="18"/>
                <w:szCs w:val="18"/>
              </w:rPr>
              <w:t>External trade statistics</w:t>
            </w:r>
          </w:p>
          <w:p w:rsidR="005C32FE" w:rsidRPr="00F04972" w:rsidRDefault="005C32FE" w:rsidP="005C32FE">
            <w:pPr>
              <w:jc w:val="both"/>
              <w:rPr>
                <w:rFonts w:ascii="Arial Narrow" w:hAnsi="Arial Narrow" w:cs="Tahoma"/>
                <w:sz w:val="18"/>
                <w:szCs w:val="18"/>
              </w:rPr>
            </w:pPr>
            <w:r>
              <w:rPr>
                <w:rFonts w:ascii="Arial Narrow" w:hAnsi="Arial Narrow" w:cs="Tahoma"/>
                <w:sz w:val="18"/>
                <w:szCs w:val="18"/>
                <w:lang w:val="sr-Latn-BA"/>
              </w:rPr>
              <w:t>Sanja Stojčević Uvalić, MSc</w:t>
            </w:r>
          </w:p>
          <w:p w:rsidR="00EF6DEF" w:rsidRPr="005C32FE" w:rsidRDefault="005237D0" w:rsidP="00EF6DEF">
            <w:pPr>
              <w:jc w:val="both"/>
              <w:rPr>
                <w:rFonts w:ascii="Arial Narrow" w:hAnsi="Arial Narrow"/>
                <w:sz w:val="18"/>
                <w:szCs w:val="18"/>
              </w:rPr>
            </w:pPr>
            <w:hyperlink r:id="rId19" w:history="1">
              <w:r w:rsidR="00EF6DEF" w:rsidRPr="005C32FE">
                <w:rPr>
                  <w:rStyle w:val="Hyperlink"/>
                  <w:rFonts w:ascii="Arial Narrow" w:hAnsi="Arial Narrow" w:cs="Tahoma"/>
                  <w:color w:val="auto"/>
                  <w:sz w:val="18"/>
                  <w:szCs w:val="18"/>
                </w:rPr>
                <w:t>sanja.stojcevic@rzs.rs.ba</w:t>
              </w:r>
            </w:hyperlink>
          </w:p>
          <w:p w:rsidR="00EF6DEF" w:rsidRPr="005C32FE" w:rsidRDefault="00EF6DEF" w:rsidP="00EF6DEF">
            <w:pPr>
              <w:jc w:val="both"/>
              <w:rPr>
                <w:rFonts w:ascii="Arial Narrow" w:hAnsi="Arial Narrow"/>
                <w:sz w:val="18"/>
                <w:szCs w:val="18"/>
              </w:rPr>
            </w:pPr>
          </w:p>
          <w:p w:rsidR="00EF6DEF" w:rsidRPr="005C32FE" w:rsidRDefault="00EF6DEF" w:rsidP="00EF6DEF">
            <w:pPr>
              <w:jc w:val="both"/>
              <w:rPr>
                <w:rFonts w:ascii="Arial Narrow" w:hAnsi="Arial Narrow"/>
                <w:sz w:val="18"/>
                <w:szCs w:val="18"/>
              </w:rPr>
            </w:pPr>
          </w:p>
          <w:p w:rsidR="00EF6DEF" w:rsidRPr="005C32FE" w:rsidRDefault="00EF6DEF" w:rsidP="00EF6DEF">
            <w:pPr>
              <w:jc w:val="both"/>
              <w:rPr>
                <w:rFonts w:ascii="Arial Narrow" w:hAnsi="Arial Narrow" w:cs="Tahoma"/>
                <w:sz w:val="18"/>
                <w:szCs w:val="18"/>
              </w:rPr>
            </w:pPr>
          </w:p>
          <w:p w:rsidR="00EF6DEF" w:rsidRPr="005C32FE" w:rsidRDefault="00EF6DEF" w:rsidP="00EF6DEF">
            <w:pPr>
              <w:jc w:val="both"/>
              <w:rPr>
                <w:rFonts w:ascii="Arial Narrow" w:hAnsi="Arial Narrow" w:cs="Tahoma"/>
                <w:sz w:val="18"/>
                <w:szCs w:val="18"/>
              </w:rPr>
            </w:pPr>
          </w:p>
        </w:tc>
      </w:tr>
    </w:tbl>
    <w:p w:rsidR="009E2A9A" w:rsidRPr="005C32FE" w:rsidRDefault="009E2A9A" w:rsidP="009E2A9A">
      <w:pPr>
        <w:tabs>
          <w:tab w:val="left" w:pos="300"/>
          <w:tab w:val="left" w:pos="1100"/>
        </w:tabs>
        <w:jc w:val="both"/>
        <w:rPr>
          <w:rFonts w:ascii="Tahoma" w:hAnsi="Tahoma" w:cs="Tahoma"/>
          <w:b/>
          <w:sz w:val="16"/>
          <w:szCs w:val="16"/>
        </w:rPr>
      </w:pPr>
    </w:p>
    <w:p w:rsidR="009E2A9A" w:rsidRPr="005C32FE"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C20B5" w:rsidRPr="005C32FE" w:rsidTr="00B2585D">
        <w:trPr>
          <w:trHeight w:hRule="exact" w:val="1165"/>
          <w:jc w:val="center"/>
        </w:trPr>
        <w:tc>
          <w:tcPr>
            <w:tcW w:w="10646" w:type="dxa"/>
            <w:tcBorders>
              <w:top w:val="nil"/>
              <w:left w:val="nil"/>
              <w:bottom w:val="nil"/>
              <w:right w:val="nil"/>
            </w:tcBorders>
          </w:tcPr>
          <w:p w:rsidR="009E2A9A" w:rsidRPr="005C32FE" w:rsidRDefault="009E2A9A" w:rsidP="009E2A9A">
            <w:pPr>
              <w:jc w:val="both"/>
              <w:rPr>
                <w:rFonts w:ascii="Arial Narrow" w:hAnsi="Arial Narrow" w:cs="Tahoma"/>
                <w:b/>
                <w:sz w:val="22"/>
              </w:rPr>
            </w:pPr>
          </w:p>
          <w:p w:rsidR="009E2A9A" w:rsidRPr="005C32FE" w:rsidRDefault="009E2A9A" w:rsidP="009E2A9A">
            <w:pPr>
              <w:jc w:val="both"/>
              <w:rPr>
                <w:rFonts w:ascii="Arial Narrow" w:hAnsi="Arial Narrow" w:cs="Tahoma"/>
                <w:b/>
                <w:sz w:val="22"/>
              </w:rPr>
            </w:pPr>
          </w:p>
          <w:p w:rsidR="009E2A9A" w:rsidRPr="005C32FE" w:rsidRDefault="009E2A9A" w:rsidP="009E2A9A">
            <w:pPr>
              <w:jc w:val="both"/>
              <w:rPr>
                <w:rFonts w:ascii="Arial Narrow" w:hAnsi="Arial Narrow" w:cs="Tahoma"/>
                <w:b/>
                <w:sz w:val="22"/>
              </w:rPr>
            </w:pPr>
          </w:p>
          <w:p w:rsidR="009E2A9A" w:rsidRPr="005C32FE" w:rsidRDefault="005C32FE" w:rsidP="009E2A9A">
            <w:pPr>
              <w:jc w:val="both"/>
              <w:rPr>
                <w:rFonts w:ascii="Arial Narrow" w:hAnsi="Arial Narrow" w:cs="Tahoma"/>
                <w:b/>
                <w:sz w:val="22"/>
              </w:rPr>
            </w:pPr>
            <w:r>
              <w:rPr>
                <w:rFonts w:ascii="Arial Narrow" w:hAnsi="Arial Narrow" w:cs="Tahoma"/>
                <w:b/>
                <w:sz w:val="22"/>
              </w:rPr>
              <w:t>SYMBOLS</w:t>
            </w:r>
          </w:p>
        </w:tc>
      </w:tr>
      <w:tr w:rsidR="009E2A9A" w:rsidRPr="005C32FE" w:rsidTr="00B2585D">
        <w:trPr>
          <w:trHeight w:hRule="exact" w:val="1025"/>
          <w:jc w:val="center"/>
        </w:trPr>
        <w:tc>
          <w:tcPr>
            <w:tcW w:w="10646" w:type="dxa"/>
            <w:tcBorders>
              <w:top w:val="nil"/>
              <w:left w:val="nil"/>
              <w:bottom w:val="nil"/>
              <w:right w:val="nil"/>
            </w:tcBorders>
          </w:tcPr>
          <w:p w:rsidR="009E2A9A" w:rsidRPr="005C32FE" w:rsidRDefault="009E2A9A" w:rsidP="009E2A9A">
            <w:pPr>
              <w:jc w:val="both"/>
              <w:rPr>
                <w:rFonts w:ascii="Arial Narrow" w:hAnsi="Arial Narrow" w:cs="Tahoma"/>
                <w:bCs/>
                <w:sz w:val="18"/>
                <w:szCs w:val="16"/>
              </w:rPr>
            </w:pPr>
            <w:r w:rsidRPr="005C32FE">
              <w:rPr>
                <w:rFonts w:ascii="Arial Narrow" w:hAnsi="Arial Narrow" w:cs="Tahoma"/>
                <w:b/>
                <w:bCs/>
                <w:sz w:val="22"/>
              </w:rPr>
              <w:sym w:font="Symbol" w:char="00C6"/>
            </w:r>
            <w:r w:rsidRPr="005C32FE">
              <w:rPr>
                <w:rFonts w:ascii="Arial Narrow" w:hAnsi="Arial Narrow" w:cs="Tahoma"/>
                <w:b/>
                <w:bCs/>
                <w:sz w:val="32"/>
                <w:szCs w:val="28"/>
              </w:rPr>
              <w:t xml:space="preserve"> </w:t>
            </w:r>
            <w:r w:rsidRPr="005C32FE">
              <w:rPr>
                <w:rFonts w:ascii="Arial Narrow" w:hAnsi="Arial Narrow" w:cs="Tahoma"/>
                <w:bCs/>
                <w:sz w:val="18"/>
                <w:szCs w:val="16"/>
              </w:rPr>
              <w:t xml:space="preserve">- </w:t>
            </w:r>
            <w:r w:rsidR="005C32FE">
              <w:rPr>
                <w:rFonts w:ascii="Arial Narrow" w:hAnsi="Arial Narrow" w:cs="Tahoma"/>
                <w:bCs/>
                <w:sz w:val="18"/>
                <w:szCs w:val="16"/>
              </w:rPr>
              <w:t>average</w:t>
            </w:r>
          </w:p>
          <w:p w:rsidR="009E2A9A" w:rsidRPr="005C32FE" w:rsidRDefault="00D61322" w:rsidP="00B538D0">
            <w:pPr>
              <w:rPr>
                <w:rFonts w:ascii="Arial Narrow" w:hAnsi="Arial Narrow" w:cs="Tahoma"/>
                <w:bCs/>
                <w:sz w:val="16"/>
                <w:szCs w:val="16"/>
              </w:rPr>
            </w:pPr>
            <w:r w:rsidRPr="005C32FE">
              <w:rPr>
                <w:rFonts w:ascii="Arial Narrow" w:hAnsi="Arial Narrow" w:cs="Tahoma"/>
                <w:sz w:val="18"/>
                <w:szCs w:val="16"/>
                <w:lang w:eastAsia="sr-Latn-BA"/>
              </w:rPr>
              <w:t>¹</w:t>
            </w:r>
            <w:r w:rsidR="005C32FE">
              <w:rPr>
                <w:rFonts w:ascii="Arial Narrow" w:hAnsi="Arial Narrow" w:cs="Tahoma"/>
                <w:sz w:val="18"/>
                <w:szCs w:val="16"/>
                <w:lang w:eastAsia="sr-Latn-BA"/>
              </w:rPr>
              <w:t xml:space="preserve"> - estimate</w:t>
            </w:r>
          </w:p>
          <w:p w:rsidR="009E2A9A" w:rsidRPr="005C32FE" w:rsidRDefault="009E2A9A" w:rsidP="009E2A9A">
            <w:pPr>
              <w:jc w:val="both"/>
              <w:rPr>
                <w:rFonts w:ascii="Tahoma" w:hAnsi="Tahoma" w:cs="Tahoma"/>
                <w:bCs/>
                <w:sz w:val="16"/>
                <w:szCs w:val="16"/>
              </w:rPr>
            </w:pPr>
          </w:p>
          <w:p w:rsidR="009E2A9A" w:rsidRPr="005C32FE" w:rsidRDefault="009E2A9A" w:rsidP="009E2A9A">
            <w:pPr>
              <w:jc w:val="both"/>
              <w:rPr>
                <w:rFonts w:ascii="Tahoma" w:hAnsi="Tahoma" w:cs="Tahoma"/>
                <w:bCs/>
                <w:sz w:val="16"/>
                <w:szCs w:val="16"/>
              </w:rPr>
            </w:pPr>
          </w:p>
          <w:p w:rsidR="009E2A9A" w:rsidRPr="005C32FE" w:rsidRDefault="009E2A9A" w:rsidP="009E2A9A">
            <w:pPr>
              <w:jc w:val="both"/>
              <w:rPr>
                <w:rFonts w:ascii="Tahoma" w:hAnsi="Tahoma" w:cs="Tahoma"/>
                <w:bCs/>
                <w:sz w:val="16"/>
                <w:szCs w:val="16"/>
              </w:rPr>
            </w:pPr>
          </w:p>
          <w:p w:rsidR="009E2A9A" w:rsidRPr="005C32FE" w:rsidRDefault="009E2A9A" w:rsidP="009E2A9A">
            <w:pPr>
              <w:jc w:val="both"/>
              <w:rPr>
                <w:rFonts w:ascii="Tahoma" w:hAnsi="Tahoma" w:cs="Tahoma"/>
                <w:bCs/>
                <w:sz w:val="16"/>
                <w:szCs w:val="16"/>
              </w:rPr>
            </w:pPr>
          </w:p>
          <w:p w:rsidR="009E2A9A" w:rsidRPr="005C32FE" w:rsidRDefault="009E2A9A" w:rsidP="009E2A9A">
            <w:pPr>
              <w:jc w:val="both"/>
              <w:rPr>
                <w:rFonts w:ascii="Tahoma" w:hAnsi="Tahoma" w:cs="Tahoma"/>
                <w:bCs/>
                <w:sz w:val="16"/>
                <w:szCs w:val="16"/>
              </w:rPr>
            </w:pPr>
          </w:p>
          <w:p w:rsidR="009E2A9A" w:rsidRPr="005C32FE" w:rsidRDefault="009E2A9A" w:rsidP="009E2A9A">
            <w:pPr>
              <w:jc w:val="both"/>
              <w:rPr>
                <w:rFonts w:ascii="Tahoma" w:hAnsi="Tahoma" w:cs="Tahoma"/>
                <w:bCs/>
                <w:sz w:val="16"/>
                <w:szCs w:val="16"/>
              </w:rPr>
            </w:pPr>
          </w:p>
          <w:p w:rsidR="009E2A9A" w:rsidRPr="005C32FE" w:rsidRDefault="009E2A9A" w:rsidP="009E2A9A">
            <w:pPr>
              <w:jc w:val="both"/>
              <w:rPr>
                <w:rFonts w:ascii="Tahoma" w:hAnsi="Tahoma" w:cs="Tahoma"/>
                <w:b/>
                <w:sz w:val="16"/>
              </w:rPr>
            </w:pPr>
          </w:p>
        </w:tc>
      </w:tr>
    </w:tbl>
    <w:p w:rsidR="00F04A4B" w:rsidRPr="005C32FE" w:rsidRDefault="00F04A4B" w:rsidP="009E2A9A">
      <w:pPr>
        <w:tabs>
          <w:tab w:val="left" w:pos="300"/>
          <w:tab w:val="left" w:pos="1100"/>
        </w:tabs>
        <w:jc w:val="both"/>
        <w:rPr>
          <w:rFonts w:ascii="Tahoma" w:hAnsi="Tahoma" w:cs="Tahoma"/>
          <w:b/>
        </w:rPr>
      </w:pPr>
    </w:p>
    <w:p w:rsidR="002B070E" w:rsidRPr="005C32FE" w:rsidRDefault="002B070E" w:rsidP="009E2A9A">
      <w:pPr>
        <w:tabs>
          <w:tab w:val="left" w:pos="300"/>
          <w:tab w:val="left" w:pos="1100"/>
        </w:tabs>
        <w:jc w:val="both"/>
        <w:rPr>
          <w:rFonts w:ascii="Tahoma" w:hAnsi="Tahoma" w:cs="Tahoma"/>
          <w:b/>
        </w:rPr>
      </w:pPr>
    </w:p>
    <w:p w:rsidR="002B070E" w:rsidRPr="005C32FE" w:rsidRDefault="002B070E" w:rsidP="009E2A9A">
      <w:pPr>
        <w:tabs>
          <w:tab w:val="left" w:pos="300"/>
          <w:tab w:val="left" w:pos="1100"/>
        </w:tabs>
        <w:jc w:val="both"/>
        <w:rPr>
          <w:rFonts w:ascii="Tahoma" w:hAnsi="Tahoma" w:cs="Tahoma"/>
          <w:b/>
        </w:rPr>
      </w:pPr>
    </w:p>
    <w:p w:rsidR="000A1309" w:rsidRPr="005C32FE" w:rsidRDefault="000A1309" w:rsidP="009E2A9A">
      <w:pPr>
        <w:tabs>
          <w:tab w:val="left" w:pos="300"/>
          <w:tab w:val="left" w:pos="1100"/>
        </w:tabs>
        <w:jc w:val="both"/>
        <w:rPr>
          <w:rFonts w:ascii="Tahoma" w:hAnsi="Tahoma" w:cs="Tahoma"/>
          <w:b/>
        </w:rPr>
      </w:pPr>
    </w:p>
    <w:p w:rsidR="007B3C79" w:rsidRPr="005C32FE" w:rsidRDefault="007B3C79" w:rsidP="009E2A9A">
      <w:pPr>
        <w:tabs>
          <w:tab w:val="left" w:pos="300"/>
          <w:tab w:val="left" w:pos="1100"/>
        </w:tabs>
        <w:jc w:val="both"/>
        <w:rPr>
          <w:rFonts w:ascii="Tahoma" w:hAnsi="Tahoma" w:cs="Tahoma"/>
          <w:b/>
        </w:rPr>
      </w:pPr>
    </w:p>
    <w:p w:rsidR="007B3C79" w:rsidRPr="005C32FE" w:rsidRDefault="007B3C79" w:rsidP="009E2A9A">
      <w:pPr>
        <w:tabs>
          <w:tab w:val="left" w:pos="300"/>
          <w:tab w:val="left" w:pos="1100"/>
        </w:tabs>
        <w:jc w:val="both"/>
        <w:rPr>
          <w:rFonts w:ascii="Tahoma" w:hAnsi="Tahoma" w:cs="Tahoma"/>
          <w:b/>
        </w:rPr>
      </w:pPr>
    </w:p>
    <w:p w:rsidR="00586BCB" w:rsidRDefault="00586BCB" w:rsidP="009E2A9A">
      <w:pPr>
        <w:tabs>
          <w:tab w:val="left" w:pos="300"/>
          <w:tab w:val="left" w:pos="1100"/>
        </w:tabs>
        <w:jc w:val="both"/>
        <w:rPr>
          <w:rFonts w:ascii="Tahoma" w:hAnsi="Tahoma" w:cs="Tahoma"/>
          <w:b/>
        </w:rPr>
      </w:pPr>
    </w:p>
    <w:p w:rsidR="005237D0" w:rsidRDefault="005237D0" w:rsidP="009E2A9A">
      <w:pPr>
        <w:tabs>
          <w:tab w:val="left" w:pos="300"/>
          <w:tab w:val="left" w:pos="1100"/>
        </w:tabs>
        <w:jc w:val="both"/>
        <w:rPr>
          <w:rFonts w:ascii="Tahoma" w:hAnsi="Tahoma" w:cs="Tahoma"/>
          <w:b/>
        </w:rPr>
      </w:pPr>
    </w:p>
    <w:p w:rsidR="005237D0" w:rsidRDefault="005237D0" w:rsidP="009E2A9A">
      <w:pPr>
        <w:tabs>
          <w:tab w:val="left" w:pos="300"/>
          <w:tab w:val="left" w:pos="1100"/>
        </w:tabs>
        <w:jc w:val="both"/>
        <w:rPr>
          <w:rFonts w:ascii="Tahoma" w:hAnsi="Tahoma" w:cs="Tahoma"/>
          <w:b/>
        </w:rPr>
      </w:pPr>
    </w:p>
    <w:p w:rsidR="005237D0" w:rsidRPr="005C32FE" w:rsidRDefault="005237D0" w:rsidP="009E2A9A">
      <w:pPr>
        <w:tabs>
          <w:tab w:val="left" w:pos="300"/>
          <w:tab w:val="left" w:pos="1100"/>
        </w:tabs>
        <w:jc w:val="both"/>
        <w:rPr>
          <w:rFonts w:ascii="Tahoma" w:hAnsi="Tahoma" w:cs="Tahoma"/>
          <w:b/>
        </w:rPr>
      </w:pPr>
    </w:p>
    <w:p w:rsidR="00586BCB" w:rsidRPr="005C32FE" w:rsidRDefault="00586BCB" w:rsidP="009E2A9A">
      <w:pPr>
        <w:tabs>
          <w:tab w:val="left" w:pos="300"/>
          <w:tab w:val="left" w:pos="1100"/>
        </w:tabs>
        <w:jc w:val="both"/>
        <w:rPr>
          <w:rFonts w:ascii="Tahoma" w:hAnsi="Tahoma" w:cs="Tahoma"/>
          <w:b/>
        </w:rPr>
      </w:pPr>
    </w:p>
    <w:p w:rsidR="00586BCB" w:rsidRPr="005C32FE" w:rsidRDefault="00586BCB" w:rsidP="009E2A9A">
      <w:pPr>
        <w:tabs>
          <w:tab w:val="left" w:pos="300"/>
          <w:tab w:val="left" w:pos="1100"/>
        </w:tabs>
        <w:jc w:val="both"/>
        <w:rPr>
          <w:rFonts w:ascii="Tahoma" w:hAnsi="Tahoma" w:cs="Tahoma"/>
          <w:b/>
        </w:rPr>
      </w:pPr>
    </w:p>
    <w:p w:rsidR="009E2A9A" w:rsidRPr="005C32FE" w:rsidRDefault="005237D0" w:rsidP="009E2A9A">
      <w:pPr>
        <w:tabs>
          <w:tab w:val="left" w:pos="300"/>
          <w:tab w:val="left" w:pos="1100"/>
        </w:tabs>
        <w:jc w:val="both"/>
        <w:rPr>
          <w:rFonts w:ascii="Tahoma" w:hAnsi="Tahoma" w:cs="Tahoma"/>
          <w:b/>
        </w:rPr>
      </w:pPr>
      <w:r>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4C20B5" w:rsidRPr="005C32FE" w:rsidTr="00B2585D">
        <w:trPr>
          <w:trHeight w:hRule="exact" w:val="113"/>
        </w:trPr>
        <w:tc>
          <w:tcPr>
            <w:tcW w:w="10348" w:type="dxa"/>
            <w:tcMar>
              <w:left w:w="0" w:type="dxa"/>
              <w:right w:w="0" w:type="dxa"/>
            </w:tcMar>
          </w:tcPr>
          <w:p w:rsidR="009E2A9A" w:rsidRPr="005C32FE" w:rsidRDefault="009E2A9A" w:rsidP="009E2A9A">
            <w:pPr>
              <w:jc w:val="both"/>
              <w:rPr>
                <w:rFonts w:ascii="Tahoma" w:hAnsi="Tahoma" w:cs="Tahoma"/>
                <w:sz w:val="16"/>
              </w:rPr>
            </w:pPr>
          </w:p>
        </w:tc>
      </w:tr>
      <w:tr w:rsidR="004C20B5" w:rsidRPr="005C32FE" w:rsidTr="00B2585D">
        <w:tc>
          <w:tcPr>
            <w:tcW w:w="10348" w:type="dxa"/>
            <w:tcMar>
              <w:left w:w="0" w:type="dxa"/>
              <w:right w:w="0" w:type="dxa"/>
            </w:tcMar>
          </w:tcPr>
          <w:p w:rsidR="009E2A9A" w:rsidRPr="005C32FE" w:rsidRDefault="005C32FE" w:rsidP="009E2A9A">
            <w:pPr>
              <w:jc w:val="center"/>
              <w:rPr>
                <w:rFonts w:ascii="Arial Narrow" w:hAnsi="Arial Narrow" w:cs="Tahoma"/>
                <w:sz w:val="16"/>
                <w:szCs w:val="16"/>
              </w:rPr>
            </w:pPr>
            <w:r w:rsidRPr="007E517E">
              <w:rPr>
                <w:rFonts w:ascii="Arial Narrow" w:hAnsi="Arial Narrow" w:cs="Tahoma"/>
                <w:sz w:val="18"/>
              </w:rPr>
              <w:t>The Release prepared by the Publications Division</w:t>
            </w:r>
          </w:p>
        </w:tc>
      </w:tr>
      <w:tr w:rsidR="004C20B5" w:rsidRPr="005C32FE" w:rsidTr="00B2585D">
        <w:trPr>
          <w:trHeight w:val="1603"/>
        </w:trPr>
        <w:tc>
          <w:tcPr>
            <w:tcW w:w="10348" w:type="dxa"/>
            <w:tcMar>
              <w:left w:w="0" w:type="dxa"/>
              <w:right w:w="0" w:type="dxa"/>
            </w:tcMar>
          </w:tcPr>
          <w:p w:rsidR="005C32FE" w:rsidRPr="007E517E" w:rsidRDefault="005C32FE" w:rsidP="005C32FE">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Vladan Sibinović, Head of the Division</w:t>
            </w:r>
          </w:p>
          <w:p w:rsidR="005C32FE" w:rsidRPr="007E517E" w:rsidRDefault="005C32FE" w:rsidP="005C32FE">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Published by the Republika Srpska Institute of Statistics,</w:t>
            </w:r>
          </w:p>
          <w:p w:rsidR="005C32FE" w:rsidRPr="007E517E" w:rsidRDefault="005C32FE" w:rsidP="005C32FE">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Republika Srpska, Banja Luka, Veljka Mlađenovića 12d</w:t>
            </w:r>
          </w:p>
          <w:p w:rsidR="005C32FE" w:rsidRPr="007E517E" w:rsidRDefault="005C32FE" w:rsidP="005C32FE">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Radmila Čičković, PhD, Director General of the Institute</w:t>
            </w:r>
          </w:p>
          <w:p w:rsidR="005C32FE" w:rsidRPr="007E517E" w:rsidRDefault="005C32FE" w:rsidP="005C32FE">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The Release is published online at: www.rzs.rs.ba</w:t>
            </w:r>
          </w:p>
          <w:p w:rsidR="009E2A9A" w:rsidRPr="005C32FE" w:rsidRDefault="005C32FE" w:rsidP="005C32FE">
            <w:pPr>
              <w:jc w:val="center"/>
              <w:rPr>
                <w:rFonts w:ascii="Tahoma" w:hAnsi="Tahoma" w:cs="Tahoma"/>
                <w:b/>
                <w:bCs/>
                <w:sz w:val="16"/>
                <w:lang w:val="ru-RU"/>
              </w:rPr>
            </w:pPr>
            <w:r w:rsidRPr="007E517E">
              <w:rPr>
                <w:rFonts w:ascii="Arial Narrow" w:hAnsi="Arial Narrow" w:cs="Tahoma"/>
                <w:sz w:val="18"/>
                <w:szCs w:val="18"/>
              </w:rPr>
              <w:t xml:space="preserve">telephone +387 51 332 700; e-mail: </w:t>
            </w:r>
            <w:hyperlink r:id="rId20" w:history="1">
              <w:r w:rsidRPr="007E517E">
                <w:rPr>
                  <w:rStyle w:val="Hyperlink"/>
                  <w:rFonts w:ascii="Arial Narrow" w:hAnsi="Arial Narrow" w:cs="Tahoma"/>
                  <w:color w:val="auto"/>
                  <w:sz w:val="18"/>
                  <w:szCs w:val="18"/>
                </w:rPr>
                <w:t>stat@rzs.rs.ba</w:t>
              </w:r>
            </w:hyperlink>
          </w:p>
          <w:p w:rsidR="009E2A9A" w:rsidRPr="005C32FE" w:rsidRDefault="009E2A9A" w:rsidP="009E2A9A">
            <w:pPr>
              <w:jc w:val="center"/>
              <w:rPr>
                <w:rFonts w:ascii="Tahoma" w:hAnsi="Tahoma" w:cs="Tahoma"/>
                <w:b/>
                <w:bCs/>
                <w:sz w:val="16"/>
              </w:rPr>
            </w:pPr>
          </w:p>
          <w:p w:rsidR="009E2A9A" w:rsidRPr="005C32FE" w:rsidRDefault="005C32FE" w:rsidP="009E2A9A">
            <w:pPr>
              <w:autoSpaceDE w:val="0"/>
              <w:autoSpaceDN w:val="0"/>
              <w:adjustRightInd w:val="0"/>
              <w:ind w:left="-198"/>
              <w:jc w:val="center"/>
              <w:rPr>
                <w:rFonts w:ascii="Arial Narrow" w:hAnsi="Arial Narrow" w:cs="Tahoma"/>
                <w:b/>
                <w:bCs/>
                <w:sz w:val="16"/>
                <w:szCs w:val="18"/>
              </w:rPr>
            </w:pPr>
            <w:r w:rsidRPr="007E517E">
              <w:rPr>
                <w:rFonts w:ascii="Arial Narrow" w:hAnsi="Arial Narrow" w:cs="Tahoma"/>
                <w:b/>
                <w:bCs/>
                <w:sz w:val="18"/>
              </w:rPr>
              <w:t>Data may be used provided the source is acknowledged</w:t>
            </w:r>
          </w:p>
        </w:tc>
      </w:tr>
    </w:tbl>
    <w:p w:rsidR="009E2A9A" w:rsidRPr="005C32FE" w:rsidRDefault="005237D0" w:rsidP="009E2A9A">
      <w:pPr>
        <w:rPr>
          <w:rFonts w:ascii="Tahoma" w:hAnsi="Tahoma" w:cs="Tahoma"/>
        </w:rPr>
      </w:pPr>
      <w:r>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p w:rsidR="009E2A9A" w:rsidRPr="005C32FE" w:rsidRDefault="009E2A9A" w:rsidP="009E2A9A">
      <w:pPr>
        <w:rPr>
          <w:rFonts w:ascii="Tahoma" w:hAnsi="Tahoma" w:cs="Tahoma"/>
        </w:rPr>
      </w:pPr>
    </w:p>
    <w:sectPr w:rsidR="009E2A9A" w:rsidRPr="005C32FE" w:rsidSect="0076768F">
      <w:headerReference w:type="default" r:id="rId21"/>
      <w:footerReference w:type="default" r:id="rId22"/>
      <w:footerReference w:type="first" r:id="rId23"/>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95" w:rsidRDefault="00CA3895">
      <w:r>
        <w:separator/>
      </w:r>
    </w:p>
  </w:endnote>
  <w:endnote w:type="continuationSeparator" w:id="0">
    <w:p w:rsidR="00CA3895" w:rsidRDefault="00CA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95" w:rsidRDefault="005237D0"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CA3895" w:rsidRPr="00175687" w:rsidRDefault="00A708E8"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CA389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237D0">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95" w:rsidRDefault="005237D0"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CA3895" w:rsidRPr="00175687" w:rsidRDefault="00A708E8"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CA389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237D0">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95" w:rsidRDefault="00CA3895">
      <w:r>
        <w:separator/>
      </w:r>
    </w:p>
  </w:footnote>
  <w:footnote w:type="continuationSeparator" w:id="0">
    <w:p w:rsidR="00CA3895" w:rsidRDefault="00CA3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75"/>
      <w:gridCol w:w="7062"/>
    </w:tblGrid>
    <w:tr w:rsidR="00CA3895">
      <w:tc>
        <w:tcPr>
          <w:tcW w:w="1617" w:type="pct"/>
          <w:tcBorders>
            <w:bottom w:val="single" w:sz="4" w:space="0" w:color="943634"/>
          </w:tcBorders>
          <w:shd w:val="clear" w:color="auto" w:fill="365F91"/>
          <w:vAlign w:val="bottom"/>
        </w:tcPr>
        <w:p w:rsidR="00CA3895" w:rsidRPr="005C32FE" w:rsidRDefault="005C32FE"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CA3895" w:rsidRPr="005C32FE" w:rsidRDefault="005C32FE"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CA3895" w:rsidRPr="005D5311" w:rsidRDefault="00CA3895" w:rsidP="005C32FE">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Cyrl-BA"/>
            </w:rPr>
            <w:t>4</w:t>
          </w:r>
          <w:r w:rsidR="005C32FE" w:rsidRPr="005C32FE">
            <w:rPr>
              <w:rFonts w:ascii="Arial Narrow" w:hAnsi="Arial Narrow" w:cs="Tahoma"/>
              <w:color w:val="0070C0"/>
              <w:sz w:val="18"/>
              <w:vertAlign w:val="superscript"/>
              <w:lang w:val="bs-Cyrl-BA"/>
            </w:rPr>
            <w:t>th</w:t>
          </w:r>
          <w:r w:rsidR="005C32FE">
            <w:rPr>
              <w:rFonts w:ascii="Arial Narrow" w:hAnsi="Arial Narrow" w:cs="Tahoma"/>
              <w:color w:val="0070C0"/>
              <w:sz w:val="18"/>
              <w:lang w:val="bs-Cyrl-BA"/>
            </w:rPr>
            <w:t xml:space="preserve"> December </w:t>
          </w:r>
          <w:r w:rsidRPr="00DB5870">
            <w:rPr>
              <w:rFonts w:ascii="Arial Narrow" w:hAnsi="Arial Narrow" w:cs="Tahoma"/>
              <w:color w:val="0070C0"/>
              <w:sz w:val="18"/>
              <w:lang w:val="sr-Cyrl-BA"/>
            </w:rPr>
            <w:t>201</w:t>
          </w:r>
          <w:r>
            <w:rPr>
              <w:rFonts w:ascii="Arial Narrow" w:hAnsi="Arial Narrow" w:cs="Tahoma"/>
              <w:color w:val="0070C0"/>
              <w:sz w:val="18"/>
              <w:lang w:val="sr-Cyrl-BA"/>
            </w:rPr>
            <w:t>5</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12</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w:t>
          </w:r>
          <w:r>
            <w:rPr>
              <w:rFonts w:ascii="Arial Narrow" w:hAnsi="Arial Narrow" w:cs="Tahoma"/>
              <w:b/>
              <w:color w:val="0070C0"/>
              <w:sz w:val="34"/>
              <w:szCs w:val="34"/>
              <w:lang w:val="sr-Cyrl-BA"/>
            </w:rPr>
            <w:t>5</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CA3895" w:rsidRDefault="005237D0" w:rsidP="006D0CE1">
    <w:pPr>
      <w:pStyle w:val="Header"/>
      <w:ind w:right="360"/>
      <w:rPr>
        <w:rFonts w:ascii="Tahoma" w:hAnsi="Tahoma" w:cs="Tahoma"/>
        <w:sz w:val="16"/>
        <w:lang w:val="sr-Latn-CS"/>
      </w:rPr>
    </w:pPr>
    <w:r>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B41"/>
    <w:rsid w:val="000110A0"/>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D61"/>
    <w:rsid w:val="0002401D"/>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0FBE"/>
    <w:rsid w:val="000310AC"/>
    <w:rsid w:val="000314AF"/>
    <w:rsid w:val="0003173C"/>
    <w:rsid w:val="00032253"/>
    <w:rsid w:val="000326B6"/>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3C1"/>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7AA"/>
    <w:rsid w:val="00082912"/>
    <w:rsid w:val="00082C41"/>
    <w:rsid w:val="00082D67"/>
    <w:rsid w:val="00082DA2"/>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D3E"/>
    <w:rsid w:val="000F0E12"/>
    <w:rsid w:val="000F0E43"/>
    <w:rsid w:val="000F0FB0"/>
    <w:rsid w:val="000F1185"/>
    <w:rsid w:val="000F1EDA"/>
    <w:rsid w:val="000F2712"/>
    <w:rsid w:val="000F27B9"/>
    <w:rsid w:val="000F2FBE"/>
    <w:rsid w:val="000F4C35"/>
    <w:rsid w:val="000F4CE7"/>
    <w:rsid w:val="000F4DE8"/>
    <w:rsid w:val="000F55DE"/>
    <w:rsid w:val="000F5794"/>
    <w:rsid w:val="000F57F7"/>
    <w:rsid w:val="000F5F23"/>
    <w:rsid w:val="000F5F69"/>
    <w:rsid w:val="000F689B"/>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24D"/>
    <w:rsid w:val="0011133B"/>
    <w:rsid w:val="001118CC"/>
    <w:rsid w:val="00111BA9"/>
    <w:rsid w:val="001121BE"/>
    <w:rsid w:val="001121DC"/>
    <w:rsid w:val="0011255B"/>
    <w:rsid w:val="00112BD9"/>
    <w:rsid w:val="00112C54"/>
    <w:rsid w:val="00113B46"/>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6B6B"/>
    <w:rsid w:val="001170A3"/>
    <w:rsid w:val="0012009F"/>
    <w:rsid w:val="00120CF2"/>
    <w:rsid w:val="00120DC7"/>
    <w:rsid w:val="00121006"/>
    <w:rsid w:val="001212B2"/>
    <w:rsid w:val="00121540"/>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5AD"/>
    <w:rsid w:val="00166C85"/>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AC9"/>
    <w:rsid w:val="00195F3F"/>
    <w:rsid w:val="00196133"/>
    <w:rsid w:val="001966D3"/>
    <w:rsid w:val="00196D35"/>
    <w:rsid w:val="0019784E"/>
    <w:rsid w:val="0019785A"/>
    <w:rsid w:val="0019795C"/>
    <w:rsid w:val="00197F64"/>
    <w:rsid w:val="00197F82"/>
    <w:rsid w:val="001A01E7"/>
    <w:rsid w:val="001A026F"/>
    <w:rsid w:val="001A0CB0"/>
    <w:rsid w:val="001A164F"/>
    <w:rsid w:val="001A1708"/>
    <w:rsid w:val="001A1901"/>
    <w:rsid w:val="001A1B78"/>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6B9"/>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C4F"/>
    <w:rsid w:val="001D1E13"/>
    <w:rsid w:val="001D1FE4"/>
    <w:rsid w:val="001D2625"/>
    <w:rsid w:val="001D2989"/>
    <w:rsid w:val="001D2A95"/>
    <w:rsid w:val="001D2CF2"/>
    <w:rsid w:val="001D32FB"/>
    <w:rsid w:val="001D3478"/>
    <w:rsid w:val="001D3B70"/>
    <w:rsid w:val="001D4005"/>
    <w:rsid w:val="001D464D"/>
    <w:rsid w:val="001D4652"/>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633"/>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5F0"/>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536"/>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1CF"/>
    <w:rsid w:val="0031435D"/>
    <w:rsid w:val="00314EDA"/>
    <w:rsid w:val="00315794"/>
    <w:rsid w:val="00316671"/>
    <w:rsid w:val="003169EF"/>
    <w:rsid w:val="003170C4"/>
    <w:rsid w:val="00317BE9"/>
    <w:rsid w:val="00317F21"/>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405"/>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F1E"/>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B52"/>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F8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1E2"/>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E54"/>
    <w:rsid w:val="003E6516"/>
    <w:rsid w:val="003E6751"/>
    <w:rsid w:val="003E7689"/>
    <w:rsid w:val="003E793A"/>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F0"/>
    <w:rsid w:val="00431CF6"/>
    <w:rsid w:val="00431EFB"/>
    <w:rsid w:val="00431FA7"/>
    <w:rsid w:val="00432260"/>
    <w:rsid w:val="004323F5"/>
    <w:rsid w:val="0043250A"/>
    <w:rsid w:val="004325DE"/>
    <w:rsid w:val="004325F0"/>
    <w:rsid w:val="0043280A"/>
    <w:rsid w:val="00432A2B"/>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B6A"/>
    <w:rsid w:val="00454D24"/>
    <w:rsid w:val="004551B9"/>
    <w:rsid w:val="004552DC"/>
    <w:rsid w:val="0045570F"/>
    <w:rsid w:val="00455B31"/>
    <w:rsid w:val="00455DB5"/>
    <w:rsid w:val="00456B3F"/>
    <w:rsid w:val="0045710B"/>
    <w:rsid w:val="00457173"/>
    <w:rsid w:val="00457CA3"/>
    <w:rsid w:val="00457ECB"/>
    <w:rsid w:val="00457F03"/>
    <w:rsid w:val="0046013D"/>
    <w:rsid w:val="004604EB"/>
    <w:rsid w:val="00460578"/>
    <w:rsid w:val="004607C9"/>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397"/>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41A"/>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0C2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079"/>
    <w:rsid w:val="004B642C"/>
    <w:rsid w:val="004B65B0"/>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E81"/>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6D03"/>
    <w:rsid w:val="004D703F"/>
    <w:rsid w:val="004D711C"/>
    <w:rsid w:val="004D740C"/>
    <w:rsid w:val="004D7803"/>
    <w:rsid w:val="004D7874"/>
    <w:rsid w:val="004D7CA9"/>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0EC"/>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7D0"/>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1FCE"/>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2D9"/>
    <w:rsid w:val="00577336"/>
    <w:rsid w:val="00577434"/>
    <w:rsid w:val="00577690"/>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2FE"/>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3EC"/>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6C5"/>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40D5"/>
    <w:rsid w:val="00624567"/>
    <w:rsid w:val="00624876"/>
    <w:rsid w:val="00624B78"/>
    <w:rsid w:val="00624CFB"/>
    <w:rsid w:val="00624DBD"/>
    <w:rsid w:val="00624EDA"/>
    <w:rsid w:val="00625174"/>
    <w:rsid w:val="0062578C"/>
    <w:rsid w:val="006257F4"/>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22A"/>
    <w:rsid w:val="00660381"/>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67B"/>
    <w:rsid w:val="00672866"/>
    <w:rsid w:val="0067319A"/>
    <w:rsid w:val="006732F7"/>
    <w:rsid w:val="0067365B"/>
    <w:rsid w:val="00673764"/>
    <w:rsid w:val="00673D83"/>
    <w:rsid w:val="00673ECA"/>
    <w:rsid w:val="00675807"/>
    <w:rsid w:val="00676268"/>
    <w:rsid w:val="0067642C"/>
    <w:rsid w:val="00676661"/>
    <w:rsid w:val="00676997"/>
    <w:rsid w:val="00676CDE"/>
    <w:rsid w:val="00676FB4"/>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137"/>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9C1"/>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0A3F"/>
    <w:rsid w:val="006F1026"/>
    <w:rsid w:val="006F109A"/>
    <w:rsid w:val="006F13D1"/>
    <w:rsid w:val="006F1EF5"/>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B7FB6"/>
    <w:rsid w:val="007C0081"/>
    <w:rsid w:val="007C0828"/>
    <w:rsid w:val="007C09B7"/>
    <w:rsid w:val="007C0B22"/>
    <w:rsid w:val="007C0B34"/>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0E39"/>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993"/>
    <w:rsid w:val="007E6C0E"/>
    <w:rsid w:val="007E71B3"/>
    <w:rsid w:val="007E72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217"/>
    <w:rsid w:val="007F5A67"/>
    <w:rsid w:val="007F5DCB"/>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A9A"/>
    <w:rsid w:val="00832F1F"/>
    <w:rsid w:val="0083315E"/>
    <w:rsid w:val="00833284"/>
    <w:rsid w:val="008336E9"/>
    <w:rsid w:val="00833D75"/>
    <w:rsid w:val="008341F2"/>
    <w:rsid w:val="008341FE"/>
    <w:rsid w:val="00834741"/>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4C"/>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A8F"/>
    <w:rsid w:val="00884A98"/>
    <w:rsid w:val="00885744"/>
    <w:rsid w:val="008857B8"/>
    <w:rsid w:val="00885CE5"/>
    <w:rsid w:val="0088637C"/>
    <w:rsid w:val="008864E1"/>
    <w:rsid w:val="00886717"/>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C3"/>
    <w:rsid w:val="00897C18"/>
    <w:rsid w:val="008A075D"/>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219D"/>
    <w:rsid w:val="008F2292"/>
    <w:rsid w:val="008F2385"/>
    <w:rsid w:val="008F247B"/>
    <w:rsid w:val="008F2871"/>
    <w:rsid w:val="008F2C53"/>
    <w:rsid w:val="008F3819"/>
    <w:rsid w:val="008F3B2A"/>
    <w:rsid w:val="008F3B3C"/>
    <w:rsid w:val="008F3E7E"/>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76B"/>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42"/>
    <w:rsid w:val="00912C02"/>
    <w:rsid w:val="00912CA0"/>
    <w:rsid w:val="00912DD7"/>
    <w:rsid w:val="00912E9A"/>
    <w:rsid w:val="009132BC"/>
    <w:rsid w:val="00913595"/>
    <w:rsid w:val="0091367F"/>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8D9"/>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5D1"/>
    <w:rsid w:val="00950884"/>
    <w:rsid w:val="00950D8B"/>
    <w:rsid w:val="0095100C"/>
    <w:rsid w:val="00951600"/>
    <w:rsid w:val="00951622"/>
    <w:rsid w:val="00951E96"/>
    <w:rsid w:val="00951F1E"/>
    <w:rsid w:val="00951FA1"/>
    <w:rsid w:val="00952316"/>
    <w:rsid w:val="00952A9F"/>
    <w:rsid w:val="00952F44"/>
    <w:rsid w:val="00953036"/>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0E64"/>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0B74"/>
    <w:rsid w:val="009A0F96"/>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78"/>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CE"/>
    <w:rsid w:val="00A023A7"/>
    <w:rsid w:val="00A027F3"/>
    <w:rsid w:val="00A0378F"/>
    <w:rsid w:val="00A0393A"/>
    <w:rsid w:val="00A03CB4"/>
    <w:rsid w:val="00A03E70"/>
    <w:rsid w:val="00A04318"/>
    <w:rsid w:val="00A0440A"/>
    <w:rsid w:val="00A04867"/>
    <w:rsid w:val="00A04961"/>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55C"/>
    <w:rsid w:val="00A57853"/>
    <w:rsid w:val="00A57C7E"/>
    <w:rsid w:val="00A60737"/>
    <w:rsid w:val="00A6090F"/>
    <w:rsid w:val="00A6131A"/>
    <w:rsid w:val="00A616ED"/>
    <w:rsid w:val="00A6234A"/>
    <w:rsid w:val="00A623FC"/>
    <w:rsid w:val="00A62438"/>
    <w:rsid w:val="00A62C85"/>
    <w:rsid w:val="00A62FE1"/>
    <w:rsid w:val="00A63067"/>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08E8"/>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6BC1"/>
    <w:rsid w:val="00A87773"/>
    <w:rsid w:val="00A87D08"/>
    <w:rsid w:val="00A87D87"/>
    <w:rsid w:val="00A87DDF"/>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2FAB"/>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06"/>
    <w:rsid w:val="00AC42BA"/>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39B"/>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EC"/>
    <w:rsid w:val="00AF7401"/>
    <w:rsid w:val="00AF742F"/>
    <w:rsid w:val="00AF74A9"/>
    <w:rsid w:val="00AF77EA"/>
    <w:rsid w:val="00AF7899"/>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10C"/>
    <w:rsid w:val="00B055AA"/>
    <w:rsid w:val="00B06280"/>
    <w:rsid w:val="00B06CC6"/>
    <w:rsid w:val="00B06D8B"/>
    <w:rsid w:val="00B07584"/>
    <w:rsid w:val="00B0787F"/>
    <w:rsid w:val="00B07C23"/>
    <w:rsid w:val="00B10011"/>
    <w:rsid w:val="00B10AF9"/>
    <w:rsid w:val="00B10E7A"/>
    <w:rsid w:val="00B11663"/>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2B45"/>
    <w:rsid w:val="00B43658"/>
    <w:rsid w:val="00B438DA"/>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4CF"/>
    <w:rsid w:val="00B50B7D"/>
    <w:rsid w:val="00B5147C"/>
    <w:rsid w:val="00B51E09"/>
    <w:rsid w:val="00B520CA"/>
    <w:rsid w:val="00B52521"/>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005"/>
    <w:rsid w:val="00B82DAD"/>
    <w:rsid w:val="00B83038"/>
    <w:rsid w:val="00B831CA"/>
    <w:rsid w:val="00B83328"/>
    <w:rsid w:val="00B83919"/>
    <w:rsid w:val="00B8431C"/>
    <w:rsid w:val="00B8453F"/>
    <w:rsid w:val="00B8493B"/>
    <w:rsid w:val="00B84B2D"/>
    <w:rsid w:val="00B850D3"/>
    <w:rsid w:val="00B8548E"/>
    <w:rsid w:val="00B85D9D"/>
    <w:rsid w:val="00B85E7F"/>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022"/>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393"/>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439"/>
    <w:rsid w:val="00CD15ED"/>
    <w:rsid w:val="00CD1742"/>
    <w:rsid w:val="00CD1C2A"/>
    <w:rsid w:val="00CD208D"/>
    <w:rsid w:val="00CD21D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0D7"/>
    <w:rsid w:val="00CE1578"/>
    <w:rsid w:val="00CE1972"/>
    <w:rsid w:val="00CE200B"/>
    <w:rsid w:val="00CE21E2"/>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6C46"/>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B04"/>
    <w:rsid w:val="00D24DD2"/>
    <w:rsid w:val="00D258EC"/>
    <w:rsid w:val="00D25CAA"/>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A79"/>
    <w:rsid w:val="00D41F10"/>
    <w:rsid w:val="00D41F6F"/>
    <w:rsid w:val="00D422D2"/>
    <w:rsid w:val="00D424EC"/>
    <w:rsid w:val="00D42831"/>
    <w:rsid w:val="00D42D60"/>
    <w:rsid w:val="00D42D64"/>
    <w:rsid w:val="00D43500"/>
    <w:rsid w:val="00D436C0"/>
    <w:rsid w:val="00D439CC"/>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079A"/>
    <w:rsid w:val="00D71F02"/>
    <w:rsid w:val="00D71FC5"/>
    <w:rsid w:val="00D720BE"/>
    <w:rsid w:val="00D72227"/>
    <w:rsid w:val="00D72486"/>
    <w:rsid w:val="00D72770"/>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7A8"/>
    <w:rsid w:val="00D81E93"/>
    <w:rsid w:val="00D81EC9"/>
    <w:rsid w:val="00D82297"/>
    <w:rsid w:val="00D831AD"/>
    <w:rsid w:val="00D8361A"/>
    <w:rsid w:val="00D837C4"/>
    <w:rsid w:val="00D83B5A"/>
    <w:rsid w:val="00D83D9D"/>
    <w:rsid w:val="00D84151"/>
    <w:rsid w:val="00D84407"/>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190"/>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0EC"/>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779"/>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87D"/>
    <w:rsid w:val="00DC2009"/>
    <w:rsid w:val="00DC2754"/>
    <w:rsid w:val="00DC2C3D"/>
    <w:rsid w:val="00DC2DEF"/>
    <w:rsid w:val="00DC3BA1"/>
    <w:rsid w:val="00DC3CB1"/>
    <w:rsid w:val="00DC3E06"/>
    <w:rsid w:val="00DC4395"/>
    <w:rsid w:val="00DC4742"/>
    <w:rsid w:val="00DC49D8"/>
    <w:rsid w:val="00DC4B65"/>
    <w:rsid w:val="00DC4C38"/>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CE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3BAA"/>
    <w:rsid w:val="00DE4A76"/>
    <w:rsid w:val="00DE4BCB"/>
    <w:rsid w:val="00DE50CF"/>
    <w:rsid w:val="00DE6E46"/>
    <w:rsid w:val="00DE7102"/>
    <w:rsid w:val="00DE7137"/>
    <w:rsid w:val="00DE7631"/>
    <w:rsid w:val="00DE7ADB"/>
    <w:rsid w:val="00DE7C96"/>
    <w:rsid w:val="00DF033B"/>
    <w:rsid w:val="00DF0604"/>
    <w:rsid w:val="00DF08E8"/>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5DA"/>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1C3"/>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8DD"/>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F25"/>
    <w:rsid w:val="00EB0297"/>
    <w:rsid w:val="00EB077E"/>
    <w:rsid w:val="00EB14E1"/>
    <w:rsid w:val="00EB1C9A"/>
    <w:rsid w:val="00EB21F8"/>
    <w:rsid w:val="00EB2360"/>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DEF"/>
    <w:rsid w:val="00EF6E22"/>
    <w:rsid w:val="00EF6ED3"/>
    <w:rsid w:val="00EF7436"/>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3A9"/>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624"/>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A4"/>
    <w:rsid w:val="00FE375C"/>
    <w:rsid w:val="00FE3B25"/>
    <w:rsid w:val="00FE4C4E"/>
    <w:rsid w:val="00FE50A9"/>
    <w:rsid w:val="00FE52F7"/>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15:docId w15:val="{2420EB04-505F-4655-AC28-F8766FE9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 w:type="paragraph" w:styleId="NormalWeb">
    <w:name w:val="Normal (Web)"/>
    <w:basedOn w:val="Normal"/>
    <w:uiPriority w:val="99"/>
    <w:semiHidden/>
    <w:unhideWhenUsed/>
    <w:rsid w:val="00912A42"/>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t@rzs.rs.ba" TargetMode="External"/><Relationship Id="rId18" Type="http://schemas.openxmlformats.org/officeDocument/2006/relationships/hyperlink" Target="mailto:mirjana.bandur@rzs.rs.b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Biljana.tesic@rzs.rs.b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ljana.glusac@rzs.rs.ba" TargetMode="External"/><Relationship Id="rId20"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eksandra.djonlaga@rzs.rs.ba"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suzana.adamovic@rzs.rs.ba"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2014</c:v>
                  </c:pt>
                  <c:pt idx="2">
                    <c:v>2015</c:v>
                  </c:pt>
                </c:lvl>
              </c:multiLvlStrCache>
            </c:multiLvlStrRef>
          </c:cat>
          <c:val>
            <c:numRef>
              <c:f>'graf 2'!$C$1:$C$13</c:f>
              <c:numCache>
                <c:formatCode>0</c:formatCode>
                <c:ptCount val="13"/>
                <c:pt idx="0">
                  <c:v>827</c:v>
                </c:pt>
                <c:pt idx="1">
                  <c:v>836</c:v>
                </c:pt>
                <c:pt idx="2">
                  <c:v>812</c:v>
                </c:pt>
                <c:pt idx="3">
                  <c:v>834</c:v>
                </c:pt>
                <c:pt idx="4">
                  <c:v>831</c:v>
                </c:pt>
                <c:pt idx="5">
                  <c:v>835</c:v>
                </c:pt>
                <c:pt idx="6">
                  <c:v>832</c:v>
                </c:pt>
                <c:pt idx="7">
                  <c:v>843</c:v>
                </c:pt>
                <c:pt idx="8">
                  <c:v>834</c:v>
                </c:pt>
                <c:pt idx="9">
                  <c:v>834</c:v>
                </c:pt>
                <c:pt idx="10">
                  <c:v>834</c:v>
                </c:pt>
                <c:pt idx="11">
                  <c:v>824</c:v>
                </c:pt>
                <c:pt idx="12">
                  <c:v>824</c:v>
                </c:pt>
              </c:numCache>
            </c:numRef>
          </c:val>
          <c:smooth val="0"/>
        </c:ser>
        <c:dLbls>
          <c:showLegendKey val="0"/>
          <c:showVal val="0"/>
          <c:showCatName val="0"/>
          <c:showSerName val="0"/>
          <c:showPercent val="0"/>
          <c:showBubbleSize val="0"/>
        </c:dLbls>
        <c:smooth val="0"/>
        <c:axId val="138513736"/>
        <c:axId val="138503440"/>
      </c:lineChart>
      <c:catAx>
        <c:axId val="138513736"/>
        <c:scaling>
          <c:orientation val="minMax"/>
        </c:scaling>
        <c:delete val="0"/>
        <c:axPos val="b"/>
        <c:minorGridlines/>
        <c:numFmt formatCode="General" sourceLinked="0"/>
        <c:majorTickMark val="out"/>
        <c:minorTickMark val="none"/>
        <c:tickLblPos val="nextTo"/>
        <c:txPr>
          <a:bodyPr/>
          <a:lstStyle/>
          <a:p>
            <a:pPr>
              <a:defRPr sz="800">
                <a:latin typeface="Arial Narrow" panose="020B0606020202030204" pitchFamily="34" charset="0"/>
              </a:defRPr>
            </a:pPr>
            <a:endParaRPr lang="en-US"/>
          </a:p>
        </c:txPr>
        <c:crossAx val="138503440"/>
        <c:crosses val="autoZero"/>
        <c:auto val="1"/>
        <c:lblAlgn val="ctr"/>
        <c:lblOffset val="100"/>
        <c:noMultiLvlLbl val="0"/>
      </c:catAx>
      <c:valAx>
        <c:axId val="138503440"/>
        <c:scaling>
          <c:orientation val="minMax"/>
          <c:max val="900"/>
          <c:min val="600"/>
        </c:scaling>
        <c:delete val="0"/>
        <c:axPos val="l"/>
        <c:majorGridlines/>
        <c:numFmt formatCode="0" sourceLinked="1"/>
        <c:majorTickMark val="out"/>
        <c:minorTickMark val="none"/>
        <c:tickLblPos val="nextTo"/>
        <c:txPr>
          <a:bodyPr/>
          <a:lstStyle/>
          <a:p>
            <a:pPr>
              <a:defRPr sz="800">
                <a:latin typeface="Arial Narrow" panose="020B0606020202030204" pitchFamily="34" charset="0"/>
              </a:defRPr>
            </a:pPr>
            <a:endParaRPr lang="en-US"/>
          </a:p>
        </c:txPr>
        <c:crossAx val="138513736"/>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2011</c:v>
                  </c:pt>
                  <c:pt idx="2">
                    <c:v>2012</c:v>
                  </c:pt>
                  <c:pt idx="14">
                    <c:v>2013</c:v>
                  </c:pt>
                  <c:pt idx="26">
                    <c:v>2014</c:v>
                  </c:pt>
                  <c:pt idx="38">
                    <c:v>2015</c:v>
                  </c:pt>
                </c:lvl>
              </c:multiLvlStrCache>
            </c:multiLvlStrRef>
          </c:cat>
          <c:val>
            <c:numRef>
              <c:f>Sheet2!$C$3:$C$50</c:f>
              <c:numCache>
                <c:formatCode>_(* #,##0.0_);_(* \(#,##0.0\);_(* "-"??_);_(@_)</c:formatCode>
                <c:ptCount val="48"/>
                <c:pt idx="0">
                  <c:v>100.32785120607323</c:v>
                </c:pt>
                <c:pt idx="1">
                  <c:v>102.56983659883275</c:v>
                </c:pt>
                <c:pt idx="2">
                  <c:v>97.483928628921973</c:v>
                </c:pt>
                <c:pt idx="3">
                  <c:v>101.27458419194821</c:v>
                </c:pt>
                <c:pt idx="4">
                  <c:v>101.55449975227556</c:v>
                </c:pt>
                <c:pt idx="5">
                  <c:v>99.420960971717477</c:v>
                </c:pt>
                <c:pt idx="6">
                  <c:v>99.709902435286182</c:v>
                </c:pt>
                <c:pt idx="7">
                  <c:v>93.494418627797486</c:v>
                </c:pt>
                <c:pt idx="8">
                  <c:v>99.74739157888763</c:v>
                </c:pt>
                <c:pt idx="9">
                  <c:v>106.04048060194935</c:v>
                </c:pt>
                <c:pt idx="10">
                  <c:v>100.61517871454163</c:v>
                </c:pt>
                <c:pt idx="11">
                  <c:v>99.215424839912302</c:v>
                </c:pt>
                <c:pt idx="12">
                  <c:v>102.03579806803718</c:v>
                </c:pt>
                <c:pt idx="13">
                  <c:v>101.27537682221075</c:v>
                </c:pt>
                <c:pt idx="14">
                  <c:v>100.43057731666877</c:v>
                </c:pt>
                <c:pt idx="15">
                  <c:v>100.62863819709825</c:v>
                </c:pt>
                <c:pt idx="16">
                  <c:v>109.33639882845237</c:v>
                </c:pt>
                <c:pt idx="17">
                  <c:v>102.97282107891142</c:v>
                </c:pt>
                <c:pt idx="18">
                  <c:v>104.90903511406121</c:v>
                </c:pt>
                <c:pt idx="19">
                  <c:v>110.40664285874159</c:v>
                </c:pt>
                <c:pt idx="20">
                  <c:v>106.75507073152383</c:v>
                </c:pt>
                <c:pt idx="21">
                  <c:v>100.8292524102671</c:v>
                </c:pt>
                <c:pt idx="22">
                  <c:v>101.81940331352402</c:v>
                </c:pt>
                <c:pt idx="23">
                  <c:v>105.00424802022756</c:v>
                </c:pt>
                <c:pt idx="24">
                  <c:v>105.83172602257099</c:v>
                </c:pt>
                <c:pt idx="25">
                  <c:v>105.28282555875545</c:v>
                </c:pt>
                <c:pt idx="26">
                  <c:v>105.26290316721062</c:v>
                </c:pt>
                <c:pt idx="27">
                  <c:v>102.99069819118094</c:v>
                </c:pt>
                <c:pt idx="28">
                  <c:v>103.35325319926201</c:v>
                </c:pt>
                <c:pt idx="29">
                  <c:v>102.79468204636318</c:v>
                </c:pt>
                <c:pt idx="30">
                  <c:v>104.20038630705605</c:v>
                </c:pt>
                <c:pt idx="31">
                  <c:v>106.01449039473546</c:v>
                </c:pt>
                <c:pt idx="32">
                  <c:v>99.741857334136498</c:v>
                </c:pt>
                <c:pt idx="33">
                  <c:v>109.75710532259836</c:v>
                </c:pt>
                <c:pt idx="34">
                  <c:v>107.83114883995452</c:v>
                </c:pt>
                <c:pt idx="35">
                  <c:v>107.37252035705782</c:v>
                </c:pt>
                <c:pt idx="36">
                  <c:v>105.1615767793708</c:v>
                </c:pt>
                <c:pt idx="37">
                  <c:v>105.93174613869576</c:v>
                </c:pt>
                <c:pt idx="38">
                  <c:v>111.07230295650064</c:v>
                </c:pt>
                <c:pt idx="39">
                  <c:v>106.99423065426714</c:v>
                </c:pt>
                <c:pt idx="40">
                  <c:v>106.16274670262381</c:v>
                </c:pt>
                <c:pt idx="41">
                  <c:v>110.31290805079333</c:v>
                </c:pt>
                <c:pt idx="42">
                  <c:v>109.02791211443962</c:v>
                </c:pt>
                <c:pt idx="43">
                  <c:v>107.61119108436793</c:v>
                </c:pt>
                <c:pt idx="44">
                  <c:v>110.45746346363399</c:v>
                </c:pt>
                <c:pt idx="45">
                  <c:v>106.22788678705652</c:v>
                </c:pt>
                <c:pt idx="46">
                  <c:v>108.43475524861249</c:v>
                </c:pt>
                <c:pt idx="47">
                  <c:v>107.56887107371085</c:v>
                </c:pt>
              </c:numCache>
            </c:numRef>
          </c:val>
          <c:smooth val="0"/>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2011</c:v>
                  </c:pt>
                  <c:pt idx="2">
                    <c:v>2012</c:v>
                  </c:pt>
                  <c:pt idx="14">
                    <c:v>2013</c:v>
                  </c:pt>
                  <c:pt idx="26">
                    <c:v>2014</c:v>
                  </c:pt>
                  <c:pt idx="38">
                    <c:v>2015</c:v>
                  </c:pt>
                </c:lvl>
              </c:multiLvlStrCache>
            </c:multiLvlStrRef>
          </c:cat>
          <c:val>
            <c:numRef>
              <c:f>Sheet2!$D$2:$D$50</c:f>
              <c:numCache>
                <c:formatCode>_(* #,##0.0_);_(* \(#,##0.0\);_(* "-"??_);_(@_)</c:formatCode>
                <c:ptCount val="49"/>
                <c:pt idx="0">
                  <c:v>102.23635821963848</c:v>
                </c:pt>
                <c:pt idx="1">
                  <c:v>101.9372867246187</c:v>
                </c:pt>
                <c:pt idx="2">
                  <c:v>101.66281062177995</c:v>
                </c:pt>
                <c:pt idx="3">
                  <c:v>101.40575866956358</c:v>
                </c:pt>
                <c:pt idx="4">
                  <c:v>101.24584626908498</c:v>
                </c:pt>
                <c:pt idx="5">
                  <c:v>101.11204381191087</c:v>
                </c:pt>
                <c:pt idx="6">
                  <c:v>100.97138313686987</c:v>
                </c:pt>
                <c:pt idx="7">
                  <c:v>100.8663127922722</c:v>
                </c:pt>
                <c:pt idx="8">
                  <c:v>100.85359528951356</c:v>
                </c:pt>
                <c:pt idx="9">
                  <c:v>101.07100962816544</c:v>
                </c:pt>
                <c:pt idx="10">
                  <c:v>101.34984310309528</c:v>
                </c:pt>
                <c:pt idx="11">
                  <c:v>101.50002198584878</c:v>
                </c:pt>
                <c:pt idx="12">
                  <c:v>101.66840710763999</c:v>
                </c:pt>
                <c:pt idx="13">
                  <c:v>101.92044876965997</c:v>
                </c:pt>
                <c:pt idx="14">
                  <c:v>102.19139156996215</c:v>
                </c:pt>
                <c:pt idx="15">
                  <c:v>102.4856864811109</c:v>
                </c:pt>
                <c:pt idx="16">
                  <c:v>102.88263112956803</c:v>
                </c:pt>
                <c:pt idx="17">
                  <c:v>103.30955018984616</c:v>
                </c:pt>
                <c:pt idx="18">
                  <c:v>103.60279137639718</c:v>
                </c:pt>
                <c:pt idx="19">
                  <c:v>103.87188639972585</c:v>
                </c:pt>
                <c:pt idx="20">
                  <c:v>104.10663069251871</c:v>
                </c:pt>
                <c:pt idx="21">
                  <c:v>104.14001724843411</c:v>
                </c:pt>
                <c:pt idx="22">
                  <c:v>104.08725980283889</c:v>
                </c:pt>
                <c:pt idx="23">
                  <c:v>104.13683473825161</c:v>
                </c:pt>
                <c:pt idx="24">
                  <c:v>104.27455929233626</c:v>
                </c:pt>
                <c:pt idx="25">
                  <c:v>104.39333626945457</c:v>
                </c:pt>
                <c:pt idx="26">
                  <c:v>104.46791393954541</c:v>
                </c:pt>
                <c:pt idx="27">
                  <c:v>104.5082008889472</c:v>
                </c:pt>
                <c:pt idx="28">
                  <c:v>104.53895041372245</c:v>
                </c:pt>
                <c:pt idx="29">
                  <c:v>104.61634716899441</c:v>
                </c:pt>
                <c:pt idx="30">
                  <c:v>104.75246511009584</c:v>
                </c:pt>
                <c:pt idx="31">
                  <c:v>104.96647851999079</c:v>
                </c:pt>
                <c:pt idx="32">
                  <c:v>105.19026731100953</c:v>
                </c:pt>
                <c:pt idx="33">
                  <c:v>105.45337222923411</c:v>
                </c:pt>
                <c:pt idx="34">
                  <c:v>105.84234765781684</c:v>
                </c:pt>
                <c:pt idx="35">
                  <c:v>106.17632259241796</c:v>
                </c:pt>
                <c:pt idx="36">
                  <c:v>106.41584073686184</c:v>
                </c:pt>
                <c:pt idx="37">
                  <c:v>106.64709601928112</c:v>
                </c:pt>
                <c:pt idx="38">
                  <c:v>106.93026597790688</c:v>
                </c:pt>
                <c:pt idx="39">
                  <c:v>107.2333128929989</c:v>
                </c:pt>
                <c:pt idx="40">
                  <c:v>107.44171376377317</c:v>
                </c:pt>
                <c:pt idx="41">
                  <c:v>107.65422222728139</c:v>
                </c:pt>
                <c:pt idx="42">
                  <c:v>107.913661240162</c:v>
                </c:pt>
                <c:pt idx="43">
                  <c:v>108.10933156134448</c:v>
                </c:pt>
                <c:pt idx="44">
                  <c:v>108.28133372999555</c:v>
                </c:pt>
                <c:pt idx="45">
                  <c:v>108.45527563015459</c:v>
                </c:pt>
                <c:pt idx="46">
                  <c:v>108.60713243726615</c:v>
                </c:pt>
                <c:pt idx="47">
                  <c:v>108.80998670112963</c:v>
                </c:pt>
                <c:pt idx="48">
                  <c:v>109.06367222709366</c:v>
                </c:pt>
              </c:numCache>
            </c:numRef>
          </c:val>
          <c:smooth val="0"/>
        </c:ser>
        <c:dLbls>
          <c:showLegendKey val="0"/>
          <c:showVal val="0"/>
          <c:showCatName val="0"/>
          <c:showSerName val="0"/>
          <c:showPercent val="0"/>
          <c:showBubbleSize val="0"/>
        </c:dLbls>
        <c:smooth val="0"/>
        <c:axId val="139338312"/>
        <c:axId val="139342792"/>
      </c:lineChart>
      <c:catAx>
        <c:axId val="139338312"/>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a:latin typeface="Arial Narrow" panose="020B0606020202030204" pitchFamily="34" charset="0"/>
                <a:ea typeface="Tahoma" pitchFamily="34" charset="0"/>
                <a:cs typeface="Tahoma" pitchFamily="34" charset="0"/>
              </a:defRPr>
            </a:pPr>
            <a:endParaRPr lang="en-US"/>
          </a:p>
        </c:txPr>
        <c:crossAx val="139342792"/>
        <c:crosses val="autoZero"/>
        <c:auto val="1"/>
        <c:lblAlgn val="ctr"/>
        <c:lblOffset val="100"/>
        <c:noMultiLvlLbl val="0"/>
      </c:catAx>
      <c:valAx>
        <c:axId val="139342792"/>
        <c:scaling>
          <c:orientation val="minMax"/>
          <c:max val="115"/>
          <c:min val="80"/>
        </c:scaling>
        <c:delete val="0"/>
        <c:axPos val="l"/>
        <c:majorGridlines>
          <c:spPr>
            <a:ln w="6350">
              <a:solidFill>
                <a:schemeClr val="bg1">
                  <a:lumMod val="65000"/>
                </a:schemeClr>
              </a:solidFill>
            </a:ln>
          </c:spPr>
        </c:majorGridlines>
        <c:numFmt formatCode="_(* #,##0.0_);_(* \(#,##0.0\);_(* &quot;-&quot;??_);_(@_)" sourceLinked="1"/>
        <c:majorTickMark val="out"/>
        <c:minorTickMark val="none"/>
        <c:tickLblPos val="nextTo"/>
        <c:spPr>
          <a:ln w="6350">
            <a:solidFill>
              <a:schemeClr val="bg1">
                <a:lumMod val="50000"/>
              </a:schemeClr>
            </a:solidFill>
          </a:ln>
        </c:spPr>
        <c:txPr>
          <a:bodyPr/>
          <a:lstStyle/>
          <a:p>
            <a:pPr>
              <a:defRPr sz="700">
                <a:latin typeface="Arial Narrow" panose="020B0606020202030204" pitchFamily="34" charset="0"/>
                <a:ea typeface="Tahoma" pitchFamily="34" charset="0"/>
                <a:cs typeface="Tahoma" pitchFamily="34" charset="0"/>
              </a:defRPr>
            </a:pPr>
            <a:endParaRPr lang="en-US"/>
          </a:p>
        </c:txPr>
        <c:crossAx val="139338312"/>
        <c:crosses val="autoZero"/>
        <c:crossBetween val="between"/>
        <c:majorUnit val="5"/>
      </c:valAx>
      <c:spPr>
        <a:noFill/>
        <a:ln w="6350">
          <a:solidFill>
            <a:schemeClr val="bg1">
              <a:lumMod val="65000"/>
            </a:schemeClr>
          </a:solidFill>
        </a:ln>
      </c:spPr>
    </c:plotArea>
    <c:legend>
      <c:legendPos val="b"/>
      <c:layout/>
      <c:overlay val="0"/>
      <c:txPr>
        <a:bodyPr/>
        <a:lstStyle/>
        <a:p>
          <a:pPr>
            <a:defRPr sz="700">
              <a:latin typeface="Arial Narrow" panose="020B0606020202030204" pitchFamily="34" charset="0"/>
              <a:ea typeface="Tahoma" pitchFamily="34" charset="0"/>
              <a:cs typeface="Tahoma"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7503223824943903"/>
          <c:h val="0.8326195683872849"/>
        </c:manualLayout>
      </c:layout>
      <c:lineChart>
        <c:grouping val="standard"/>
        <c:varyColors val="0"/>
        <c:ser>
          <c:idx val="0"/>
          <c:order val="0"/>
          <c:tx>
            <c:strRef>
              <c:f>zaNov2015!$A$2</c:f>
              <c:strCache>
                <c:ptCount val="1"/>
                <c:pt idx="0">
                  <c:v>увоз                   </c:v>
                </c:pt>
              </c:strCache>
            </c:strRef>
          </c:tx>
          <c:spPr>
            <a:ln w="25400"/>
          </c:spPr>
          <c:marker>
            <c:symbol val="none"/>
          </c:marker>
          <c:cat>
            <c:strRef>
              <c:f>zaNov2015!$B$1:$N$1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zaNov2015!$B$2:$N$2</c:f>
              <c:numCache>
                <c:formatCode>General</c:formatCode>
                <c:ptCount val="13"/>
                <c:pt idx="0">
                  <c:v>432236</c:v>
                </c:pt>
                <c:pt idx="1">
                  <c:v>434262</c:v>
                </c:pt>
                <c:pt idx="2">
                  <c:v>223273</c:v>
                </c:pt>
                <c:pt idx="3">
                  <c:v>345220</c:v>
                </c:pt>
                <c:pt idx="4">
                  <c:v>403648</c:v>
                </c:pt>
                <c:pt idx="5">
                  <c:v>355008</c:v>
                </c:pt>
                <c:pt idx="6">
                  <c:v>393112</c:v>
                </c:pt>
                <c:pt idx="7">
                  <c:v>372846</c:v>
                </c:pt>
                <c:pt idx="8">
                  <c:v>442035</c:v>
                </c:pt>
                <c:pt idx="9">
                  <c:v>336534</c:v>
                </c:pt>
                <c:pt idx="10">
                  <c:v>390519</c:v>
                </c:pt>
                <c:pt idx="11">
                  <c:v>389912</c:v>
                </c:pt>
                <c:pt idx="12">
                  <c:v>344727</c:v>
                </c:pt>
              </c:numCache>
            </c:numRef>
          </c:val>
          <c:smooth val="0"/>
        </c:ser>
        <c:ser>
          <c:idx val="1"/>
          <c:order val="1"/>
          <c:tx>
            <c:strRef>
              <c:f>zaNov2015!$A$3</c:f>
              <c:strCache>
                <c:ptCount val="1"/>
                <c:pt idx="0">
                  <c:v>извоз</c:v>
                </c:pt>
              </c:strCache>
            </c:strRef>
          </c:tx>
          <c:spPr>
            <a:ln w="25400"/>
          </c:spPr>
          <c:marker>
            <c:symbol val="none"/>
          </c:marker>
          <c:cat>
            <c:strRef>
              <c:f>zaNov2015!$B$1:$N$1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zaNov2015!$B$3:$N$3</c:f>
              <c:numCache>
                <c:formatCode>0</c:formatCode>
                <c:ptCount val="13"/>
                <c:pt idx="0">
                  <c:v>229828</c:v>
                </c:pt>
                <c:pt idx="1">
                  <c:v>206415</c:v>
                </c:pt>
                <c:pt idx="2">
                  <c:v>169611</c:v>
                </c:pt>
                <c:pt idx="3">
                  <c:v>201203</c:v>
                </c:pt>
                <c:pt idx="4">
                  <c:v>214811</c:v>
                </c:pt>
                <c:pt idx="5">
                  <c:v>209561</c:v>
                </c:pt>
                <c:pt idx="6">
                  <c:v>207541</c:v>
                </c:pt>
                <c:pt idx="7">
                  <c:v>238678</c:v>
                </c:pt>
                <c:pt idx="8">
                  <c:v>243048</c:v>
                </c:pt>
                <c:pt idx="9">
                  <c:v>201596</c:v>
                </c:pt>
                <c:pt idx="10">
                  <c:v>237616</c:v>
                </c:pt>
                <c:pt idx="11">
                  <c:v>240797</c:v>
                </c:pt>
                <c:pt idx="12">
                  <c:v>202399</c:v>
                </c:pt>
              </c:numCache>
            </c:numRef>
          </c:val>
          <c:smooth val="0"/>
        </c:ser>
        <c:dLbls>
          <c:showLegendKey val="0"/>
          <c:showVal val="0"/>
          <c:showCatName val="0"/>
          <c:showSerName val="0"/>
          <c:showPercent val="0"/>
          <c:showBubbleSize val="0"/>
        </c:dLbls>
        <c:smooth val="0"/>
        <c:axId val="137621888"/>
        <c:axId val="137621496"/>
      </c:lineChart>
      <c:catAx>
        <c:axId val="137621888"/>
        <c:scaling>
          <c:orientation val="minMax"/>
        </c:scaling>
        <c:delete val="0"/>
        <c:axPos val="b"/>
        <c:minorGridlines>
          <c:spPr>
            <a:ln w="3175"/>
          </c:spPr>
        </c:minorGridlines>
        <c:numFmt formatCode="General" sourceLinked="0"/>
        <c:majorTickMark val="out"/>
        <c:minorTickMark val="none"/>
        <c:tickLblPos val="nextTo"/>
        <c:crossAx val="137621496"/>
        <c:crosses val="autoZero"/>
        <c:auto val="1"/>
        <c:lblAlgn val="ctr"/>
        <c:lblOffset val="100"/>
        <c:noMultiLvlLbl val="0"/>
      </c:catAx>
      <c:valAx>
        <c:axId val="137621496"/>
        <c:scaling>
          <c:orientation val="minMax"/>
        </c:scaling>
        <c:delete val="0"/>
        <c:axPos val="l"/>
        <c:majorGridlines>
          <c:spPr>
            <a:ln w="3175"/>
          </c:spPr>
        </c:majorGridlines>
        <c:numFmt formatCode="#,##0" sourceLinked="0"/>
        <c:majorTickMark val="out"/>
        <c:minorTickMark val="none"/>
        <c:tickLblPos val="nextTo"/>
        <c:crossAx val="137621888"/>
        <c:crosses val="autoZero"/>
        <c:crossBetween val="between"/>
      </c:valAx>
    </c:plotArea>
    <c:legend>
      <c:legendPos val="r"/>
      <c:layout>
        <c:manualLayout>
          <c:xMode val="edge"/>
          <c:yMode val="edge"/>
          <c:x val="0.83345917376765843"/>
          <c:y val="0.34220861281228737"/>
          <c:w val="0.16230180131593139"/>
          <c:h val="0.1901782832701468"/>
        </c:manualLayout>
      </c:layout>
      <c:overlay val="0"/>
    </c:legend>
    <c:plotVisOnly val="1"/>
    <c:dispBlanksAs val="gap"/>
    <c:showDLblsOverMax val="0"/>
  </c:chart>
  <c:spPr>
    <a:ln>
      <a:noFill/>
    </a:ln>
  </c:spPr>
  <c:txPr>
    <a:bodyPr/>
    <a:lstStyle/>
    <a:p>
      <a:pPr>
        <a:defRPr sz="800" baseline="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6607-15D4-482A-B435-B1285C31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3248</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12847</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Vladan Sibinovic</cp:lastModifiedBy>
  <cp:revision>531</cp:revision>
  <cp:lastPrinted>2015-12-17T11:01:00Z</cp:lastPrinted>
  <dcterms:created xsi:type="dcterms:W3CDTF">2014-03-14T12:01:00Z</dcterms:created>
  <dcterms:modified xsi:type="dcterms:W3CDTF">2015-12-23T08:36:00Z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