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2D6352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082DA2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3</w:t>
            </w:r>
            <w:r w:rsidR="002D6352" w:rsidRPr="002D6352">
              <w:rPr>
                <w:rFonts w:ascii="Arial Narrow" w:hAnsi="Arial Narrow" w:cs="Tahoma"/>
                <w:color w:val="1F497D" w:themeColor="text2"/>
                <w:sz w:val="18"/>
                <w:vertAlign w:val="superscript"/>
              </w:rPr>
              <w:t>rd</w:t>
            </w:r>
            <w:r w:rsidR="002D6352">
              <w:rPr>
                <w:rFonts w:ascii="Arial Narrow" w:hAnsi="Arial Narrow" w:cs="Tahoma"/>
                <w:color w:val="1F497D" w:themeColor="text2"/>
                <w:sz w:val="18"/>
              </w:rPr>
              <w:t xml:space="preserve"> April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F6075A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F1745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4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2D6352" w:rsidRDefault="002D6352" w:rsidP="009430A7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April 2015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2D6352" w:rsidRDefault="002D6352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</w:p>
        </w:tc>
      </w:tr>
    </w:tbl>
    <w:p w:rsidR="00777348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F85AAC" w:rsidRDefault="00F85AAC" w:rsidP="00D35CD4">
      <w:pPr>
        <w:jc w:val="both"/>
        <w:rPr>
          <w:rFonts w:ascii="Arial Narrow" w:hAnsi="Arial Narrow" w:cs="Tahoma"/>
          <w:b/>
          <w:lang w:val="sr-Latn-BA"/>
        </w:rPr>
      </w:pPr>
    </w:p>
    <w:p w:rsidR="001B39CE" w:rsidRPr="008E1CA7" w:rsidRDefault="008E1CA7" w:rsidP="001B39CE">
      <w:pPr>
        <w:autoSpaceDE w:val="0"/>
        <w:autoSpaceDN w:val="0"/>
        <w:adjustRightInd w:val="0"/>
        <w:jc w:val="both"/>
        <w:rPr>
          <w:rFonts w:ascii="Arial Narrow" w:hAnsi="Arial Narrow" w:cs="Tahoma"/>
          <w:sz w:val="30"/>
          <w:szCs w:val="30"/>
          <w:lang w:eastAsia="sr-Latn-BA"/>
        </w:rPr>
      </w:pPr>
      <w:r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>Real growth rate of quarterly</w:t>
      </w:r>
      <w:r w:rsidR="001B39CE"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>Gross domestic product</w:t>
      </w:r>
      <w:r w:rsidR="001B39CE"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>for the period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4</w:t>
      </w:r>
      <w:r w:rsidRPr="008E1CA7">
        <w:rPr>
          <w:rFonts w:ascii="Arial Narrow" w:hAnsi="Arial Narrow" w:cs="Tahoma"/>
          <w:b/>
          <w:bCs/>
          <w:sz w:val="30"/>
          <w:szCs w:val="30"/>
          <w:vertAlign w:val="superscript"/>
          <w:lang w:eastAsia="sr-Latn-BA"/>
        </w:rPr>
        <w:t>th</w:t>
      </w:r>
      <w:r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quarter</w:t>
      </w:r>
      <w:r w:rsidR="001B39CE"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2014</w:t>
      </w:r>
      <w:r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>/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Pr="008E1CA7">
        <w:rPr>
          <w:rFonts w:ascii="Arial Narrow" w:hAnsi="Arial Narrow" w:cs="Tahoma"/>
          <w:b/>
          <w:bCs/>
          <w:sz w:val="30"/>
          <w:szCs w:val="30"/>
          <w:vertAlign w:val="superscript"/>
          <w:lang w:eastAsia="sr-Latn-BA"/>
        </w:rPr>
        <w:t>th</w:t>
      </w:r>
      <w:r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proofErr w:type="spellStart"/>
      <w:r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>quater</w:t>
      </w:r>
      <w:proofErr w:type="spellEnd"/>
      <w:r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1B39CE"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>2013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was </w:t>
      </w:r>
      <w:r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>.</w:t>
      </w:r>
      <w:r w:rsidRPr="008E1CA7">
        <w:rPr>
          <w:rFonts w:ascii="Arial Narrow" w:hAnsi="Arial Narrow" w:cs="Tahoma"/>
          <w:b/>
          <w:bCs/>
          <w:sz w:val="30"/>
          <w:szCs w:val="30"/>
          <w:lang w:eastAsia="sr-Latn-BA"/>
        </w:rPr>
        <w:t>4%</w:t>
      </w:r>
    </w:p>
    <w:p w:rsidR="001B39CE" w:rsidRPr="006C2415" w:rsidRDefault="001B39CE" w:rsidP="001B39CE">
      <w:pPr>
        <w:jc w:val="both"/>
        <w:rPr>
          <w:rFonts w:ascii="Arial Narrow" w:hAnsi="Arial Narrow" w:cs="Tahoma"/>
          <w:sz w:val="16"/>
          <w:szCs w:val="16"/>
        </w:rPr>
      </w:pPr>
    </w:p>
    <w:p w:rsidR="00174CD9" w:rsidRDefault="00174CD9" w:rsidP="001B39CE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Latn-BA" w:eastAsia="sr-Latn-BA"/>
        </w:rPr>
      </w:pPr>
      <w:r>
        <w:rPr>
          <w:rFonts w:ascii="Arial Narrow" w:hAnsi="Arial Narrow" w:cs="Tahoma"/>
          <w:sz w:val="22"/>
          <w:szCs w:val="24"/>
          <w:lang w:val="sr-Latn-BA" w:eastAsia="sr-Latn-BA"/>
        </w:rPr>
        <w:t>Quarterly Gross domestic product was really 1.4% higher in the fourth quarter of 2014 than in the fourth quarter of 2013.</w:t>
      </w:r>
    </w:p>
    <w:p w:rsidR="001B39CE" w:rsidRPr="006C2415" w:rsidRDefault="001B39CE" w:rsidP="001B39CE">
      <w:pPr>
        <w:jc w:val="both"/>
        <w:rPr>
          <w:rFonts w:ascii="Arial Narrow" w:hAnsi="Arial Narrow" w:cs="Tahoma"/>
        </w:rPr>
      </w:pPr>
    </w:p>
    <w:p w:rsidR="00F64188" w:rsidRDefault="00F64188" w:rsidP="001B39CE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  <w:lang w:val="sr-Latn-CS"/>
        </w:rPr>
        <w:t>By section of the Classif</w:t>
      </w:r>
      <w:r w:rsidR="008F3D64">
        <w:rPr>
          <w:rFonts w:ascii="Arial Narrow" w:hAnsi="Arial Narrow" w:cs="Tahoma"/>
          <w:sz w:val="22"/>
          <w:szCs w:val="22"/>
          <w:lang w:val="sr-Latn-CS"/>
        </w:rPr>
        <w:t xml:space="preserve">ication of Economic Activities grouped at the level A10, in the fourth quarter of 2014, Gross value added in real terms increased in the following sections: </w:t>
      </w:r>
      <w:r w:rsidR="008F3D64" w:rsidRPr="008F3D64">
        <w:rPr>
          <w:rFonts w:ascii="Arial Narrow" w:hAnsi="Arial Narrow" w:cs="Tahoma"/>
          <w:i/>
          <w:sz w:val="22"/>
          <w:szCs w:val="22"/>
          <w:lang w:val="sr-Latn-CS"/>
        </w:rPr>
        <w:t xml:space="preserve">Manufacturing </w:t>
      </w:r>
      <w:r w:rsidR="008F3D64">
        <w:rPr>
          <w:rFonts w:ascii="Arial Narrow" w:hAnsi="Arial Narrow" w:cs="Tahoma"/>
          <w:sz w:val="22"/>
          <w:szCs w:val="22"/>
          <w:lang w:val="sr-Latn-CS"/>
        </w:rPr>
        <w:t xml:space="preserve">(C) by 7.4%, </w:t>
      </w:r>
      <w:r w:rsidR="008F3D64" w:rsidRPr="008F3D64">
        <w:rPr>
          <w:rFonts w:ascii="Arial Narrow" w:hAnsi="Arial Narrow" w:cs="Tahoma"/>
          <w:i/>
          <w:sz w:val="22"/>
          <w:szCs w:val="22"/>
          <w:lang w:val="sr-Latn-CS"/>
        </w:rPr>
        <w:t xml:space="preserve">Construction </w:t>
      </w:r>
      <w:r w:rsidR="008F3D64">
        <w:rPr>
          <w:rFonts w:ascii="Arial Narrow" w:hAnsi="Arial Narrow" w:cs="Tahoma"/>
          <w:sz w:val="22"/>
          <w:szCs w:val="22"/>
          <w:lang w:val="sr-Latn-CS"/>
        </w:rPr>
        <w:t xml:space="preserve">(F) by 4.9%, </w:t>
      </w:r>
      <w:r w:rsidR="008F3D64" w:rsidRPr="008F3D64">
        <w:rPr>
          <w:rFonts w:ascii="Arial Narrow" w:hAnsi="Arial Narrow" w:cs="Tahoma"/>
          <w:i/>
          <w:sz w:val="22"/>
          <w:szCs w:val="22"/>
          <w:lang w:val="sr-Latn-CS"/>
        </w:rPr>
        <w:t>Arts, entertainment and recreation</w:t>
      </w:r>
      <w:r w:rsidR="008F3D64">
        <w:rPr>
          <w:rFonts w:ascii="Arial Narrow" w:hAnsi="Arial Narrow" w:cs="Tahoma"/>
          <w:sz w:val="22"/>
          <w:szCs w:val="22"/>
          <w:lang w:val="sr-Latn-CS"/>
        </w:rPr>
        <w:t xml:space="preserve">; </w:t>
      </w:r>
      <w:r w:rsidR="008F3D64" w:rsidRPr="008F3D64">
        <w:rPr>
          <w:rFonts w:ascii="Arial Narrow" w:hAnsi="Arial Narrow" w:cs="Tahoma"/>
          <w:i/>
          <w:sz w:val="22"/>
          <w:szCs w:val="22"/>
          <w:lang w:val="sr-Latn-CS"/>
        </w:rPr>
        <w:t xml:space="preserve">Other service activities </w:t>
      </w:r>
      <w:r w:rsidR="008F3D64">
        <w:rPr>
          <w:rFonts w:ascii="Arial Narrow" w:hAnsi="Arial Narrow" w:cs="Tahoma"/>
          <w:sz w:val="22"/>
          <w:szCs w:val="22"/>
          <w:lang w:val="sr-Latn-CS"/>
        </w:rPr>
        <w:t xml:space="preserve">(R, S) by 4.3%, </w:t>
      </w:r>
      <w:r w:rsidR="008F3D64" w:rsidRPr="008F3D64">
        <w:rPr>
          <w:rFonts w:ascii="Arial Narrow" w:hAnsi="Arial Narrow" w:cs="Tahoma"/>
          <w:i/>
          <w:sz w:val="22"/>
          <w:szCs w:val="22"/>
          <w:lang w:val="sr-Latn-CS"/>
        </w:rPr>
        <w:t>Mining and quarrying</w:t>
      </w:r>
      <w:r w:rsidR="008F3D64">
        <w:rPr>
          <w:rFonts w:ascii="Arial Narrow" w:hAnsi="Arial Narrow" w:cs="Tahoma"/>
          <w:sz w:val="22"/>
          <w:szCs w:val="22"/>
          <w:lang w:val="sr-Latn-CS"/>
        </w:rPr>
        <w:t xml:space="preserve">; </w:t>
      </w:r>
      <w:r w:rsidR="008F3D64" w:rsidRPr="008F3D64">
        <w:rPr>
          <w:rFonts w:ascii="Arial Narrow" w:hAnsi="Arial Narrow" w:cs="Tahoma"/>
          <w:i/>
          <w:sz w:val="22"/>
          <w:szCs w:val="22"/>
          <w:lang w:val="sr-Latn-CS"/>
        </w:rPr>
        <w:t>Manufacturing</w:t>
      </w:r>
      <w:r w:rsidR="008F3D64">
        <w:rPr>
          <w:rFonts w:ascii="Arial Narrow" w:hAnsi="Arial Narrow" w:cs="Tahoma"/>
          <w:sz w:val="22"/>
          <w:szCs w:val="22"/>
          <w:lang w:val="sr-Latn-CS"/>
        </w:rPr>
        <w:t xml:space="preserve">; </w:t>
      </w:r>
      <w:r w:rsidR="008F3D64" w:rsidRPr="008F3D64">
        <w:rPr>
          <w:rFonts w:ascii="Arial Narrow" w:hAnsi="Arial Narrow" w:cs="Tahoma"/>
          <w:i/>
          <w:sz w:val="22"/>
          <w:szCs w:val="22"/>
          <w:lang w:val="sr-Latn-CS"/>
        </w:rPr>
        <w:t>Electricity, gas, steam and air-conditioning supply</w:t>
      </w:r>
      <w:r w:rsidR="008F3D64">
        <w:rPr>
          <w:rFonts w:ascii="Arial Narrow" w:hAnsi="Arial Narrow" w:cs="Tahoma"/>
          <w:sz w:val="22"/>
          <w:szCs w:val="22"/>
          <w:lang w:val="sr-Latn-CS"/>
        </w:rPr>
        <w:t xml:space="preserve">; </w:t>
      </w:r>
      <w:r w:rsidR="008F3D64" w:rsidRPr="00C11075">
        <w:rPr>
          <w:rFonts w:ascii="Arial Narrow" w:hAnsi="Arial Narrow" w:cs="Tahoma"/>
          <w:i/>
          <w:sz w:val="22"/>
          <w:szCs w:val="22"/>
        </w:rPr>
        <w:t>Water supply, sewerage, waste management and remediation activities</w:t>
      </w:r>
      <w:r w:rsidR="008F3D64">
        <w:rPr>
          <w:rFonts w:ascii="Arial Narrow" w:hAnsi="Arial Narrow" w:cs="Tahoma"/>
          <w:i/>
          <w:sz w:val="22"/>
          <w:szCs w:val="22"/>
        </w:rPr>
        <w:t xml:space="preserve"> (B, C, D, E) </w:t>
      </w:r>
      <w:r w:rsidR="008F3D64" w:rsidRPr="008860DD">
        <w:rPr>
          <w:rFonts w:ascii="Arial Narrow" w:hAnsi="Arial Narrow" w:cs="Tahoma"/>
          <w:sz w:val="22"/>
          <w:szCs w:val="22"/>
        </w:rPr>
        <w:t>by 3.7%</w:t>
      </w:r>
      <w:r w:rsidR="008860DD" w:rsidRPr="008860DD">
        <w:rPr>
          <w:rFonts w:ascii="Arial Narrow" w:hAnsi="Arial Narrow" w:cs="Tahoma"/>
          <w:sz w:val="22"/>
          <w:szCs w:val="22"/>
        </w:rPr>
        <w:t>.</w:t>
      </w:r>
      <w:r w:rsidR="008860DD">
        <w:rPr>
          <w:rFonts w:ascii="Arial Narrow" w:hAnsi="Arial Narrow" w:cs="Tahoma"/>
          <w:sz w:val="22"/>
          <w:szCs w:val="22"/>
        </w:rPr>
        <w:t xml:space="preserve"> Gross value added in real terms decreased in the sections </w:t>
      </w:r>
      <w:r w:rsidR="008860DD" w:rsidRPr="008860DD">
        <w:rPr>
          <w:rFonts w:ascii="Arial Narrow" w:hAnsi="Arial Narrow" w:cs="Tahoma"/>
          <w:i/>
          <w:sz w:val="22"/>
          <w:szCs w:val="22"/>
        </w:rPr>
        <w:t>Agriculture, forestry and fishing</w:t>
      </w:r>
      <w:r w:rsidR="008860DD">
        <w:rPr>
          <w:rFonts w:ascii="Arial Narrow" w:hAnsi="Arial Narrow" w:cs="Tahoma"/>
          <w:sz w:val="22"/>
          <w:szCs w:val="22"/>
        </w:rPr>
        <w:t xml:space="preserve"> (A) by 3.5% and </w:t>
      </w:r>
      <w:r w:rsidR="008860DD" w:rsidRPr="008860DD">
        <w:rPr>
          <w:rFonts w:ascii="Arial Narrow" w:hAnsi="Arial Narrow" w:cs="Tahoma"/>
          <w:i/>
          <w:sz w:val="22"/>
          <w:szCs w:val="22"/>
        </w:rPr>
        <w:t>Real estate activities</w:t>
      </w:r>
      <w:r w:rsidR="008860DD">
        <w:rPr>
          <w:rFonts w:ascii="Arial Narrow" w:hAnsi="Arial Narrow" w:cs="Tahoma"/>
          <w:sz w:val="22"/>
          <w:szCs w:val="22"/>
        </w:rPr>
        <w:t xml:space="preserve"> by 0.1%. </w:t>
      </w:r>
      <w:r w:rsidR="008860DD" w:rsidRPr="008860DD">
        <w:rPr>
          <w:rFonts w:ascii="Arial Narrow" w:hAnsi="Arial Narrow" w:cs="Tahoma"/>
          <w:sz w:val="22"/>
          <w:szCs w:val="22"/>
        </w:rPr>
        <w:t xml:space="preserve"> </w:t>
      </w:r>
    </w:p>
    <w:p w:rsidR="001B39CE" w:rsidRPr="00B66396" w:rsidRDefault="001B39CE" w:rsidP="001B39CE">
      <w:pPr>
        <w:jc w:val="both"/>
        <w:rPr>
          <w:rFonts w:ascii="Arial Narrow" w:hAnsi="Arial Narrow" w:cs="Tahoma"/>
          <w:b/>
          <w:color w:val="0070C0"/>
          <w:sz w:val="22"/>
          <w:szCs w:val="22"/>
        </w:rPr>
      </w:pPr>
    </w:p>
    <w:p w:rsidR="006C7BEB" w:rsidRPr="006C7BEB" w:rsidRDefault="006C7BEB" w:rsidP="001B39CE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  <w:lang w:val="sr-Latn-BA" w:eastAsia="sr-Latn-BA"/>
        </w:rPr>
      </w:pPr>
      <w:r>
        <w:rPr>
          <w:rFonts w:ascii="Arial Narrow" w:hAnsi="Arial Narrow" w:cs="Tahoma"/>
          <w:sz w:val="22"/>
          <w:szCs w:val="22"/>
          <w:lang w:val="sr-Latn-BA" w:eastAsia="sr-Latn-BA"/>
        </w:rPr>
        <w:t>In the fourth quarter of 2014, compared to the same quarter of 2013, in the neighbouring countries the following real growth rates of Gross domestic product were recorded: Slovenia 2.4%, Croatia 0.3% and Serbia -1.8%.</w:t>
      </w:r>
    </w:p>
    <w:p w:rsidR="001B39CE" w:rsidRPr="006C2415" w:rsidRDefault="001B39CE" w:rsidP="00D35CD4">
      <w:pPr>
        <w:jc w:val="both"/>
        <w:rPr>
          <w:rFonts w:ascii="Arial Narrow" w:hAnsi="Arial Narrow" w:cs="Tahoma"/>
          <w:b/>
          <w:lang w:val="sr-Latn-BA"/>
        </w:rPr>
      </w:pPr>
    </w:p>
    <w:p w:rsidR="001B39CE" w:rsidRPr="006C2415" w:rsidRDefault="001B39CE" w:rsidP="00D35CD4">
      <w:pPr>
        <w:jc w:val="both"/>
        <w:rPr>
          <w:rFonts w:ascii="Arial Narrow" w:hAnsi="Arial Narrow" w:cs="Tahoma"/>
          <w:b/>
          <w:lang w:val="sr-Latn-BA"/>
        </w:rPr>
      </w:pPr>
    </w:p>
    <w:p w:rsidR="001B39CE" w:rsidRPr="006C2415" w:rsidRDefault="001B39CE" w:rsidP="001B39CE">
      <w:pPr>
        <w:jc w:val="center"/>
        <w:rPr>
          <w:rFonts w:ascii="Arial Narrow" w:hAnsi="Arial Narrow" w:cs="Tahoma"/>
          <w:b/>
          <w:lang w:val="sr-Latn-BA"/>
        </w:rPr>
      </w:pPr>
      <w:r w:rsidRPr="006C2415">
        <w:rPr>
          <w:rFonts w:ascii="Arial Narrow" w:hAnsi="Arial Narrow" w:cs="Tahoma"/>
          <w:b/>
          <w:noProof/>
        </w:rPr>
        <w:drawing>
          <wp:inline distT="0" distB="0" distL="0" distR="0">
            <wp:extent cx="5271715" cy="2600077"/>
            <wp:effectExtent l="0" t="0" r="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39CE" w:rsidRPr="006C2415" w:rsidRDefault="001B39CE" w:rsidP="00D35CD4">
      <w:pPr>
        <w:jc w:val="both"/>
        <w:rPr>
          <w:rFonts w:ascii="Arial Narrow" w:hAnsi="Arial Narrow" w:cs="Tahoma"/>
          <w:b/>
          <w:lang w:val="sr-Latn-BA"/>
        </w:rPr>
      </w:pPr>
    </w:p>
    <w:p w:rsidR="001B39CE" w:rsidRPr="00C4740F" w:rsidRDefault="00C4740F" w:rsidP="001B39CE">
      <w:pPr>
        <w:autoSpaceDE w:val="0"/>
        <w:autoSpaceDN w:val="0"/>
        <w:adjustRightInd w:val="0"/>
        <w:jc w:val="center"/>
        <w:rPr>
          <w:rFonts w:ascii="Arial Narrow" w:hAnsi="Arial Narrow" w:cs="Tahoma"/>
          <w:sz w:val="16"/>
          <w:szCs w:val="16"/>
          <w:lang w:eastAsia="sr-Latn-BA"/>
        </w:rPr>
      </w:pPr>
      <w:proofErr w:type="gramStart"/>
      <w:r>
        <w:rPr>
          <w:rFonts w:ascii="Arial Narrow" w:hAnsi="Arial Narrow" w:cs="Tahoma"/>
          <w:sz w:val="16"/>
          <w:szCs w:val="16"/>
          <w:lang w:eastAsia="sr-Latn-BA"/>
        </w:rPr>
        <w:t>Graph</w:t>
      </w:r>
      <w:r w:rsidR="001B39CE" w:rsidRPr="006C2415">
        <w:rPr>
          <w:rFonts w:ascii="Arial Narrow" w:hAnsi="Arial Narrow" w:cs="Tahoma"/>
          <w:sz w:val="16"/>
          <w:szCs w:val="16"/>
          <w:lang w:val="sr-Cyrl-CS" w:eastAsia="sr-Latn-BA"/>
        </w:rPr>
        <w:t xml:space="preserve"> 1</w:t>
      </w:r>
      <w:r w:rsidR="001B39CE" w:rsidRPr="006C2415">
        <w:rPr>
          <w:rFonts w:ascii="Arial Narrow" w:hAnsi="Arial Narrow" w:cs="Tahoma"/>
          <w:sz w:val="16"/>
          <w:szCs w:val="16"/>
          <w:lang w:val="sr-Cyrl-BA" w:eastAsia="sr-Latn-BA"/>
        </w:rPr>
        <w:t>.</w:t>
      </w:r>
      <w:proofErr w:type="gramEnd"/>
      <w:r w:rsidR="001B39CE" w:rsidRPr="006C2415">
        <w:rPr>
          <w:rFonts w:ascii="Arial Narrow" w:hAnsi="Arial Narrow" w:cs="Tahoma"/>
          <w:sz w:val="16"/>
          <w:szCs w:val="16"/>
          <w:lang w:val="sr-Cyrl-BA" w:eastAsia="sr-Latn-BA"/>
        </w:rPr>
        <w:t xml:space="preserve"> </w:t>
      </w:r>
      <w:r>
        <w:rPr>
          <w:rFonts w:ascii="Arial Narrow" w:hAnsi="Arial Narrow" w:cs="Tahoma"/>
          <w:sz w:val="16"/>
          <w:szCs w:val="16"/>
          <w:lang w:eastAsia="sr-Latn-BA"/>
        </w:rPr>
        <w:t>Real growth rates</w:t>
      </w:r>
      <w:r w:rsidR="001B39CE" w:rsidRPr="006C2415">
        <w:rPr>
          <w:rFonts w:ascii="Arial Narrow" w:hAnsi="Arial Narrow" w:cs="Tahoma"/>
          <w:sz w:val="16"/>
          <w:szCs w:val="16"/>
          <w:lang w:eastAsia="sr-Latn-BA"/>
        </w:rPr>
        <w:t xml:space="preserve"> </w:t>
      </w:r>
      <w:r>
        <w:rPr>
          <w:rFonts w:ascii="Arial Narrow" w:hAnsi="Arial Narrow" w:cs="Tahoma"/>
          <w:sz w:val="16"/>
          <w:szCs w:val="16"/>
          <w:lang w:eastAsia="sr-Latn-BA"/>
        </w:rPr>
        <w:t>of quarterly Gross domestic product</w:t>
      </w:r>
      <w:r w:rsidR="001B39CE" w:rsidRPr="006C2415">
        <w:rPr>
          <w:rFonts w:ascii="Arial Narrow" w:hAnsi="Arial Narrow" w:cs="Tahoma"/>
          <w:sz w:val="16"/>
          <w:szCs w:val="16"/>
          <w:lang w:eastAsia="sr-Latn-BA"/>
        </w:rPr>
        <w:t>,</w:t>
      </w:r>
      <w:r w:rsidR="001B39CE" w:rsidRPr="006C2415">
        <w:rPr>
          <w:rFonts w:ascii="Arial Narrow" w:hAnsi="Arial Narrow" w:cs="Tahoma"/>
          <w:sz w:val="16"/>
          <w:szCs w:val="16"/>
          <w:lang w:val="sr-Cyrl-CS" w:eastAsia="sr-Latn-BA"/>
        </w:rPr>
        <w:t xml:space="preserve"> </w:t>
      </w:r>
      <w:r>
        <w:rPr>
          <w:rFonts w:ascii="Arial Narrow" w:hAnsi="Arial Narrow" w:cs="Tahoma"/>
          <w:sz w:val="16"/>
          <w:szCs w:val="16"/>
          <w:lang w:eastAsia="sr-Latn-BA"/>
        </w:rPr>
        <w:t>changes in comparison with the same quarter of the previous year</w:t>
      </w:r>
    </w:p>
    <w:p w:rsidR="001B39CE" w:rsidRPr="006C2415" w:rsidRDefault="001B39CE" w:rsidP="00D35CD4">
      <w:pPr>
        <w:jc w:val="both"/>
        <w:rPr>
          <w:rFonts w:ascii="Arial Narrow" w:hAnsi="Arial Narrow" w:cs="Tahoma"/>
          <w:b/>
          <w:lang w:val="sr-Latn-BA"/>
        </w:rPr>
      </w:pPr>
    </w:p>
    <w:p w:rsidR="00E33D13" w:rsidRPr="006C2415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6C2415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125F5E">
        <w:rPr>
          <w:rFonts w:ascii="Arial Narrow" w:hAnsi="Arial Narrow" w:cs="Tahoma"/>
          <w:b/>
          <w:sz w:val="30"/>
          <w:szCs w:val="30"/>
        </w:rPr>
        <w:t>Average net wage in March</w:t>
      </w:r>
      <w:r w:rsidR="00E33D13" w:rsidRPr="006C2415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6C2415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C70C0F" w:rsidRPr="006C2415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3679B3" w:rsidRPr="006C2415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E33D13" w:rsidRPr="006C241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6C2415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6C2415" w:rsidRDefault="006514DE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0F6665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0F6665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0F6665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  <w:lang w:val="ru-RU"/>
        </w:rPr>
        <w:t>1</w:t>
      </w:r>
      <w:r>
        <w:rPr>
          <w:rFonts w:ascii="Arial Narrow" w:hAnsi="Arial Narrow" w:cs="Tahoma"/>
          <w:b/>
          <w:sz w:val="28"/>
          <w:szCs w:val="28"/>
        </w:rPr>
        <w:t>,</w:t>
      </w:r>
      <w:r w:rsidR="00E33D13" w:rsidRPr="006C2415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C70C0F" w:rsidRPr="006C2415">
        <w:rPr>
          <w:rFonts w:ascii="Arial Narrow" w:hAnsi="Arial Narrow" w:cs="Tahoma"/>
          <w:b/>
          <w:sz w:val="28"/>
          <w:szCs w:val="28"/>
          <w:lang w:val="sr-Cyrl-BA"/>
        </w:rPr>
        <w:t>7</w:t>
      </w:r>
      <w:r w:rsidR="003679B3" w:rsidRPr="006C2415">
        <w:rPr>
          <w:rFonts w:ascii="Arial Narrow" w:hAnsi="Arial Narrow" w:cs="Tahoma"/>
          <w:b/>
          <w:sz w:val="28"/>
          <w:szCs w:val="28"/>
          <w:lang w:val="sr-Cyrl-BA"/>
        </w:rPr>
        <w:t>0</w:t>
      </w:r>
      <w:r w:rsidR="00E33D13" w:rsidRPr="006C2415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6C2415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0F6665">
        <w:rPr>
          <w:rFonts w:ascii="Arial Narrow" w:hAnsi="Arial Narrow" w:cs="Tahoma"/>
          <w:b/>
          <w:sz w:val="28"/>
          <w:szCs w:val="28"/>
        </w:rPr>
        <w:t>while the lowest one</w:t>
      </w:r>
      <w:r>
        <w:rPr>
          <w:rFonts w:ascii="Arial Narrow" w:hAnsi="Arial Narrow" w:cs="Tahoma"/>
          <w:b/>
          <w:sz w:val="28"/>
          <w:szCs w:val="28"/>
        </w:rPr>
        <w:t>s</w:t>
      </w:r>
      <w:r w:rsidRPr="000F6665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were</w:t>
      </w:r>
      <w:r w:rsidRPr="000F6665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those</w:t>
      </w:r>
      <w:r w:rsidRPr="000F6665">
        <w:rPr>
          <w:rFonts w:ascii="Arial Narrow" w:hAnsi="Arial Narrow" w:cs="Tahoma"/>
          <w:b/>
          <w:sz w:val="28"/>
          <w:szCs w:val="28"/>
        </w:rPr>
        <w:t xml:space="preserve"> in the section</w:t>
      </w:r>
      <w:r>
        <w:rPr>
          <w:rFonts w:ascii="Arial Narrow" w:hAnsi="Arial Narrow" w:cs="Tahoma"/>
          <w:b/>
          <w:sz w:val="28"/>
          <w:szCs w:val="28"/>
        </w:rPr>
        <w:t>s</w:t>
      </w:r>
      <w:r w:rsidRPr="000F6665">
        <w:rPr>
          <w:rFonts w:ascii="Arial Narrow" w:hAnsi="Arial Narrow" w:cs="Tahoma"/>
          <w:b/>
          <w:sz w:val="28"/>
          <w:szCs w:val="28"/>
        </w:rPr>
        <w:t xml:space="preserve"> </w:t>
      </w:r>
      <w:r w:rsidRPr="000F6665">
        <w:rPr>
          <w:rFonts w:ascii="Arial Narrow" w:hAnsi="Arial Narrow" w:cs="Tahoma"/>
          <w:b/>
          <w:i/>
          <w:sz w:val="28"/>
          <w:szCs w:val="28"/>
        </w:rPr>
        <w:t xml:space="preserve">Administrative and support service activities </w:t>
      </w:r>
      <w:r>
        <w:rPr>
          <w:rFonts w:ascii="Arial Narrow" w:hAnsi="Arial Narrow" w:cs="Tahoma"/>
          <w:b/>
          <w:sz w:val="28"/>
          <w:szCs w:val="28"/>
        </w:rPr>
        <w:t>and</w:t>
      </w:r>
      <w:r w:rsidR="0048741A" w:rsidRPr="006C2415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i/>
          <w:sz w:val="28"/>
          <w:szCs w:val="28"/>
        </w:rPr>
        <w:t>Construction</w:t>
      </w:r>
      <w:r w:rsidR="00E33D13" w:rsidRPr="006C2415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E33D13" w:rsidRPr="006C2415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32724B" w:rsidRPr="006C2415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="003679B3" w:rsidRPr="006C2415">
        <w:rPr>
          <w:rFonts w:ascii="Arial Narrow" w:hAnsi="Arial Narrow" w:cs="Tahoma"/>
          <w:b/>
          <w:sz w:val="28"/>
          <w:szCs w:val="28"/>
          <w:lang w:val="sr-Cyrl-BA"/>
        </w:rPr>
        <w:t>3</w:t>
      </w:r>
      <w:r w:rsidR="00E33D13" w:rsidRPr="006C2415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6C2415" w:rsidRDefault="00E33D13" w:rsidP="00E33D13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8D0080" w:rsidRDefault="008D008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paid in March 2015 was 831 KM, while average monthly gross wage was 1,340 KM. </w:t>
      </w:r>
    </w:p>
    <w:p w:rsidR="00B82005" w:rsidRPr="006C2415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801BFF" w:rsidRDefault="00801BF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 w:rsidRPr="00801BFF">
        <w:rPr>
          <w:rFonts w:ascii="Arial Narrow" w:hAnsi="Arial Narrow" w:cs="Tahoma"/>
          <w:sz w:val="22"/>
          <w:lang w:val="sr-Latn-CS"/>
        </w:rPr>
        <w:t>Compared</w:t>
      </w:r>
      <w:r>
        <w:rPr>
          <w:rFonts w:ascii="Arial Narrow" w:hAnsi="Arial Narrow" w:cs="Tahoma"/>
          <w:sz w:val="22"/>
          <w:lang w:val="sr-Latn-CS"/>
        </w:rPr>
        <w:t xml:space="preserve"> to March 2014, average net wage paid in March 2015 was really 2.7% higher, while compared to February 2015 it was really 0.9% lower. </w:t>
      </w:r>
    </w:p>
    <w:p w:rsidR="00801BFF" w:rsidRDefault="00801BF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801BFF" w:rsidRPr="00801BFF" w:rsidRDefault="00053B5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sr-Latn-CS"/>
        </w:rPr>
        <w:t>The</w:t>
      </w:r>
      <w:r w:rsidR="00801BFF">
        <w:rPr>
          <w:rFonts w:ascii="Arial Narrow" w:hAnsi="Arial Narrow" w:cs="Tahoma"/>
          <w:sz w:val="22"/>
          <w:lang w:val="sr-Latn-CS"/>
        </w:rPr>
        <w:t xml:space="preserve"> decrease in average net wages in March 2015</w:t>
      </w:r>
      <w:r>
        <w:rPr>
          <w:rFonts w:ascii="Arial Narrow" w:hAnsi="Arial Narrow" w:cs="Tahoma"/>
          <w:sz w:val="22"/>
          <w:lang w:val="sr-Latn-CS"/>
        </w:rPr>
        <w:t>, compared to February 2015, occurred mainly due to a lower number of paid hours of work realised in the sections mining and quarrying and electricity supply.</w:t>
      </w:r>
    </w:p>
    <w:p w:rsidR="00B82005" w:rsidRPr="00B66396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color w:val="0070C0"/>
          <w:sz w:val="22"/>
          <w:lang w:val="sr-Cyrl-CS"/>
        </w:rPr>
      </w:pPr>
    </w:p>
    <w:p w:rsidR="00E33D13" w:rsidRDefault="00053B5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lastRenderedPageBreak/>
        <w:t xml:space="preserve">In March 2015, the highest average net wage, by section of activities, was paid in the </w:t>
      </w:r>
      <w:r>
        <w:rPr>
          <w:rFonts w:ascii="Arial Narrow" w:hAnsi="Arial Narrow" w:cs="Tahoma"/>
          <w:sz w:val="22"/>
          <w:szCs w:val="22"/>
        </w:rPr>
        <w:t xml:space="preserve">section </w:t>
      </w:r>
      <w:r w:rsidRPr="000F6665">
        <w:rPr>
          <w:rFonts w:ascii="Arial Narrow" w:hAnsi="Arial Narrow" w:cs="Tahoma"/>
          <w:i/>
          <w:sz w:val="22"/>
        </w:rPr>
        <w:t xml:space="preserve">Financial and insurance activities </w:t>
      </w:r>
      <w:r w:rsidRPr="000F6665">
        <w:rPr>
          <w:rFonts w:ascii="Arial Narrow" w:hAnsi="Arial Narrow" w:cs="Tahoma"/>
          <w:sz w:val="22"/>
        </w:rPr>
        <w:t>and it amounted to</w:t>
      </w:r>
      <w:r>
        <w:rPr>
          <w:rFonts w:ascii="Arial Narrow" w:hAnsi="Arial Narrow" w:cs="Tahoma"/>
          <w:sz w:val="22"/>
        </w:rPr>
        <w:t xml:space="preserve"> 1,270 KM. On the other hand, the lowest average net wages in March 2015 were those paid in the sections </w:t>
      </w:r>
      <w:r w:rsidRPr="000F6665">
        <w:rPr>
          <w:rFonts w:ascii="Arial Narrow" w:hAnsi="Arial Narrow" w:cs="Tahoma"/>
          <w:i/>
          <w:sz w:val="22"/>
        </w:rPr>
        <w:t>Administrative and support service activities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and </w:t>
      </w:r>
      <w:r w:rsidRPr="00053B5F">
        <w:rPr>
          <w:rFonts w:ascii="Arial Narrow" w:hAnsi="Arial Narrow" w:cs="Tahoma"/>
          <w:i/>
          <w:sz w:val="22"/>
        </w:rPr>
        <w:t>Construction</w:t>
      </w:r>
      <w:r>
        <w:rPr>
          <w:rFonts w:ascii="Arial Narrow" w:hAnsi="Arial Narrow" w:cs="Tahoma"/>
          <w:sz w:val="22"/>
        </w:rPr>
        <w:t xml:space="preserve"> 513 KM. </w:t>
      </w:r>
    </w:p>
    <w:p w:rsidR="00053B5F" w:rsidRPr="006A5BB2" w:rsidRDefault="00053B5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053B5F" w:rsidRPr="006A5BB2" w:rsidRDefault="006A5BB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A5BB2">
        <w:rPr>
          <w:rFonts w:ascii="Arial Narrow" w:hAnsi="Arial Narrow" w:cs="Tahoma"/>
          <w:sz w:val="22"/>
        </w:rPr>
        <w:t xml:space="preserve">In March 2015, compared to February 2015, the highest nominal increase in net wages was recorded in the sections </w:t>
      </w:r>
      <w:r w:rsidRPr="006A5BB2">
        <w:rPr>
          <w:rFonts w:ascii="Arial Narrow" w:hAnsi="Arial Narrow" w:cs="Tahoma"/>
          <w:i/>
          <w:sz w:val="22"/>
          <w:szCs w:val="22"/>
        </w:rPr>
        <w:t xml:space="preserve">Education </w:t>
      </w:r>
      <w:r w:rsidRPr="006A5BB2">
        <w:rPr>
          <w:rFonts w:ascii="Arial Narrow" w:hAnsi="Arial Narrow" w:cs="Tahoma"/>
          <w:sz w:val="22"/>
          <w:szCs w:val="22"/>
        </w:rPr>
        <w:t xml:space="preserve">8.5%, </w:t>
      </w:r>
      <w:r w:rsidRPr="006A5BB2">
        <w:rPr>
          <w:rFonts w:ascii="Arial Narrow" w:hAnsi="Arial Narrow" w:cs="Tahoma"/>
          <w:i/>
          <w:sz w:val="22"/>
          <w:szCs w:val="22"/>
        </w:rPr>
        <w:t xml:space="preserve">Arts, entertainment and recreation </w:t>
      </w:r>
      <w:r w:rsidRPr="006A5BB2">
        <w:rPr>
          <w:rFonts w:ascii="Arial Narrow" w:hAnsi="Arial Narrow" w:cs="Tahoma"/>
          <w:sz w:val="22"/>
          <w:szCs w:val="22"/>
        </w:rPr>
        <w:t xml:space="preserve">5.0% and </w:t>
      </w:r>
      <w:r w:rsidRPr="006A5BB2">
        <w:rPr>
          <w:rFonts w:ascii="Arial Narrow" w:hAnsi="Arial Narrow" w:cs="Tahoma"/>
          <w:i/>
          <w:sz w:val="22"/>
          <w:szCs w:val="22"/>
        </w:rPr>
        <w:t xml:space="preserve">Agriculture, forestry and fishing </w:t>
      </w:r>
      <w:r w:rsidRPr="006A5BB2">
        <w:rPr>
          <w:rFonts w:ascii="Arial Narrow" w:hAnsi="Arial Narrow" w:cs="Tahoma"/>
          <w:sz w:val="22"/>
          <w:szCs w:val="22"/>
        </w:rPr>
        <w:t xml:space="preserve">2.6%. </w:t>
      </w:r>
    </w:p>
    <w:p w:rsidR="00E33D13" w:rsidRPr="00B66396" w:rsidRDefault="00E33D13" w:rsidP="00E33D13">
      <w:pPr>
        <w:jc w:val="both"/>
        <w:rPr>
          <w:rFonts w:ascii="Arial Narrow" w:hAnsi="Arial Narrow" w:cs="Tahoma"/>
          <w:color w:val="0070C0"/>
          <w:sz w:val="22"/>
          <w:lang w:val="sr-Latn-CS"/>
        </w:rPr>
      </w:pPr>
    </w:p>
    <w:p w:rsidR="00E33D13" w:rsidRPr="006A5BB2" w:rsidRDefault="006A5BB2" w:rsidP="00E33D13">
      <w:pPr>
        <w:jc w:val="both"/>
        <w:rPr>
          <w:rFonts w:ascii="Arial Narrow" w:hAnsi="Arial Narrow" w:cs="Tahoma"/>
          <w:sz w:val="22"/>
          <w:szCs w:val="22"/>
        </w:rPr>
      </w:pPr>
      <w:r w:rsidRPr="006A5BB2"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proofErr w:type="gramStart"/>
      <w:r w:rsidRPr="006A5BB2">
        <w:rPr>
          <w:rFonts w:ascii="Arial Narrow" w:hAnsi="Arial Narrow" w:cs="Tahoma"/>
          <w:i/>
          <w:sz w:val="22"/>
          <w:szCs w:val="22"/>
        </w:rPr>
        <w:t>Other</w:t>
      </w:r>
      <w:proofErr w:type="gramEnd"/>
      <w:r w:rsidRPr="006A5BB2">
        <w:rPr>
          <w:rFonts w:ascii="Arial Narrow" w:hAnsi="Arial Narrow" w:cs="Tahoma"/>
          <w:i/>
          <w:sz w:val="22"/>
          <w:szCs w:val="22"/>
        </w:rPr>
        <w:t xml:space="preserve"> service activities</w:t>
      </w:r>
      <w:r w:rsidRPr="006A5BB2">
        <w:rPr>
          <w:rFonts w:ascii="Arial Narrow" w:hAnsi="Arial Narrow" w:cs="Tahoma"/>
          <w:sz w:val="22"/>
          <w:szCs w:val="22"/>
        </w:rPr>
        <w:t xml:space="preserve"> 6.7%, </w:t>
      </w:r>
      <w:r w:rsidRPr="006A5BB2">
        <w:rPr>
          <w:rFonts w:ascii="Arial Narrow" w:hAnsi="Arial Narrow" w:cs="Tahoma"/>
          <w:i/>
          <w:sz w:val="22"/>
          <w:szCs w:val="22"/>
        </w:rPr>
        <w:t>Mining and quarrying</w:t>
      </w:r>
      <w:r w:rsidRPr="006A5BB2">
        <w:rPr>
          <w:rFonts w:ascii="Arial Narrow" w:hAnsi="Arial Narrow" w:cs="Tahoma"/>
          <w:sz w:val="22"/>
          <w:szCs w:val="22"/>
        </w:rPr>
        <w:t xml:space="preserve"> 5.1% and </w:t>
      </w:r>
      <w:r w:rsidRPr="006A5BB2">
        <w:rPr>
          <w:rFonts w:ascii="Arial Narrow" w:hAnsi="Arial Narrow" w:cs="Tahoma"/>
          <w:i/>
          <w:sz w:val="22"/>
          <w:szCs w:val="22"/>
        </w:rPr>
        <w:t>Professional, scientific and technical activities</w:t>
      </w:r>
      <w:r w:rsidRPr="006A5BB2">
        <w:rPr>
          <w:rFonts w:ascii="Arial Narrow" w:hAnsi="Arial Narrow" w:cs="Tahoma"/>
          <w:sz w:val="22"/>
          <w:szCs w:val="22"/>
        </w:rPr>
        <w:t xml:space="preserve"> 4.9%. </w:t>
      </w:r>
    </w:p>
    <w:p w:rsidR="00396802" w:rsidRPr="006C2415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6C2415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6C2415">
        <w:rPr>
          <w:rFonts w:ascii="Tahoma" w:hAnsi="Tahoma" w:cs="Tahoma"/>
          <w:i/>
          <w:sz w:val="14"/>
          <w:lang w:val="sr-Cyrl-CS"/>
        </w:rPr>
        <w:t xml:space="preserve"> </w:t>
      </w:r>
      <w:r w:rsidRPr="006C2415">
        <w:rPr>
          <w:rFonts w:ascii="Tahoma" w:hAnsi="Tahoma" w:cs="Tahoma"/>
          <w:sz w:val="14"/>
          <w:lang w:val="sr-Cyrl-CS"/>
        </w:rPr>
        <w:t xml:space="preserve">   </w:t>
      </w:r>
      <w:r w:rsidRPr="006C2415">
        <w:rPr>
          <w:rFonts w:ascii="Tahoma" w:hAnsi="Tahoma" w:cs="Tahoma"/>
          <w:sz w:val="14"/>
          <w:lang w:val="sr-Latn-CS"/>
        </w:rPr>
        <w:tab/>
      </w:r>
      <w:r w:rsidRPr="006C2415">
        <w:rPr>
          <w:rFonts w:ascii="Tahoma" w:hAnsi="Tahoma" w:cs="Tahoma"/>
          <w:sz w:val="14"/>
          <w:lang w:val="sr-Latn-CS"/>
        </w:rPr>
        <w:tab/>
      </w:r>
      <w:r w:rsidRPr="006C2415">
        <w:rPr>
          <w:rFonts w:ascii="Tahoma" w:hAnsi="Tahoma" w:cs="Tahoma"/>
          <w:sz w:val="14"/>
        </w:rPr>
        <w:t xml:space="preserve">            </w:t>
      </w:r>
      <w:r w:rsidR="00F85AAC" w:rsidRPr="006C2415">
        <w:rPr>
          <w:rFonts w:ascii="Tahoma" w:hAnsi="Tahoma" w:cs="Tahoma"/>
          <w:sz w:val="14"/>
          <w:lang w:val="sr-Cyrl-BA"/>
        </w:rPr>
        <w:t xml:space="preserve">   </w:t>
      </w:r>
      <w:r w:rsidRPr="006C2415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6C2415" w:rsidRDefault="00F85AAC" w:rsidP="00E33D13">
      <w:pPr>
        <w:jc w:val="center"/>
        <w:rPr>
          <w:rFonts w:ascii="Tahoma" w:hAnsi="Tahoma" w:cs="Tahoma"/>
        </w:rPr>
      </w:pPr>
      <w:r w:rsidRPr="006C2415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973511</wp:posOffset>
            </wp:positionH>
            <wp:positionV relativeFrom="paragraph">
              <wp:posOffset>2048455</wp:posOffset>
            </wp:positionV>
            <wp:extent cx="4505242" cy="461175"/>
            <wp:effectExtent l="1905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6C2415">
        <w:rPr>
          <w:rFonts w:ascii="Tahoma" w:hAnsi="Tahoma" w:cs="Tahoma"/>
          <w:szCs w:val="18"/>
        </w:rPr>
        <w:t xml:space="preserve"> </w:t>
      </w:r>
      <w:r w:rsidR="007A5FA4" w:rsidRPr="006C2415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33D13" w:rsidRPr="006C2415">
        <w:rPr>
          <w:rFonts w:ascii="Tahoma" w:hAnsi="Tahoma" w:cs="Tahoma"/>
          <w:szCs w:val="18"/>
        </w:rPr>
        <w:t xml:space="preserve">  </w:t>
      </w:r>
    </w:p>
    <w:p w:rsidR="00E33D13" w:rsidRPr="006C2415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C4740F" w:rsidRDefault="00C4740F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proofErr w:type="gramStart"/>
      <w:r>
        <w:rPr>
          <w:rFonts w:ascii="Arial Narrow" w:hAnsi="Arial Narrow" w:cs="Tahoma"/>
          <w:sz w:val="16"/>
          <w:szCs w:val="22"/>
        </w:rPr>
        <w:t>Graph</w:t>
      </w:r>
      <w:r w:rsidR="00E33D13" w:rsidRPr="006C241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CE2F01" w:rsidRPr="006C2415">
        <w:rPr>
          <w:rFonts w:ascii="Arial Narrow" w:hAnsi="Arial Narrow" w:cs="Tahoma"/>
          <w:sz w:val="16"/>
          <w:szCs w:val="22"/>
          <w:lang w:val="sr-Latn-BA"/>
        </w:rPr>
        <w:t>2</w:t>
      </w:r>
      <w:r w:rsidR="00E33D13" w:rsidRPr="006C2415">
        <w:rPr>
          <w:rFonts w:ascii="Arial Narrow" w:hAnsi="Arial Narrow" w:cs="Tahoma"/>
          <w:sz w:val="16"/>
          <w:szCs w:val="22"/>
          <w:lang w:val="sr-Cyrl-CS"/>
        </w:rPr>
        <w:t>.</w:t>
      </w:r>
      <w:proofErr w:type="gramEnd"/>
      <w:r w:rsidR="00E33D13" w:rsidRPr="006C241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6C2415" w:rsidRDefault="00BE051D">
      <w:pPr>
        <w:rPr>
          <w:rFonts w:ascii="Tahoma" w:hAnsi="Tahoma" w:cs="Tahoma"/>
          <w:lang w:val="sr-Cyrl-BA"/>
        </w:rPr>
      </w:pPr>
    </w:p>
    <w:p w:rsidR="00D30242" w:rsidRPr="00F64188" w:rsidRDefault="00F64188" w:rsidP="00D30242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 xml:space="preserve">Monthly inflation </w:t>
      </w:r>
      <w:r>
        <w:rPr>
          <w:rFonts w:ascii="Arial Narrow" w:hAnsi="Arial Narrow" w:cs="Tahoma"/>
          <w:b/>
          <w:sz w:val="30"/>
          <w:szCs w:val="30"/>
          <w:lang w:val="sr-Cyrl-BA"/>
        </w:rPr>
        <w:t>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D30242" w:rsidRPr="006C2415">
        <w:rPr>
          <w:rFonts w:ascii="Arial Narrow" w:hAnsi="Arial Narrow" w:cs="Tahoma"/>
          <w:b/>
          <w:sz w:val="30"/>
          <w:szCs w:val="30"/>
          <w:lang w:val="sr-Cyrl-BA"/>
        </w:rPr>
        <w:t>5%</w:t>
      </w:r>
      <w:r>
        <w:rPr>
          <w:rFonts w:ascii="Arial Narrow" w:hAnsi="Arial Narrow" w:cs="Tahoma"/>
          <w:b/>
          <w:sz w:val="30"/>
          <w:szCs w:val="30"/>
        </w:rPr>
        <w:t xml:space="preserve"> in March 2015</w:t>
      </w:r>
    </w:p>
    <w:p w:rsidR="00D30242" w:rsidRPr="006C2415" w:rsidRDefault="00F64188" w:rsidP="00D30242">
      <w:pPr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D30242" w:rsidRPr="006C2415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Latn-BA"/>
        </w:rPr>
        <w:t>March</w:t>
      </w:r>
      <w:r w:rsidR="00D30242" w:rsidRPr="006C2415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>
        <w:rPr>
          <w:rFonts w:ascii="Arial Narrow" w:hAnsi="Arial Narrow" w:cs="Tahoma"/>
          <w:b/>
          <w:sz w:val="30"/>
          <w:szCs w:val="30"/>
          <w:lang w:val="sr-Latn-BA"/>
        </w:rPr>
        <w:t xml:space="preserve">March </w:t>
      </w:r>
      <w:r>
        <w:rPr>
          <w:rFonts w:ascii="Arial Narrow" w:hAnsi="Arial Narrow" w:cs="Tahoma"/>
          <w:b/>
          <w:sz w:val="30"/>
          <w:szCs w:val="30"/>
          <w:lang w:val="sr-Cyrl-BA"/>
        </w:rPr>
        <w:t>2014) -0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D30242" w:rsidRPr="006C2415">
        <w:rPr>
          <w:rFonts w:ascii="Arial Narrow" w:hAnsi="Arial Narrow" w:cs="Tahoma"/>
          <w:b/>
          <w:sz w:val="30"/>
          <w:szCs w:val="30"/>
          <w:lang w:val="sr-Cyrl-BA"/>
        </w:rPr>
        <w:t>8%</w:t>
      </w:r>
    </w:p>
    <w:p w:rsidR="00D30242" w:rsidRPr="006C2415" w:rsidRDefault="00D30242" w:rsidP="00D30242">
      <w:pPr>
        <w:spacing w:after="120"/>
        <w:jc w:val="both"/>
        <w:rPr>
          <w:rFonts w:ascii="Tahoma" w:hAnsi="Tahoma" w:cs="Tahoma"/>
          <w:lang w:val="sr-Cyrl-BA"/>
        </w:rPr>
      </w:pPr>
    </w:p>
    <w:p w:rsidR="007327D5" w:rsidRDefault="007327D5" w:rsidP="00D30242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Prices of products and services for personal consumption in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, measured with the consumer price index, in March 2015, compared to the previous month, were on the average 0.5% higher, while at the annual level they were 0.8% lower. </w:t>
      </w:r>
    </w:p>
    <w:p w:rsidR="007327D5" w:rsidRPr="007327D5" w:rsidRDefault="007327D5" w:rsidP="00D30242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  <w:szCs w:val="22"/>
        </w:rPr>
        <w:t xml:space="preserve">Of the main 12 divisions of products and services, an increase in prices was recorded in six divisions, a decrease in three divisions, while prices in three divisions remained on the average at the same level. </w:t>
      </w:r>
    </w:p>
    <w:p w:rsidR="00D30242" w:rsidRDefault="007327D5" w:rsidP="00D30242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The highest increase in prices was</w:t>
      </w:r>
      <w:r w:rsidRPr="007327D5">
        <w:rPr>
          <w:rFonts w:ascii="Arial Narrow" w:hAnsi="Arial Narrow" w:cs="Tahoma"/>
          <w:sz w:val="22"/>
        </w:rPr>
        <w:t xml:space="preserve"> recorded in the division Transport (2.1%), due to higher prices of </w:t>
      </w:r>
      <w:r>
        <w:rPr>
          <w:rFonts w:ascii="Arial Narrow" w:hAnsi="Arial Narrow" w:cs="Tahoma"/>
          <w:sz w:val="22"/>
        </w:rPr>
        <w:t xml:space="preserve">petrol (4.4%), and in the division </w:t>
      </w:r>
      <w:r w:rsidRPr="007327D5">
        <w:rPr>
          <w:rFonts w:ascii="Arial Narrow" w:hAnsi="Arial Narrow" w:cs="Tahoma"/>
          <w:i/>
          <w:sz w:val="22"/>
        </w:rPr>
        <w:t>Clothing and footwear (</w:t>
      </w:r>
      <w:r>
        <w:rPr>
          <w:rFonts w:ascii="Arial Narrow" w:hAnsi="Arial Narrow" w:cs="Tahoma"/>
          <w:sz w:val="22"/>
        </w:rPr>
        <w:t xml:space="preserve">1.5%), due to seasonal prices and new purchases for the spring/summer season. Higher prices were also recorded in the divisions </w:t>
      </w:r>
      <w:r w:rsidRPr="007327D5">
        <w:rPr>
          <w:rFonts w:ascii="Arial Narrow" w:hAnsi="Arial Narrow" w:cs="Tahoma"/>
          <w:i/>
          <w:sz w:val="22"/>
        </w:rPr>
        <w:t>Food and non-alcoholic beverages</w:t>
      </w:r>
      <w:r>
        <w:rPr>
          <w:rFonts w:ascii="Arial Narrow" w:hAnsi="Arial Narrow" w:cs="Tahoma"/>
          <w:sz w:val="22"/>
        </w:rPr>
        <w:t xml:space="preserve"> (0.4%) and </w:t>
      </w:r>
      <w:r w:rsidRPr="007327D5">
        <w:rPr>
          <w:rFonts w:ascii="Arial Narrow" w:hAnsi="Arial Narrow" w:cs="Tahoma"/>
          <w:i/>
          <w:sz w:val="22"/>
        </w:rPr>
        <w:t>Housing</w:t>
      </w:r>
      <w:r>
        <w:rPr>
          <w:rFonts w:ascii="Arial Narrow" w:hAnsi="Arial Narrow" w:cs="Tahoma"/>
          <w:sz w:val="22"/>
        </w:rPr>
        <w:t xml:space="preserve"> (0.4%), mainly due to the end of discount period in the group food and because of </w:t>
      </w:r>
      <w:proofErr w:type="spellStart"/>
      <w:r>
        <w:rPr>
          <w:rFonts w:ascii="Arial Narrow" w:hAnsi="Arial Narrow" w:cs="Tahoma"/>
          <w:sz w:val="22"/>
        </w:rPr>
        <w:t>higer</w:t>
      </w:r>
      <w:proofErr w:type="spellEnd"/>
      <w:r>
        <w:rPr>
          <w:rFonts w:ascii="Arial Narrow" w:hAnsi="Arial Narrow" w:cs="Tahoma"/>
          <w:sz w:val="22"/>
        </w:rPr>
        <w:t xml:space="preserve"> prices in the group municipal services (3.3%). A slight increase in prices in March was also recorded in the divisions </w:t>
      </w:r>
      <w:r w:rsidRPr="007327D5">
        <w:rPr>
          <w:rFonts w:ascii="Arial Narrow" w:hAnsi="Arial Narrow" w:cs="Tahoma"/>
          <w:i/>
          <w:sz w:val="22"/>
        </w:rPr>
        <w:t>Furnishings and other equipment</w:t>
      </w:r>
      <w:r>
        <w:rPr>
          <w:rFonts w:ascii="Arial Narrow" w:hAnsi="Arial Narrow" w:cs="Tahoma"/>
          <w:sz w:val="22"/>
        </w:rPr>
        <w:t xml:space="preserve"> (0.1%) and </w:t>
      </w:r>
      <w:r w:rsidRPr="007327D5">
        <w:rPr>
          <w:rFonts w:ascii="Arial Narrow" w:hAnsi="Arial Narrow" w:cs="Tahoma"/>
          <w:i/>
          <w:sz w:val="22"/>
        </w:rPr>
        <w:t>Health care</w:t>
      </w:r>
      <w:r>
        <w:rPr>
          <w:rFonts w:ascii="Arial Narrow" w:hAnsi="Arial Narrow" w:cs="Tahoma"/>
          <w:sz w:val="22"/>
        </w:rPr>
        <w:t xml:space="preserve"> (0.1%). </w:t>
      </w:r>
    </w:p>
    <w:p w:rsidR="007327D5" w:rsidRDefault="007327D5" w:rsidP="00D30242">
      <w:pPr>
        <w:jc w:val="both"/>
        <w:rPr>
          <w:rFonts w:ascii="Arial Narrow" w:hAnsi="Arial Narrow" w:cs="Tahoma"/>
          <w:sz w:val="22"/>
        </w:rPr>
      </w:pPr>
    </w:p>
    <w:p w:rsidR="007327D5" w:rsidRDefault="007327D5" w:rsidP="00D30242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divisions </w:t>
      </w:r>
      <w:r w:rsidRPr="007327D5">
        <w:rPr>
          <w:rFonts w:ascii="Arial Narrow" w:hAnsi="Arial Narrow" w:cs="Tahoma"/>
          <w:i/>
          <w:sz w:val="22"/>
        </w:rPr>
        <w:t>Communication</w:t>
      </w:r>
      <w:r>
        <w:rPr>
          <w:rFonts w:ascii="Arial Narrow" w:hAnsi="Arial Narrow" w:cs="Tahoma"/>
          <w:sz w:val="22"/>
        </w:rPr>
        <w:t xml:space="preserve">, </w:t>
      </w:r>
      <w:r w:rsidRPr="007327D5">
        <w:rPr>
          <w:rFonts w:ascii="Arial Narrow" w:hAnsi="Arial Narrow" w:cs="Tahoma"/>
          <w:i/>
          <w:sz w:val="22"/>
        </w:rPr>
        <w:t>Education</w:t>
      </w:r>
      <w:r>
        <w:rPr>
          <w:rFonts w:ascii="Arial Narrow" w:hAnsi="Arial Narrow" w:cs="Tahoma"/>
          <w:sz w:val="22"/>
        </w:rPr>
        <w:t xml:space="preserve"> and </w:t>
      </w:r>
      <w:r w:rsidRPr="007327D5">
        <w:rPr>
          <w:rFonts w:ascii="Arial Narrow" w:hAnsi="Arial Narrow" w:cs="Tahoma"/>
          <w:i/>
          <w:sz w:val="22"/>
        </w:rPr>
        <w:t>Restaurants and hotels</w:t>
      </w:r>
      <w:r>
        <w:rPr>
          <w:rFonts w:ascii="Arial Narrow" w:hAnsi="Arial Narrow" w:cs="Tahoma"/>
          <w:sz w:val="22"/>
        </w:rPr>
        <w:t xml:space="preserve"> prices remained on the average at the same level. </w:t>
      </w:r>
    </w:p>
    <w:p w:rsidR="007327D5" w:rsidRDefault="007327D5" w:rsidP="00D30242">
      <w:pPr>
        <w:jc w:val="both"/>
        <w:rPr>
          <w:rFonts w:ascii="Arial Narrow" w:hAnsi="Arial Narrow" w:cs="Tahoma"/>
          <w:sz w:val="22"/>
        </w:rPr>
      </w:pPr>
    </w:p>
    <w:p w:rsidR="007327D5" w:rsidRPr="007327D5" w:rsidRDefault="00DD44D4" w:rsidP="00D30242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The highest</w:t>
      </w:r>
      <w:r w:rsidR="007327D5">
        <w:rPr>
          <w:rFonts w:ascii="Arial Narrow" w:hAnsi="Arial Narrow" w:cs="Tahoma"/>
          <w:sz w:val="22"/>
        </w:rPr>
        <w:t xml:space="preserve"> decrease in prices in March </w:t>
      </w:r>
      <w:r>
        <w:rPr>
          <w:rFonts w:ascii="Arial Narrow" w:hAnsi="Arial Narrow" w:cs="Tahoma"/>
          <w:sz w:val="22"/>
        </w:rPr>
        <w:t xml:space="preserve">was recorded in the division </w:t>
      </w:r>
      <w:proofErr w:type="gramStart"/>
      <w:r w:rsidRPr="00DD44D4">
        <w:rPr>
          <w:rFonts w:ascii="Arial Narrow" w:hAnsi="Arial Narrow" w:cs="Tahoma"/>
          <w:i/>
          <w:sz w:val="22"/>
        </w:rPr>
        <w:t>Other</w:t>
      </w:r>
      <w:proofErr w:type="gramEnd"/>
      <w:r w:rsidRPr="00DD44D4">
        <w:rPr>
          <w:rFonts w:ascii="Arial Narrow" w:hAnsi="Arial Narrow" w:cs="Tahoma"/>
          <w:i/>
          <w:sz w:val="22"/>
        </w:rPr>
        <w:t xml:space="preserve"> goods and services</w:t>
      </w:r>
      <w:r>
        <w:rPr>
          <w:rFonts w:ascii="Arial Narrow" w:hAnsi="Arial Narrow" w:cs="Tahoma"/>
          <w:sz w:val="22"/>
        </w:rPr>
        <w:t xml:space="preserve"> (0.4%), due to various discounts in the group personal care products (1.0%). Lower prices in March were also recorded in the divisions </w:t>
      </w:r>
      <w:r w:rsidRPr="00DD44D4">
        <w:rPr>
          <w:rFonts w:ascii="Arial Narrow" w:hAnsi="Arial Narrow" w:cs="Tahoma"/>
          <w:i/>
          <w:sz w:val="22"/>
        </w:rPr>
        <w:t>Recreation and culture</w:t>
      </w:r>
      <w:r>
        <w:rPr>
          <w:rFonts w:ascii="Arial Narrow" w:hAnsi="Arial Narrow" w:cs="Tahoma"/>
          <w:sz w:val="22"/>
        </w:rPr>
        <w:t xml:space="preserve"> and </w:t>
      </w:r>
      <w:r w:rsidRPr="00DD44D4">
        <w:rPr>
          <w:rFonts w:ascii="Arial Narrow" w:hAnsi="Arial Narrow" w:cs="Tahoma"/>
          <w:i/>
          <w:sz w:val="22"/>
        </w:rPr>
        <w:t>Alcoholic beverages and tobacco</w:t>
      </w:r>
      <w:r>
        <w:rPr>
          <w:rFonts w:ascii="Arial Narrow" w:hAnsi="Arial Narrow" w:cs="Tahoma"/>
          <w:sz w:val="22"/>
        </w:rPr>
        <w:t xml:space="preserve"> (0.2%). </w:t>
      </w:r>
    </w:p>
    <w:p w:rsidR="000213F8" w:rsidRPr="006C241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8E7D6D" w:rsidRDefault="008E7D6D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8E7D6D" w:rsidRDefault="008E7D6D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8E7D6D" w:rsidRDefault="008E7D6D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E2179" w:rsidRPr="006C2415" w:rsidRDefault="007E217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8E7D6D" w:rsidRDefault="00B66396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8E7D6D">
        <w:rPr>
          <w:rFonts w:ascii="Arial Narrow" w:hAnsi="Arial Narrow" w:cs="Tahoma"/>
          <w:b/>
          <w:bCs/>
          <w:sz w:val="28"/>
          <w:szCs w:val="30"/>
        </w:rPr>
        <w:t>Working-day adjusted industrial production</w:t>
      </w:r>
      <w:r w:rsidR="000213F8" w:rsidRPr="008E7D6D">
        <w:rPr>
          <w:rFonts w:ascii="Arial Narrow" w:hAnsi="Arial Narrow" w:cs="Tahoma"/>
          <w:b/>
          <w:sz w:val="28"/>
          <w:szCs w:val="30"/>
          <w:lang w:val="sr-Cyrl-CS"/>
        </w:rPr>
        <w:t xml:space="preserve"> (</w:t>
      </w:r>
      <w:r w:rsidRPr="008E7D6D">
        <w:rPr>
          <w:rFonts w:ascii="Arial Narrow" w:hAnsi="Arial Narrow" w:cs="Tahoma"/>
          <w:b/>
          <w:sz w:val="28"/>
          <w:szCs w:val="30"/>
        </w:rPr>
        <w:t>March</w:t>
      </w:r>
      <w:r w:rsidR="000213F8" w:rsidRPr="008E7D6D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0213F8" w:rsidRPr="008E7D6D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284295" w:rsidRPr="008E7D6D">
        <w:rPr>
          <w:rFonts w:ascii="Arial Narrow" w:hAnsi="Arial Narrow" w:cs="Tahoma"/>
          <w:b/>
          <w:sz w:val="28"/>
          <w:szCs w:val="30"/>
        </w:rPr>
        <w:t>5</w:t>
      </w:r>
      <w:r w:rsidR="000213F8" w:rsidRPr="008E7D6D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8E7D6D">
        <w:rPr>
          <w:rFonts w:ascii="Arial Narrow" w:hAnsi="Arial Narrow" w:cs="Tahoma"/>
          <w:b/>
          <w:sz w:val="28"/>
          <w:szCs w:val="30"/>
        </w:rPr>
        <w:t>March</w:t>
      </w:r>
      <w:r w:rsidR="000213F8" w:rsidRPr="008E7D6D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0213F8" w:rsidRPr="008E7D6D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284295" w:rsidRPr="008E7D6D">
        <w:rPr>
          <w:rFonts w:ascii="Arial Narrow" w:hAnsi="Arial Narrow" w:cs="Tahoma"/>
          <w:b/>
          <w:bCs/>
          <w:sz w:val="28"/>
          <w:szCs w:val="30"/>
        </w:rPr>
        <w:t>4</w:t>
      </w:r>
      <w:r w:rsidR="000213F8" w:rsidRPr="008E7D6D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0213F8" w:rsidRPr="008E7D6D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8E7D6D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0213F8" w:rsidRPr="008E7D6D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AC4206" w:rsidRPr="008E7D6D">
        <w:rPr>
          <w:rFonts w:ascii="Arial Narrow" w:hAnsi="Arial Narrow" w:cs="Tahoma"/>
          <w:b/>
          <w:bCs/>
          <w:sz w:val="28"/>
          <w:szCs w:val="30"/>
        </w:rPr>
        <w:t>3</w:t>
      </w:r>
      <w:r w:rsidRPr="008E7D6D">
        <w:rPr>
          <w:rFonts w:ascii="Arial Narrow" w:hAnsi="Arial Narrow" w:cs="Tahoma"/>
          <w:b/>
          <w:bCs/>
          <w:sz w:val="28"/>
          <w:szCs w:val="30"/>
        </w:rPr>
        <w:t>.</w:t>
      </w:r>
      <w:r w:rsidR="00AC4206" w:rsidRPr="008E7D6D">
        <w:rPr>
          <w:rFonts w:ascii="Arial Narrow" w:hAnsi="Arial Narrow" w:cs="Tahoma"/>
          <w:b/>
          <w:bCs/>
          <w:sz w:val="28"/>
          <w:szCs w:val="30"/>
        </w:rPr>
        <w:t>7</w:t>
      </w:r>
      <w:r w:rsidR="000213F8" w:rsidRPr="008E7D6D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0213F8" w:rsidRPr="00296E1F" w:rsidRDefault="00296E1F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296E1F">
        <w:rPr>
          <w:rFonts w:ascii="Arial Narrow" w:hAnsi="Arial Narrow" w:cs="Tahoma"/>
          <w:b/>
          <w:sz w:val="28"/>
        </w:rPr>
        <w:t>Number of employees in industry</w:t>
      </w:r>
      <w:r w:rsidR="000213F8" w:rsidRPr="00296E1F">
        <w:rPr>
          <w:rFonts w:ascii="Arial Narrow" w:hAnsi="Arial Narrow" w:cs="Tahoma"/>
          <w:b/>
          <w:sz w:val="28"/>
          <w:lang w:val="ru-RU"/>
        </w:rPr>
        <w:t xml:space="preserve"> (</w:t>
      </w:r>
      <w:r w:rsidRPr="00296E1F">
        <w:rPr>
          <w:rFonts w:ascii="Arial Narrow" w:hAnsi="Arial Narrow" w:cs="Tahoma"/>
          <w:b/>
          <w:sz w:val="28"/>
        </w:rPr>
        <w:t>March</w:t>
      </w:r>
      <w:r w:rsidR="000213F8" w:rsidRPr="00296E1F">
        <w:rPr>
          <w:rFonts w:ascii="Arial Narrow" w:hAnsi="Arial Narrow" w:cs="Tahoma"/>
          <w:b/>
          <w:sz w:val="28"/>
          <w:lang w:val="ru-RU"/>
        </w:rPr>
        <w:t xml:space="preserve"> 201</w:t>
      </w:r>
      <w:r w:rsidR="00284295" w:rsidRPr="00296E1F">
        <w:rPr>
          <w:rFonts w:ascii="Arial Narrow" w:hAnsi="Arial Narrow" w:cs="Tahoma"/>
          <w:b/>
          <w:sz w:val="28"/>
        </w:rPr>
        <w:t>5</w:t>
      </w:r>
      <w:r w:rsidR="000213F8" w:rsidRPr="00296E1F">
        <w:rPr>
          <w:rFonts w:ascii="Arial Narrow" w:hAnsi="Arial Narrow" w:cs="Tahoma"/>
          <w:b/>
          <w:sz w:val="28"/>
          <w:lang w:val="ru-RU"/>
        </w:rPr>
        <w:t>/</w:t>
      </w:r>
      <w:r w:rsidRPr="00296E1F">
        <w:rPr>
          <w:rFonts w:ascii="Arial Narrow" w:hAnsi="Arial Narrow" w:cs="Tahoma"/>
          <w:b/>
          <w:sz w:val="28"/>
        </w:rPr>
        <w:t>March</w:t>
      </w:r>
      <w:r w:rsidR="000213F8" w:rsidRPr="00296E1F">
        <w:rPr>
          <w:rFonts w:ascii="Arial Narrow" w:hAnsi="Arial Narrow" w:cs="Tahoma"/>
          <w:b/>
          <w:sz w:val="28"/>
          <w:lang w:val="ru-RU"/>
        </w:rPr>
        <w:t xml:space="preserve"> 201</w:t>
      </w:r>
      <w:r w:rsidR="00284295" w:rsidRPr="00296E1F">
        <w:rPr>
          <w:rFonts w:ascii="Arial Narrow" w:hAnsi="Arial Narrow" w:cs="Tahoma"/>
          <w:b/>
          <w:sz w:val="28"/>
        </w:rPr>
        <w:t>4</w:t>
      </w:r>
      <w:r w:rsidR="000213F8" w:rsidRPr="00296E1F">
        <w:rPr>
          <w:rFonts w:ascii="Arial Narrow" w:hAnsi="Arial Narrow" w:cs="Tahoma"/>
          <w:b/>
          <w:sz w:val="28"/>
          <w:lang w:val="ru-RU"/>
        </w:rPr>
        <w:t xml:space="preserve">) </w:t>
      </w:r>
      <w:r w:rsidRPr="00296E1F">
        <w:rPr>
          <w:rFonts w:ascii="Arial Narrow" w:hAnsi="Arial Narrow" w:cs="Tahoma"/>
          <w:b/>
          <w:sz w:val="28"/>
        </w:rPr>
        <w:t>increased by</w:t>
      </w:r>
      <w:r w:rsidR="000213F8" w:rsidRPr="00296E1F">
        <w:rPr>
          <w:rFonts w:ascii="Arial Narrow" w:hAnsi="Arial Narrow" w:cs="Tahoma"/>
          <w:b/>
          <w:sz w:val="28"/>
          <w:lang w:val="ru-RU"/>
        </w:rPr>
        <w:t xml:space="preserve"> </w:t>
      </w:r>
      <w:r w:rsidR="00B85D9D" w:rsidRPr="00296E1F">
        <w:rPr>
          <w:rFonts w:ascii="Arial Narrow" w:hAnsi="Arial Narrow" w:cs="Tahoma"/>
          <w:b/>
          <w:sz w:val="28"/>
          <w:lang w:val="sr-Cyrl-CS"/>
        </w:rPr>
        <w:t>0</w:t>
      </w:r>
      <w:r w:rsidRPr="00296E1F">
        <w:rPr>
          <w:rFonts w:ascii="Arial Narrow" w:hAnsi="Arial Narrow" w:cs="Tahoma"/>
          <w:b/>
          <w:sz w:val="28"/>
        </w:rPr>
        <w:t>.</w:t>
      </w:r>
      <w:r w:rsidR="00AC4206" w:rsidRPr="00296E1F">
        <w:rPr>
          <w:rFonts w:ascii="Arial Narrow" w:hAnsi="Arial Narrow" w:cs="Tahoma"/>
          <w:b/>
          <w:sz w:val="28"/>
          <w:lang w:val="ru-RU"/>
        </w:rPr>
        <w:t>9</w:t>
      </w:r>
      <w:r w:rsidR="000213F8" w:rsidRPr="00296E1F">
        <w:rPr>
          <w:rFonts w:ascii="Arial Narrow" w:hAnsi="Arial Narrow" w:cs="Tahoma"/>
          <w:b/>
          <w:sz w:val="28"/>
          <w:lang w:val="ru-RU"/>
        </w:rPr>
        <w:t>%</w:t>
      </w:r>
    </w:p>
    <w:p w:rsidR="000213F8" w:rsidRPr="00B66396" w:rsidRDefault="000213F8" w:rsidP="000213F8">
      <w:pPr>
        <w:tabs>
          <w:tab w:val="left" w:pos="0"/>
          <w:tab w:val="left" w:pos="1100"/>
        </w:tabs>
        <w:jc w:val="both"/>
        <w:rPr>
          <w:rFonts w:ascii="Tahoma" w:hAnsi="Tahoma" w:cs="Tahoma"/>
          <w:color w:val="0070C0"/>
          <w:spacing w:val="-4"/>
          <w:lang w:val="sr-Cyrl-CS"/>
        </w:rPr>
      </w:pPr>
    </w:p>
    <w:p w:rsidR="00694B98" w:rsidRDefault="00694B98" w:rsidP="000213F8">
      <w:pPr>
        <w:jc w:val="both"/>
        <w:rPr>
          <w:rFonts w:ascii="Arial Narrow" w:hAnsi="Arial Narrow" w:cs="Tahoma"/>
          <w:b/>
          <w:color w:val="0070C0"/>
          <w:sz w:val="22"/>
        </w:rPr>
      </w:pPr>
      <w:r>
        <w:rPr>
          <w:rFonts w:ascii="Arial Narrow" w:hAnsi="Arial Narrow" w:cs="Tahoma"/>
          <w:b/>
          <w:sz w:val="22"/>
        </w:rPr>
        <w:t>Working-day adjusted industrial production</w:t>
      </w:r>
      <w:r w:rsidRPr="00553FE9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in March 2015, compared to March 2014, increased by 3.7%. In the section </w:t>
      </w:r>
      <w:r w:rsidRPr="00F733CE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an increase by 10.3% was recorded and in the section </w:t>
      </w:r>
      <w:r w:rsidRPr="00626597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an increase by 5.0%, while in the section </w:t>
      </w:r>
      <w:r w:rsidRPr="00B23575">
        <w:rPr>
          <w:rFonts w:ascii="Arial Narrow" w:hAnsi="Arial Narrow" w:cs="Tahoma"/>
          <w:i/>
          <w:sz w:val="22"/>
          <w:szCs w:val="22"/>
          <w:lang w:val="sr-Cyrl-CS"/>
        </w:rPr>
        <w:t>Electricity, gas, steam and air-conditioning supply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a decrease by 4.2% was recorded. By main industrial group, based on economic purpose of products, production of consumer durables in March 2015, compared to March 2014, was 15.1% higher, production of energy was 13.0% higher, production of intermediate goods was 5.2% higher and production of consumer non-durables was 2.5% higher, while production of capital goods was 19.5% lower. </w:t>
      </w:r>
    </w:p>
    <w:p w:rsidR="000213F8" w:rsidRDefault="000213F8" w:rsidP="000213F8">
      <w:pPr>
        <w:jc w:val="both"/>
        <w:rPr>
          <w:rFonts w:ascii="Arial Narrow" w:hAnsi="Arial Narrow" w:cs="Tahoma"/>
          <w:b/>
          <w:color w:val="0070C0"/>
          <w:sz w:val="22"/>
        </w:rPr>
      </w:pPr>
    </w:p>
    <w:p w:rsidR="00694B98" w:rsidRPr="00694B98" w:rsidRDefault="00694B98" w:rsidP="000213F8">
      <w:pPr>
        <w:jc w:val="both"/>
        <w:rPr>
          <w:rFonts w:ascii="Arial Narrow" w:hAnsi="Arial Narrow" w:cs="Tahoma"/>
          <w:color w:val="0070C0"/>
          <w:sz w:val="22"/>
        </w:rPr>
      </w:pPr>
      <w:proofErr w:type="gramStart"/>
      <w:r w:rsidRPr="00D84BC5">
        <w:rPr>
          <w:rFonts w:ascii="Arial Narrow" w:hAnsi="Arial Narrow" w:cs="Tahoma"/>
          <w:b/>
          <w:sz w:val="22"/>
        </w:rPr>
        <w:t>Number of employees in industry</w:t>
      </w:r>
      <w:r>
        <w:rPr>
          <w:rFonts w:ascii="Arial Narrow" w:hAnsi="Arial Narrow" w:cs="Tahoma"/>
          <w:sz w:val="22"/>
        </w:rPr>
        <w:t xml:space="preserve"> in March 2015, compared to the same month of the previous year, increased by 0.9%.</w:t>
      </w:r>
      <w:proofErr w:type="gramEnd"/>
      <w:r>
        <w:rPr>
          <w:rFonts w:ascii="Arial Narrow" w:hAnsi="Arial Narrow" w:cs="Tahoma"/>
          <w:sz w:val="22"/>
        </w:rPr>
        <w:t xml:space="preserve"> Compared to February 2015 it was 0.6% higher and compared to the average monthly number of employed persons in 2014 it was 0.1% higher. Number of employees in industry in the period January – March 2015, compared to the same period of the previous year, </w:t>
      </w:r>
      <w:r w:rsidR="00E554CF">
        <w:rPr>
          <w:rFonts w:ascii="Arial Narrow" w:hAnsi="Arial Narrow" w:cs="Tahoma"/>
          <w:sz w:val="22"/>
        </w:rPr>
        <w:t xml:space="preserve">was 1.0% higher. During the same period, in the section </w:t>
      </w:r>
      <w:r w:rsidR="00E554CF" w:rsidRPr="006664CA">
        <w:rPr>
          <w:rFonts w:ascii="Arial Narrow" w:hAnsi="Arial Narrow" w:cs="Tahoma"/>
          <w:i/>
          <w:spacing w:val="-2"/>
          <w:sz w:val="22"/>
        </w:rPr>
        <w:t>Electricity, gas, steam and air-conditioning supply</w:t>
      </w:r>
      <w:r w:rsidR="00E554CF">
        <w:rPr>
          <w:rFonts w:ascii="Arial Narrow" w:hAnsi="Arial Narrow" w:cs="Tahoma"/>
          <w:i/>
          <w:spacing w:val="-2"/>
          <w:sz w:val="22"/>
        </w:rPr>
        <w:t xml:space="preserve"> </w:t>
      </w:r>
      <w:r w:rsidR="00E554CF">
        <w:rPr>
          <w:rFonts w:ascii="Arial Narrow" w:hAnsi="Arial Narrow" w:cs="Tahoma"/>
          <w:spacing w:val="-2"/>
          <w:sz w:val="22"/>
        </w:rPr>
        <w:t xml:space="preserve">an increase by 5.2% was </w:t>
      </w:r>
      <w:proofErr w:type="spellStart"/>
      <w:r w:rsidR="00E554CF">
        <w:rPr>
          <w:rFonts w:ascii="Arial Narrow" w:hAnsi="Arial Narrow" w:cs="Tahoma"/>
          <w:spacing w:val="-2"/>
          <w:sz w:val="22"/>
        </w:rPr>
        <w:t>realised</w:t>
      </w:r>
      <w:proofErr w:type="spellEnd"/>
      <w:r w:rsidR="00E554CF">
        <w:rPr>
          <w:rFonts w:ascii="Arial Narrow" w:hAnsi="Arial Narrow" w:cs="Tahoma"/>
          <w:spacing w:val="-2"/>
          <w:sz w:val="22"/>
        </w:rPr>
        <w:t xml:space="preserve">, in the section </w:t>
      </w:r>
      <w:r w:rsidR="00E554CF" w:rsidRPr="006664CA">
        <w:rPr>
          <w:rFonts w:ascii="Arial Narrow" w:hAnsi="Arial Narrow" w:cs="Tahoma"/>
          <w:i/>
          <w:spacing w:val="-2"/>
          <w:sz w:val="22"/>
        </w:rPr>
        <w:t>Mining and quarrying</w:t>
      </w:r>
      <w:r w:rsidR="00E554CF">
        <w:rPr>
          <w:rFonts w:ascii="Arial Narrow" w:hAnsi="Arial Narrow" w:cs="Tahoma"/>
          <w:i/>
          <w:spacing w:val="-2"/>
          <w:sz w:val="22"/>
        </w:rPr>
        <w:t xml:space="preserve"> </w:t>
      </w:r>
      <w:r w:rsidR="00E554CF">
        <w:rPr>
          <w:rFonts w:ascii="Arial Narrow" w:hAnsi="Arial Narrow" w:cs="Tahoma"/>
          <w:spacing w:val="-2"/>
          <w:sz w:val="22"/>
        </w:rPr>
        <w:t xml:space="preserve">an increase by 3.1% and in the section </w:t>
      </w:r>
      <w:r w:rsidR="00E554CF" w:rsidRPr="003956D3">
        <w:rPr>
          <w:rFonts w:ascii="Arial Narrow" w:hAnsi="Arial Narrow" w:cs="Tahoma"/>
          <w:i/>
          <w:spacing w:val="-2"/>
          <w:sz w:val="22"/>
        </w:rPr>
        <w:t>Manufacturing</w:t>
      </w:r>
      <w:r w:rsidR="00E554CF">
        <w:rPr>
          <w:rFonts w:ascii="Arial Narrow" w:hAnsi="Arial Narrow" w:cs="Tahoma"/>
          <w:spacing w:val="-2"/>
          <w:sz w:val="22"/>
        </w:rPr>
        <w:t xml:space="preserve"> an increase by 0.1% was recorded. </w:t>
      </w:r>
    </w:p>
    <w:p w:rsidR="000213F8" w:rsidRPr="006C241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6C2415" w:rsidRDefault="00783BED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6C2415">
        <w:rPr>
          <w:rFonts w:ascii="Arial Narrow" w:hAnsi="Arial Narrow" w:cs="Tahoma"/>
          <w:noProof/>
          <w:sz w:val="22"/>
          <w:szCs w:val="22"/>
        </w:rPr>
        <w:drawing>
          <wp:inline distT="0" distB="0" distL="0" distR="0">
            <wp:extent cx="6480810" cy="3091962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6C2415" w:rsidRDefault="00B52B88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B85D9D" w:rsidRPr="006C2415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CE2F01" w:rsidRPr="006C2415">
        <w:rPr>
          <w:rFonts w:ascii="Arial Narrow" w:hAnsi="Arial Narrow" w:cs="Tahoma"/>
          <w:sz w:val="16"/>
          <w:szCs w:val="16"/>
          <w:lang w:val="sr-Latn-CS"/>
        </w:rPr>
        <w:t>3</w:t>
      </w:r>
      <w:r w:rsidR="00B85D9D" w:rsidRPr="006C2415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B85D9D" w:rsidRPr="006C2415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 w:rsidR="00C4740F">
        <w:rPr>
          <w:rFonts w:ascii="Arial Narrow" w:hAnsi="Arial Narrow" w:cs="Tahoma"/>
          <w:sz w:val="16"/>
          <w:szCs w:val="16"/>
        </w:rPr>
        <w:t>March</w:t>
      </w:r>
      <w:r w:rsidR="00B85D9D" w:rsidRPr="006C2415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B85D9D" w:rsidRPr="006C2415">
        <w:rPr>
          <w:rFonts w:ascii="Arial Narrow" w:hAnsi="Arial Narrow" w:cs="Tahoma"/>
          <w:sz w:val="16"/>
          <w:szCs w:val="16"/>
        </w:rPr>
        <w:t>1</w:t>
      </w:r>
      <w:r w:rsidR="00B85D9D" w:rsidRPr="006C2415">
        <w:rPr>
          <w:rFonts w:ascii="Arial Narrow" w:hAnsi="Arial Narrow" w:cs="Tahoma"/>
          <w:sz w:val="16"/>
          <w:szCs w:val="16"/>
          <w:lang w:val="sr-Cyrl-CS"/>
        </w:rPr>
        <w:t>1</w:t>
      </w:r>
      <w:r w:rsidR="00B85D9D" w:rsidRPr="006C2415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C4740F">
        <w:rPr>
          <w:rFonts w:ascii="Arial Narrow" w:hAnsi="Arial Narrow" w:cs="Tahoma"/>
          <w:sz w:val="16"/>
          <w:szCs w:val="16"/>
        </w:rPr>
        <w:t>March</w:t>
      </w:r>
      <w:r w:rsidR="00B85D9D" w:rsidRPr="006C2415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85D9D" w:rsidRPr="006C2415">
        <w:rPr>
          <w:rFonts w:ascii="Arial Narrow" w:hAnsi="Arial Narrow" w:cs="Tahoma"/>
          <w:sz w:val="16"/>
          <w:szCs w:val="16"/>
          <w:lang w:val="sr-Cyrl-CS"/>
        </w:rPr>
        <w:t>5</w:t>
      </w:r>
      <w:r w:rsidR="00B85D9D" w:rsidRPr="006C2415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B85D9D" w:rsidRPr="006C2415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B85D9D" w:rsidRPr="006C2415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6C241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8E7D6D" w:rsidRPr="008E7D6D" w:rsidRDefault="008E7D6D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28"/>
          <w:szCs w:val="30"/>
          <w:lang w:val="sr-Cyrl-BA"/>
        </w:rPr>
      </w:pPr>
    </w:p>
    <w:p w:rsidR="00055304" w:rsidRPr="00BC583D" w:rsidRDefault="00145D39" w:rsidP="00055304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BC583D">
        <w:rPr>
          <w:rFonts w:ascii="Arial Narrow" w:hAnsi="Arial Narrow" w:cs="Tahoma"/>
          <w:b/>
          <w:sz w:val="30"/>
          <w:szCs w:val="30"/>
        </w:rPr>
        <w:t>Coverage of import with export</w:t>
      </w:r>
      <w:r w:rsidR="00055304" w:rsidRPr="00BC583D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Pr="00BC583D">
        <w:rPr>
          <w:rFonts w:ascii="Arial Narrow" w:hAnsi="Arial Narrow" w:cs="Tahoma"/>
          <w:b/>
          <w:sz w:val="30"/>
          <w:szCs w:val="30"/>
        </w:rPr>
        <w:t>in the period January</w:t>
      </w:r>
      <w:r w:rsidR="00055304" w:rsidRPr="00BC583D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Pr="00BC583D">
        <w:rPr>
          <w:rFonts w:ascii="Arial Narrow" w:hAnsi="Arial Narrow" w:cs="Tahoma"/>
          <w:b/>
          <w:sz w:val="30"/>
          <w:szCs w:val="30"/>
        </w:rPr>
        <w:t>March</w:t>
      </w:r>
      <w:r w:rsidR="00055304" w:rsidRPr="00BC583D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055304" w:rsidRPr="00BC583D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Pr="00BC583D">
        <w:rPr>
          <w:rFonts w:ascii="Arial Narrow" w:hAnsi="Arial Narrow" w:cs="Tahoma"/>
          <w:b/>
          <w:sz w:val="30"/>
          <w:szCs w:val="30"/>
        </w:rPr>
        <w:t>5</w:t>
      </w:r>
      <w:r w:rsidR="00055304" w:rsidRPr="00BC583D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055304" w:rsidRPr="00BC583D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831F8" w:rsidRPr="00BC583D">
        <w:rPr>
          <w:rFonts w:ascii="Arial Narrow" w:hAnsi="Arial Narrow" w:cs="Tahoma"/>
          <w:b/>
          <w:sz w:val="30"/>
          <w:szCs w:val="30"/>
          <w:lang w:val="hr-HR"/>
        </w:rPr>
        <w:t>60</w:t>
      </w:r>
      <w:r w:rsidRPr="00BC583D"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9831F8" w:rsidRPr="00BC583D">
        <w:rPr>
          <w:rFonts w:ascii="Arial Narrow" w:hAnsi="Arial Narrow" w:cs="Tahoma"/>
          <w:b/>
          <w:sz w:val="30"/>
          <w:szCs w:val="30"/>
          <w:lang w:val="hr-HR"/>
        </w:rPr>
        <w:t>1</w:t>
      </w:r>
      <w:r w:rsidR="00055304" w:rsidRPr="00BC583D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055304" w:rsidRPr="00145D39" w:rsidRDefault="00055304" w:rsidP="0005530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DF5DBC" w:rsidRDefault="00DF5DBC" w:rsidP="00055304">
      <w:pPr>
        <w:jc w:val="both"/>
        <w:rPr>
          <w:rFonts w:ascii="Arial Narrow" w:hAnsi="Arial Narrow" w:cs="Tahoma"/>
          <w:sz w:val="22"/>
        </w:rPr>
      </w:pPr>
      <w:r w:rsidRPr="00DF5DBC">
        <w:rPr>
          <w:rFonts w:ascii="Arial Narrow" w:hAnsi="Arial Narrow" w:cs="Tahoma"/>
          <w:sz w:val="22"/>
        </w:rPr>
        <w:t xml:space="preserve">In March 2015, the value of export amounted to 213 million KM and the value of import was 402 million KM. </w:t>
      </w:r>
    </w:p>
    <w:p w:rsidR="00DF5DBC" w:rsidRDefault="00DF5DBC" w:rsidP="00055304">
      <w:pPr>
        <w:jc w:val="both"/>
        <w:rPr>
          <w:rFonts w:ascii="Arial Narrow" w:hAnsi="Arial Narrow" w:cs="Tahoma"/>
          <w:sz w:val="22"/>
        </w:rPr>
      </w:pPr>
    </w:p>
    <w:p w:rsidR="00DF5DBC" w:rsidRDefault="00DF5DBC" w:rsidP="00055304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in March of the current year, the percentage of coverage of import with export was 52.9%. </w:t>
      </w:r>
      <w:r w:rsidR="003B2A3C">
        <w:rPr>
          <w:rFonts w:ascii="Arial Narrow" w:hAnsi="Arial Narrow" w:cs="Tahoma"/>
          <w:sz w:val="22"/>
        </w:rPr>
        <w:t xml:space="preserve">The percentage of coverage of import with export in the first three months of the current year was 60.1%. </w:t>
      </w:r>
    </w:p>
    <w:p w:rsidR="003B2A3C" w:rsidRDefault="003B2A3C" w:rsidP="00055304">
      <w:pPr>
        <w:jc w:val="both"/>
        <w:rPr>
          <w:rFonts w:ascii="Arial Narrow" w:hAnsi="Arial Narrow" w:cs="Tahoma"/>
          <w:sz w:val="22"/>
        </w:rPr>
      </w:pPr>
    </w:p>
    <w:p w:rsidR="003B2A3C" w:rsidRPr="00DF5DBC" w:rsidRDefault="00A246FF" w:rsidP="00055304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period January – March 2015, the value of export was 583 million KM, which represented a decrease by 8.2% compared to the same period of the previous year. During the same period, the value of import was 971 million KM, which represented a decrease by 11.7% compared to the same period of the previous year. </w:t>
      </w:r>
    </w:p>
    <w:p w:rsidR="00055304" w:rsidRPr="003B2A3C" w:rsidRDefault="00055304" w:rsidP="00055304">
      <w:pPr>
        <w:jc w:val="both"/>
        <w:rPr>
          <w:rFonts w:ascii="Arial Narrow" w:hAnsi="Arial Narrow" w:cs="Tahoma"/>
          <w:color w:val="0070C0"/>
          <w:sz w:val="22"/>
        </w:rPr>
      </w:pPr>
    </w:p>
    <w:p w:rsidR="00055304" w:rsidRDefault="007E2179" w:rsidP="00055304">
      <w:pPr>
        <w:jc w:val="both"/>
        <w:rPr>
          <w:rFonts w:ascii="Arial Narrow" w:hAnsi="Arial Narrow" w:cs="Tahoma"/>
          <w:sz w:val="22"/>
        </w:rPr>
      </w:pPr>
      <w:r w:rsidRPr="007A6714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7A6714">
        <w:rPr>
          <w:rFonts w:ascii="Arial Narrow" w:hAnsi="Arial Narrow" w:cs="Tahoma"/>
          <w:sz w:val="22"/>
        </w:rPr>
        <w:t>Republika</w:t>
      </w:r>
      <w:proofErr w:type="spellEnd"/>
      <w:r w:rsidRPr="007A6714">
        <w:rPr>
          <w:rFonts w:ascii="Arial Narrow" w:hAnsi="Arial Narrow" w:cs="Tahoma"/>
          <w:sz w:val="22"/>
        </w:rPr>
        <w:t xml:space="preserve"> </w:t>
      </w:r>
      <w:proofErr w:type="spellStart"/>
      <w:r w:rsidRPr="007A6714">
        <w:rPr>
          <w:rFonts w:ascii="Arial Narrow" w:hAnsi="Arial Narrow" w:cs="Tahoma"/>
          <w:sz w:val="22"/>
        </w:rPr>
        <w:t>Srpska</w:t>
      </w:r>
      <w:proofErr w:type="spellEnd"/>
      <w:r w:rsidRPr="007A6714">
        <w:rPr>
          <w:rFonts w:ascii="Arial Narrow" w:hAnsi="Arial Narrow" w:cs="Tahoma"/>
          <w:sz w:val="22"/>
        </w:rPr>
        <w:t>, in the period January –</w:t>
      </w:r>
      <w:r>
        <w:rPr>
          <w:rFonts w:ascii="Arial Narrow" w:hAnsi="Arial Narrow" w:cs="Tahoma"/>
          <w:sz w:val="22"/>
        </w:rPr>
        <w:t xml:space="preserve"> March 2015, </w:t>
      </w:r>
      <w:r w:rsidRPr="007A6714">
        <w:rPr>
          <w:rFonts w:ascii="Arial Narrow" w:hAnsi="Arial Narrow" w:cs="Tahoma"/>
          <w:sz w:val="22"/>
        </w:rPr>
        <w:t>the highest value of export was that of export to</w:t>
      </w:r>
      <w:r>
        <w:rPr>
          <w:rFonts w:ascii="Arial Narrow" w:hAnsi="Arial Narrow" w:cs="Tahoma"/>
          <w:sz w:val="22"/>
        </w:rPr>
        <w:t xml:space="preserve"> Italy, with 110 million KM or 18.8%, followed by Serbia with 77 million KM or 13.3%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export. </w:t>
      </w:r>
    </w:p>
    <w:p w:rsidR="007E2179" w:rsidRDefault="007E2179" w:rsidP="00055304">
      <w:pPr>
        <w:jc w:val="both"/>
        <w:rPr>
          <w:rFonts w:ascii="Arial Narrow" w:hAnsi="Arial Narrow" w:cs="Tahoma"/>
          <w:sz w:val="22"/>
        </w:rPr>
      </w:pPr>
    </w:p>
    <w:p w:rsidR="007E2179" w:rsidRPr="00B66396" w:rsidRDefault="007E2179" w:rsidP="00055304">
      <w:pPr>
        <w:jc w:val="both"/>
        <w:rPr>
          <w:rFonts w:ascii="Arial Narrow" w:hAnsi="Arial Narrow" w:cs="Tahoma"/>
          <w:color w:val="0070C0"/>
          <w:sz w:val="22"/>
          <w:lang w:val="ru-RU"/>
        </w:rPr>
      </w:pPr>
      <w:r>
        <w:rPr>
          <w:rFonts w:ascii="Arial Narrow" w:hAnsi="Arial Narrow" w:cs="Tahoma"/>
          <w:sz w:val="22"/>
        </w:rPr>
        <w:lastRenderedPageBreak/>
        <w:t xml:space="preserve">During the same period, the highest value of import was that of import from Serbia, with 163 million KM or 16.8%, followed by Russia with 127 million KM or 13.1%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import. </w:t>
      </w:r>
    </w:p>
    <w:p w:rsidR="00FF3A7B" w:rsidRPr="00B66396" w:rsidRDefault="00FF3A7B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0070C0"/>
          <w:sz w:val="22"/>
          <w:lang w:val="sr-Latn-BA"/>
        </w:rPr>
      </w:pPr>
    </w:p>
    <w:p w:rsidR="00055304" w:rsidRPr="00B66396" w:rsidRDefault="007E2179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0070C0"/>
          <w:sz w:val="22"/>
          <w:lang w:val="sr-Cyrl-CS"/>
        </w:rPr>
      </w:pPr>
      <w:r>
        <w:rPr>
          <w:rFonts w:ascii="Arial Narrow" w:hAnsi="Arial Narrow" w:cs="Tahoma"/>
          <w:sz w:val="22"/>
        </w:rPr>
        <w:t xml:space="preserve">By group of products, in the period January – March 2015, the highest </w:t>
      </w:r>
      <w:r w:rsidRPr="007A6714">
        <w:rPr>
          <w:rFonts w:ascii="Arial Narrow" w:hAnsi="Arial Narrow" w:cs="Tahoma"/>
          <w:sz w:val="22"/>
        </w:rPr>
        <w:t>share in export was that of</w:t>
      </w:r>
      <w:r w:rsidRPr="007E2179">
        <w:rPr>
          <w:rFonts w:ascii="Arial Narrow" w:hAnsi="Arial Narrow" w:cs="Tahoma"/>
          <w:sz w:val="22"/>
          <w:lang w:val="sr-Cyrl-BA"/>
        </w:rPr>
        <w:t xml:space="preserve"> </w:t>
      </w:r>
      <w:r>
        <w:rPr>
          <w:rFonts w:ascii="Arial Narrow" w:hAnsi="Arial Narrow" w:cs="Tahoma"/>
          <w:sz w:val="22"/>
          <w:lang w:val="sr-Cyrl-BA"/>
        </w:rPr>
        <w:t xml:space="preserve">artificial corundum, </w:t>
      </w:r>
      <w:proofErr w:type="spellStart"/>
      <w:r>
        <w:rPr>
          <w:rFonts w:ascii="Arial Narrow" w:hAnsi="Arial Narrow" w:cs="Tahoma"/>
          <w:sz w:val="22"/>
        </w:rPr>
        <w:t>aluminium</w:t>
      </w:r>
      <w:proofErr w:type="spellEnd"/>
      <w:r>
        <w:rPr>
          <w:rFonts w:ascii="Arial Narrow" w:hAnsi="Arial Narrow" w:cs="Tahoma"/>
          <w:sz w:val="22"/>
        </w:rPr>
        <w:t xml:space="preserve"> oxide and </w:t>
      </w:r>
      <w:proofErr w:type="spellStart"/>
      <w:r>
        <w:rPr>
          <w:rFonts w:ascii="Arial Narrow" w:hAnsi="Arial Narrow" w:cs="Tahoma"/>
          <w:sz w:val="22"/>
        </w:rPr>
        <w:t>aluminium</w:t>
      </w:r>
      <w:proofErr w:type="spellEnd"/>
      <w:r>
        <w:rPr>
          <w:rFonts w:ascii="Arial Narrow" w:hAnsi="Arial Narrow" w:cs="Tahoma"/>
          <w:sz w:val="22"/>
        </w:rPr>
        <w:t xml:space="preserve"> hydroxide with the total value of 36 million KM, which was 6.3% of the total export, while the highest share in import was that of </w:t>
      </w:r>
      <w:r w:rsidRPr="007A6714">
        <w:rPr>
          <w:rFonts w:ascii="Arial Narrow" w:hAnsi="Arial Narrow" w:cs="Tahoma"/>
          <w:sz w:val="22"/>
        </w:rPr>
        <w:t>petroleum and oils obtained from bituminous minerals (</w:t>
      </w:r>
      <w:r>
        <w:rPr>
          <w:rFonts w:ascii="Arial Narrow" w:hAnsi="Arial Narrow" w:cs="Tahoma"/>
          <w:sz w:val="22"/>
        </w:rPr>
        <w:t>crude</w:t>
      </w:r>
      <w:r w:rsidRPr="007A6714">
        <w:rPr>
          <w:rFonts w:ascii="Arial Narrow" w:hAnsi="Arial Narrow" w:cs="Tahoma"/>
          <w:sz w:val="22"/>
        </w:rPr>
        <w:t>),</w:t>
      </w:r>
      <w:r>
        <w:rPr>
          <w:rFonts w:ascii="Arial Narrow" w:hAnsi="Arial Narrow" w:cs="Tahoma"/>
          <w:sz w:val="22"/>
        </w:rPr>
        <w:t xml:space="preserve"> with the total value of 120 million KM, which was 12.3% of the total import. </w:t>
      </w:r>
    </w:p>
    <w:p w:rsidR="00115CDB" w:rsidRPr="006C2415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415AF" w:rsidRPr="006C2415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BA70D8" w:rsidRPr="006C2415" w:rsidRDefault="00BA70D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C415AF" w:rsidRPr="006C2415" w:rsidRDefault="00582FF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  <w:r w:rsidRPr="00582FFB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5.2pt;margin-top:9.2pt;width:64.2pt;height:19.75pt;z-index:251664384;mso-width-relative:margin;mso-height-relative:margin" stroked="f">
            <v:textbox style="mso-next-textbox:#_x0000_s1068">
              <w:txbxContent>
                <w:p w:rsidR="00A246FF" w:rsidRPr="000A1309" w:rsidRDefault="00A246FF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proofErr w:type="spellEnd"/>
                  <w:proofErr w:type="gramEnd"/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657311" w:rsidRPr="006C2415" w:rsidRDefault="006573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657311" w:rsidRPr="006C2415" w:rsidRDefault="00BA70D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6C2415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657727" cy="2524125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C043E2" w:rsidRPr="006C2415" w:rsidRDefault="00582FFB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582FFB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6.25pt;margin-top:2.5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A246FF" w:rsidRPr="000A1309" w:rsidRDefault="00A246FF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Pr="00582FFB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6.45pt;margin-top:2.5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A246FF" w:rsidRPr="000A1309" w:rsidRDefault="00A246FF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4A1822" w:rsidRPr="006C2415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B54316" w:rsidRPr="006C2415" w:rsidRDefault="00B54316" w:rsidP="00777348">
      <w:pPr>
        <w:tabs>
          <w:tab w:val="left" w:pos="2535"/>
        </w:tabs>
        <w:jc w:val="center"/>
        <w:rPr>
          <w:rFonts w:ascii="Arial Narrow" w:hAnsi="Arial Narrow" w:cs="Tahoma"/>
          <w:sz w:val="22"/>
          <w:szCs w:val="22"/>
          <w:lang w:val="ru-RU"/>
        </w:rPr>
      </w:pPr>
    </w:p>
    <w:p w:rsidR="00777348" w:rsidRPr="008C76B2" w:rsidRDefault="008C76B2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proofErr w:type="gramStart"/>
      <w:r>
        <w:rPr>
          <w:rFonts w:ascii="Arial Narrow" w:hAnsi="Arial Narrow" w:cs="Tahoma"/>
          <w:sz w:val="16"/>
          <w:szCs w:val="22"/>
        </w:rPr>
        <w:t>Graph</w:t>
      </w:r>
      <w:r w:rsidR="00777348" w:rsidRPr="006C2415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CE2F01" w:rsidRPr="006C2415">
        <w:rPr>
          <w:rFonts w:ascii="Arial Narrow" w:hAnsi="Arial Narrow" w:cs="Tahoma"/>
          <w:sz w:val="16"/>
          <w:szCs w:val="22"/>
          <w:lang w:val="sr-Latn-BA"/>
        </w:rPr>
        <w:t>4</w:t>
      </w:r>
      <w:r w:rsidR="00777348" w:rsidRPr="006C2415">
        <w:rPr>
          <w:rFonts w:ascii="Arial Narrow" w:hAnsi="Arial Narrow" w:cs="Tahoma"/>
          <w:sz w:val="16"/>
          <w:szCs w:val="22"/>
          <w:lang w:val="ru-RU"/>
        </w:rPr>
        <w:t>.</w:t>
      </w:r>
      <w:proofErr w:type="gramEnd"/>
      <w:r w:rsidR="00777348" w:rsidRPr="006C2415">
        <w:rPr>
          <w:rFonts w:ascii="Arial Narrow" w:hAnsi="Arial Narrow" w:cs="Tahoma"/>
          <w:sz w:val="16"/>
          <w:szCs w:val="22"/>
          <w:lang w:val="ru-RU"/>
        </w:rPr>
        <w:t xml:space="preserve">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15CDB" w:rsidRPr="006C2415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6C2415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Pr="00CE2F01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86C13" w:rsidRPr="00F17452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17452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17452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17452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D1CED" w:rsidRPr="009062FA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4C20B5" w:rsidRPr="009062FA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2D6352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>
              <w:rPr>
                <w:rFonts w:ascii="Arial Narrow" w:hAnsi="Arial Narrow" w:cs="Tahoma"/>
                <w:b/>
                <w:sz w:val="22"/>
              </w:rPr>
              <w:t>PREPARED BY</w:t>
            </w:r>
            <w:r w:rsidR="009E2A9A" w:rsidRPr="009062FA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C2415" w:rsidRPr="009062FA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C2415" w:rsidRPr="002D6352" w:rsidRDefault="002D6352" w:rsidP="006C241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National accounts statistics</w:t>
            </w:r>
          </w:p>
          <w:p w:rsidR="006C2415" w:rsidRPr="002D6352" w:rsidRDefault="002D6352" w:rsidP="006C241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Žana Alagić</w:t>
            </w:r>
          </w:p>
          <w:p w:rsidR="006C2415" w:rsidRPr="006C2415" w:rsidRDefault="00582FFB" w:rsidP="006C241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4" w:history="1">
              <w:r w:rsidR="006C2415" w:rsidRPr="006C241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zana.alagic@rzs.rs.ba</w:t>
              </w:r>
            </w:hyperlink>
          </w:p>
        </w:tc>
      </w:tr>
      <w:tr w:rsidR="004C20B5" w:rsidRPr="009062FA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2D6352" w:rsidRDefault="002D6352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A44E14" w:rsidRPr="002D6352" w:rsidRDefault="002D6352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Biljana Glušac</w:t>
            </w:r>
          </w:p>
          <w:p w:rsidR="009E2A9A" w:rsidRPr="009062FA" w:rsidRDefault="00582FFB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5" w:history="1">
              <w:r w:rsidR="007B6AC0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9062F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9062FA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9062FA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D6352" w:rsidRDefault="002D6352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  <w:t>Prices statistics</w:t>
            </w:r>
          </w:p>
          <w:p w:rsidR="002D6352" w:rsidRPr="000F6665" w:rsidRDefault="002D6352" w:rsidP="002D6352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</w:p>
          <w:p w:rsidR="009E2A9A" w:rsidRPr="009062FA" w:rsidRDefault="00582FFB" w:rsidP="006C2415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A04023" w:rsidRPr="00BD1BAE">
                <w:rPr>
                  <w:rStyle w:val="Hyperlink"/>
                  <w:rFonts w:ascii="Arial Narrow" w:hAnsi="Arial Narrow" w:cs="Tahoma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4C20B5" w:rsidRPr="009062FA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FB4FDD" w:rsidRPr="000F6665" w:rsidRDefault="00FB4FDD" w:rsidP="00FB4FD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FB4FDD" w:rsidRPr="000F6665" w:rsidRDefault="00FB4FDD" w:rsidP="00FB4FD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Mirjana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</w:p>
          <w:p w:rsidR="009E2A9A" w:rsidRPr="009062FA" w:rsidRDefault="00582FFB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7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4C20B5" w:rsidRPr="009062FA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B4FDD" w:rsidRDefault="00FB4FDD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  <w:t>External trade statistics</w:t>
            </w:r>
          </w:p>
          <w:p w:rsidR="00FB4FDD" w:rsidRPr="00F04972" w:rsidRDefault="00FB4FDD" w:rsidP="00FB4FD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A62FE1" w:rsidRPr="009062FA" w:rsidRDefault="00582FFB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8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C20B5" w:rsidRPr="009062FA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BE2803" w:rsidRDefault="00BE2803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  <w:lang w:val="sr-Latn-BA"/>
              </w:rPr>
              <w:t>SYMBOLS</w:t>
            </w:r>
          </w:p>
        </w:tc>
      </w:tr>
      <w:tr w:rsidR="009E2A9A" w:rsidRPr="009062FA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E2803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9062FA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9062FA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9062FA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BE2803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9062FA" w:rsidRDefault="00D61322" w:rsidP="00B538D0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9062FA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BE2803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9062FA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Pr="009062FA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582FF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582FFB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A04023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0F6665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A04023" w:rsidRPr="000F6665" w:rsidRDefault="00A04023" w:rsidP="00A040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Vladan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Sibinović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>, Head of the Division</w:t>
            </w:r>
          </w:p>
          <w:p w:rsidR="00A04023" w:rsidRPr="000F6665" w:rsidRDefault="00A04023" w:rsidP="00A040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Institute of Statistics,</w:t>
            </w:r>
          </w:p>
          <w:p w:rsidR="00A04023" w:rsidRPr="000F6665" w:rsidRDefault="00A04023" w:rsidP="00A040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,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Banja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Luka,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Veljka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Mlađenovića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12d</w:t>
            </w:r>
          </w:p>
          <w:p w:rsidR="00A04023" w:rsidRPr="000F6665" w:rsidRDefault="00A04023" w:rsidP="00A040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Radmila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Čičković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>, PhD, Director General of the Institute</w:t>
            </w:r>
          </w:p>
          <w:p w:rsidR="00A04023" w:rsidRPr="000F6665" w:rsidRDefault="00A04023" w:rsidP="00A040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9E2A9A" w:rsidRPr="00E74FF2" w:rsidRDefault="00A04023" w:rsidP="00A040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telephone +387 51 332 700; e-mail: </w:t>
            </w:r>
            <w:hyperlink r:id="rId19" w:history="1">
              <w:r w:rsidRPr="000F666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A04023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0F6665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4C20B5" w:rsidRDefault="00582FFB" w:rsidP="009E2A9A">
      <w:pPr>
        <w:rPr>
          <w:rFonts w:ascii="Tahoma" w:hAnsi="Tahoma" w:cs="Tahoma"/>
          <w:lang w:val="sr-Cyrl-BA"/>
        </w:rPr>
      </w:pPr>
      <w:r w:rsidRPr="00582FFB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20"/>
      <w:footerReference w:type="default" r:id="rId21"/>
      <w:footerReference w:type="first" r:id="rId22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FF" w:rsidRDefault="00A246FF">
      <w:r>
        <w:separator/>
      </w:r>
    </w:p>
  </w:endnote>
  <w:endnote w:type="continuationSeparator" w:id="0">
    <w:p w:rsidR="00A246FF" w:rsidRDefault="00A24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FF" w:rsidRDefault="00582FFB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A246FF" w:rsidRPr="00175687" w:rsidRDefault="00582FFB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A246FF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BC583D">
                    <w:rPr>
                      <w:rFonts w:ascii="Tahoma" w:hAnsi="Tahoma" w:cs="Tahoma"/>
                      <w:noProof/>
                      <w:color w:val="FFFFFF"/>
                    </w:rPr>
                    <w:t>3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FF" w:rsidRDefault="00582FFB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A246FF" w:rsidRPr="00175687" w:rsidRDefault="00582FFB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A246FF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BC583D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FF" w:rsidRDefault="00A246FF">
      <w:r>
        <w:separator/>
      </w:r>
    </w:p>
  </w:footnote>
  <w:footnote w:type="continuationSeparator" w:id="0">
    <w:p w:rsidR="00A246FF" w:rsidRDefault="00A24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A246FF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A246FF" w:rsidRPr="002D6352" w:rsidRDefault="00A246FF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A246FF" w:rsidRPr="002D6352" w:rsidRDefault="00A246FF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A246FF" w:rsidRPr="005D5311" w:rsidRDefault="00A246FF" w:rsidP="002D635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3</w:t>
          </w:r>
          <w:r w:rsidRPr="002D6352">
            <w:rPr>
              <w:rFonts w:ascii="Arial Narrow" w:hAnsi="Arial Narrow" w:cs="Tahoma"/>
              <w:color w:val="0070C0"/>
              <w:sz w:val="18"/>
              <w:vertAlign w:val="superscript"/>
            </w:rPr>
            <w:t>rd</w:t>
          </w:r>
          <w:r>
            <w:rPr>
              <w:rFonts w:ascii="Arial Narrow" w:hAnsi="Arial Narrow" w:cs="Tahoma"/>
              <w:color w:val="0070C0"/>
              <w:sz w:val="18"/>
            </w:rPr>
            <w:t xml:space="preserve"> April 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4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A246FF" w:rsidRDefault="00582FFB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582FFB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B5F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0A7D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5F5E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39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4CD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989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E1F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352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25D"/>
    <w:rsid w:val="003214C3"/>
    <w:rsid w:val="0032196C"/>
    <w:rsid w:val="00321BF0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A3C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623D"/>
    <w:rsid w:val="004E639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2FFB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090D"/>
    <w:rsid w:val="0065131E"/>
    <w:rsid w:val="006514D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3ECA"/>
    <w:rsid w:val="00676268"/>
    <w:rsid w:val="0067642C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4B98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3B83"/>
    <w:rsid w:val="006A415E"/>
    <w:rsid w:val="006A43C6"/>
    <w:rsid w:val="006A518E"/>
    <w:rsid w:val="006A5346"/>
    <w:rsid w:val="006A5AAF"/>
    <w:rsid w:val="006A5BB2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2415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C7BEB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7D5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3320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BED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158B"/>
    <w:rsid w:val="007E2039"/>
    <w:rsid w:val="007E217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BFF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0DD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6B2"/>
    <w:rsid w:val="008C7C3A"/>
    <w:rsid w:val="008C7CB0"/>
    <w:rsid w:val="008C7D4D"/>
    <w:rsid w:val="008D0080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CA7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D6D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3D64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6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023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46FF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789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2B88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396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3D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803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40F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AA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D7B"/>
    <w:rsid w:val="00D67E90"/>
    <w:rsid w:val="00D67F95"/>
    <w:rsid w:val="00D7028F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4D4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DBC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4CF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188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4FDD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A7B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mirjana.bandur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tes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iljana.glusac@rzs.rs.b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zana.alagic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5\Mart\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ojcevicsa.RZS\Desktop\SANJA\SPOLJNA%20TRGOVINA\za%20medije\Prezentacija,%20od%20avg2011\prezentacija%202015\mart%202015\za%20Graf%20III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IV 2013</c:v>
                </c:pt>
                <c:pt idx="1">
                  <c:v>I 2014¹</c:v>
                </c:pt>
                <c:pt idx="2">
                  <c:v>II 2014¹</c:v>
                </c:pt>
                <c:pt idx="3">
                  <c:v>III 2014¹</c:v>
                </c:pt>
                <c:pt idx="4">
                  <c:v>IV 2014¹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1.8</c:v>
                </c:pt>
                <c:pt idx="1">
                  <c:v>0.5</c:v>
                </c:pt>
                <c:pt idx="2" formatCode="0.0">
                  <c:v>-1</c:v>
                </c:pt>
                <c:pt idx="3" formatCode="0.0">
                  <c:v>0.1</c:v>
                </c:pt>
                <c:pt idx="4" formatCode="0.0">
                  <c:v>1.4</c:v>
                </c:pt>
              </c:numCache>
            </c:numRef>
          </c:val>
        </c:ser>
        <c:dLbls/>
        <c:axId val="92015232"/>
        <c:axId val="92021120"/>
      </c:barChart>
      <c:catAx>
        <c:axId val="92015232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  <a:cs typeface="Tahoma" pitchFamily="34" charset="0"/>
              </a:defRPr>
            </a:pPr>
            <a:endParaRPr lang="en-US"/>
          </a:p>
        </c:txPr>
        <c:crossAx val="92021120"/>
        <c:crosses val="autoZero"/>
        <c:auto val="1"/>
        <c:lblAlgn val="ctr"/>
        <c:lblOffset val="100"/>
      </c:catAx>
      <c:valAx>
        <c:axId val="92021120"/>
        <c:scaling>
          <c:orientation val="minMax"/>
        </c:scaling>
        <c:axPos val="l"/>
        <c:majorGridlines>
          <c:spPr>
            <a:ln w="3175"/>
          </c:spPr>
        </c:majorGridlines>
        <c:numFmt formatCode="General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  <a:cs typeface="Tahoma" pitchFamily="34" charset="0"/>
              </a:defRPr>
            </a:pPr>
            <a:endParaRPr lang="en-US"/>
          </a:p>
        </c:txPr>
        <c:crossAx val="9201523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815</c:v>
                </c:pt>
                <c:pt idx="1">
                  <c:v>821</c:v>
                </c:pt>
                <c:pt idx="2">
                  <c:v>818</c:v>
                </c:pt>
                <c:pt idx="3">
                  <c:v>837</c:v>
                </c:pt>
                <c:pt idx="4">
                  <c:v>830</c:v>
                </c:pt>
                <c:pt idx="5">
                  <c:v>825</c:v>
                </c:pt>
                <c:pt idx="6">
                  <c:v>831</c:v>
                </c:pt>
                <c:pt idx="7">
                  <c:v>826</c:v>
                </c:pt>
                <c:pt idx="8">
                  <c:v>827</c:v>
                </c:pt>
                <c:pt idx="9">
                  <c:v>836</c:v>
                </c:pt>
                <c:pt idx="10">
                  <c:v>812</c:v>
                </c:pt>
                <c:pt idx="11">
                  <c:v>834</c:v>
                </c:pt>
                <c:pt idx="12">
                  <c:v>831</c:v>
                </c:pt>
              </c:numCache>
            </c:numRef>
          </c:val>
        </c:ser>
        <c:dLbls/>
        <c:marker val="1"/>
        <c:axId val="92056960"/>
        <c:axId val="92148864"/>
      </c:lineChart>
      <c:catAx>
        <c:axId val="92056960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92148864"/>
        <c:crosses val="autoZero"/>
        <c:auto val="1"/>
        <c:lblAlgn val="ctr"/>
        <c:lblOffset val="100"/>
      </c:catAx>
      <c:valAx>
        <c:axId val="92148864"/>
        <c:scaling>
          <c:orientation val="minMax"/>
          <c:max val="900"/>
          <c:min val="600"/>
        </c:scaling>
        <c:axPos val="l"/>
        <c:majorGridlines>
          <c:spPr>
            <a:ln w="3175"/>
          </c:spPr>
        </c:majorGridlines>
        <c:numFmt formatCode="0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920569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2011</c:v>
                  </c:pt>
                  <c:pt idx="10">
                    <c:v>2012</c:v>
                  </c:pt>
                  <c:pt idx="22">
                    <c:v>2013</c:v>
                  </c:pt>
                  <c:pt idx="34">
                    <c:v>2014</c:v>
                  </c:pt>
                  <c:pt idx="46">
                    <c:v>2015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103.383579110727</c:v>
                </c:pt>
                <c:pt idx="1">
                  <c:v>101.1055830655083</c:v>
                </c:pt>
                <c:pt idx="2">
                  <c:v>103.64356420451089</c:v>
                </c:pt>
                <c:pt idx="3">
                  <c:v>105.58253925539366</c:v>
                </c:pt>
                <c:pt idx="4">
                  <c:v>110.49966902251703</c:v>
                </c:pt>
                <c:pt idx="5">
                  <c:v>108.00528379489954</c:v>
                </c:pt>
                <c:pt idx="6">
                  <c:v>98.988644418227963</c:v>
                </c:pt>
                <c:pt idx="7">
                  <c:v>104.43439455945064</c:v>
                </c:pt>
                <c:pt idx="8">
                  <c:v>103.42209892370241</c:v>
                </c:pt>
                <c:pt idx="9">
                  <c:v>100.2551408516314</c:v>
                </c:pt>
                <c:pt idx="10">
                  <c:v>102.52181630596536</c:v>
                </c:pt>
                <c:pt idx="11">
                  <c:v>97.489712985546134</c:v>
                </c:pt>
                <c:pt idx="12">
                  <c:v>101.279136638314</c:v>
                </c:pt>
                <c:pt idx="13">
                  <c:v>101.55733795957248</c:v>
                </c:pt>
                <c:pt idx="14">
                  <c:v>99.652195460552619</c:v>
                </c:pt>
                <c:pt idx="15">
                  <c:v>99.772691603205942</c:v>
                </c:pt>
                <c:pt idx="16">
                  <c:v>93.403396282610913</c:v>
                </c:pt>
                <c:pt idx="17">
                  <c:v>99.879989056767542</c:v>
                </c:pt>
                <c:pt idx="18">
                  <c:v>105.7946597583645</c:v>
                </c:pt>
                <c:pt idx="19">
                  <c:v>100.47435219630606</c:v>
                </c:pt>
                <c:pt idx="20">
                  <c:v>98.97188024078001</c:v>
                </c:pt>
                <c:pt idx="21">
                  <c:v>101.99409887223081</c:v>
                </c:pt>
                <c:pt idx="22">
                  <c:v>101.2308377398155</c:v>
                </c:pt>
                <c:pt idx="23">
                  <c:v>100.42374695541318</c:v>
                </c:pt>
                <c:pt idx="24">
                  <c:v>100.73232445513069</c:v>
                </c:pt>
                <c:pt idx="25">
                  <c:v>109.13406189487023</c:v>
                </c:pt>
                <c:pt idx="26">
                  <c:v>103.46358227372171</c:v>
                </c:pt>
                <c:pt idx="27">
                  <c:v>105.22238152484064</c:v>
                </c:pt>
                <c:pt idx="28">
                  <c:v>110.14178446918409</c:v>
                </c:pt>
                <c:pt idx="29">
                  <c:v>107.19175239128518</c:v>
                </c:pt>
                <c:pt idx="30">
                  <c:v>100.23225553836259</c:v>
                </c:pt>
                <c:pt idx="31">
                  <c:v>101.6434067412459</c:v>
                </c:pt>
                <c:pt idx="32">
                  <c:v>104.61505902204287</c:v>
                </c:pt>
                <c:pt idx="33">
                  <c:v>105.62942238307177</c:v>
                </c:pt>
                <c:pt idx="34">
                  <c:v>105.319943720523</c:v>
                </c:pt>
                <c:pt idx="35">
                  <c:v>105.37689299965906</c:v>
                </c:pt>
                <c:pt idx="36">
                  <c:v>103.16840172601616</c:v>
                </c:pt>
                <c:pt idx="37">
                  <c:v>102.97419886710584</c:v>
                </c:pt>
                <c:pt idx="38">
                  <c:v>103.95961575354357</c:v>
                </c:pt>
                <c:pt idx="39">
                  <c:v>104.54440451882974</c:v>
                </c:pt>
                <c:pt idx="40">
                  <c:v>105.60137776850259</c:v>
                </c:pt>
                <c:pt idx="41">
                  <c:v>100.62046908227087</c:v>
                </c:pt>
                <c:pt idx="42">
                  <c:v>108.42718696665209</c:v>
                </c:pt>
                <c:pt idx="43">
                  <c:v>107.5338429179961</c:v>
                </c:pt>
                <c:pt idx="44">
                  <c:v>106.66686188440167</c:v>
                </c:pt>
                <c:pt idx="45">
                  <c:v>104.72616065392266</c:v>
                </c:pt>
                <c:pt idx="46">
                  <c:v>106.07439025657484</c:v>
                </c:pt>
                <c:pt idx="47">
                  <c:v>111.23153959085577</c:v>
                </c:pt>
                <c:pt idx="48">
                  <c:v>107.20043455874644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2011</c:v>
                  </c:pt>
                  <c:pt idx="10">
                    <c:v>2012</c:v>
                  </c:pt>
                  <c:pt idx="22">
                    <c:v>2013</c:v>
                  </c:pt>
                  <c:pt idx="34">
                    <c:v>2014</c:v>
                  </c:pt>
                  <c:pt idx="46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102.20914791882164</c:v>
                </c:pt>
                <c:pt idx="1">
                  <c:v>102.45410344726717</c:v>
                </c:pt>
                <c:pt idx="2">
                  <c:v>102.70825210736224</c:v>
                </c:pt>
                <c:pt idx="3">
                  <c:v>102.9450141601675</c:v>
                </c:pt>
                <c:pt idx="4">
                  <c:v>103.06207332525445</c:v>
                </c:pt>
                <c:pt idx="5">
                  <c:v>102.92452366340827</c:v>
                </c:pt>
                <c:pt idx="6">
                  <c:v>102.63791246269463</c:v>
                </c:pt>
                <c:pt idx="7">
                  <c:v>102.41946667194742</c:v>
                </c:pt>
                <c:pt idx="8">
                  <c:v>102.16507718969933</c:v>
                </c:pt>
                <c:pt idx="9">
                  <c:v>101.86857645559805</c:v>
                </c:pt>
                <c:pt idx="10">
                  <c:v>101.59897257782546</c:v>
                </c:pt>
                <c:pt idx="11">
                  <c:v>101.34687830926134</c:v>
                </c:pt>
                <c:pt idx="12">
                  <c:v>101.19089993487722</c:v>
                </c:pt>
                <c:pt idx="13">
                  <c:v>101.06048949491871</c:v>
                </c:pt>
                <c:pt idx="14">
                  <c:v>100.92132057710732</c:v>
                </c:pt>
                <c:pt idx="15">
                  <c:v>100.81010000379115</c:v>
                </c:pt>
                <c:pt idx="16">
                  <c:v>100.78865624720922</c:v>
                </c:pt>
                <c:pt idx="17">
                  <c:v>100.99747153647633</c:v>
                </c:pt>
                <c:pt idx="18">
                  <c:v>101.26538501562239</c:v>
                </c:pt>
                <c:pt idx="19">
                  <c:v>101.40854118723698</c:v>
                </c:pt>
                <c:pt idx="20">
                  <c:v>101.57615046927442</c:v>
                </c:pt>
                <c:pt idx="21">
                  <c:v>101.83283106777152</c:v>
                </c:pt>
                <c:pt idx="22">
                  <c:v>102.11022547976989</c:v>
                </c:pt>
                <c:pt idx="23">
                  <c:v>102.41166760697664</c:v>
                </c:pt>
                <c:pt idx="24">
                  <c:v>102.81424306761062</c:v>
                </c:pt>
                <c:pt idx="25">
                  <c:v>103.24605361138241</c:v>
                </c:pt>
                <c:pt idx="26">
                  <c:v>103.54663806532929</c:v>
                </c:pt>
                <c:pt idx="27">
                  <c:v>103.80867161674898</c:v>
                </c:pt>
                <c:pt idx="28">
                  <c:v>104.02830216476906</c:v>
                </c:pt>
                <c:pt idx="29">
                  <c:v>104.04769570932169</c:v>
                </c:pt>
                <c:pt idx="30">
                  <c:v>103.97637542124463</c:v>
                </c:pt>
                <c:pt idx="31">
                  <c:v>104.01893481667435</c:v>
                </c:pt>
                <c:pt idx="32">
                  <c:v>104.16198592957319</c:v>
                </c:pt>
                <c:pt idx="33">
                  <c:v>104.2961901286001</c:v>
                </c:pt>
                <c:pt idx="34">
                  <c:v>104.39465952521118</c:v>
                </c:pt>
                <c:pt idx="35">
                  <c:v>104.46003219491668</c:v>
                </c:pt>
                <c:pt idx="36">
                  <c:v>104.51138251295259</c:v>
                </c:pt>
                <c:pt idx="37">
                  <c:v>104.61293299184759</c:v>
                </c:pt>
                <c:pt idx="38">
                  <c:v>104.78005284223575</c:v>
                </c:pt>
                <c:pt idx="39">
                  <c:v>104.99787667553323</c:v>
                </c:pt>
                <c:pt idx="40">
                  <c:v>105.21993658010349</c:v>
                </c:pt>
                <c:pt idx="41">
                  <c:v>105.48909506471236</c:v>
                </c:pt>
                <c:pt idx="42">
                  <c:v>105.87895753419996</c:v>
                </c:pt>
                <c:pt idx="43">
                  <c:v>106.24707004712263</c:v>
                </c:pt>
                <c:pt idx="44">
                  <c:v>106.55425968129825</c:v>
                </c:pt>
                <c:pt idx="45">
                  <c:v>106.88315622358162</c:v>
                </c:pt>
                <c:pt idx="46">
                  <c:v>107.29803497346501</c:v>
                </c:pt>
                <c:pt idx="47">
                  <c:v>107.74770431360648</c:v>
                </c:pt>
                <c:pt idx="48">
                  <c:v>108.12723539846924</c:v>
                </c:pt>
              </c:numCache>
            </c:numRef>
          </c:val>
        </c:ser>
        <c:dLbls/>
        <c:marker val="1"/>
        <c:axId val="92182016"/>
        <c:axId val="92183552"/>
      </c:lineChart>
      <c:catAx>
        <c:axId val="92182016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2183552"/>
        <c:crosses val="autoZero"/>
        <c:auto val="1"/>
        <c:lblAlgn val="ctr"/>
        <c:lblOffset val="100"/>
      </c:catAx>
      <c:valAx>
        <c:axId val="92183552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218201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98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zaMart2015!$A$2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zaMart2015!$B$1:$N$1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zaMart2015!$B$2:$N$2</c:f>
              <c:numCache>
                <c:formatCode>General</c:formatCode>
                <c:ptCount val="13"/>
                <c:pt idx="0">
                  <c:v>422057</c:v>
                </c:pt>
                <c:pt idx="1">
                  <c:v>347841</c:v>
                </c:pt>
                <c:pt idx="2">
                  <c:v>430360</c:v>
                </c:pt>
                <c:pt idx="3">
                  <c:v>414297</c:v>
                </c:pt>
                <c:pt idx="4">
                  <c:v>412801</c:v>
                </c:pt>
                <c:pt idx="5">
                  <c:v>444841</c:v>
                </c:pt>
                <c:pt idx="6">
                  <c:v>421218</c:v>
                </c:pt>
                <c:pt idx="7">
                  <c:v>508654</c:v>
                </c:pt>
                <c:pt idx="8">
                  <c:v>432236</c:v>
                </c:pt>
                <c:pt idx="9">
                  <c:v>434262</c:v>
                </c:pt>
                <c:pt idx="10">
                  <c:v>223470</c:v>
                </c:pt>
                <c:pt idx="11">
                  <c:v>345422</c:v>
                </c:pt>
                <c:pt idx="12">
                  <c:v>401757</c:v>
                </c:pt>
              </c:numCache>
            </c:numRef>
          </c:val>
        </c:ser>
        <c:ser>
          <c:idx val="1"/>
          <c:order val="1"/>
          <c:tx>
            <c:strRef>
              <c:f>zaMart2015!$A$3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zaMart2015!$B$1:$N$1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zaMart2015!$B$3:$N$3</c:f>
              <c:numCache>
                <c:formatCode>General</c:formatCode>
                <c:ptCount val="13"/>
                <c:pt idx="0">
                  <c:v>229938</c:v>
                </c:pt>
                <c:pt idx="1">
                  <c:v>218972</c:v>
                </c:pt>
                <c:pt idx="2">
                  <c:v>202886</c:v>
                </c:pt>
                <c:pt idx="3">
                  <c:v>241773</c:v>
                </c:pt>
                <c:pt idx="4">
                  <c:v>258199</c:v>
                </c:pt>
                <c:pt idx="5">
                  <c:v>196460</c:v>
                </c:pt>
                <c:pt idx="6">
                  <c:v>249428</c:v>
                </c:pt>
                <c:pt idx="7">
                  <c:v>254890</c:v>
                </c:pt>
                <c:pt idx="8" formatCode="0">
                  <c:v>229750</c:v>
                </c:pt>
                <c:pt idx="9" formatCode="0">
                  <c:v>206445</c:v>
                </c:pt>
                <c:pt idx="10" formatCode="0">
                  <c:v>169534</c:v>
                </c:pt>
                <c:pt idx="11" formatCode="0">
                  <c:v>200956</c:v>
                </c:pt>
                <c:pt idx="12" formatCode="0">
                  <c:v>212656</c:v>
                </c:pt>
              </c:numCache>
            </c:numRef>
          </c:val>
        </c:ser>
        <c:dLbls/>
        <c:marker val="1"/>
        <c:axId val="92304128"/>
        <c:axId val="92305664"/>
      </c:lineChart>
      <c:catAx>
        <c:axId val="92304128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92305664"/>
        <c:crosses val="autoZero"/>
        <c:auto val="1"/>
        <c:lblAlgn val="ctr"/>
        <c:lblOffset val="100"/>
      </c:catAx>
      <c:valAx>
        <c:axId val="92305664"/>
        <c:scaling>
          <c:orientation val="minMax"/>
        </c:scaling>
        <c:axPos val="l"/>
        <c:majorGridlines>
          <c:spPr>
            <a:ln w="3175"/>
          </c:spPr>
        </c:majorGridlines>
        <c:numFmt formatCode="#,##0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92304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788"/>
          <c:y val="0.34220861281228737"/>
          <c:w val="0.16230180131593139"/>
          <c:h val="0.1901782832701468"/>
        </c:manualLayout>
      </c:layout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0.89258</cdr:x>
      <cdr:y>0.34518</cdr:y>
    </cdr:from>
    <cdr:to>
      <cdr:x>0.99973</cdr:x>
      <cdr:y>0.43062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57379" y="871268"/>
          <a:ext cx="499088" cy="21566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import</a:t>
          </a:r>
        </a:p>
      </cdr:txBody>
    </cdr:sp>
  </cdr:relSizeAnchor>
  <cdr:relSizeAnchor xmlns:cdr="http://schemas.openxmlformats.org/drawingml/2006/chartDrawing">
    <cdr:from>
      <cdr:x>0.89437</cdr:x>
      <cdr:y>0.44087</cdr:y>
    </cdr:from>
    <cdr:to>
      <cdr:x>0.99967</cdr:x>
      <cdr:y>0.51513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165738" y="1112806"/>
          <a:ext cx="490466" cy="18745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export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C869-7485-4979-B44F-E5BA2B9C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5</Pages>
  <Words>1335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9680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kandicje</cp:lastModifiedBy>
  <cp:revision>357</cp:revision>
  <cp:lastPrinted>2014-07-21T12:04:00Z</cp:lastPrinted>
  <dcterms:created xsi:type="dcterms:W3CDTF">2014-03-14T12:01:00Z</dcterms:created>
  <dcterms:modified xsi:type="dcterms:W3CDTF">2015-04-23T06:50:00Z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