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6F129D">
            <w:pPr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9820C8" w:rsidRPr="004C20B5">
              <w:rPr>
                <w:rFonts w:ascii="Tahoma" w:hAnsi="Tahoma" w:cs="Tahoma"/>
                <w:sz w:val="16"/>
              </w:rPr>
              <w:t xml:space="preserve">          </w:t>
            </w:r>
            <w:r w:rsidRPr="004C20B5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 w:rsidR="006F129D">
              <w:rPr>
                <w:rFonts w:ascii="Tahoma" w:hAnsi="Tahoma" w:cs="Tahoma"/>
                <w:sz w:val="16"/>
              </w:rPr>
              <w:t xml:space="preserve">        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CA0974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6</w:t>
            </w:r>
            <w:proofErr w:type="spellStart"/>
            <w:r w:rsidR="00A80189" w:rsidRPr="00A80189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th</w:t>
            </w:r>
            <w:proofErr w:type="spellEnd"/>
            <w:r w:rsidR="00A80189">
              <w:rPr>
                <w:rFonts w:ascii="Arial Narrow" w:hAnsi="Arial Narrow" w:cs="Tahoma"/>
                <w:color w:val="1F497D" w:themeColor="text2"/>
                <w:sz w:val="18"/>
              </w:rPr>
              <w:t xml:space="preserve"> March </w:t>
            </w:r>
            <w:r w:rsidR="00A975F3" w:rsidRPr="00DB5870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DB5870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CA097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3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A80189" w:rsidRDefault="00A80189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March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A80189" w:rsidRDefault="00A80189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2B046A" w:rsidRPr="00313BB4" w:rsidRDefault="00A80189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313BB4">
        <w:rPr>
          <w:rFonts w:ascii="Arial Narrow" w:hAnsi="Arial Narrow" w:cs="Tahoma"/>
          <w:b/>
          <w:sz w:val="30"/>
          <w:szCs w:val="30"/>
        </w:rPr>
        <w:t>Average net wage in February</w:t>
      </w:r>
      <w:r w:rsidR="002B046A" w:rsidRPr="00313BB4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2B046A" w:rsidRPr="00313BB4">
        <w:rPr>
          <w:rFonts w:ascii="Arial Narrow" w:hAnsi="Arial Narrow" w:cs="Tahoma"/>
          <w:b/>
          <w:sz w:val="30"/>
          <w:szCs w:val="30"/>
          <w:lang w:val="sr-Cyrl-CS"/>
        </w:rPr>
        <w:t xml:space="preserve">822 </w:t>
      </w:r>
      <w:r w:rsidR="002B046A" w:rsidRPr="00313BB4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2B046A" w:rsidRPr="006F129D" w:rsidRDefault="00313BB4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6"/>
          <w:szCs w:val="26"/>
          <w:lang w:val="sr-Cyrl-BA"/>
        </w:rPr>
      </w:pPr>
      <w:r w:rsidRPr="006F129D">
        <w:rPr>
          <w:rFonts w:ascii="Arial Narrow" w:hAnsi="Arial Narrow" w:cs="Tahoma"/>
          <w:sz w:val="26"/>
          <w:szCs w:val="26"/>
        </w:rPr>
        <w:t xml:space="preserve">The highest average net wage was that in the section </w:t>
      </w:r>
      <w:r w:rsidRPr="006F129D">
        <w:rPr>
          <w:rFonts w:ascii="Arial Narrow" w:hAnsi="Arial Narrow" w:cs="Tahoma"/>
          <w:i/>
          <w:sz w:val="26"/>
          <w:szCs w:val="26"/>
        </w:rPr>
        <w:t>Financial and insurance activities</w:t>
      </w:r>
      <w:r w:rsidRPr="006F129D">
        <w:rPr>
          <w:rFonts w:ascii="Arial Narrow" w:hAnsi="Arial Narrow" w:cs="Tahoma"/>
          <w:sz w:val="26"/>
          <w:szCs w:val="26"/>
        </w:rPr>
        <w:t xml:space="preserve"> </w:t>
      </w:r>
      <w:r w:rsidRPr="006F129D">
        <w:rPr>
          <w:rFonts w:ascii="Arial Narrow" w:hAnsi="Arial Narrow" w:cs="Tahoma"/>
          <w:sz w:val="26"/>
          <w:szCs w:val="26"/>
          <w:lang w:val="ru-RU"/>
        </w:rPr>
        <w:t>1</w:t>
      </w:r>
      <w:r w:rsidRPr="006F129D">
        <w:rPr>
          <w:rFonts w:ascii="Arial Narrow" w:hAnsi="Arial Narrow" w:cs="Tahoma"/>
          <w:sz w:val="26"/>
          <w:szCs w:val="26"/>
        </w:rPr>
        <w:t>,</w:t>
      </w:r>
      <w:r w:rsidR="002B046A" w:rsidRPr="006F129D">
        <w:rPr>
          <w:rFonts w:ascii="Arial Narrow" w:hAnsi="Arial Narrow" w:cs="Tahoma"/>
          <w:sz w:val="26"/>
          <w:szCs w:val="26"/>
          <w:lang w:val="ru-RU"/>
        </w:rPr>
        <w:t>290 КМ</w:t>
      </w:r>
      <w:r w:rsidR="002B046A" w:rsidRPr="006F129D">
        <w:rPr>
          <w:rFonts w:ascii="Arial Narrow" w:hAnsi="Arial Narrow" w:cs="Tahoma"/>
          <w:sz w:val="26"/>
          <w:szCs w:val="26"/>
          <w:lang w:val="sr-Cyrl-CS"/>
        </w:rPr>
        <w:t xml:space="preserve">, </w:t>
      </w:r>
      <w:r w:rsidRPr="006F129D">
        <w:rPr>
          <w:rFonts w:ascii="Arial Narrow" w:hAnsi="Arial Narrow" w:cs="Tahoma"/>
          <w:sz w:val="26"/>
          <w:szCs w:val="26"/>
        </w:rPr>
        <w:t xml:space="preserve">while the lowest one was that in the section </w:t>
      </w:r>
      <w:r w:rsidRPr="006F129D">
        <w:rPr>
          <w:rFonts w:ascii="Arial Narrow" w:hAnsi="Arial Narrow" w:cs="Tahoma"/>
          <w:i/>
          <w:sz w:val="26"/>
          <w:szCs w:val="26"/>
        </w:rPr>
        <w:t>Administrative and support service activities</w:t>
      </w:r>
      <w:r w:rsidRPr="006F129D">
        <w:rPr>
          <w:rFonts w:ascii="Arial Narrow" w:hAnsi="Arial Narrow" w:cs="Tahoma"/>
          <w:sz w:val="26"/>
          <w:szCs w:val="26"/>
        </w:rPr>
        <w:t xml:space="preserve"> </w:t>
      </w:r>
      <w:r w:rsidR="002B046A" w:rsidRPr="006F129D">
        <w:rPr>
          <w:rFonts w:ascii="Arial Narrow" w:hAnsi="Arial Narrow" w:cs="Tahoma"/>
          <w:sz w:val="26"/>
          <w:szCs w:val="26"/>
          <w:lang w:val="sr-Cyrl-BA"/>
        </w:rPr>
        <w:t>503 КМ</w:t>
      </w:r>
    </w:p>
    <w:p w:rsidR="002B046A" w:rsidRPr="00C53439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color w:val="FF0000"/>
          <w:lang w:val="sr-Cyrl-CS"/>
        </w:rPr>
      </w:pPr>
    </w:p>
    <w:p w:rsidR="002B046A" w:rsidRPr="001D75F1" w:rsidRDefault="001D75F1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1D75F1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1D75F1">
        <w:rPr>
          <w:rFonts w:ascii="Arial Narrow" w:hAnsi="Arial Narrow" w:cs="Tahoma"/>
          <w:sz w:val="22"/>
        </w:rPr>
        <w:t>Republika</w:t>
      </w:r>
      <w:proofErr w:type="spellEnd"/>
      <w:r w:rsidRPr="001D75F1">
        <w:rPr>
          <w:rFonts w:ascii="Arial Narrow" w:hAnsi="Arial Narrow" w:cs="Tahoma"/>
          <w:sz w:val="22"/>
        </w:rPr>
        <w:t xml:space="preserve"> </w:t>
      </w:r>
      <w:proofErr w:type="spellStart"/>
      <w:r w:rsidRPr="001D75F1">
        <w:rPr>
          <w:rFonts w:ascii="Arial Narrow" w:hAnsi="Arial Narrow" w:cs="Tahoma"/>
          <w:sz w:val="22"/>
        </w:rPr>
        <w:t>Srpska</w:t>
      </w:r>
      <w:proofErr w:type="spellEnd"/>
      <w:r w:rsidRPr="001D75F1">
        <w:rPr>
          <w:rFonts w:ascii="Arial Narrow" w:hAnsi="Arial Narrow" w:cs="Tahoma"/>
          <w:sz w:val="22"/>
        </w:rPr>
        <w:t xml:space="preserve"> paid in February 2014 was </w:t>
      </w:r>
      <w:r w:rsidR="002B046A" w:rsidRPr="001D75F1">
        <w:rPr>
          <w:rFonts w:ascii="Arial Narrow" w:hAnsi="Arial Narrow" w:cs="Tahoma"/>
          <w:sz w:val="22"/>
          <w:lang w:val="sr-Cyrl-CS"/>
        </w:rPr>
        <w:t>822 КМ</w:t>
      </w:r>
      <w:r w:rsidR="002B046A" w:rsidRPr="001D75F1">
        <w:rPr>
          <w:rFonts w:ascii="Arial Narrow" w:hAnsi="Arial Narrow" w:cs="Tahoma"/>
          <w:sz w:val="22"/>
          <w:lang w:val="hr-HR"/>
        </w:rPr>
        <w:t>,</w:t>
      </w:r>
      <w:r w:rsidR="002B046A" w:rsidRPr="001D75F1">
        <w:rPr>
          <w:rFonts w:ascii="Arial Narrow" w:hAnsi="Arial Narrow" w:cs="Tahoma"/>
          <w:sz w:val="22"/>
          <w:lang w:val="ru-RU"/>
        </w:rPr>
        <w:t xml:space="preserve"> </w:t>
      </w:r>
      <w:r w:rsidRPr="001D75F1">
        <w:rPr>
          <w:rFonts w:ascii="Arial Narrow" w:hAnsi="Arial Narrow" w:cs="Tahoma"/>
          <w:sz w:val="22"/>
        </w:rPr>
        <w:t xml:space="preserve">while average monthly gross wage was </w:t>
      </w:r>
      <w:r w:rsidRPr="001D75F1">
        <w:rPr>
          <w:rFonts w:ascii="Arial Narrow" w:hAnsi="Arial Narrow" w:cs="Tahoma"/>
          <w:sz w:val="22"/>
          <w:lang w:val="sr-Cyrl-CS"/>
        </w:rPr>
        <w:t>1</w:t>
      </w:r>
      <w:r w:rsidRPr="001D75F1">
        <w:rPr>
          <w:rFonts w:ascii="Arial Narrow" w:hAnsi="Arial Narrow" w:cs="Tahoma"/>
          <w:sz w:val="22"/>
        </w:rPr>
        <w:t>,</w:t>
      </w:r>
      <w:r w:rsidR="002B046A" w:rsidRPr="001D75F1">
        <w:rPr>
          <w:rFonts w:ascii="Arial Narrow" w:hAnsi="Arial Narrow" w:cs="Tahoma"/>
          <w:sz w:val="22"/>
          <w:lang w:val="sr-Cyrl-CS"/>
        </w:rPr>
        <w:t>333 КМ.</w:t>
      </w:r>
    </w:p>
    <w:p w:rsidR="002B046A" w:rsidRPr="00C53439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color w:val="FF0000"/>
          <w:sz w:val="22"/>
          <w:lang w:val="sr-Cyrl-CS"/>
        </w:rPr>
      </w:pPr>
      <w:r w:rsidRPr="00C53439">
        <w:rPr>
          <w:rFonts w:ascii="Arial Narrow" w:hAnsi="Arial Narrow" w:cs="Tahoma"/>
          <w:color w:val="FF0000"/>
          <w:sz w:val="22"/>
          <w:lang w:val="sr-Cyrl-CS"/>
        </w:rPr>
        <w:t xml:space="preserve"> </w:t>
      </w:r>
    </w:p>
    <w:p w:rsidR="000C433C" w:rsidRPr="000C433C" w:rsidRDefault="000C433C" w:rsidP="002B046A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  <w:r w:rsidRPr="000C433C">
        <w:rPr>
          <w:rFonts w:ascii="Arial Narrow" w:hAnsi="Arial Narrow" w:cs="Tahoma"/>
          <w:sz w:val="22"/>
          <w:lang w:val="sr-Latn-CS"/>
        </w:rPr>
        <w:t xml:space="preserve">Compared to January 2014, average net wage paid in February 2014 was really 1.3% higher, while compared to February 2013 it was really 3.1% higher. </w:t>
      </w:r>
    </w:p>
    <w:p w:rsidR="002B046A" w:rsidRPr="00C53439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color w:val="FF0000"/>
          <w:sz w:val="22"/>
          <w:lang w:val="sr-Latn-CS"/>
        </w:rPr>
      </w:pPr>
    </w:p>
    <w:p w:rsidR="00BA225E" w:rsidRPr="00314330" w:rsidRDefault="00BA225E" w:rsidP="002B046A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 w:rsidRPr="00314330">
        <w:rPr>
          <w:rFonts w:ascii="Arial Narrow" w:hAnsi="Arial Narrow" w:cs="Tahoma"/>
          <w:sz w:val="22"/>
        </w:rPr>
        <w:t xml:space="preserve">The highest average net wage in February 2014, by section of activities, was paid in the section </w:t>
      </w:r>
      <w:r w:rsidRPr="00314330">
        <w:rPr>
          <w:rFonts w:ascii="Arial Narrow" w:hAnsi="Arial Narrow" w:cs="Tahoma"/>
          <w:i/>
          <w:sz w:val="22"/>
        </w:rPr>
        <w:t>Financial and insurance activities</w:t>
      </w:r>
      <w:r w:rsidRPr="00314330">
        <w:rPr>
          <w:rFonts w:ascii="Arial Narrow" w:hAnsi="Arial Narrow" w:cs="Tahoma"/>
          <w:sz w:val="22"/>
        </w:rPr>
        <w:t>, and it amounted to</w:t>
      </w:r>
      <w:r w:rsidR="00314330" w:rsidRPr="00314330">
        <w:rPr>
          <w:rFonts w:ascii="Arial Narrow" w:hAnsi="Arial Narrow" w:cs="Tahoma"/>
          <w:sz w:val="22"/>
        </w:rPr>
        <w:t xml:space="preserve"> 1,290 KM, while the lowest one was paid in the section </w:t>
      </w:r>
      <w:r w:rsidR="00314330" w:rsidRPr="00314330">
        <w:rPr>
          <w:rFonts w:ascii="Arial Narrow" w:hAnsi="Arial Narrow" w:cs="Tahoma"/>
          <w:i/>
          <w:sz w:val="22"/>
        </w:rPr>
        <w:t>Administrative and support service activities</w:t>
      </w:r>
      <w:r w:rsidR="00314330" w:rsidRPr="00314330">
        <w:rPr>
          <w:rFonts w:ascii="Arial Narrow" w:hAnsi="Arial Narrow" w:cs="Tahoma"/>
          <w:sz w:val="22"/>
        </w:rPr>
        <w:t xml:space="preserve">, 503 KM. </w:t>
      </w:r>
    </w:p>
    <w:p w:rsidR="002B046A" w:rsidRPr="00C53439" w:rsidRDefault="002B046A" w:rsidP="002B046A">
      <w:pPr>
        <w:jc w:val="both"/>
        <w:rPr>
          <w:rFonts w:ascii="Arial Narrow" w:hAnsi="Arial Narrow" w:cs="Tahoma"/>
          <w:color w:val="FF0000"/>
          <w:sz w:val="22"/>
          <w:lang w:val="sr-Latn-CS"/>
        </w:rPr>
      </w:pPr>
    </w:p>
    <w:p w:rsidR="000F263F" w:rsidRPr="00B407F9" w:rsidRDefault="00B407F9" w:rsidP="002B046A">
      <w:pPr>
        <w:jc w:val="both"/>
        <w:rPr>
          <w:rFonts w:ascii="Arial Narrow" w:hAnsi="Arial Narrow" w:cs="Tahoma"/>
          <w:sz w:val="22"/>
        </w:rPr>
      </w:pPr>
      <w:r w:rsidRPr="00B407F9">
        <w:rPr>
          <w:rFonts w:ascii="Arial Narrow" w:hAnsi="Arial Narrow" w:cs="Tahoma"/>
          <w:sz w:val="22"/>
        </w:rPr>
        <w:t xml:space="preserve">In February 2014, compared to January 2014, an increase in nominal net wages was recorded in the </w:t>
      </w:r>
      <w:r w:rsidRPr="004263F7">
        <w:rPr>
          <w:rFonts w:ascii="Arial Narrow" w:hAnsi="Arial Narrow" w:cs="Tahoma"/>
          <w:sz w:val="22"/>
        </w:rPr>
        <w:t>sections</w:t>
      </w:r>
      <w:r w:rsidRPr="00B407F9">
        <w:rPr>
          <w:rFonts w:ascii="Arial Narrow" w:hAnsi="Arial Narrow" w:cs="Tahoma"/>
          <w:i/>
          <w:sz w:val="22"/>
        </w:rPr>
        <w:t xml:space="preserve"> Information and communication </w:t>
      </w:r>
      <w:r w:rsidRPr="004263F7">
        <w:rPr>
          <w:rFonts w:ascii="Arial Narrow" w:hAnsi="Arial Narrow" w:cs="Tahoma"/>
          <w:sz w:val="22"/>
        </w:rPr>
        <w:t>44.0%,</w:t>
      </w:r>
      <w:r w:rsidRPr="00B407F9">
        <w:rPr>
          <w:rFonts w:ascii="Arial Narrow" w:hAnsi="Arial Narrow" w:cs="Tahoma"/>
          <w:i/>
          <w:sz w:val="22"/>
        </w:rPr>
        <w:t xml:space="preserve"> </w:t>
      </w:r>
      <w:r w:rsidRPr="00B407F9">
        <w:rPr>
          <w:rFonts w:ascii="Arial Narrow" w:hAnsi="Arial Narrow" w:cs="Tahoma"/>
          <w:i/>
          <w:iCs/>
          <w:sz w:val="22"/>
        </w:rPr>
        <w:t xml:space="preserve">Water supply; sewerage, waste management and remediation activities </w:t>
      </w:r>
      <w:r w:rsidRPr="004263F7">
        <w:rPr>
          <w:rFonts w:ascii="Arial Narrow" w:hAnsi="Arial Narrow" w:cs="Tahoma"/>
          <w:iCs/>
          <w:sz w:val="22"/>
        </w:rPr>
        <w:t>7.6%</w:t>
      </w:r>
      <w:r w:rsidRPr="00B407F9">
        <w:rPr>
          <w:rFonts w:ascii="Arial Narrow" w:hAnsi="Arial Narrow" w:cs="Tahoma"/>
          <w:i/>
          <w:iCs/>
          <w:sz w:val="22"/>
        </w:rPr>
        <w:t xml:space="preserve"> </w:t>
      </w:r>
      <w:r w:rsidRPr="00B407F9">
        <w:rPr>
          <w:rFonts w:ascii="Arial Narrow" w:hAnsi="Arial Narrow" w:cs="Tahoma"/>
          <w:iCs/>
          <w:sz w:val="22"/>
        </w:rPr>
        <w:t>and</w:t>
      </w:r>
      <w:r w:rsidRPr="00B407F9">
        <w:rPr>
          <w:rFonts w:ascii="Arial Narrow" w:hAnsi="Arial Narrow" w:cs="Tahoma"/>
          <w:i/>
          <w:iCs/>
          <w:sz w:val="22"/>
        </w:rPr>
        <w:t xml:space="preserve"> </w:t>
      </w:r>
      <w:r w:rsidRPr="00B407F9">
        <w:rPr>
          <w:rFonts w:ascii="Arial Narrow" w:hAnsi="Arial Narrow" w:cs="Tahoma"/>
          <w:i/>
          <w:sz w:val="22"/>
        </w:rPr>
        <w:t xml:space="preserve">Professional, scientific and technical activities </w:t>
      </w:r>
      <w:r w:rsidRPr="004263F7">
        <w:rPr>
          <w:rFonts w:ascii="Arial Narrow" w:hAnsi="Arial Narrow" w:cs="Tahoma"/>
          <w:sz w:val="22"/>
        </w:rPr>
        <w:t>6.9%</w:t>
      </w:r>
      <w:r w:rsidR="004263F7">
        <w:rPr>
          <w:rFonts w:ascii="Arial Narrow" w:hAnsi="Arial Narrow" w:cs="Tahoma"/>
          <w:sz w:val="22"/>
        </w:rPr>
        <w:t>.</w:t>
      </w:r>
    </w:p>
    <w:p w:rsidR="002B046A" w:rsidRPr="00C53439" w:rsidRDefault="002B046A" w:rsidP="002B046A">
      <w:pPr>
        <w:jc w:val="both"/>
        <w:rPr>
          <w:rFonts w:ascii="Arial Narrow" w:hAnsi="Arial Narrow" w:cs="Tahoma"/>
          <w:color w:val="FF0000"/>
          <w:sz w:val="22"/>
          <w:lang w:val="sr-Cyrl-BA"/>
        </w:rPr>
      </w:pPr>
    </w:p>
    <w:p w:rsidR="004263F7" w:rsidRPr="002E2304" w:rsidRDefault="004263F7" w:rsidP="002B046A">
      <w:pPr>
        <w:jc w:val="both"/>
        <w:rPr>
          <w:rFonts w:ascii="Arial Narrow" w:hAnsi="Arial Narrow" w:cs="Tahoma"/>
          <w:sz w:val="22"/>
        </w:rPr>
      </w:pPr>
      <w:r w:rsidRPr="002E2304">
        <w:rPr>
          <w:rFonts w:ascii="Arial Narrow" w:hAnsi="Arial Narrow" w:cs="Tahoma"/>
          <w:sz w:val="22"/>
        </w:rPr>
        <w:t xml:space="preserve">A decrease in nominal wages was recorded in the sections </w:t>
      </w:r>
      <w:r w:rsidRPr="002E2304">
        <w:rPr>
          <w:rFonts w:ascii="Arial Narrow" w:hAnsi="Arial Narrow" w:cs="Tahoma"/>
          <w:i/>
          <w:sz w:val="22"/>
        </w:rPr>
        <w:t>Education</w:t>
      </w:r>
      <w:r w:rsidRPr="002E2304">
        <w:rPr>
          <w:rFonts w:ascii="Arial Narrow" w:hAnsi="Arial Narrow" w:cs="Tahoma"/>
          <w:sz w:val="22"/>
        </w:rPr>
        <w:t xml:space="preserve"> 7.0%, </w:t>
      </w:r>
      <w:proofErr w:type="gramStart"/>
      <w:r w:rsidRPr="002E2304">
        <w:rPr>
          <w:rFonts w:ascii="Arial Narrow" w:hAnsi="Arial Narrow" w:cs="Tahoma"/>
          <w:i/>
          <w:sz w:val="22"/>
        </w:rPr>
        <w:t>Other</w:t>
      </w:r>
      <w:proofErr w:type="gramEnd"/>
      <w:r w:rsidRPr="002E2304">
        <w:rPr>
          <w:rFonts w:ascii="Arial Narrow" w:hAnsi="Arial Narrow" w:cs="Tahoma"/>
          <w:i/>
          <w:sz w:val="22"/>
        </w:rPr>
        <w:t xml:space="preserve"> service activities</w:t>
      </w:r>
      <w:r w:rsidRPr="002E2304">
        <w:rPr>
          <w:rFonts w:ascii="Arial Narrow" w:hAnsi="Arial Narrow" w:cs="Tahoma"/>
          <w:sz w:val="22"/>
        </w:rPr>
        <w:t xml:space="preserve"> 3.5%, </w:t>
      </w:r>
      <w:r w:rsidRPr="002E2304">
        <w:rPr>
          <w:rFonts w:ascii="Arial Narrow" w:hAnsi="Arial Narrow" w:cs="Tahoma"/>
          <w:i/>
          <w:sz w:val="22"/>
        </w:rPr>
        <w:t>Construction</w:t>
      </w:r>
      <w:r w:rsidRPr="002E2304">
        <w:rPr>
          <w:rFonts w:ascii="Arial Narrow" w:hAnsi="Arial Narrow" w:cs="Tahoma"/>
          <w:sz w:val="22"/>
        </w:rPr>
        <w:t xml:space="preserve"> 1.9% and </w:t>
      </w:r>
      <w:r w:rsidRPr="002E2304">
        <w:rPr>
          <w:rFonts w:ascii="Arial Narrow" w:hAnsi="Arial Narrow" w:cs="Tahoma"/>
          <w:i/>
          <w:sz w:val="22"/>
        </w:rPr>
        <w:t>Manufacturing</w:t>
      </w:r>
      <w:r w:rsidRPr="002E2304">
        <w:rPr>
          <w:rFonts w:ascii="Arial Narrow" w:hAnsi="Arial Narrow" w:cs="Tahoma"/>
          <w:sz w:val="22"/>
        </w:rPr>
        <w:t xml:space="preserve"> 1.8%. </w:t>
      </w:r>
    </w:p>
    <w:p w:rsidR="00037786" w:rsidRPr="00B61163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6F129D" w:rsidRDefault="00037786" w:rsidP="00037786">
      <w:pPr>
        <w:jc w:val="both"/>
        <w:rPr>
          <w:rFonts w:ascii="Arial Narrow" w:hAnsi="Arial Narrow" w:cs="Tahoma"/>
        </w:rPr>
      </w:pPr>
      <w:r w:rsidRPr="000E4DB9">
        <w:rPr>
          <w:rFonts w:ascii="Tahoma" w:hAnsi="Tahoma" w:cs="Tahoma"/>
          <w:i/>
          <w:sz w:val="14"/>
          <w:lang w:val="sr-Cyrl-CS"/>
        </w:rPr>
        <w:t xml:space="preserve"> </w:t>
      </w:r>
      <w:r w:rsidRPr="000E4DB9">
        <w:rPr>
          <w:rFonts w:ascii="Tahoma" w:hAnsi="Tahoma" w:cs="Tahoma"/>
          <w:sz w:val="14"/>
          <w:lang w:val="sr-Cyrl-CS"/>
        </w:rPr>
        <w:t xml:space="preserve">       </w:t>
      </w:r>
      <w:r w:rsidRPr="000E4DB9">
        <w:rPr>
          <w:rFonts w:ascii="Tahoma" w:hAnsi="Tahoma" w:cs="Tahoma"/>
          <w:sz w:val="14"/>
          <w:lang w:val="sr-Latn-CS"/>
        </w:rPr>
        <w:t xml:space="preserve"> </w:t>
      </w:r>
      <w:r w:rsidR="003D38C1" w:rsidRPr="000E4DB9">
        <w:rPr>
          <w:rFonts w:ascii="Tahoma" w:hAnsi="Tahoma" w:cs="Tahoma"/>
          <w:sz w:val="14"/>
          <w:lang w:val="sr-Latn-CS"/>
        </w:rPr>
        <w:tab/>
      </w:r>
      <w:r w:rsidR="003D38C1" w:rsidRPr="000E4DB9">
        <w:rPr>
          <w:rFonts w:ascii="Tahoma" w:hAnsi="Tahoma" w:cs="Tahoma"/>
          <w:sz w:val="14"/>
          <w:lang w:val="sr-Latn-CS"/>
        </w:rPr>
        <w:tab/>
        <w:t xml:space="preserve"> </w:t>
      </w:r>
      <w:r w:rsidR="000E4DB9">
        <w:rPr>
          <w:rFonts w:ascii="Tahoma" w:hAnsi="Tahoma" w:cs="Tahoma"/>
          <w:sz w:val="14"/>
          <w:lang w:val="sr-Latn-CS"/>
        </w:rPr>
        <w:t xml:space="preserve"> </w:t>
      </w:r>
      <w:r w:rsidR="003D38C1" w:rsidRPr="000E4DB9">
        <w:rPr>
          <w:rFonts w:ascii="Tahoma" w:hAnsi="Tahoma" w:cs="Tahoma"/>
          <w:sz w:val="14"/>
          <w:lang w:val="sr-Latn-CS"/>
        </w:rPr>
        <w:t xml:space="preserve"> </w:t>
      </w:r>
      <w:r w:rsidR="008809BE" w:rsidRPr="000E4DB9">
        <w:rPr>
          <w:rFonts w:ascii="Tahoma" w:hAnsi="Tahoma" w:cs="Tahoma"/>
          <w:sz w:val="14"/>
        </w:rPr>
        <w:t xml:space="preserve">  </w:t>
      </w:r>
      <w:r w:rsidR="006F129D">
        <w:rPr>
          <w:rFonts w:ascii="Tahoma" w:hAnsi="Tahoma" w:cs="Tahoma"/>
          <w:sz w:val="14"/>
        </w:rPr>
        <w:t xml:space="preserve">                                                                                                                                                       </w:t>
      </w:r>
      <w:r w:rsidRPr="006F129D">
        <w:rPr>
          <w:rFonts w:ascii="Arial Narrow" w:hAnsi="Arial Narrow" w:cs="Tahoma"/>
          <w:lang w:val="sr-Cyrl-CS"/>
        </w:rPr>
        <w:t>км</w:t>
      </w:r>
    </w:p>
    <w:p w:rsidR="00037786" w:rsidRPr="00B7241C" w:rsidRDefault="00673D83" w:rsidP="00037786">
      <w:pPr>
        <w:jc w:val="center"/>
        <w:rPr>
          <w:rFonts w:ascii="Tahoma" w:hAnsi="Tahoma" w:cs="Tahoma"/>
          <w:color w:val="FF0000"/>
        </w:rPr>
      </w:pPr>
      <w:r w:rsidRPr="006F129D">
        <w:rPr>
          <w:rFonts w:ascii="Arial Narrow" w:hAnsi="Arial Narrow" w:cs="Tahoma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952064</wp:posOffset>
            </wp:positionH>
            <wp:positionV relativeFrom="paragraph">
              <wp:posOffset>2085975</wp:posOffset>
            </wp:positionV>
            <wp:extent cx="4505242" cy="461176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46A" w:rsidRPr="002B046A">
        <w:rPr>
          <w:rFonts w:ascii="Tahoma" w:hAnsi="Tahoma" w:cs="Tahoma"/>
          <w:noProof/>
          <w:color w:val="FF0000"/>
          <w:szCs w:val="18"/>
        </w:rPr>
        <w:drawing>
          <wp:inline distT="0" distB="0" distL="0" distR="0">
            <wp:extent cx="4572000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7241C">
        <w:rPr>
          <w:rFonts w:ascii="Tahoma" w:hAnsi="Tahoma" w:cs="Tahoma"/>
          <w:color w:val="FF0000"/>
          <w:szCs w:val="18"/>
        </w:rPr>
        <w:t xml:space="preserve"> </w:t>
      </w:r>
    </w:p>
    <w:p w:rsidR="00037786" w:rsidRPr="002E2304" w:rsidRDefault="00037786" w:rsidP="00037786">
      <w:pPr>
        <w:jc w:val="center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037786" w:rsidRPr="002E2304" w:rsidRDefault="000A0AB6" w:rsidP="00037786">
      <w:pPr>
        <w:jc w:val="center"/>
        <w:outlineLvl w:val="0"/>
        <w:rPr>
          <w:rFonts w:ascii="Arial Narrow" w:hAnsi="Arial Narrow" w:cs="Tahoma"/>
          <w:sz w:val="22"/>
          <w:szCs w:val="22"/>
        </w:rPr>
      </w:pPr>
      <w:proofErr w:type="gramStart"/>
      <w:r w:rsidRPr="002E2304">
        <w:rPr>
          <w:rFonts w:ascii="Arial Narrow" w:hAnsi="Arial Narrow" w:cs="Tahoma"/>
          <w:sz w:val="22"/>
          <w:szCs w:val="22"/>
        </w:rPr>
        <w:t>Graph</w:t>
      </w:r>
      <w:r w:rsidR="00037786" w:rsidRPr="002E230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D05B8A" w:rsidRPr="002E2304">
        <w:rPr>
          <w:rFonts w:ascii="Arial Narrow" w:hAnsi="Arial Narrow" w:cs="Tahoma"/>
          <w:sz w:val="22"/>
          <w:szCs w:val="22"/>
          <w:lang w:val="sr-Cyrl-CS"/>
        </w:rPr>
        <w:t>1.</w:t>
      </w:r>
      <w:proofErr w:type="gramEnd"/>
      <w:r w:rsidR="00037786" w:rsidRPr="002E230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2E2304">
        <w:rPr>
          <w:rFonts w:ascii="Arial Narrow" w:hAnsi="Arial Narrow" w:cs="Tahoma"/>
          <w:sz w:val="22"/>
          <w:szCs w:val="22"/>
        </w:rPr>
        <w:t>Average net wages of employed persons by month</w:t>
      </w:r>
    </w:p>
    <w:p w:rsidR="004E0795" w:rsidRPr="004C20B5" w:rsidRDefault="004E0795">
      <w:pPr>
        <w:rPr>
          <w:rFonts w:ascii="Tahoma" w:hAnsi="Tahoma" w:cs="Tahoma"/>
          <w:lang w:val="sr-Cyrl-BA"/>
        </w:rPr>
      </w:pPr>
      <w:r w:rsidRPr="004C20B5">
        <w:rPr>
          <w:rFonts w:ascii="Tahoma" w:hAnsi="Tahoma" w:cs="Tahoma"/>
          <w:lang w:val="sr-Cyrl-BA"/>
        </w:rPr>
        <w:br w:type="page"/>
      </w:r>
    </w:p>
    <w:p w:rsidR="00037786" w:rsidRPr="000E4DB9" w:rsidRDefault="00037786" w:rsidP="00037786">
      <w:pPr>
        <w:jc w:val="both"/>
        <w:rPr>
          <w:rFonts w:ascii="Arial Narrow" w:hAnsi="Arial Narrow" w:cs="Tahoma"/>
          <w:sz w:val="22"/>
          <w:lang w:val="sr-Cyrl-BA"/>
        </w:rPr>
      </w:pPr>
    </w:p>
    <w:p w:rsidR="00B61163" w:rsidRPr="00E70631" w:rsidRDefault="00086A49" w:rsidP="00B61163">
      <w:pPr>
        <w:rPr>
          <w:rFonts w:ascii="Arial Narrow" w:hAnsi="Arial Narrow" w:cs="Tahoma"/>
          <w:b/>
          <w:sz w:val="30"/>
          <w:szCs w:val="30"/>
        </w:rPr>
      </w:pPr>
      <w:r w:rsidRPr="00E70631">
        <w:rPr>
          <w:rFonts w:ascii="Arial Narrow" w:hAnsi="Arial Narrow" w:cs="Tahoma"/>
          <w:b/>
          <w:sz w:val="30"/>
          <w:szCs w:val="30"/>
        </w:rPr>
        <w:t>Monthly inflation</w:t>
      </w:r>
      <w:r w:rsidRPr="00E70631">
        <w:rPr>
          <w:rFonts w:ascii="Arial Narrow" w:hAnsi="Arial Narrow" w:cs="Tahoma"/>
          <w:b/>
          <w:sz w:val="30"/>
          <w:szCs w:val="30"/>
          <w:lang w:val="sr-Cyrl-BA"/>
        </w:rPr>
        <w:t xml:space="preserve"> 0</w:t>
      </w:r>
      <w:r w:rsidRPr="00E70631">
        <w:rPr>
          <w:rFonts w:ascii="Arial Narrow" w:hAnsi="Arial Narrow" w:cs="Tahoma"/>
          <w:b/>
          <w:sz w:val="30"/>
          <w:szCs w:val="30"/>
        </w:rPr>
        <w:t>.</w:t>
      </w:r>
      <w:r w:rsidR="000E4DB9" w:rsidRPr="00E70631">
        <w:rPr>
          <w:rFonts w:ascii="Arial Narrow" w:hAnsi="Arial Narrow" w:cs="Tahoma"/>
          <w:b/>
          <w:sz w:val="30"/>
          <w:szCs w:val="30"/>
          <w:lang w:val="sr-Cyrl-BA"/>
        </w:rPr>
        <w:t>2%</w:t>
      </w:r>
      <w:r w:rsidRPr="00E70631">
        <w:rPr>
          <w:rFonts w:ascii="Arial Narrow" w:hAnsi="Arial Narrow" w:cs="Tahoma"/>
          <w:b/>
          <w:sz w:val="30"/>
          <w:szCs w:val="30"/>
        </w:rPr>
        <w:t xml:space="preserve"> in February 2014</w:t>
      </w:r>
    </w:p>
    <w:p w:rsidR="00B61163" w:rsidRPr="00E70631" w:rsidRDefault="00086A49" w:rsidP="00B61163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E70631">
        <w:rPr>
          <w:rFonts w:ascii="Arial Narrow" w:hAnsi="Arial Narrow" w:cs="Tahoma"/>
          <w:b/>
          <w:sz w:val="30"/>
          <w:szCs w:val="30"/>
        </w:rPr>
        <w:t>Annual inflation</w:t>
      </w:r>
      <w:r w:rsidR="00B61163" w:rsidRPr="00E70631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Pr="00E70631">
        <w:rPr>
          <w:rFonts w:ascii="Arial Narrow" w:hAnsi="Arial Narrow" w:cs="Tahoma"/>
          <w:b/>
          <w:sz w:val="30"/>
          <w:szCs w:val="30"/>
          <w:lang w:val="sr-Latn-CS"/>
        </w:rPr>
        <w:t>February</w:t>
      </w:r>
      <w:r w:rsidR="00B61163" w:rsidRPr="00E70631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 w:rsidRPr="00E70631">
        <w:rPr>
          <w:rFonts w:ascii="Arial Narrow" w:hAnsi="Arial Narrow" w:cs="Tahoma"/>
          <w:b/>
          <w:sz w:val="30"/>
          <w:szCs w:val="30"/>
          <w:lang w:val="sr-Latn-CS"/>
        </w:rPr>
        <w:t>February</w:t>
      </w:r>
      <w:r w:rsidR="00B61163" w:rsidRPr="00E70631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 w:rsidRPr="00E70631">
        <w:rPr>
          <w:rFonts w:ascii="Arial Narrow" w:hAnsi="Arial Narrow" w:cs="Tahoma"/>
          <w:b/>
          <w:sz w:val="30"/>
          <w:szCs w:val="30"/>
          <w:lang w:val="sr-Cyrl-BA"/>
        </w:rPr>
        <w:t>) -1</w:t>
      </w:r>
      <w:r w:rsidRPr="00E70631">
        <w:rPr>
          <w:rFonts w:ascii="Arial Narrow" w:hAnsi="Arial Narrow" w:cs="Tahoma"/>
          <w:b/>
          <w:sz w:val="30"/>
          <w:szCs w:val="30"/>
        </w:rPr>
        <w:t>.</w:t>
      </w:r>
      <w:r w:rsidR="00B61163" w:rsidRPr="00E70631">
        <w:rPr>
          <w:rFonts w:ascii="Arial Narrow" w:hAnsi="Arial Narrow" w:cs="Tahoma"/>
          <w:b/>
          <w:sz w:val="30"/>
          <w:szCs w:val="30"/>
          <w:lang w:val="sr-Cyrl-BA"/>
        </w:rPr>
        <w:t>7%</w:t>
      </w:r>
    </w:p>
    <w:p w:rsidR="00CF443D" w:rsidRPr="000E4DB9" w:rsidRDefault="00CF443D" w:rsidP="00CF443D">
      <w:pPr>
        <w:rPr>
          <w:rFonts w:ascii="Arial Narrow" w:hAnsi="Arial Narrow" w:cs="Tahoma"/>
          <w:b/>
          <w:color w:val="FF0000"/>
          <w:sz w:val="22"/>
          <w:szCs w:val="28"/>
        </w:rPr>
      </w:pPr>
    </w:p>
    <w:p w:rsidR="00EF07FD" w:rsidRDefault="00EF07FD" w:rsidP="00CF443D">
      <w:pPr>
        <w:spacing w:after="120"/>
        <w:jc w:val="both"/>
        <w:rPr>
          <w:rFonts w:ascii="Arial Narrow" w:hAnsi="Arial Narrow" w:cs="Tahoma"/>
          <w:color w:val="FF0000"/>
          <w:sz w:val="22"/>
          <w:szCs w:val="22"/>
        </w:rPr>
      </w:pPr>
      <w:r w:rsidRPr="009433A7">
        <w:rPr>
          <w:rFonts w:ascii="Arial Narrow" w:hAnsi="Arial Narrow" w:cs="Tahoma"/>
          <w:sz w:val="22"/>
        </w:rPr>
        <w:t xml:space="preserve">Prices of products and services for personal consumption in </w:t>
      </w:r>
      <w:proofErr w:type="spellStart"/>
      <w:r w:rsidRPr="009433A7">
        <w:rPr>
          <w:rFonts w:ascii="Arial Narrow" w:hAnsi="Arial Narrow" w:cs="Tahoma"/>
          <w:sz w:val="22"/>
        </w:rPr>
        <w:t>Republika</w:t>
      </w:r>
      <w:proofErr w:type="spellEnd"/>
      <w:r w:rsidRPr="009433A7">
        <w:rPr>
          <w:rFonts w:ascii="Arial Narrow" w:hAnsi="Arial Narrow" w:cs="Tahoma"/>
          <w:sz w:val="22"/>
        </w:rPr>
        <w:t xml:space="preserve"> </w:t>
      </w:r>
      <w:proofErr w:type="spellStart"/>
      <w:r w:rsidRPr="009433A7">
        <w:rPr>
          <w:rFonts w:ascii="Arial Narrow" w:hAnsi="Arial Narrow" w:cs="Tahoma"/>
          <w:sz w:val="22"/>
        </w:rPr>
        <w:t>Srpska</w:t>
      </w:r>
      <w:proofErr w:type="spellEnd"/>
      <w:r w:rsidRPr="009433A7">
        <w:rPr>
          <w:rFonts w:ascii="Arial Narrow" w:hAnsi="Arial Narrow" w:cs="Tahoma"/>
          <w:sz w:val="22"/>
        </w:rPr>
        <w:t>, measured with the consumer price index, in</w:t>
      </w:r>
      <w:r>
        <w:rPr>
          <w:rFonts w:ascii="Arial Narrow" w:hAnsi="Arial Narrow" w:cs="Tahoma"/>
          <w:sz w:val="22"/>
        </w:rPr>
        <w:t xml:space="preserve"> February 2014 were on the average 0.2% higher compared to January 2014. An increase was recorded in 3 out of 12 divisions. </w:t>
      </w:r>
    </w:p>
    <w:p w:rsidR="00DA4AFE" w:rsidRPr="00DA4AFE" w:rsidRDefault="00DA4AFE" w:rsidP="00B6116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DA4AFE">
        <w:rPr>
          <w:rFonts w:ascii="Arial Narrow" w:hAnsi="Arial Narrow" w:cs="Tahoma"/>
          <w:sz w:val="22"/>
          <w:szCs w:val="22"/>
        </w:rPr>
        <w:t xml:space="preserve">The highest increase was recorded in the division </w:t>
      </w:r>
      <w:r w:rsidRPr="00DA4AFE">
        <w:rPr>
          <w:rFonts w:ascii="Arial Narrow" w:hAnsi="Arial Narrow" w:cs="Tahoma"/>
          <w:i/>
          <w:sz w:val="22"/>
          <w:szCs w:val="22"/>
        </w:rPr>
        <w:t>Communications</w:t>
      </w:r>
      <w:r w:rsidRPr="00DA4AFE">
        <w:rPr>
          <w:rFonts w:ascii="Arial Narrow" w:hAnsi="Arial Narrow" w:cs="Tahoma"/>
          <w:sz w:val="22"/>
          <w:szCs w:val="22"/>
        </w:rPr>
        <w:t xml:space="preserve">, 5.5%, due to an increase in prices of monthly landline fees. </w:t>
      </w:r>
    </w:p>
    <w:p w:rsidR="00DA4AFE" w:rsidRPr="00DA4AFE" w:rsidRDefault="00DA4AFE" w:rsidP="00B61163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DA4AFE">
        <w:rPr>
          <w:rFonts w:ascii="Arial Narrow" w:hAnsi="Arial Narrow" w:cs="Tahoma"/>
          <w:sz w:val="22"/>
          <w:szCs w:val="22"/>
        </w:rPr>
        <w:t xml:space="preserve">An increase in price index by 0.1% recorded in the division </w:t>
      </w:r>
      <w:r w:rsidRPr="00AA3176">
        <w:rPr>
          <w:rFonts w:ascii="Arial Narrow" w:hAnsi="Arial Narrow" w:cs="Tahoma"/>
          <w:i/>
          <w:sz w:val="22"/>
          <w:szCs w:val="22"/>
        </w:rPr>
        <w:t>Health care</w:t>
      </w:r>
      <w:r w:rsidRPr="00DA4AFE">
        <w:rPr>
          <w:rFonts w:ascii="Arial Narrow" w:hAnsi="Arial Narrow" w:cs="Tahoma"/>
          <w:sz w:val="22"/>
          <w:szCs w:val="22"/>
        </w:rPr>
        <w:t xml:space="preserve"> occurred due to higher prices of certain medicaments and of other </w:t>
      </w:r>
      <w:proofErr w:type="spellStart"/>
      <w:r w:rsidRPr="00DA4AFE">
        <w:rPr>
          <w:rFonts w:ascii="Arial Narrow" w:hAnsi="Arial Narrow" w:cs="Tahoma"/>
          <w:sz w:val="22"/>
          <w:szCs w:val="22"/>
        </w:rPr>
        <w:t>other</w:t>
      </w:r>
      <w:proofErr w:type="spellEnd"/>
      <w:r w:rsidRPr="00DA4AFE">
        <w:rPr>
          <w:rFonts w:ascii="Arial Narrow" w:hAnsi="Arial Narrow" w:cs="Tahoma"/>
          <w:sz w:val="22"/>
          <w:szCs w:val="22"/>
        </w:rPr>
        <w:t xml:space="preserve"> medical products (bandages, syringes, </w:t>
      </w:r>
      <w:proofErr w:type="gramStart"/>
      <w:r w:rsidRPr="00DA4AFE">
        <w:rPr>
          <w:rFonts w:ascii="Arial Narrow" w:hAnsi="Arial Narrow" w:cs="Tahoma"/>
          <w:sz w:val="22"/>
          <w:szCs w:val="22"/>
        </w:rPr>
        <w:t>clinical</w:t>
      </w:r>
      <w:proofErr w:type="gramEnd"/>
      <w:r w:rsidRPr="00DA4AFE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DA4AFE">
        <w:rPr>
          <w:rFonts w:ascii="Arial Narrow" w:hAnsi="Arial Narrow" w:cs="Tahoma"/>
          <w:sz w:val="22"/>
          <w:szCs w:val="22"/>
        </w:rPr>
        <w:t>thermometres</w:t>
      </w:r>
      <w:proofErr w:type="spellEnd"/>
      <w:r w:rsidRPr="00DA4AFE">
        <w:rPr>
          <w:rFonts w:ascii="Arial Narrow" w:hAnsi="Arial Narrow" w:cs="Tahoma"/>
          <w:sz w:val="22"/>
          <w:szCs w:val="22"/>
        </w:rPr>
        <w:t xml:space="preserve">) by 0.2%. </w:t>
      </w:r>
    </w:p>
    <w:p w:rsidR="006A45F7" w:rsidRDefault="006A45F7" w:rsidP="00B61163">
      <w:pPr>
        <w:spacing w:after="200"/>
        <w:jc w:val="both"/>
        <w:rPr>
          <w:rFonts w:ascii="Arial Narrow" w:hAnsi="Arial Narrow" w:cs="Tahoma"/>
          <w:sz w:val="22"/>
          <w:szCs w:val="22"/>
        </w:rPr>
      </w:pPr>
      <w:r w:rsidRPr="005E7621">
        <w:rPr>
          <w:rFonts w:ascii="Arial Narrow" w:hAnsi="Arial Narrow" w:cs="Tahoma"/>
          <w:sz w:val="22"/>
          <w:szCs w:val="22"/>
        </w:rPr>
        <w:t xml:space="preserve">In the division </w:t>
      </w:r>
      <w:r w:rsidRPr="005E7621">
        <w:rPr>
          <w:rFonts w:ascii="Arial Narrow" w:hAnsi="Arial Narrow" w:cs="Tahoma"/>
          <w:i/>
          <w:sz w:val="22"/>
          <w:szCs w:val="22"/>
        </w:rPr>
        <w:t>Other goods and services</w:t>
      </w:r>
      <w:r w:rsidRPr="005E7621">
        <w:rPr>
          <w:rFonts w:ascii="Arial Narrow" w:hAnsi="Arial Narrow" w:cs="Tahoma"/>
          <w:sz w:val="22"/>
          <w:szCs w:val="22"/>
        </w:rPr>
        <w:t xml:space="preserve"> an increase in prices by 0.1% was recorded</w:t>
      </w:r>
      <w:r w:rsidR="005E7621">
        <w:rPr>
          <w:rFonts w:ascii="Arial Narrow" w:hAnsi="Arial Narrow" w:cs="Tahoma"/>
          <w:sz w:val="22"/>
          <w:szCs w:val="22"/>
        </w:rPr>
        <w:t xml:space="preserve">, due to higher prices of </w:t>
      </w:r>
      <w:r w:rsidR="00851C98">
        <w:rPr>
          <w:rFonts w:ascii="Arial Narrow" w:hAnsi="Arial Narrow" w:cs="Tahoma"/>
          <w:sz w:val="22"/>
          <w:szCs w:val="22"/>
        </w:rPr>
        <w:t xml:space="preserve">personal care devices, items and products by 0.3%. </w:t>
      </w:r>
    </w:p>
    <w:p w:rsidR="00851C98" w:rsidRPr="005E7621" w:rsidRDefault="00851C98" w:rsidP="00B61163">
      <w:pPr>
        <w:spacing w:after="20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On the other hand, a decrease in prices was recorded in 5 out of 12 divisions. </w:t>
      </w:r>
    </w:p>
    <w:p w:rsidR="00851C98" w:rsidRPr="00851C98" w:rsidRDefault="00851C98" w:rsidP="00B61163">
      <w:pPr>
        <w:spacing w:after="120"/>
        <w:jc w:val="both"/>
        <w:rPr>
          <w:rFonts w:ascii="Arial Narrow" w:hAnsi="Arial Narrow" w:cs="Tahoma"/>
          <w:sz w:val="22"/>
        </w:rPr>
      </w:pPr>
      <w:r w:rsidRPr="00851C98">
        <w:rPr>
          <w:rFonts w:ascii="Arial Narrow" w:hAnsi="Arial Narrow" w:cs="Tahoma"/>
          <w:sz w:val="22"/>
        </w:rPr>
        <w:t xml:space="preserve">In the division </w:t>
      </w:r>
      <w:r w:rsidRPr="00851C98">
        <w:rPr>
          <w:rFonts w:ascii="Arial Narrow" w:hAnsi="Arial Narrow" w:cs="Tahoma"/>
          <w:i/>
          <w:sz w:val="22"/>
        </w:rPr>
        <w:t>Food and non-alcoholic beverages</w:t>
      </w:r>
      <w:r w:rsidRPr="00851C98">
        <w:rPr>
          <w:rFonts w:ascii="Arial Narrow" w:hAnsi="Arial Narrow" w:cs="Tahoma"/>
          <w:sz w:val="22"/>
        </w:rPr>
        <w:t xml:space="preserve">, in which prices </w:t>
      </w:r>
      <w:r>
        <w:rPr>
          <w:rFonts w:ascii="Arial Narrow" w:hAnsi="Arial Narrow" w:cs="Tahoma"/>
          <w:sz w:val="22"/>
        </w:rPr>
        <w:t xml:space="preserve">were on the average 0.1% lower, average prices in the group </w:t>
      </w:r>
      <w:r w:rsidRPr="00851C98">
        <w:rPr>
          <w:rFonts w:ascii="Arial Narrow" w:hAnsi="Arial Narrow" w:cs="Tahoma"/>
          <w:i/>
          <w:sz w:val="22"/>
        </w:rPr>
        <w:t>Food</w:t>
      </w:r>
      <w:r>
        <w:rPr>
          <w:rFonts w:ascii="Arial Narrow" w:hAnsi="Arial Narrow" w:cs="Tahoma"/>
          <w:sz w:val="22"/>
        </w:rPr>
        <w:t xml:space="preserve"> did not change. However, there were certain changes in price trends. An increase in prices in this month was recorded for beef 2.7%, fruits 2.6%, vegetable fat 2.6%, rice 2.0%, and vegetables 1.1%. On the other hand, lower prices were recorded for pork 4.5%, sugar 3.6%, veal 2.4%, pasta 2.4%, </w:t>
      </w:r>
      <w:r w:rsidR="004B2917">
        <w:rPr>
          <w:rFonts w:ascii="Arial Narrow" w:hAnsi="Arial Narrow" w:cs="Tahoma"/>
          <w:sz w:val="22"/>
        </w:rPr>
        <w:t xml:space="preserve">lard 2.0%, canned and processed fish 1.2%, edible oil 0.4%, and milk 0.1%. In the group </w:t>
      </w:r>
      <w:r w:rsidR="004B2917" w:rsidRPr="004B2917">
        <w:rPr>
          <w:rFonts w:ascii="Arial Narrow" w:hAnsi="Arial Narrow" w:cs="Tahoma"/>
          <w:i/>
          <w:sz w:val="22"/>
        </w:rPr>
        <w:t>Non-alcoholic beverages</w:t>
      </w:r>
      <w:r w:rsidR="004B2917">
        <w:rPr>
          <w:rFonts w:ascii="Arial Narrow" w:hAnsi="Arial Narrow" w:cs="Tahoma"/>
          <w:sz w:val="22"/>
        </w:rPr>
        <w:t xml:space="preserve"> prices were on the average 0.6% lower, due to lower prices of coffee by 1.8%. A decrease in prices by 0.1% </w:t>
      </w:r>
      <w:r w:rsidR="0006143E">
        <w:rPr>
          <w:rFonts w:ascii="Arial Narrow" w:hAnsi="Arial Narrow" w:cs="Tahoma"/>
          <w:sz w:val="22"/>
        </w:rPr>
        <w:t xml:space="preserve">recorded in the division </w:t>
      </w:r>
      <w:r w:rsidR="0006143E" w:rsidRPr="0006143E">
        <w:rPr>
          <w:rFonts w:ascii="Arial Narrow" w:hAnsi="Arial Narrow" w:cs="Tahoma"/>
          <w:i/>
          <w:sz w:val="22"/>
        </w:rPr>
        <w:t>Alcoholic beverages and tobacco</w:t>
      </w:r>
      <w:r w:rsidR="0006143E">
        <w:rPr>
          <w:rFonts w:ascii="Arial Narrow" w:hAnsi="Arial Narrow" w:cs="Tahoma"/>
          <w:sz w:val="22"/>
        </w:rPr>
        <w:t xml:space="preserve"> occurred due to lower prices of all </w:t>
      </w:r>
      <w:r w:rsidR="0090478C">
        <w:rPr>
          <w:rFonts w:ascii="Arial Narrow" w:hAnsi="Arial Narrow" w:cs="Tahoma"/>
          <w:sz w:val="22"/>
        </w:rPr>
        <w:t xml:space="preserve">kinds of beer by 0.5%. A decrease by 0.2% was recorded in the division </w:t>
      </w:r>
      <w:r w:rsidR="0090478C" w:rsidRPr="0090478C">
        <w:rPr>
          <w:rFonts w:ascii="Arial Narrow" w:hAnsi="Arial Narrow" w:cs="Tahoma"/>
          <w:i/>
          <w:sz w:val="22"/>
        </w:rPr>
        <w:t>Furnishing and other equipment</w:t>
      </w:r>
      <w:r w:rsidR="0090478C">
        <w:rPr>
          <w:rFonts w:ascii="Arial Narrow" w:hAnsi="Arial Narrow" w:cs="Tahoma"/>
          <w:sz w:val="22"/>
        </w:rPr>
        <w:t xml:space="preserve">, due to lower prices of house maintenance products by 0.3%. </w:t>
      </w:r>
      <w:proofErr w:type="gramStart"/>
      <w:r w:rsidR="0090478C">
        <w:rPr>
          <w:rFonts w:ascii="Arial Narrow" w:hAnsi="Arial Narrow" w:cs="Tahoma"/>
          <w:sz w:val="22"/>
        </w:rPr>
        <w:t xml:space="preserve">Prices in the division </w:t>
      </w:r>
      <w:r w:rsidR="0090478C" w:rsidRPr="0044138F">
        <w:rPr>
          <w:rFonts w:ascii="Arial Narrow" w:hAnsi="Arial Narrow" w:cs="Tahoma"/>
          <w:i/>
          <w:sz w:val="22"/>
        </w:rPr>
        <w:t>Clothing and footwear</w:t>
      </w:r>
      <w:r w:rsidR="0090478C">
        <w:rPr>
          <w:rFonts w:ascii="Arial Narrow" w:hAnsi="Arial Narrow" w:cs="Tahoma"/>
          <w:sz w:val="22"/>
        </w:rPr>
        <w:t xml:space="preserve"> decreased by 0.5% due to lower prices of clothing and footwear at seasonal sales.</w:t>
      </w:r>
      <w:proofErr w:type="gramEnd"/>
      <w:r w:rsidR="0090478C">
        <w:rPr>
          <w:rFonts w:ascii="Arial Narrow" w:hAnsi="Arial Narrow" w:cs="Tahoma"/>
          <w:sz w:val="22"/>
        </w:rPr>
        <w:t xml:space="preserve"> A decrease </w:t>
      </w:r>
      <w:r w:rsidR="0044138F">
        <w:rPr>
          <w:rFonts w:ascii="Arial Narrow" w:hAnsi="Arial Narrow" w:cs="Tahoma"/>
          <w:sz w:val="22"/>
        </w:rPr>
        <w:t xml:space="preserve">in prices by 0.5% was also recorded in the division Transport, due to lower prices of fuels and lubricants by 1.2%. </w:t>
      </w:r>
    </w:p>
    <w:p w:rsidR="00274BBE" w:rsidRDefault="00CD2CDE" w:rsidP="00B61163">
      <w:pPr>
        <w:spacing w:after="120"/>
        <w:jc w:val="both"/>
        <w:rPr>
          <w:rFonts w:ascii="Arial Narrow" w:eastAsia="Calibri" w:hAnsi="Arial Narrow" w:cs="Tahoma"/>
          <w:sz w:val="22"/>
          <w:szCs w:val="22"/>
        </w:rPr>
      </w:pPr>
      <w:r w:rsidRPr="00CD2CDE">
        <w:rPr>
          <w:rFonts w:ascii="Arial Narrow" w:eastAsia="Calibri" w:hAnsi="Arial Narrow" w:cs="Tahoma"/>
          <w:sz w:val="22"/>
          <w:szCs w:val="22"/>
        </w:rPr>
        <w:t xml:space="preserve">In the divisions </w:t>
      </w:r>
      <w:r w:rsidRPr="00CD2CDE">
        <w:rPr>
          <w:rFonts w:ascii="Arial Narrow" w:eastAsia="Calibri" w:hAnsi="Arial Narrow" w:cs="Tahoma"/>
          <w:i/>
          <w:sz w:val="22"/>
          <w:szCs w:val="22"/>
        </w:rPr>
        <w:t>Housing</w:t>
      </w:r>
      <w:r w:rsidRPr="00CD2CDE">
        <w:rPr>
          <w:rFonts w:ascii="Arial Narrow" w:eastAsia="Calibri" w:hAnsi="Arial Narrow" w:cs="Tahoma"/>
          <w:sz w:val="22"/>
          <w:szCs w:val="22"/>
        </w:rPr>
        <w:t xml:space="preserve">, </w:t>
      </w:r>
      <w:r w:rsidRPr="00CD2CDE">
        <w:rPr>
          <w:rFonts w:ascii="Arial Narrow" w:eastAsia="Calibri" w:hAnsi="Arial Narrow" w:cs="Tahoma"/>
          <w:i/>
          <w:sz w:val="22"/>
          <w:szCs w:val="22"/>
        </w:rPr>
        <w:t>Recreation and culture</w:t>
      </w:r>
      <w:r w:rsidRPr="00CD2CDE">
        <w:rPr>
          <w:rFonts w:ascii="Arial Narrow" w:eastAsia="Calibri" w:hAnsi="Arial Narrow" w:cs="Tahoma"/>
          <w:sz w:val="22"/>
          <w:szCs w:val="22"/>
        </w:rPr>
        <w:t xml:space="preserve">, </w:t>
      </w:r>
      <w:proofErr w:type="spellStart"/>
      <w:r w:rsidRPr="00CD2CDE">
        <w:rPr>
          <w:rFonts w:ascii="Arial Narrow" w:eastAsia="Calibri" w:hAnsi="Arial Narrow" w:cs="Tahoma"/>
          <w:i/>
          <w:sz w:val="22"/>
          <w:szCs w:val="22"/>
        </w:rPr>
        <w:t>Eductation</w:t>
      </w:r>
      <w:proofErr w:type="spellEnd"/>
      <w:r w:rsidRPr="00CD2CDE">
        <w:rPr>
          <w:rFonts w:ascii="Arial Narrow" w:eastAsia="Calibri" w:hAnsi="Arial Narrow" w:cs="Tahoma"/>
          <w:sz w:val="22"/>
          <w:szCs w:val="22"/>
        </w:rPr>
        <w:t xml:space="preserve">, and </w:t>
      </w:r>
      <w:r w:rsidRPr="00CD2CDE">
        <w:rPr>
          <w:rFonts w:ascii="Arial Narrow" w:eastAsia="Calibri" w:hAnsi="Arial Narrow" w:cs="Tahoma"/>
          <w:i/>
          <w:sz w:val="22"/>
          <w:szCs w:val="22"/>
        </w:rPr>
        <w:t>Hotels and restaurants</w:t>
      </w:r>
      <w:r w:rsidRPr="00CD2CDE">
        <w:rPr>
          <w:rFonts w:ascii="Arial Narrow" w:eastAsia="Calibri" w:hAnsi="Arial Narrow" w:cs="Tahoma"/>
          <w:sz w:val="22"/>
          <w:szCs w:val="22"/>
        </w:rPr>
        <w:t xml:space="preserve"> prices remained on the average at the same level. </w:t>
      </w:r>
    </w:p>
    <w:p w:rsidR="00CD2CDE" w:rsidRPr="00CD2CDE" w:rsidRDefault="00CD2CDE" w:rsidP="00B61163">
      <w:pPr>
        <w:spacing w:after="120"/>
        <w:jc w:val="both"/>
        <w:rPr>
          <w:rFonts w:ascii="Arial Narrow" w:eastAsia="Calibri" w:hAnsi="Arial Narrow" w:cs="Tahoma"/>
          <w:sz w:val="22"/>
          <w:szCs w:val="22"/>
        </w:rPr>
      </w:pPr>
      <w:r>
        <w:rPr>
          <w:rFonts w:ascii="Arial Narrow" w:eastAsia="Calibri" w:hAnsi="Arial Narrow" w:cs="Tahoma"/>
          <w:sz w:val="22"/>
          <w:szCs w:val="22"/>
        </w:rPr>
        <w:t xml:space="preserve">Indices of products and services used for personal consumption in </w:t>
      </w:r>
      <w:proofErr w:type="spellStart"/>
      <w:r>
        <w:rPr>
          <w:rFonts w:ascii="Arial Narrow" w:eastAsia="Calibri" w:hAnsi="Arial Narrow" w:cs="Tahoma"/>
          <w:sz w:val="22"/>
          <w:szCs w:val="22"/>
        </w:rPr>
        <w:t>Republika</w:t>
      </w:r>
      <w:proofErr w:type="spellEnd"/>
      <w:r>
        <w:rPr>
          <w:rFonts w:ascii="Arial Narrow" w:eastAsia="Calibri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eastAsia="Calibri" w:hAnsi="Arial Narrow" w:cs="Tahoma"/>
          <w:sz w:val="22"/>
          <w:szCs w:val="22"/>
        </w:rPr>
        <w:t>Srpska</w:t>
      </w:r>
      <w:proofErr w:type="spellEnd"/>
      <w:r>
        <w:rPr>
          <w:rFonts w:ascii="Arial Narrow" w:eastAsia="Calibri" w:hAnsi="Arial Narrow" w:cs="Tahoma"/>
          <w:sz w:val="22"/>
          <w:szCs w:val="22"/>
        </w:rPr>
        <w:t xml:space="preserve"> in February 2014, compared to the same month of 2013, were on the average 1.7% lower. The greatest impact was that of the index of the division Food and non-alcoholic beverages, which was 4.1% lower compared to February 2013. </w:t>
      </w:r>
    </w:p>
    <w:p w:rsidR="003D2E03" w:rsidRPr="00BA0828" w:rsidRDefault="00BA0828" w:rsidP="003D2E03">
      <w:pPr>
        <w:jc w:val="both"/>
        <w:rPr>
          <w:rFonts w:ascii="Arial Narrow" w:hAnsi="Arial Narrow" w:cs="Tahoma"/>
          <w:b/>
          <w:sz w:val="30"/>
          <w:szCs w:val="30"/>
        </w:rPr>
      </w:pPr>
      <w:r w:rsidRPr="00BA0828">
        <w:rPr>
          <w:rFonts w:ascii="Arial Narrow" w:hAnsi="Arial Narrow" w:cs="Tahoma"/>
          <w:b/>
          <w:sz w:val="30"/>
          <w:szCs w:val="30"/>
        </w:rPr>
        <w:t xml:space="preserve">Producer prices of industrial products on domestic market 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Pr="00BA0828">
        <w:rPr>
          <w:rFonts w:ascii="Arial Narrow" w:hAnsi="Arial Narrow" w:cs="Tahoma"/>
          <w:b/>
          <w:sz w:val="30"/>
          <w:szCs w:val="30"/>
          <w:lang w:val="sr-Latn-CS"/>
        </w:rPr>
        <w:t>February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BA0828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="003D2E03" w:rsidRPr="00BA0828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3D2E03" w:rsidRPr="00BA082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A0828">
        <w:rPr>
          <w:rFonts w:ascii="Arial Narrow" w:hAnsi="Arial Narrow" w:cs="Tahoma"/>
          <w:b/>
          <w:sz w:val="30"/>
          <w:szCs w:val="30"/>
        </w:rPr>
        <w:t>on the average</w:t>
      </w:r>
      <w:r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0</w:t>
      </w:r>
      <w:r w:rsidRPr="00BA0828">
        <w:rPr>
          <w:rFonts w:ascii="Arial Narrow" w:hAnsi="Arial Narrow" w:cs="Tahoma"/>
          <w:b/>
          <w:sz w:val="30"/>
          <w:szCs w:val="30"/>
        </w:rPr>
        <w:t>.</w:t>
      </w:r>
      <w:r w:rsidR="003D2E03" w:rsidRPr="00BA0828">
        <w:rPr>
          <w:rFonts w:ascii="Arial Narrow" w:hAnsi="Arial Narrow" w:cs="Tahoma"/>
          <w:b/>
          <w:sz w:val="30"/>
          <w:szCs w:val="30"/>
          <w:lang w:val="sr-Latn-CS"/>
        </w:rPr>
        <w:t>1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%</w:t>
      </w:r>
      <w:r w:rsidRPr="00BA0828">
        <w:rPr>
          <w:rFonts w:ascii="Arial Narrow" w:hAnsi="Arial Narrow" w:cs="Tahoma"/>
          <w:b/>
          <w:sz w:val="30"/>
          <w:szCs w:val="30"/>
        </w:rPr>
        <w:t xml:space="preserve"> higher</w:t>
      </w:r>
    </w:p>
    <w:p w:rsidR="003D2E03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905F00" w:rsidRDefault="00905F00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Producer prices of industrial products on domestic market in February 2014, compared to January 2014, were on the average 0.1% higher. Compared to February 2013 they were 1.3% lower and compared to December 2013 they were on the average 0.2% higher. </w:t>
      </w:r>
    </w:p>
    <w:p w:rsidR="00905F00" w:rsidRPr="00AA4317" w:rsidRDefault="00905F00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purpose of consumption, in February 2014, compared to January 2014, prices of consumer non-durables were on the average 0.4% higher, prices of capital goods were 0.1% higher, while prices of intermediate goods were on the average 0.1% </w:t>
      </w:r>
      <w:r w:rsidRPr="00AA4317">
        <w:rPr>
          <w:rFonts w:ascii="Arial Narrow" w:hAnsi="Arial Narrow" w:cs="Tahoma"/>
          <w:sz w:val="22"/>
          <w:szCs w:val="22"/>
        </w:rPr>
        <w:t xml:space="preserve">lower. Prices of energy and prices of consumer durables remained on the average at the same level. </w:t>
      </w:r>
    </w:p>
    <w:p w:rsidR="003D2E03" w:rsidRPr="00AA4317" w:rsidRDefault="00AA4317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  <w:r w:rsidRPr="00AA4317">
        <w:rPr>
          <w:rFonts w:ascii="Arial Narrow" w:hAnsi="Arial Narrow" w:cs="Tahoma"/>
          <w:sz w:val="22"/>
          <w:szCs w:val="22"/>
          <w:lang w:val="hr-HR"/>
        </w:rPr>
        <w:t xml:space="preserve">Prices of consumer durables, by purpose of consumption, in February 2014, compared to February 2013, were on the average 0.6% higher, while prices of intermediate goods were on the average 3.5% lower, prices of consumer non-durables were 0.7% lower, prices of capital goods were 0.6% lower and prices of energy were 0.2% lower. </w:t>
      </w:r>
    </w:p>
    <w:p w:rsidR="003D2E03" w:rsidRDefault="003D2E03" w:rsidP="003D2E03">
      <w:pPr>
        <w:jc w:val="both"/>
        <w:rPr>
          <w:rFonts w:ascii="Tahoma" w:hAnsi="Tahoma" w:cs="Tahoma"/>
          <w:lang w:val="hr-HR"/>
        </w:rPr>
      </w:pPr>
    </w:p>
    <w:p w:rsidR="00D61F06" w:rsidRDefault="00D61F06" w:rsidP="003D2E03">
      <w:pPr>
        <w:jc w:val="both"/>
        <w:rPr>
          <w:rFonts w:ascii="Arial Narrow" w:hAnsi="Arial Narrow" w:cs="Tahoma"/>
          <w:sz w:val="22"/>
          <w:szCs w:val="22"/>
        </w:rPr>
      </w:pPr>
      <w:r w:rsidRPr="009433A7">
        <w:rPr>
          <w:rFonts w:ascii="Arial Narrow" w:hAnsi="Arial Narrow" w:cs="Tahoma"/>
          <w:sz w:val="22"/>
          <w:szCs w:val="22"/>
        </w:rPr>
        <w:t xml:space="preserve">By section of industrial production (PRODCOM), in </w:t>
      </w:r>
      <w:r>
        <w:rPr>
          <w:rFonts w:ascii="Arial Narrow" w:hAnsi="Arial Narrow" w:cs="Tahoma"/>
          <w:sz w:val="22"/>
          <w:szCs w:val="22"/>
        </w:rPr>
        <w:t>February</w:t>
      </w:r>
      <w:r w:rsidRPr="009433A7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January 2014</w:t>
      </w:r>
      <w:r w:rsidRPr="009433A7">
        <w:rPr>
          <w:rFonts w:ascii="Arial Narrow" w:hAnsi="Arial Narrow" w:cs="Tahoma"/>
          <w:sz w:val="22"/>
          <w:szCs w:val="22"/>
        </w:rPr>
        <w:t>, prices in the section (C) Manufacturing were on the average</w:t>
      </w:r>
      <w:r>
        <w:rPr>
          <w:rFonts w:ascii="Arial Narrow" w:hAnsi="Arial Narrow" w:cs="Tahoma"/>
          <w:sz w:val="22"/>
          <w:szCs w:val="22"/>
        </w:rPr>
        <w:t xml:space="preserve"> 0.2% higher, prices in the section (B) Mining and quarrying were on the average 0.7% lower, while prices in the section (D) Electricity, gas, steam and air-conditioning supply remained on the average at the same level. </w:t>
      </w:r>
    </w:p>
    <w:p w:rsidR="00D61F06" w:rsidRDefault="00D61F06" w:rsidP="003D2E03">
      <w:pPr>
        <w:jc w:val="both"/>
        <w:rPr>
          <w:rFonts w:ascii="Arial Narrow" w:hAnsi="Arial Narrow" w:cs="Tahoma"/>
          <w:sz w:val="22"/>
          <w:szCs w:val="22"/>
        </w:rPr>
      </w:pPr>
    </w:p>
    <w:p w:rsidR="00D61F06" w:rsidRDefault="00D61F06" w:rsidP="003D2E03">
      <w:pPr>
        <w:jc w:val="both"/>
        <w:rPr>
          <w:rFonts w:ascii="Arial Narrow" w:hAnsi="Arial Narrow" w:cs="Tahoma"/>
          <w:color w:val="FF0000"/>
          <w:sz w:val="22"/>
          <w:szCs w:val="22"/>
          <w:lang w:val="hr-HR"/>
        </w:rPr>
      </w:pPr>
      <w:r>
        <w:rPr>
          <w:rFonts w:ascii="Arial Narrow" w:hAnsi="Arial Narrow" w:cs="Tahoma"/>
          <w:sz w:val="22"/>
          <w:szCs w:val="22"/>
        </w:rPr>
        <w:t xml:space="preserve">In February 2014, compared to February 2013, prices in the section Manufacturing decreased by 2.2%, prices in the section Mining and quarrying decreased by 0.8%, while prices in the section </w:t>
      </w:r>
      <w:r w:rsidRPr="009433A7">
        <w:rPr>
          <w:rFonts w:ascii="Arial Narrow" w:hAnsi="Arial Narrow" w:cs="Tahoma"/>
          <w:sz w:val="22"/>
        </w:rPr>
        <w:t>Electricity, gas, steam and air-conditioning supply remained on the average at the same level.</w:t>
      </w:r>
    </w:p>
    <w:p w:rsidR="003D2E03" w:rsidRDefault="003D2E03" w:rsidP="003D2E03">
      <w:pPr>
        <w:jc w:val="both"/>
        <w:rPr>
          <w:rFonts w:ascii="Tahoma" w:hAnsi="Tahoma" w:cs="Tahoma"/>
          <w:lang w:val="sr-Cyrl-CS"/>
        </w:rPr>
      </w:pPr>
    </w:p>
    <w:p w:rsidR="003D2E03" w:rsidRPr="00BA0828" w:rsidRDefault="00BA0828" w:rsidP="00BA0828">
      <w:pPr>
        <w:ind w:right="68"/>
        <w:jc w:val="both"/>
        <w:rPr>
          <w:rFonts w:ascii="Arial Narrow" w:hAnsi="Arial Narrow" w:cs="Tahoma"/>
          <w:b/>
          <w:sz w:val="30"/>
          <w:szCs w:val="30"/>
        </w:rPr>
      </w:pPr>
      <w:r w:rsidRPr="00BA0828">
        <w:rPr>
          <w:rFonts w:ascii="Arial Narrow" w:hAnsi="Arial Narrow" w:cs="Tahoma"/>
          <w:b/>
          <w:sz w:val="30"/>
          <w:szCs w:val="30"/>
        </w:rPr>
        <w:lastRenderedPageBreak/>
        <w:t xml:space="preserve">Producer prices of industrial products on non-domestic market 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(</w:t>
      </w:r>
      <w:r w:rsidRPr="00BA0828">
        <w:rPr>
          <w:rFonts w:ascii="Arial Narrow" w:hAnsi="Arial Narrow" w:cs="Tahoma"/>
          <w:b/>
          <w:sz w:val="30"/>
          <w:szCs w:val="30"/>
          <w:lang w:val="sr-Latn-CS"/>
        </w:rPr>
        <w:t>February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 w:rsidRPr="00BA0828">
        <w:rPr>
          <w:rFonts w:ascii="Arial Narrow" w:hAnsi="Arial Narrow" w:cs="Tahoma"/>
          <w:b/>
          <w:sz w:val="30"/>
          <w:szCs w:val="30"/>
          <w:lang w:val="sr-Latn-CS"/>
        </w:rPr>
        <w:t>January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 w:rsidR="003D2E03" w:rsidRPr="00BA0828"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3D2E03" w:rsidRPr="00BA0828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Pr="00BA0828">
        <w:rPr>
          <w:rFonts w:ascii="Arial Narrow" w:hAnsi="Arial Narrow" w:cs="Tahoma"/>
          <w:b/>
          <w:sz w:val="30"/>
          <w:szCs w:val="30"/>
        </w:rPr>
        <w:t>on the average</w:t>
      </w:r>
      <w:r w:rsidRPr="00BA0828">
        <w:rPr>
          <w:rFonts w:ascii="Arial Narrow" w:hAnsi="Arial Narrow" w:cs="Tahoma"/>
          <w:b/>
          <w:sz w:val="30"/>
          <w:szCs w:val="30"/>
          <w:lang w:val="sr-Cyrl-CS"/>
        </w:rPr>
        <w:t xml:space="preserve"> 0</w:t>
      </w:r>
      <w:r w:rsidRPr="00BA0828">
        <w:rPr>
          <w:rFonts w:ascii="Arial Narrow" w:hAnsi="Arial Narrow" w:cs="Tahoma"/>
          <w:b/>
          <w:sz w:val="30"/>
          <w:szCs w:val="30"/>
        </w:rPr>
        <w:t>.</w:t>
      </w:r>
      <w:r w:rsidR="003D2E03" w:rsidRPr="00BA0828">
        <w:rPr>
          <w:rFonts w:ascii="Arial Narrow" w:hAnsi="Arial Narrow" w:cs="Tahoma"/>
          <w:b/>
          <w:sz w:val="30"/>
          <w:szCs w:val="30"/>
          <w:lang w:val="sr-Cyrl-CS"/>
        </w:rPr>
        <w:t>2%</w:t>
      </w:r>
      <w:r w:rsidRPr="00BA0828">
        <w:rPr>
          <w:rFonts w:ascii="Arial Narrow" w:hAnsi="Arial Narrow" w:cs="Tahoma"/>
          <w:b/>
          <w:sz w:val="30"/>
          <w:szCs w:val="30"/>
        </w:rPr>
        <w:t xml:space="preserve"> higher</w:t>
      </w:r>
    </w:p>
    <w:p w:rsidR="003D2E03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8108D6" w:rsidRDefault="008108D6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8108D6">
        <w:rPr>
          <w:rFonts w:ascii="Arial Narrow" w:hAnsi="Arial Narrow" w:cs="Tahoma"/>
          <w:sz w:val="22"/>
          <w:szCs w:val="22"/>
        </w:rPr>
        <w:t xml:space="preserve">Producer prices of industrial products on non-domestic market in February 2014, compared to January 2014, were on the average 0.2% higher, compared to February 2013 they were also 0.2% higher, while compared to December 2013 they were on the average 0.7% lower. </w:t>
      </w:r>
    </w:p>
    <w:p w:rsidR="008108D6" w:rsidRPr="008108D6" w:rsidRDefault="008108D6" w:rsidP="003D2E03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purpose of consumption, in February 2014, compared to January 2014, prices of consumer durables were on the average 1.4% higher, prices of consumer non-durables were 0.2% higher, prices of energy and prices of intermediate goods were 0.1% higher, while prices of capital goods were on the average 0.8% lower. </w:t>
      </w:r>
    </w:p>
    <w:p w:rsidR="003D2E03" w:rsidRDefault="008108D6" w:rsidP="003D2E03">
      <w:pPr>
        <w:ind w:right="68"/>
        <w:jc w:val="both"/>
        <w:rPr>
          <w:rFonts w:ascii="Arial Narrow" w:hAnsi="Arial Narrow" w:cs="Tahoma"/>
          <w:sz w:val="22"/>
          <w:lang w:val="sr-Latn-CS"/>
        </w:rPr>
      </w:pPr>
      <w:r>
        <w:rPr>
          <w:rFonts w:ascii="Arial Narrow" w:hAnsi="Arial Narrow" w:cs="Tahoma"/>
          <w:sz w:val="22"/>
          <w:lang w:val="sr-Latn-CS"/>
        </w:rPr>
        <w:t xml:space="preserve">Prices of consumer non-durables, by purpose of consumption, in February 2014, compared to February 2013, were on the average 3.3% higher, prices of consumer durables were 2.5% higher, prices of intermediate goods were 0.9% higher, while prices of energy were on the average 3.5% lower and prices of capital goods were 0.8% lower. </w:t>
      </w:r>
    </w:p>
    <w:p w:rsidR="003D2E03" w:rsidRDefault="003D2E03" w:rsidP="003D2E03">
      <w:pPr>
        <w:jc w:val="both"/>
        <w:rPr>
          <w:rFonts w:ascii="Tahoma" w:hAnsi="Tahoma" w:cs="Tahoma"/>
          <w:lang w:val="hr-HR"/>
        </w:rPr>
      </w:pPr>
    </w:p>
    <w:p w:rsidR="0092055A" w:rsidRDefault="0092055A" w:rsidP="003D2E03">
      <w:pPr>
        <w:jc w:val="both"/>
        <w:rPr>
          <w:rFonts w:ascii="Arial Narrow" w:hAnsi="Arial Narrow" w:cs="Tahoma"/>
          <w:sz w:val="22"/>
        </w:rPr>
      </w:pPr>
      <w:r w:rsidRPr="009433A7">
        <w:rPr>
          <w:rFonts w:ascii="Arial Narrow" w:hAnsi="Arial Narrow" w:cs="Tahoma"/>
          <w:sz w:val="22"/>
        </w:rPr>
        <w:t xml:space="preserve">By section of industrial production (PRODCOM), prices in the section (B) Mining and quarrying in </w:t>
      </w:r>
      <w:r w:rsidR="00FE38CB">
        <w:rPr>
          <w:rFonts w:ascii="Arial Narrow" w:hAnsi="Arial Narrow" w:cs="Tahoma"/>
          <w:sz w:val="22"/>
        </w:rPr>
        <w:t>February</w:t>
      </w:r>
      <w:r w:rsidRPr="009433A7">
        <w:rPr>
          <w:rFonts w:ascii="Arial Narrow" w:hAnsi="Arial Narrow" w:cs="Tahoma"/>
          <w:sz w:val="22"/>
        </w:rPr>
        <w:t xml:space="preserve"> 2014, compared to </w:t>
      </w:r>
      <w:r w:rsidR="00FE38CB">
        <w:rPr>
          <w:rFonts w:ascii="Arial Narrow" w:hAnsi="Arial Narrow" w:cs="Tahoma"/>
          <w:sz w:val="22"/>
        </w:rPr>
        <w:t>January 2014</w:t>
      </w:r>
      <w:r w:rsidRPr="009433A7">
        <w:rPr>
          <w:rFonts w:ascii="Arial Narrow" w:hAnsi="Arial Narrow" w:cs="Tahoma"/>
          <w:sz w:val="22"/>
        </w:rPr>
        <w:t>, were on the average</w:t>
      </w:r>
      <w:r w:rsidR="00FE38CB">
        <w:rPr>
          <w:rFonts w:ascii="Arial Narrow" w:hAnsi="Arial Narrow" w:cs="Tahoma"/>
          <w:sz w:val="22"/>
        </w:rPr>
        <w:t xml:space="preserve"> 0.5% higher, prices in the section (C) Manufacturing were 0.1% higher, while prices in the section (D) Electricity, gas, steam and air-conditioning supply remained on the average at the same level. </w:t>
      </w:r>
    </w:p>
    <w:p w:rsidR="00FE38CB" w:rsidRDefault="00FE38CB" w:rsidP="003D2E03">
      <w:pPr>
        <w:jc w:val="both"/>
        <w:rPr>
          <w:rFonts w:ascii="Arial Narrow" w:hAnsi="Arial Narrow" w:cs="Tahoma"/>
          <w:sz w:val="22"/>
        </w:rPr>
      </w:pPr>
    </w:p>
    <w:p w:rsidR="00FE38CB" w:rsidRDefault="00FE38CB" w:rsidP="003D2E03">
      <w:pPr>
        <w:jc w:val="both"/>
        <w:rPr>
          <w:rFonts w:ascii="Tahoma" w:hAnsi="Tahoma" w:cs="Tahoma"/>
          <w:lang w:val="hr-HR"/>
        </w:rPr>
      </w:pPr>
      <w:r>
        <w:rPr>
          <w:rFonts w:ascii="Arial Narrow" w:hAnsi="Arial Narrow" w:cs="Tahoma"/>
          <w:sz w:val="22"/>
        </w:rPr>
        <w:t xml:space="preserve">In February 2014, compared to February 2013, prices in the section </w:t>
      </w:r>
      <w:r w:rsidRPr="00FE38CB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increased on the average by 6.5% and prices in the section </w:t>
      </w:r>
      <w:r w:rsidRPr="00FE38CB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increased by 0.9%. </w:t>
      </w:r>
    </w:p>
    <w:p w:rsidR="00DF108E" w:rsidRPr="00F2635A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color w:val="FF0000"/>
          <w:spacing w:val="-4"/>
          <w:sz w:val="22"/>
        </w:rPr>
      </w:pPr>
    </w:p>
    <w:p w:rsidR="006312E8" w:rsidRPr="00BA0828" w:rsidRDefault="00BA0828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 w:rsidRPr="00BA0828">
        <w:rPr>
          <w:rFonts w:ascii="Arial Narrow" w:hAnsi="Arial Narrow" w:cs="Tahoma"/>
          <w:b/>
          <w:spacing w:val="-4"/>
          <w:sz w:val="30"/>
          <w:szCs w:val="30"/>
        </w:rPr>
        <w:t>Working-day adjusted industrial production</w:t>
      </w:r>
      <w:r w:rsidR="006312E8" w:rsidRPr="00BA0828">
        <w:rPr>
          <w:rFonts w:ascii="Arial Narrow" w:hAnsi="Arial Narrow" w:cs="Tahoma"/>
          <w:b/>
          <w:sz w:val="30"/>
          <w:szCs w:val="30"/>
          <w:lang w:val="sr-Latn-BA"/>
        </w:rPr>
        <w:t xml:space="preserve"> (</w:t>
      </w:r>
      <w:r w:rsidRPr="00BA0828">
        <w:rPr>
          <w:rFonts w:ascii="Arial Narrow" w:hAnsi="Arial Narrow" w:cs="Tahoma"/>
          <w:b/>
          <w:sz w:val="30"/>
          <w:szCs w:val="30"/>
        </w:rPr>
        <w:t>February</w:t>
      </w:r>
      <w:r w:rsidR="006312E8" w:rsidRPr="00BA0828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6312E8" w:rsidRPr="00BA0828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054AA0" w:rsidRPr="00BA0828">
        <w:rPr>
          <w:rFonts w:ascii="Arial Narrow" w:hAnsi="Arial Narrow" w:cs="Tahoma"/>
          <w:b/>
          <w:sz w:val="30"/>
          <w:szCs w:val="30"/>
        </w:rPr>
        <w:t>4</w:t>
      </w:r>
      <w:r w:rsidR="006312E8" w:rsidRPr="00BA0828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Pr="00BA0828">
        <w:rPr>
          <w:rFonts w:ascii="Arial Narrow" w:hAnsi="Arial Narrow" w:cs="Tahoma"/>
          <w:b/>
          <w:sz w:val="30"/>
          <w:szCs w:val="30"/>
        </w:rPr>
        <w:t>February</w:t>
      </w:r>
      <w:r w:rsidR="006312E8" w:rsidRPr="00BA0828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6312E8" w:rsidRPr="00BA0828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054AA0" w:rsidRPr="00BA0828">
        <w:rPr>
          <w:rFonts w:ascii="Arial Narrow" w:hAnsi="Arial Narrow" w:cs="Tahoma"/>
          <w:b/>
          <w:bCs/>
          <w:sz w:val="30"/>
          <w:szCs w:val="30"/>
        </w:rPr>
        <w:t>3</w:t>
      </w:r>
      <w:r w:rsidR="006312E8" w:rsidRPr="00BA0828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6312E8" w:rsidRPr="00BA0828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Pr="00BA0828">
        <w:rPr>
          <w:rFonts w:ascii="Arial Narrow" w:hAnsi="Arial Narrow" w:cs="Tahoma"/>
          <w:b/>
          <w:sz w:val="30"/>
          <w:szCs w:val="30"/>
          <w:lang w:val="sr-Latn-CS"/>
        </w:rPr>
        <w:t>increased by</w:t>
      </w:r>
      <w:r w:rsidR="006312E8" w:rsidRPr="00BA0828">
        <w:rPr>
          <w:rFonts w:ascii="Arial Narrow" w:hAnsi="Arial Narrow" w:cs="Tahoma"/>
          <w:b/>
          <w:sz w:val="30"/>
          <w:szCs w:val="30"/>
          <w:lang w:val="ru-RU"/>
        </w:rPr>
        <w:t xml:space="preserve"> </w:t>
      </w:r>
      <w:r w:rsidR="00054AA0" w:rsidRPr="00BA0828">
        <w:rPr>
          <w:rFonts w:ascii="Arial Narrow" w:hAnsi="Arial Narrow" w:cs="Tahoma"/>
          <w:b/>
          <w:sz w:val="30"/>
          <w:szCs w:val="30"/>
          <w:lang w:val="sr-Cyrl-CS"/>
        </w:rPr>
        <w:t>6</w:t>
      </w:r>
      <w:r w:rsidRPr="00BA0828">
        <w:rPr>
          <w:rFonts w:ascii="Arial Narrow" w:hAnsi="Arial Narrow" w:cs="Tahoma"/>
          <w:b/>
          <w:sz w:val="30"/>
          <w:szCs w:val="30"/>
        </w:rPr>
        <w:t>.</w:t>
      </w:r>
      <w:r w:rsidR="00054AA0" w:rsidRPr="00BA0828">
        <w:rPr>
          <w:rFonts w:ascii="Arial Narrow" w:hAnsi="Arial Narrow" w:cs="Tahoma"/>
          <w:b/>
          <w:sz w:val="30"/>
          <w:szCs w:val="30"/>
          <w:lang w:val="sr-Cyrl-BA"/>
        </w:rPr>
        <w:t>7</w:t>
      </w:r>
      <w:r w:rsidR="006312E8" w:rsidRPr="00BA0828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613D8E" w:rsidRPr="00BA0828" w:rsidRDefault="00BA0828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28"/>
          <w:szCs w:val="28"/>
          <w:lang w:val="ru-RU"/>
        </w:rPr>
      </w:pPr>
      <w:r w:rsidRPr="00BA0828">
        <w:rPr>
          <w:rFonts w:ascii="Arial Narrow" w:hAnsi="Arial Narrow" w:cs="Tahoma"/>
          <w:spacing w:val="-4"/>
          <w:sz w:val="28"/>
          <w:szCs w:val="28"/>
        </w:rPr>
        <w:t>Seasonally adjusted industrial production</w:t>
      </w:r>
      <w:r w:rsidR="00613D8E" w:rsidRPr="00BA0828">
        <w:rPr>
          <w:rFonts w:ascii="Arial Narrow" w:hAnsi="Arial Narrow" w:cs="Tahoma"/>
          <w:spacing w:val="-4"/>
          <w:sz w:val="28"/>
          <w:szCs w:val="28"/>
          <w:lang w:val="ru-RU"/>
        </w:rPr>
        <w:t xml:space="preserve"> </w:t>
      </w:r>
      <w:r w:rsidR="00054AA0" w:rsidRPr="00BA0828">
        <w:rPr>
          <w:rFonts w:ascii="Arial Narrow" w:hAnsi="Arial Narrow" w:cs="Tahoma"/>
          <w:spacing w:val="-4"/>
          <w:sz w:val="28"/>
          <w:szCs w:val="28"/>
          <w:lang w:val="hr-HR"/>
        </w:rPr>
        <w:t>(</w:t>
      </w:r>
      <w:r w:rsidRPr="00BA0828">
        <w:rPr>
          <w:rFonts w:ascii="Arial Narrow" w:hAnsi="Arial Narrow" w:cs="Tahoma"/>
          <w:spacing w:val="-4"/>
          <w:sz w:val="28"/>
          <w:szCs w:val="28"/>
          <w:lang w:val="hr-HR"/>
        </w:rPr>
        <w:t>February</w:t>
      </w:r>
      <w:r w:rsidR="00613D8E" w:rsidRPr="00BA0828">
        <w:rPr>
          <w:rFonts w:ascii="Arial Narrow" w:hAnsi="Arial Narrow" w:cs="Tahoma"/>
          <w:spacing w:val="-4"/>
          <w:sz w:val="28"/>
          <w:szCs w:val="28"/>
          <w:lang w:val="sr-Cyrl-CS"/>
        </w:rPr>
        <w:t xml:space="preserve"> </w:t>
      </w:r>
      <w:r w:rsidR="00613D8E" w:rsidRPr="00BA0828">
        <w:rPr>
          <w:rFonts w:ascii="Arial Narrow" w:hAnsi="Arial Narrow" w:cs="Tahoma"/>
          <w:spacing w:val="-4"/>
          <w:sz w:val="28"/>
          <w:szCs w:val="28"/>
          <w:lang w:val="hr-HR"/>
        </w:rPr>
        <w:t>201</w:t>
      </w:r>
      <w:r w:rsidR="00054AA0" w:rsidRPr="00BA0828">
        <w:rPr>
          <w:rFonts w:ascii="Arial Narrow" w:hAnsi="Arial Narrow" w:cs="Tahoma"/>
          <w:spacing w:val="-4"/>
          <w:sz w:val="28"/>
          <w:szCs w:val="28"/>
          <w:lang w:val="hr-HR"/>
        </w:rPr>
        <w:t>4</w:t>
      </w:r>
      <w:r w:rsidR="004C6F10" w:rsidRPr="00BA0828">
        <w:rPr>
          <w:rFonts w:ascii="Arial Narrow" w:hAnsi="Arial Narrow" w:cs="Tahoma"/>
          <w:spacing w:val="-4"/>
          <w:sz w:val="28"/>
          <w:szCs w:val="28"/>
          <w:lang w:val="hr-HR"/>
        </w:rPr>
        <w:t>/</w:t>
      </w:r>
      <w:r w:rsidRPr="00BA0828">
        <w:rPr>
          <w:rFonts w:ascii="Arial Narrow" w:hAnsi="Arial Narrow" w:cs="Tahoma"/>
          <w:spacing w:val="-4"/>
          <w:sz w:val="28"/>
          <w:szCs w:val="28"/>
          <w:lang w:val="hr-HR"/>
        </w:rPr>
        <w:t>January</w:t>
      </w:r>
      <w:r w:rsidR="00613D8E" w:rsidRPr="00BA0828">
        <w:rPr>
          <w:rFonts w:ascii="Arial Narrow" w:hAnsi="Arial Narrow" w:cs="Tahoma"/>
          <w:spacing w:val="-4"/>
          <w:sz w:val="28"/>
          <w:szCs w:val="28"/>
          <w:lang w:val="sr-Cyrl-CS"/>
        </w:rPr>
        <w:t xml:space="preserve"> </w:t>
      </w:r>
      <w:r w:rsidR="00613D8E" w:rsidRPr="00BA0828">
        <w:rPr>
          <w:rFonts w:ascii="Arial Narrow" w:hAnsi="Arial Narrow" w:cs="Tahoma"/>
          <w:bCs/>
          <w:spacing w:val="-4"/>
          <w:sz w:val="28"/>
          <w:szCs w:val="28"/>
          <w:lang w:val="ru-RU"/>
        </w:rPr>
        <w:t>20</w:t>
      </w:r>
      <w:r w:rsidR="00613D8E" w:rsidRPr="00BA0828">
        <w:rPr>
          <w:rFonts w:ascii="Arial Narrow" w:hAnsi="Arial Narrow" w:cs="Tahoma"/>
          <w:bCs/>
          <w:spacing w:val="-4"/>
          <w:sz w:val="28"/>
          <w:szCs w:val="28"/>
          <w:lang w:val="sr-Cyrl-CS"/>
        </w:rPr>
        <w:t>1</w:t>
      </w:r>
      <w:r w:rsidR="00054AA0" w:rsidRPr="00BA0828">
        <w:rPr>
          <w:rFonts w:ascii="Arial Narrow" w:hAnsi="Arial Narrow" w:cs="Tahoma"/>
          <w:bCs/>
          <w:spacing w:val="-4"/>
          <w:sz w:val="28"/>
          <w:szCs w:val="28"/>
        </w:rPr>
        <w:t>4</w:t>
      </w:r>
      <w:r w:rsidR="00613D8E" w:rsidRPr="00BA0828">
        <w:rPr>
          <w:rFonts w:ascii="Arial Narrow" w:hAnsi="Arial Narrow" w:cs="Tahoma"/>
          <w:bCs/>
          <w:spacing w:val="-4"/>
          <w:sz w:val="28"/>
          <w:szCs w:val="28"/>
          <w:lang w:val="hr-HR"/>
        </w:rPr>
        <w:t xml:space="preserve">) </w:t>
      </w:r>
      <w:r w:rsidRPr="00BA0828">
        <w:rPr>
          <w:rFonts w:ascii="Arial Narrow" w:hAnsi="Arial Narrow" w:cs="Tahoma"/>
          <w:bCs/>
          <w:spacing w:val="-4"/>
          <w:sz w:val="28"/>
          <w:szCs w:val="28"/>
        </w:rPr>
        <w:t>increased by</w:t>
      </w:r>
      <w:r w:rsidR="00613D8E" w:rsidRPr="00BA0828">
        <w:rPr>
          <w:rFonts w:ascii="Arial Narrow" w:hAnsi="Arial Narrow" w:cs="Tahoma"/>
          <w:bCs/>
          <w:spacing w:val="-4"/>
          <w:sz w:val="28"/>
          <w:szCs w:val="28"/>
          <w:lang w:val="sr-Cyrl-BA"/>
        </w:rPr>
        <w:t xml:space="preserve"> </w:t>
      </w:r>
      <w:r w:rsidR="00054AA0" w:rsidRPr="00BA0828">
        <w:rPr>
          <w:rFonts w:ascii="Arial Narrow" w:hAnsi="Arial Narrow" w:cs="Tahoma"/>
          <w:bCs/>
          <w:spacing w:val="-4"/>
          <w:sz w:val="28"/>
          <w:szCs w:val="28"/>
          <w:lang w:val="sr-Cyrl-CS"/>
        </w:rPr>
        <w:t>2</w:t>
      </w:r>
      <w:r w:rsidRPr="00BA0828">
        <w:rPr>
          <w:rFonts w:ascii="Arial Narrow" w:hAnsi="Arial Narrow" w:cs="Tahoma"/>
          <w:bCs/>
          <w:spacing w:val="-4"/>
          <w:sz w:val="28"/>
          <w:szCs w:val="28"/>
        </w:rPr>
        <w:t>.</w:t>
      </w:r>
      <w:r w:rsidR="00054AA0" w:rsidRPr="00BA0828">
        <w:rPr>
          <w:rFonts w:ascii="Arial Narrow" w:hAnsi="Arial Narrow" w:cs="Tahoma"/>
          <w:bCs/>
          <w:spacing w:val="-4"/>
          <w:sz w:val="28"/>
          <w:szCs w:val="28"/>
          <w:lang w:val="sr-Cyrl-BA"/>
        </w:rPr>
        <w:t>5</w:t>
      </w:r>
      <w:r w:rsidR="00613D8E" w:rsidRPr="00BA0828">
        <w:rPr>
          <w:rFonts w:ascii="Arial Narrow" w:hAnsi="Arial Narrow" w:cs="Tahoma"/>
          <w:spacing w:val="-4"/>
          <w:sz w:val="28"/>
          <w:szCs w:val="28"/>
          <w:lang w:val="ru-RU"/>
        </w:rPr>
        <w:t>%</w:t>
      </w:r>
    </w:p>
    <w:p w:rsidR="009F404C" w:rsidRPr="00967ED9" w:rsidRDefault="00967ED9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36"/>
          <w:szCs w:val="28"/>
          <w:lang w:val="sr-Cyrl-CS"/>
        </w:rPr>
      </w:pPr>
      <w:r w:rsidRPr="00967ED9">
        <w:rPr>
          <w:rFonts w:ascii="Arial Narrow" w:hAnsi="Arial Narrow" w:cs="Tahoma"/>
          <w:sz w:val="28"/>
        </w:rPr>
        <w:t>Number of employees in industry</w:t>
      </w:r>
      <w:r w:rsidR="009F404C" w:rsidRPr="00967ED9">
        <w:rPr>
          <w:rFonts w:ascii="Arial Narrow" w:hAnsi="Arial Narrow" w:cs="Tahoma"/>
          <w:sz w:val="28"/>
          <w:lang w:val="ru-RU"/>
        </w:rPr>
        <w:t xml:space="preserve"> </w:t>
      </w:r>
      <w:r w:rsidRPr="00967ED9">
        <w:rPr>
          <w:rFonts w:ascii="Arial Narrow" w:hAnsi="Arial Narrow" w:cs="Tahoma"/>
          <w:sz w:val="28"/>
          <w:lang w:val="ru-RU"/>
        </w:rPr>
        <w:t>(</w:t>
      </w:r>
      <w:r w:rsidRPr="00967ED9">
        <w:rPr>
          <w:rFonts w:ascii="Arial Narrow" w:hAnsi="Arial Narrow" w:cs="Tahoma"/>
          <w:sz w:val="28"/>
        </w:rPr>
        <w:t>February</w:t>
      </w:r>
      <w:r w:rsidRPr="00967ED9">
        <w:rPr>
          <w:rFonts w:ascii="Arial Narrow" w:hAnsi="Arial Narrow" w:cs="Tahoma"/>
          <w:sz w:val="28"/>
          <w:lang w:val="ru-RU"/>
        </w:rPr>
        <w:t xml:space="preserve"> 2014/</w:t>
      </w:r>
      <w:r w:rsidRPr="00967ED9">
        <w:rPr>
          <w:rFonts w:ascii="Arial Narrow" w:hAnsi="Arial Narrow" w:cs="Tahoma"/>
          <w:sz w:val="28"/>
        </w:rPr>
        <w:t>February</w:t>
      </w:r>
      <w:r w:rsidRPr="00967ED9">
        <w:rPr>
          <w:rFonts w:ascii="Arial Narrow" w:hAnsi="Arial Narrow" w:cs="Tahoma"/>
          <w:sz w:val="28"/>
          <w:lang w:val="ru-RU"/>
        </w:rPr>
        <w:t xml:space="preserve"> 2013</w:t>
      </w:r>
      <w:r w:rsidR="009F404C" w:rsidRPr="00967ED9">
        <w:rPr>
          <w:rFonts w:ascii="Arial Narrow" w:hAnsi="Arial Narrow" w:cs="Tahoma"/>
          <w:sz w:val="28"/>
          <w:lang w:val="ru-RU"/>
        </w:rPr>
        <w:t xml:space="preserve">) </w:t>
      </w:r>
      <w:r w:rsidRPr="00967ED9">
        <w:rPr>
          <w:rFonts w:ascii="Arial Narrow" w:hAnsi="Arial Narrow" w:cs="Tahoma"/>
          <w:sz w:val="28"/>
        </w:rPr>
        <w:t>increased by</w:t>
      </w:r>
      <w:r w:rsidRPr="00967ED9">
        <w:rPr>
          <w:rFonts w:ascii="Arial Narrow" w:hAnsi="Arial Narrow" w:cs="Tahoma"/>
          <w:sz w:val="28"/>
          <w:lang w:val="ru-RU"/>
        </w:rPr>
        <w:t xml:space="preserve"> 2</w:t>
      </w:r>
      <w:r w:rsidRPr="00967ED9">
        <w:rPr>
          <w:rFonts w:ascii="Arial Narrow" w:hAnsi="Arial Narrow" w:cs="Tahoma"/>
          <w:sz w:val="28"/>
        </w:rPr>
        <w:t>.</w:t>
      </w:r>
      <w:r w:rsidR="009F404C" w:rsidRPr="00967ED9">
        <w:rPr>
          <w:rFonts w:ascii="Arial Narrow" w:hAnsi="Arial Narrow" w:cs="Tahoma"/>
          <w:sz w:val="28"/>
          <w:lang w:val="ru-RU"/>
        </w:rPr>
        <w:t>1%</w:t>
      </w:r>
    </w:p>
    <w:p w:rsidR="00870AD1" w:rsidRPr="00351546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color w:val="FF0000"/>
          <w:spacing w:val="-4"/>
          <w:lang w:val="sr-Cyrl-CS"/>
        </w:rPr>
      </w:pPr>
    </w:p>
    <w:p w:rsidR="006519E0" w:rsidRPr="00661710" w:rsidRDefault="006519E0" w:rsidP="006312E8">
      <w:pPr>
        <w:jc w:val="both"/>
        <w:rPr>
          <w:rFonts w:ascii="Arial Narrow" w:hAnsi="Arial Narrow" w:cs="Tahoma"/>
          <w:spacing w:val="-4"/>
          <w:sz w:val="22"/>
        </w:rPr>
      </w:pPr>
      <w:r w:rsidRPr="00661710">
        <w:rPr>
          <w:rFonts w:ascii="Arial Narrow" w:hAnsi="Arial Narrow" w:cs="Tahoma"/>
          <w:b/>
          <w:spacing w:val="-4"/>
          <w:sz w:val="22"/>
        </w:rPr>
        <w:t xml:space="preserve">Working-day adjusted industrial production </w:t>
      </w:r>
      <w:r w:rsidR="00E0193F" w:rsidRPr="00661710">
        <w:rPr>
          <w:rFonts w:ascii="Arial Narrow" w:hAnsi="Arial Narrow" w:cs="Tahoma"/>
          <w:spacing w:val="-4"/>
          <w:sz w:val="22"/>
        </w:rPr>
        <w:t xml:space="preserve">in February 2014, compared to February 2013, increased by 6.7%. In the section </w:t>
      </w:r>
      <w:r w:rsidR="00E0193F" w:rsidRPr="00661710">
        <w:rPr>
          <w:rFonts w:ascii="Arial Narrow" w:hAnsi="Arial Narrow" w:cs="Tahoma"/>
          <w:i/>
          <w:spacing w:val="-4"/>
          <w:sz w:val="22"/>
        </w:rPr>
        <w:t>Manufacturing</w:t>
      </w:r>
      <w:r w:rsidR="00E0193F" w:rsidRPr="00661710">
        <w:rPr>
          <w:rFonts w:ascii="Arial Narrow" w:hAnsi="Arial Narrow" w:cs="Tahoma"/>
          <w:spacing w:val="-4"/>
          <w:sz w:val="22"/>
        </w:rPr>
        <w:t xml:space="preserve"> an increase by 14.1% was recorded and an increase by 12.4% in the section </w:t>
      </w:r>
      <w:r w:rsidR="00E0193F" w:rsidRPr="00661710">
        <w:rPr>
          <w:rFonts w:ascii="Arial Narrow" w:hAnsi="Arial Narrow" w:cs="Tahoma"/>
          <w:i/>
          <w:spacing w:val="-4"/>
          <w:sz w:val="22"/>
        </w:rPr>
        <w:t>Mining and quarrying</w:t>
      </w:r>
      <w:r w:rsidR="00E0193F" w:rsidRPr="00661710">
        <w:rPr>
          <w:rFonts w:ascii="Arial Narrow" w:hAnsi="Arial Narrow" w:cs="Tahoma"/>
          <w:spacing w:val="-4"/>
          <w:sz w:val="22"/>
        </w:rPr>
        <w:t xml:space="preserve">, while in the section </w:t>
      </w:r>
      <w:r w:rsidR="00D47CC7" w:rsidRPr="00661710">
        <w:rPr>
          <w:rFonts w:ascii="Arial Narrow" w:hAnsi="Arial Narrow" w:cs="Tahoma"/>
          <w:i/>
          <w:spacing w:val="-4"/>
          <w:sz w:val="22"/>
        </w:rPr>
        <w:t xml:space="preserve">Electricity, gas, steam and air-conditioning supply </w:t>
      </w:r>
      <w:r w:rsidR="00D47CC7" w:rsidRPr="00661710">
        <w:rPr>
          <w:rFonts w:ascii="Arial Narrow" w:hAnsi="Arial Narrow" w:cs="Tahoma"/>
          <w:spacing w:val="-4"/>
          <w:sz w:val="22"/>
        </w:rPr>
        <w:t xml:space="preserve">a decrease by 12.7% was recorded. </w:t>
      </w:r>
      <w:r w:rsidR="00661710" w:rsidRPr="00661710">
        <w:rPr>
          <w:rFonts w:ascii="Arial Narrow" w:hAnsi="Arial Narrow" w:cs="Tahoma"/>
          <w:spacing w:val="-4"/>
          <w:sz w:val="22"/>
        </w:rPr>
        <w:t xml:space="preserve">Working-day adjusted industrial production of capital goods </w:t>
      </w:r>
      <w:r w:rsidR="00661710">
        <w:rPr>
          <w:rFonts w:ascii="Arial Narrow" w:hAnsi="Arial Narrow" w:cs="Tahoma"/>
          <w:spacing w:val="-4"/>
          <w:sz w:val="22"/>
        </w:rPr>
        <w:t>in February 2014, compared to February 2013, was 29.7% higher, production of consumer durables was 17.5% higher, production of consumer non-durables was 13.9% higher and production of intermediate goods was 11.1% higher, while production of energy was 5.6% lower.</w:t>
      </w:r>
    </w:p>
    <w:p w:rsidR="00E0193F" w:rsidRDefault="00E0193F" w:rsidP="006312E8">
      <w:pPr>
        <w:jc w:val="both"/>
        <w:rPr>
          <w:rFonts w:ascii="Arial Narrow" w:hAnsi="Arial Narrow" w:cs="Tahoma"/>
          <w:b/>
          <w:color w:val="FF0000"/>
          <w:spacing w:val="-4"/>
          <w:sz w:val="22"/>
        </w:rPr>
      </w:pPr>
    </w:p>
    <w:p w:rsidR="00661710" w:rsidRPr="00661710" w:rsidRDefault="00661710" w:rsidP="00624567">
      <w:pPr>
        <w:jc w:val="both"/>
        <w:rPr>
          <w:rFonts w:ascii="Arial Narrow" w:hAnsi="Arial Narrow" w:cs="Tahoma"/>
          <w:sz w:val="22"/>
        </w:rPr>
      </w:pPr>
      <w:r w:rsidRPr="00661710">
        <w:rPr>
          <w:rFonts w:ascii="Arial Narrow" w:hAnsi="Arial Narrow" w:cs="Tahoma"/>
          <w:b/>
          <w:sz w:val="22"/>
        </w:rPr>
        <w:t>Seasonally adjusted industrial production</w:t>
      </w:r>
      <w:r w:rsidRPr="00661710">
        <w:rPr>
          <w:rFonts w:ascii="Arial Narrow" w:hAnsi="Arial Narrow" w:cs="Tahoma"/>
          <w:sz w:val="22"/>
        </w:rPr>
        <w:t xml:space="preserve"> in February </w:t>
      </w:r>
      <w:r>
        <w:rPr>
          <w:rFonts w:ascii="Arial Narrow" w:hAnsi="Arial Narrow" w:cs="Tahoma"/>
          <w:sz w:val="22"/>
        </w:rPr>
        <w:t xml:space="preserve">2014 compared to January 2014 increased by 2.5%. In the section </w:t>
      </w:r>
      <w:r w:rsidRPr="00661710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an increase by 1.5% was recorded and an increase by 0.3% in the section </w:t>
      </w:r>
      <w:r w:rsidRPr="00661710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,  while in the section </w:t>
      </w:r>
      <w:r w:rsidRPr="00661710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 decrease by 7.9% was recorded. </w:t>
      </w:r>
      <w:r w:rsidR="00B178C2">
        <w:rPr>
          <w:rFonts w:ascii="Arial Narrow" w:hAnsi="Arial Narrow" w:cs="Tahoma"/>
          <w:sz w:val="22"/>
        </w:rPr>
        <w:t xml:space="preserve">By main industrial group, based on economic purpose of products, seasonally adjusted production of consumer durables in February 2014, compared to January 2014, was 7.3% higher, production of consumer non-durables was 5.2% higher and production of intermediate goods was 2.4% higher, </w:t>
      </w:r>
      <w:r w:rsidR="00567880">
        <w:rPr>
          <w:rFonts w:ascii="Arial Narrow" w:hAnsi="Arial Narrow" w:cs="Tahoma"/>
          <w:sz w:val="22"/>
        </w:rPr>
        <w:t xml:space="preserve">while production of energy was 6.6% lower and production of capital goods was 6.8% lower. </w:t>
      </w:r>
    </w:p>
    <w:p w:rsidR="006053F7" w:rsidRPr="00DC722C" w:rsidRDefault="006053F7" w:rsidP="006053F7">
      <w:pPr>
        <w:jc w:val="both"/>
        <w:rPr>
          <w:rFonts w:ascii="Arial Narrow" w:hAnsi="Arial Narrow" w:cs="Tahoma"/>
          <w:color w:val="FF0000"/>
          <w:sz w:val="22"/>
          <w:lang w:val="sr-Latn-CS"/>
        </w:rPr>
      </w:pPr>
    </w:p>
    <w:p w:rsidR="00567880" w:rsidRPr="00567880" w:rsidRDefault="00567880" w:rsidP="0043561A">
      <w:pPr>
        <w:jc w:val="both"/>
        <w:rPr>
          <w:rFonts w:ascii="Arial Narrow" w:hAnsi="Arial Narrow" w:cs="Tahoma"/>
          <w:sz w:val="22"/>
        </w:rPr>
      </w:pPr>
      <w:r w:rsidRPr="00567880">
        <w:rPr>
          <w:rFonts w:ascii="Arial Narrow" w:hAnsi="Arial Narrow" w:cs="Tahoma"/>
          <w:b/>
          <w:sz w:val="22"/>
        </w:rPr>
        <w:t xml:space="preserve">Number of employees in industry </w:t>
      </w:r>
      <w:r w:rsidRPr="00567880">
        <w:rPr>
          <w:rFonts w:ascii="Arial Narrow" w:hAnsi="Arial Narrow" w:cs="Tahoma"/>
          <w:sz w:val="22"/>
        </w:rPr>
        <w:t xml:space="preserve">in </w:t>
      </w:r>
      <w:r>
        <w:rPr>
          <w:rFonts w:ascii="Arial Narrow" w:hAnsi="Arial Narrow" w:cs="Tahoma"/>
          <w:sz w:val="22"/>
        </w:rPr>
        <w:t xml:space="preserve">February 2014, compared to the same month of the previous year, was 2.1% higher. Compared to the average number of employees in 2013 and compared to January 2014 it was 0.5% higher. In the period January – February 2014, compared to the same period of the previous year, in the section </w:t>
      </w:r>
      <w:r w:rsidRPr="00567880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a</w:t>
      </w:r>
      <w:r w:rsidR="00664CB0">
        <w:rPr>
          <w:rFonts w:ascii="Arial Narrow" w:hAnsi="Arial Narrow" w:cs="Tahoma"/>
          <w:sz w:val="22"/>
        </w:rPr>
        <w:t xml:space="preserve">n increase by 5.3% was </w:t>
      </w:r>
      <w:proofErr w:type="spellStart"/>
      <w:r w:rsidR="00664CB0">
        <w:rPr>
          <w:rFonts w:ascii="Arial Narrow" w:hAnsi="Arial Narrow" w:cs="Tahoma"/>
          <w:sz w:val="22"/>
        </w:rPr>
        <w:t>realised</w:t>
      </w:r>
      <w:proofErr w:type="spellEnd"/>
      <w:r w:rsidR="00664CB0">
        <w:rPr>
          <w:rFonts w:ascii="Arial Narrow" w:hAnsi="Arial Narrow" w:cs="Tahoma"/>
          <w:sz w:val="22"/>
        </w:rPr>
        <w:t xml:space="preserve">, in the section </w:t>
      </w:r>
      <w:r w:rsidR="00664CB0" w:rsidRPr="00664CB0">
        <w:rPr>
          <w:rFonts w:ascii="Arial Narrow" w:hAnsi="Arial Narrow" w:cs="Tahoma"/>
          <w:i/>
          <w:sz w:val="22"/>
        </w:rPr>
        <w:t>Manufacturing</w:t>
      </w:r>
      <w:r w:rsidR="00664CB0">
        <w:rPr>
          <w:rFonts w:ascii="Arial Narrow" w:hAnsi="Arial Narrow" w:cs="Tahoma"/>
          <w:sz w:val="22"/>
        </w:rPr>
        <w:t xml:space="preserve"> an increase by 1.7% and in the section </w:t>
      </w:r>
      <w:r w:rsidR="00664CB0" w:rsidRPr="00664CB0">
        <w:rPr>
          <w:rFonts w:ascii="Arial Narrow" w:hAnsi="Arial Narrow" w:cs="Tahoma"/>
          <w:i/>
          <w:sz w:val="22"/>
        </w:rPr>
        <w:t>Electricity, gas, steam and air-conditioning supply</w:t>
      </w:r>
      <w:r w:rsidR="00664CB0">
        <w:rPr>
          <w:rFonts w:ascii="Arial Narrow" w:hAnsi="Arial Narrow" w:cs="Tahoma"/>
          <w:sz w:val="22"/>
        </w:rPr>
        <w:t xml:space="preserve"> an increase by 1.1% was </w:t>
      </w:r>
      <w:r w:rsidR="00B94E80">
        <w:rPr>
          <w:rFonts w:ascii="Arial Narrow" w:hAnsi="Arial Narrow" w:cs="Tahoma"/>
          <w:sz w:val="22"/>
        </w:rPr>
        <w:t>recorded</w:t>
      </w:r>
      <w:r w:rsidR="00664CB0">
        <w:rPr>
          <w:rFonts w:ascii="Arial Narrow" w:hAnsi="Arial Narrow" w:cs="Tahoma"/>
          <w:sz w:val="22"/>
        </w:rPr>
        <w:t xml:space="preserve">. </w:t>
      </w:r>
    </w:p>
    <w:p w:rsidR="00517795" w:rsidRPr="004C20B5" w:rsidRDefault="00517795" w:rsidP="00517795">
      <w:pPr>
        <w:jc w:val="both"/>
        <w:rPr>
          <w:rFonts w:ascii="Tahoma" w:hAnsi="Tahoma" w:cs="Tahoma"/>
          <w:lang w:val="sr-Cyrl-CS"/>
        </w:rPr>
      </w:pPr>
    </w:p>
    <w:p w:rsidR="004E0795" w:rsidRPr="004C20B5" w:rsidRDefault="002561D0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2561D0">
        <w:rPr>
          <w:rFonts w:ascii="Tahoma" w:hAnsi="Tahoma" w:cs="Tahoma"/>
          <w:noProof/>
          <w:sz w:val="14"/>
          <w:szCs w:val="14"/>
        </w:rPr>
        <w:lastRenderedPageBreak/>
        <w:drawing>
          <wp:inline distT="0" distB="0" distL="0" distR="0">
            <wp:extent cx="6480810" cy="3091962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0795" w:rsidRPr="004C20B5" w:rsidRDefault="004E0795" w:rsidP="00A14198">
      <w:pPr>
        <w:jc w:val="center"/>
        <w:rPr>
          <w:rFonts w:ascii="Tahoma" w:hAnsi="Tahoma" w:cs="Tahoma"/>
          <w:lang w:val="sr-Latn-CS"/>
        </w:rPr>
      </w:pPr>
    </w:p>
    <w:p w:rsidR="00A14198" w:rsidRPr="008B12B4" w:rsidRDefault="00D62C6D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 w:rsidRPr="008B12B4">
        <w:rPr>
          <w:rFonts w:ascii="Arial Narrow" w:hAnsi="Arial Narrow" w:cs="Tahoma"/>
          <w:sz w:val="22"/>
          <w:szCs w:val="22"/>
          <w:lang w:val="sr-Latn-CS"/>
        </w:rPr>
        <w:t>Graph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B2585D" w:rsidRPr="008B12B4">
        <w:rPr>
          <w:rFonts w:ascii="Arial Narrow" w:hAnsi="Arial Narrow" w:cs="Tahoma"/>
          <w:sz w:val="22"/>
          <w:szCs w:val="22"/>
          <w:lang w:val="sr-Cyrl-CS"/>
        </w:rPr>
        <w:t>2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 w:rsidRPr="008B12B4">
        <w:rPr>
          <w:rFonts w:ascii="Arial Narrow" w:hAnsi="Arial Narrow" w:cs="Tahoma"/>
          <w:sz w:val="22"/>
          <w:szCs w:val="22"/>
          <w:lang w:val="sr-Latn-CS"/>
        </w:rPr>
        <w:t>Indices of industrial production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,  </w:t>
      </w:r>
      <w:r w:rsidRPr="008B12B4">
        <w:rPr>
          <w:rFonts w:ascii="Arial Narrow" w:hAnsi="Arial Narrow" w:cs="Tahoma"/>
          <w:sz w:val="22"/>
          <w:szCs w:val="22"/>
        </w:rPr>
        <w:t>February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8B12B4">
        <w:rPr>
          <w:rFonts w:ascii="Arial Narrow" w:hAnsi="Arial Narrow" w:cs="Tahoma"/>
          <w:sz w:val="22"/>
          <w:szCs w:val="22"/>
          <w:lang w:val="sr-Cyrl-CS"/>
        </w:rPr>
        <w:t>10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 w:rsidRPr="008B12B4">
        <w:rPr>
          <w:rFonts w:ascii="Arial Narrow" w:hAnsi="Arial Narrow" w:cs="Tahoma"/>
          <w:sz w:val="22"/>
          <w:szCs w:val="22"/>
        </w:rPr>
        <w:t>February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8B12B4">
        <w:rPr>
          <w:rFonts w:ascii="Arial Narrow" w:hAnsi="Arial Narrow" w:cs="Tahoma"/>
          <w:sz w:val="22"/>
          <w:szCs w:val="22"/>
          <w:lang w:val="sr-Cyrl-CS"/>
        </w:rPr>
        <w:t>4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 xml:space="preserve">  (</w:t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="00A14198" w:rsidRPr="008B12B4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4C20B5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B367C7" w:rsidRPr="004C20B5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9D7345" w:rsidRDefault="009D4668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bookmarkStart w:id="0" w:name="_GoBack"/>
      <w:r w:rsidRPr="009D7345">
        <w:rPr>
          <w:rFonts w:ascii="Arial Narrow" w:hAnsi="Arial Narrow" w:cs="Tahoma"/>
          <w:b/>
          <w:sz w:val="30"/>
          <w:szCs w:val="30"/>
        </w:rPr>
        <w:t>Export</w:t>
      </w:r>
      <w:r w:rsidR="000A04DF" w:rsidRPr="009D7345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9D7345">
        <w:rPr>
          <w:rFonts w:ascii="Arial Narrow" w:hAnsi="Arial Narrow" w:cs="Tahoma"/>
          <w:b/>
          <w:sz w:val="30"/>
          <w:szCs w:val="30"/>
          <w:lang w:val="hr-HR"/>
        </w:rPr>
        <w:t>(January-February</w:t>
      </w:r>
      <w:r w:rsidR="000A04DF" w:rsidRPr="009D7345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 w:rsidR="001A655A" w:rsidRPr="009D7345">
        <w:rPr>
          <w:rFonts w:ascii="Arial Narrow" w:hAnsi="Arial Narrow" w:cs="Tahoma"/>
          <w:b/>
          <w:sz w:val="30"/>
          <w:szCs w:val="30"/>
          <w:lang w:val="hr-HR"/>
        </w:rPr>
        <w:t>4/</w:t>
      </w:r>
      <w:r w:rsidRPr="009D7345">
        <w:rPr>
          <w:rFonts w:ascii="Arial Narrow" w:hAnsi="Arial Narrow" w:cs="Tahoma"/>
          <w:b/>
          <w:sz w:val="30"/>
          <w:szCs w:val="30"/>
          <w:lang w:val="hr-HR"/>
        </w:rPr>
        <w:t xml:space="preserve">January-February </w:t>
      </w:r>
      <w:r w:rsidR="001A655A" w:rsidRPr="009D7345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0A04DF" w:rsidRPr="009D7345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 w:rsidR="009D7345" w:rsidRPr="009D7345">
        <w:rPr>
          <w:rFonts w:ascii="Arial Narrow" w:hAnsi="Arial Narrow" w:cs="Tahoma"/>
          <w:b/>
          <w:sz w:val="30"/>
          <w:szCs w:val="30"/>
        </w:rPr>
        <w:t>increased by</w:t>
      </w:r>
      <w:r w:rsidR="000A04DF" w:rsidRPr="009D7345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1A655A" w:rsidRPr="009D7345">
        <w:rPr>
          <w:rFonts w:ascii="Arial Narrow" w:hAnsi="Arial Narrow" w:cs="Tahoma"/>
          <w:b/>
          <w:sz w:val="30"/>
          <w:szCs w:val="30"/>
        </w:rPr>
        <w:t>16</w:t>
      </w:r>
      <w:r w:rsidR="009D7345" w:rsidRPr="009D7345">
        <w:rPr>
          <w:rFonts w:ascii="Arial Narrow" w:hAnsi="Arial Narrow" w:cs="Tahoma"/>
          <w:b/>
          <w:sz w:val="30"/>
          <w:szCs w:val="30"/>
        </w:rPr>
        <w:t>.</w:t>
      </w:r>
      <w:r w:rsidR="00725AED" w:rsidRPr="009D7345">
        <w:rPr>
          <w:rFonts w:ascii="Arial Narrow" w:hAnsi="Arial Narrow" w:cs="Tahoma"/>
          <w:b/>
          <w:sz w:val="30"/>
          <w:szCs w:val="30"/>
        </w:rPr>
        <w:t>4</w:t>
      </w:r>
      <w:r w:rsidR="000A04DF" w:rsidRPr="009D7345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9D7345" w:rsidRDefault="009D7345" w:rsidP="00777348">
      <w:pPr>
        <w:rPr>
          <w:rFonts w:ascii="Arial Narrow" w:hAnsi="Arial Narrow" w:cs="Tahoma"/>
          <w:sz w:val="28"/>
          <w:szCs w:val="26"/>
          <w:lang w:val="sr-Cyrl-CS"/>
        </w:rPr>
      </w:pPr>
      <w:r w:rsidRPr="009D7345">
        <w:rPr>
          <w:rFonts w:ascii="Arial Narrow" w:hAnsi="Arial Narrow" w:cs="Tahoma"/>
          <w:sz w:val="28"/>
          <w:szCs w:val="26"/>
        </w:rPr>
        <w:t>Coverage of import with export</w:t>
      </w:r>
      <w:r w:rsidR="00777348" w:rsidRPr="009D7345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 w:rsidRPr="009D7345">
        <w:rPr>
          <w:rFonts w:ascii="Arial Narrow" w:hAnsi="Arial Narrow" w:cs="Tahoma"/>
          <w:sz w:val="28"/>
          <w:szCs w:val="26"/>
        </w:rPr>
        <w:t>in the period</w:t>
      </w:r>
      <w:r w:rsidR="002E172F" w:rsidRPr="009D7345">
        <w:rPr>
          <w:rFonts w:ascii="Arial Narrow" w:hAnsi="Arial Narrow" w:cs="Tahoma"/>
          <w:sz w:val="28"/>
          <w:szCs w:val="26"/>
          <w:lang w:val="sr-Cyrl-BA"/>
        </w:rPr>
        <w:t xml:space="preserve"> </w:t>
      </w:r>
      <w:r w:rsidRPr="009D7345">
        <w:rPr>
          <w:rFonts w:ascii="Arial Narrow" w:hAnsi="Arial Narrow" w:cs="Tahoma"/>
          <w:sz w:val="28"/>
          <w:szCs w:val="26"/>
          <w:lang w:val="sr-Latn-CS"/>
        </w:rPr>
        <w:t>January</w:t>
      </w:r>
      <w:r w:rsidR="002E172F" w:rsidRPr="009D7345">
        <w:rPr>
          <w:rFonts w:ascii="Arial Narrow" w:hAnsi="Arial Narrow" w:cs="Tahoma"/>
          <w:sz w:val="28"/>
          <w:szCs w:val="26"/>
          <w:lang w:val="sr-Cyrl-BA"/>
        </w:rPr>
        <w:t>-</w:t>
      </w:r>
      <w:r w:rsidRPr="009D7345">
        <w:rPr>
          <w:rFonts w:ascii="Arial Narrow" w:hAnsi="Arial Narrow" w:cs="Tahoma"/>
          <w:sz w:val="28"/>
          <w:szCs w:val="26"/>
        </w:rPr>
        <w:t>February</w:t>
      </w:r>
      <w:r w:rsidR="00777348" w:rsidRPr="009D7345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777348" w:rsidRPr="009D7345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9D7345">
        <w:rPr>
          <w:rFonts w:ascii="Arial Narrow" w:hAnsi="Arial Narrow" w:cs="Tahoma"/>
          <w:sz w:val="28"/>
          <w:szCs w:val="26"/>
        </w:rPr>
        <w:t>4</w:t>
      </w:r>
      <w:r w:rsidR="00777348" w:rsidRPr="009D7345">
        <w:rPr>
          <w:rFonts w:ascii="Arial Narrow" w:hAnsi="Arial Narrow" w:cs="Tahoma"/>
          <w:sz w:val="28"/>
          <w:szCs w:val="26"/>
          <w:lang w:val="sr-Cyrl-BA"/>
        </w:rPr>
        <w:t>)</w:t>
      </w:r>
      <w:r w:rsidR="00777348" w:rsidRPr="009D7345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725AED" w:rsidRPr="009D7345">
        <w:rPr>
          <w:rFonts w:ascii="Arial Narrow" w:hAnsi="Arial Narrow" w:cs="Tahoma"/>
          <w:sz w:val="28"/>
          <w:szCs w:val="26"/>
          <w:lang w:val="hr-HR"/>
        </w:rPr>
        <w:t>60</w:t>
      </w:r>
      <w:r w:rsidRPr="009D7345">
        <w:rPr>
          <w:rFonts w:ascii="Arial Narrow" w:hAnsi="Arial Narrow" w:cs="Tahoma"/>
          <w:sz w:val="28"/>
          <w:szCs w:val="26"/>
        </w:rPr>
        <w:t>.</w:t>
      </w:r>
      <w:r w:rsidR="00725AED" w:rsidRPr="009D7345">
        <w:rPr>
          <w:rFonts w:ascii="Arial Narrow" w:hAnsi="Arial Narrow" w:cs="Tahoma"/>
          <w:sz w:val="28"/>
          <w:szCs w:val="26"/>
        </w:rPr>
        <w:t>1</w:t>
      </w:r>
      <w:r w:rsidR="00777348" w:rsidRPr="009D7345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bookmarkEnd w:id="0"/>
    <w:p w:rsidR="00777348" w:rsidRPr="002038A1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lang w:val="sr-Cyrl-BA"/>
        </w:rPr>
      </w:pPr>
    </w:p>
    <w:p w:rsidR="00943DB3" w:rsidRPr="00943DB3" w:rsidRDefault="00943DB3" w:rsidP="002E172F">
      <w:pPr>
        <w:jc w:val="both"/>
        <w:rPr>
          <w:rFonts w:ascii="Arial Narrow" w:hAnsi="Arial Narrow" w:cs="Tahoma"/>
          <w:sz w:val="22"/>
        </w:rPr>
      </w:pPr>
      <w:r w:rsidRPr="00943DB3">
        <w:rPr>
          <w:rFonts w:ascii="Arial Narrow" w:hAnsi="Arial Narrow" w:cs="Tahoma"/>
          <w:sz w:val="22"/>
        </w:rPr>
        <w:t>In February 2014</w:t>
      </w:r>
      <w:r>
        <w:rPr>
          <w:rFonts w:ascii="Arial Narrow" w:hAnsi="Arial Narrow" w:cs="Tahoma"/>
          <w:sz w:val="22"/>
        </w:rPr>
        <w:t xml:space="preserve">, the value of export amounted to 211 million KM and the value of import was 427 million KM. </w:t>
      </w:r>
    </w:p>
    <w:p w:rsidR="002E172F" w:rsidRDefault="002E172F" w:rsidP="00777348">
      <w:pPr>
        <w:jc w:val="both"/>
        <w:rPr>
          <w:rFonts w:ascii="Arial Narrow" w:hAnsi="Arial Narrow" w:cs="Tahoma"/>
          <w:color w:val="FF0000"/>
          <w:sz w:val="22"/>
        </w:rPr>
      </w:pPr>
    </w:p>
    <w:p w:rsidR="00943DB3" w:rsidRPr="00157003" w:rsidRDefault="00157003" w:rsidP="0077734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by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February 2014, the percentage of coverage of import with export was 49.4%. </w:t>
      </w:r>
      <w:r w:rsidR="00D33F57" w:rsidRPr="002B5A4C">
        <w:rPr>
          <w:rFonts w:ascii="Arial Narrow" w:hAnsi="Arial Narrow" w:cs="Tahoma"/>
          <w:sz w:val="22"/>
        </w:rPr>
        <w:t xml:space="preserve">The percentage of coverage of import with export in the first two months of the current year was 60.1%. </w:t>
      </w:r>
    </w:p>
    <w:p w:rsidR="00777348" w:rsidRPr="002B5A4C" w:rsidRDefault="00777348" w:rsidP="00777348">
      <w:pPr>
        <w:jc w:val="both"/>
        <w:rPr>
          <w:rFonts w:ascii="Arial Narrow" w:hAnsi="Arial Narrow" w:cs="Tahoma"/>
          <w:sz w:val="22"/>
        </w:rPr>
      </w:pPr>
    </w:p>
    <w:p w:rsidR="002B5A4C" w:rsidRDefault="002B5A4C" w:rsidP="00777348">
      <w:pPr>
        <w:jc w:val="both"/>
        <w:rPr>
          <w:rFonts w:ascii="Arial Narrow" w:hAnsi="Arial Narrow" w:cs="Tahoma"/>
          <w:sz w:val="22"/>
        </w:rPr>
      </w:pPr>
      <w:r w:rsidRPr="002B5A4C">
        <w:rPr>
          <w:rFonts w:ascii="Arial Narrow" w:hAnsi="Arial Narrow" w:cs="Tahoma"/>
          <w:sz w:val="22"/>
        </w:rPr>
        <w:t xml:space="preserve">In the period January – February 2014, the value of export was 408 million KM, which represented an increase by 16.4% compared to the same period of the previous period. During the same period, the value of import was 679 million KM, which represented an increase by 7.4% compared to the same period of the previous year. </w:t>
      </w:r>
    </w:p>
    <w:p w:rsidR="00D33F57" w:rsidRDefault="00D33F57" w:rsidP="00777348">
      <w:pPr>
        <w:jc w:val="both"/>
        <w:rPr>
          <w:rFonts w:ascii="Arial Narrow" w:hAnsi="Arial Narrow" w:cs="Tahoma"/>
          <w:sz w:val="22"/>
        </w:rPr>
      </w:pPr>
    </w:p>
    <w:p w:rsidR="002B5A4C" w:rsidRPr="002B5A4C" w:rsidRDefault="00C0399D" w:rsidP="0077734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, in the period January – February 2014, the highest value of </w:t>
      </w:r>
      <w:r w:rsidR="001E1ACA">
        <w:rPr>
          <w:rFonts w:ascii="Arial Narrow" w:hAnsi="Arial Narrow" w:cs="Tahoma"/>
          <w:sz w:val="22"/>
        </w:rPr>
        <w:t xml:space="preserve">export was that of export to Italy, with 70 million KM or 17.2%, followed by Serbia, with 65 million or 15.8% of the total </w:t>
      </w:r>
      <w:proofErr w:type="spellStart"/>
      <w:r w:rsidR="001E1ACA">
        <w:rPr>
          <w:rFonts w:ascii="Arial Narrow" w:hAnsi="Arial Narrow" w:cs="Tahoma"/>
          <w:sz w:val="22"/>
        </w:rPr>
        <w:t>realised</w:t>
      </w:r>
      <w:proofErr w:type="spellEnd"/>
      <w:r w:rsidR="001E1ACA">
        <w:rPr>
          <w:rFonts w:ascii="Arial Narrow" w:hAnsi="Arial Narrow" w:cs="Tahoma"/>
          <w:sz w:val="22"/>
        </w:rPr>
        <w:t xml:space="preserve"> export. </w:t>
      </w:r>
    </w:p>
    <w:p w:rsidR="000778B8" w:rsidRPr="006976D1" w:rsidRDefault="000778B8" w:rsidP="00777348">
      <w:pPr>
        <w:jc w:val="both"/>
        <w:rPr>
          <w:rFonts w:ascii="Arial Narrow" w:hAnsi="Arial Narrow" w:cs="Tahoma"/>
          <w:color w:val="FF0000"/>
          <w:sz w:val="22"/>
          <w:lang w:val="ru-RU"/>
        </w:rPr>
      </w:pPr>
    </w:p>
    <w:p w:rsidR="0096363D" w:rsidRPr="001E1ACA" w:rsidRDefault="001E1ACA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1E1ACA">
        <w:rPr>
          <w:rFonts w:ascii="Arial Narrow" w:hAnsi="Arial Narrow" w:cs="Tahoma"/>
          <w:sz w:val="22"/>
        </w:rPr>
        <w:t>During the same period</w:t>
      </w:r>
      <w:r>
        <w:rPr>
          <w:rFonts w:ascii="Arial Narrow" w:hAnsi="Arial Narrow" w:cs="Tahoma"/>
          <w:sz w:val="22"/>
        </w:rPr>
        <w:t xml:space="preserve">, the highest value of import was that of import from Russia, with 189 million KM or 27.9%, followed by Serbia, with 99 million KM or 14.6%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777348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</w:p>
    <w:p w:rsidR="001E1ACA" w:rsidRPr="001E1ACA" w:rsidRDefault="001E1ACA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color w:val="FF0000"/>
          <w:sz w:val="22"/>
        </w:rPr>
      </w:pPr>
      <w:r w:rsidRPr="009433A7">
        <w:rPr>
          <w:rFonts w:ascii="Arial Narrow" w:hAnsi="Arial Narrow" w:cs="Tahoma"/>
          <w:sz w:val="22"/>
        </w:rPr>
        <w:t>By group of products, in</w:t>
      </w:r>
      <w:r>
        <w:rPr>
          <w:rFonts w:ascii="Arial Narrow" w:hAnsi="Arial Narrow" w:cs="Tahoma"/>
          <w:sz w:val="22"/>
        </w:rPr>
        <w:t xml:space="preserve"> the period January – February 2014, the highest share in export was that of </w:t>
      </w:r>
      <w:r w:rsidRPr="009433A7">
        <w:rPr>
          <w:rFonts w:ascii="Arial Narrow" w:hAnsi="Arial Narrow" w:cs="Tahoma"/>
          <w:bCs/>
          <w:sz w:val="22"/>
        </w:rPr>
        <w:t>petroleum oils and oils obtained from bituminous minerals (except raw)</w:t>
      </w:r>
      <w:r>
        <w:rPr>
          <w:rFonts w:ascii="Arial Narrow" w:hAnsi="Arial Narrow" w:cs="Tahoma"/>
          <w:bCs/>
          <w:sz w:val="22"/>
        </w:rPr>
        <w:t xml:space="preserve"> with the total value of 49 million KM, which was 12.1% of the total export, while the highest share in import was that of </w:t>
      </w:r>
      <w:r w:rsidRPr="009433A7">
        <w:rPr>
          <w:rFonts w:ascii="Arial Narrow" w:hAnsi="Arial Narrow" w:cs="Tahoma"/>
          <w:sz w:val="22"/>
        </w:rPr>
        <w:t>petroleum and oils obtained from bituminous minerals (raw), with the total value of</w:t>
      </w:r>
      <w:r>
        <w:rPr>
          <w:rFonts w:ascii="Arial Narrow" w:hAnsi="Arial Narrow" w:cs="Tahoma"/>
          <w:sz w:val="22"/>
        </w:rPr>
        <w:t xml:space="preserve"> 187 million KM, which was 27.5% of the total import. </w:t>
      </w:r>
    </w:p>
    <w:p w:rsidR="00115CDB" w:rsidRPr="004C20B5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740A4" w:rsidRPr="004C20B5" w:rsidRDefault="008740A4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Pr="004C20B5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809BE" w:rsidRDefault="008809BE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4C20B5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4C20B5" w:rsidRDefault="006C6E5E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6519E0" w:rsidRPr="00B2585D" w:rsidRDefault="006F129D" w:rsidP="008809BE">
                  <w:pPr>
                    <w:jc w:val="right"/>
                    <w:rPr>
                      <w:rFonts w:ascii="Arial Narrow" w:hAnsi="Arial Narrow" w:cs="Tahoma"/>
                      <w:sz w:val="18"/>
                      <w:szCs w:val="18"/>
                      <w:lang w:val="bs-Cyrl-BA"/>
                    </w:rPr>
                  </w:pPr>
                  <w:r>
                    <w:rPr>
                      <w:rFonts w:ascii="Arial Narrow" w:hAnsi="Arial Narrow" w:cs="Tahoma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="006519E0">
                    <w:rPr>
                      <w:rFonts w:ascii="Arial Narrow" w:hAnsi="Arial Narrow" w:cs="Tahoma"/>
                      <w:sz w:val="18"/>
                      <w:szCs w:val="18"/>
                    </w:rPr>
                    <w:t>thous</w:t>
                  </w:r>
                  <w:proofErr w:type="spellEnd"/>
                  <w:proofErr w:type="gramEnd"/>
                  <w:r w:rsidR="006519E0" w:rsidRPr="00B2585D">
                    <w:rPr>
                      <w:rFonts w:ascii="Arial Narrow" w:hAnsi="Arial Narrow" w:cs="Tahoma"/>
                      <w:sz w:val="18"/>
                      <w:szCs w:val="18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115CDB" w:rsidRPr="004C20B5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4C20B5" w:rsidRDefault="00AC4BE1" w:rsidP="00115CDB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AC4BE1">
        <w:rPr>
          <w:rFonts w:ascii="Tahoma" w:hAnsi="Tahoma" w:cs="Tahoma"/>
          <w:b/>
          <w:noProof/>
        </w:rPr>
        <w:drawing>
          <wp:inline distT="0" distB="0" distL="0" distR="0">
            <wp:extent cx="4587903" cy="256827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5CDB" w:rsidRPr="004C20B5" w:rsidRDefault="006C6E5E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6C6E5E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97.6pt;margin-top:3.25pt;width:48.5pt;height:18.65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6519E0" w:rsidRPr="00DB5870" w:rsidRDefault="006519E0" w:rsidP="00115CDB">
                  <w:pPr>
                    <w:rPr>
                      <w:rFonts w:ascii="Arial Narrow" w:hAnsi="Arial Narrow" w:cs="Tahoma"/>
                      <w:szCs w:val="18"/>
                      <w:lang w:val="sr-Cyrl-BA"/>
                    </w:rPr>
                  </w:pPr>
                  <w:r w:rsidRPr="00DB5870">
                    <w:rPr>
                      <w:rFonts w:ascii="Arial Narrow" w:hAnsi="Arial Narrow" w:cs="Tahoma"/>
                      <w:szCs w:val="18"/>
                    </w:rPr>
                    <w:t>201</w:t>
                  </w:r>
                  <w:r>
                    <w:rPr>
                      <w:rFonts w:ascii="Arial Narrow" w:hAnsi="Arial Narrow" w:cs="Tahoma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6C6E5E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24.7pt;margin-top:-.15pt;width:44.2pt;height:18.6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6519E0" w:rsidRPr="00DB5870" w:rsidRDefault="006519E0" w:rsidP="00955DB6">
                  <w:pPr>
                    <w:jc w:val="center"/>
                    <w:rPr>
                      <w:rFonts w:ascii="Arial Narrow" w:hAnsi="Arial Narrow" w:cs="Tahoma"/>
                      <w:szCs w:val="18"/>
                      <w:lang w:val="sr-Cyrl-BA"/>
                    </w:rPr>
                  </w:pPr>
                  <w:r w:rsidRPr="00DB5870">
                    <w:rPr>
                      <w:rFonts w:ascii="Arial Narrow" w:hAnsi="Arial Narrow" w:cs="Tahoma"/>
                      <w:szCs w:val="18"/>
                    </w:rPr>
                    <w:t>201</w:t>
                  </w:r>
                  <w:r>
                    <w:rPr>
                      <w:rFonts w:ascii="Arial Narrow" w:hAnsi="Arial Narrow" w:cs="Tahoma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4C20B5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4C20B5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1E1ACA" w:rsidRDefault="006D4B2E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</w:rPr>
      </w:pPr>
      <w:proofErr w:type="gramStart"/>
      <w:r w:rsidRPr="001E1ACA">
        <w:rPr>
          <w:rFonts w:ascii="Arial Narrow" w:hAnsi="Arial Narrow" w:cs="Tahoma"/>
          <w:sz w:val="22"/>
          <w:szCs w:val="22"/>
        </w:rPr>
        <w:t>Graph</w:t>
      </w:r>
      <w:r w:rsidR="00777348" w:rsidRPr="001E1AC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B2585D" w:rsidRPr="001E1ACA">
        <w:rPr>
          <w:rFonts w:ascii="Arial Narrow" w:hAnsi="Arial Narrow" w:cs="Tahoma"/>
          <w:sz w:val="22"/>
          <w:szCs w:val="22"/>
          <w:lang w:val="ru-RU"/>
        </w:rPr>
        <w:t>3</w:t>
      </w:r>
      <w:r w:rsidR="00777348" w:rsidRPr="001E1ACA">
        <w:rPr>
          <w:rFonts w:ascii="Arial Narrow" w:hAnsi="Arial Narrow" w:cs="Tahoma"/>
          <w:sz w:val="22"/>
          <w:szCs w:val="22"/>
          <w:lang w:val="ru-RU"/>
        </w:rPr>
        <w:t>.</w:t>
      </w:r>
      <w:proofErr w:type="gramEnd"/>
      <w:r w:rsidR="00777348" w:rsidRPr="001E1AC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1E1ACA">
        <w:rPr>
          <w:rFonts w:ascii="Arial Narrow" w:hAnsi="Arial Narrow" w:cs="Tahoma"/>
          <w:iCs/>
          <w:sz w:val="22"/>
          <w:szCs w:val="22"/>
        </w:rPr>
        <w:t>Export and import by month</w:t>
      </w:r>
    </w:p>
    <w:p w:rsidR="00115CDB" w:rsidRPr="00955DB6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  <w:lang w:val="ru-RU"/>
        </w:rPr>
      </w:pPr>
    </w:p>
    <w:p w:rsidR="00115CDB" w:rsidRPr="004C20B5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4C20B5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B2585D" w:rsidRPr="004C20B5" w:rsidRDefault="00B2585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1118CC" w:rsidRPr="004C20B5" w:rsidRDefault="001118CC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4C20B5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F129D" w:rsidRDefault="00A80189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lastRenderedPageBreak/>
              <w:t>PREPARED BY</w:t>
            </w:r>
            <w:r w:rsidR="009E2A9A" w:rsidRPr="006F129D"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  <w:t xml:space="preserve">: </w:t>
            </w: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CS"/>
              </w:rPr>
            </w:pPr>
          </w:p>
        </w:tc>
      </w:tr>
      <w:tr w:rsidR="004C20B5" w:rsidRPr="004C20B5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06168" w:rsidRPr="006F129D" w:rsidRDefault="00806168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Latn-CS"/>
              </w:rPr>
            </w:pPr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t>Labour</w:t>
            </w:r>
            <w:proofErr w:type="spellEnd"/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t xml:space="preserve"> statistics</w:t>
            </w:r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Biljana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Glušac</w:t>
            </w:r>
            <w:proofErr w:type="spellEnd"/>
          </w:p>
          <w:p w:rsidR="009E2A9A" w:rsidRPr="006F129D" w:rsidRDefault="006C6E5E" w:rsidP="00A801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="00A80189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biljana.glusac@rzs.rs.ba</w:t>
              </w:r>
            </w:hyperlink>
            <w:r w:rsidR="00A80189" w:rsidRPr="006F129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C20B5" w:rsidRPr="004C20B5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t>Prices statistics</w:t>
            </w:r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Biljana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Tešić</w:t>
            </w:r>
            <w:proofErr w:type="spellEnd"/>
          </w:p>
          <w:p w:rsidR="00A80189" w:rsidRPr="006F129D" w:rsidRDefault="006C6E5E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hyperlink r:id="rId14" w:history="1">
              <w:r w:rsidR="00A80189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Biljana.tesic@rzs.rs.ba</w:t>
              </w:r>
            </w:hyperlink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Jasminka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Milić</w:t>
            </w:r>
            <w:proofErr w:type="spellEnd"/>
          </w:p>
          <w:p w:rsidR="00A80189" w:rsidRPr="006F129D" w:rsidRDefault="006C6E5E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hyperlink r:id="rId15" w:history="1">
              <w:r w:rsidR="00A80189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jasminka.milic@rzs.rs.ba</w:t>
              </w:r>
            </w:hyperlink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sz w:val="22"/>
                <w:szCs w:val="22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F129D" w:rsidRDefault="00A80189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t>Industry and mining statistics</w:t>
            </w:r>
          </w:p>
          <w:p w:rsidR="009E2A9A" w:rsidRPr="006F129D" w:rsidRDefault="00A80189" w:rsidP="009E2A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Mirjana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Bandur</w:t>
            </w:r>
            <w:proofErr w:type="spellEnd"/>
          </w:p>
          <w:p w:rsidR="009E2A9A" w:rsidRPr="006F129D" w:rsidRDefault="006C6E5E" w:rsidP="009E2A9A">
            <w:pPr>
              <w:jc w:val="both"/>
              <w:rPr>
                <w:rFonts w:ascii="Arial Narrow" w:hAnsi="Arial Narrow" w:cs="Tahoma"/>
                <w:b/>
                <w:sz w:val="22"/>
                <w:szCs w:val="22"/>
                <w:lang w:val="sr-Cyrl-BA"/>
              </w:rPr>
            </w:pPr>
            <w:hyperlink r:id="rId16" w:history="1"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mirjana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  <w:lang w:val="sr-Cyrl-BA"/>
                </w:rPr>
                <w:t>.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bandur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  <w:lang w:val="sr-Cyrl-BA"/>
                </w:rPr>
                <w:t>@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rzs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  <w:lang w:val="sr-Cyrl-BA"/>
                </w:rPr>
                <w:t>.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rs</w:t>
              </w:r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  <w:lang w:val="sr-Cyrl-BA"/>
                </w:rPr>
                <w:t>.</w:t>
              </w:r>
              <w:proofErr w:type="spellStart"/>
              <w:r w:rsidR="009E2A9A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ba</w:t>
              </w:r>
              <w:proofErr w:type="spellEnd"/>
            </w:hyperlink>
            <w:r w:rsidR="009E2A9A" w:rsidRPr="006F129D">
              <w:rPr>
                <w:rFonts w:ascii="Arial Narrow" w:hAnsi="Arial Narrow" w:cs="Tahoma"/>
                <w:b/>
                <w:sz w:val="22"/>
                <w:szCs w:val="22"/>
                <w:lang w:val="sr-Cyrl-BA"/>
              </w:rPr>
              <w:t xml:space="preserve"> </w:t>
            </w: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sz w:val="22"/>
                <w:szCs w:val="22"/>
                <w:lang w:val="sr-Cyrl-CS"/>
              </w:rPr>
            </w:pPr>
          </w:p>
        </w:tc>
      </w:tr>
      <w:tr w:rsidR="004C20B5" w:rsidRPr="004C20B5" w:rsidTr="006F129D">
        <w:trPr>
          <w:trHeight w:hRule="exact" w:val="794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F129D">
              <w:rPr>
                <w:rFonts w:ascii="Arial Narrow" w:hAnsi="Arial Narrow" w:cs="Tahoma"/>
                <w:b/>
                <w:sz w:val="22"/>
                <w:szCs w:val="22"/>
              </w:rPr>
              <w:t>External trade statistics</w:t>
            </w:r>
          </w:p>
          <w:p w:rsidR="00A80189" w:rsidRPr="006F129D" w:rsidRDefault="00A80189" w:rsidP="00A8018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Sanja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Stojčević</w:t>
            </w:r>
            <w:proofErr w:type="spellEnd"/>
            <w:r w:rsidRPr="006F129D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proofErr w:type="spellStart"/>
            <w:r w:rsidRPr="006F129D">
              <w:rPr>
                <w:rFonts w:ascii="Arial Narrow" w:hAnsi="Arial Narrow" w:cs="Tahoma"/>
                <w:sz w:val="22"/>
                <w:szCs w:val="22"/>
              </w:rPr>
              <w:t>Uvalić</w:t>
            </w:r>
            <w:proofErr w:type="spellEnd"/>
          </w:p>
          <w:p w:rsidR="00A80189" w:rsidRPr="006F129D" w:rsidRDefault="006C6E5E" w:rsidP="00A8018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hyperlink r:id="rId17" w:history="1">
              <w:r w:rsidR="00A80189" w:rsidRPr="006F129D">
                <w:rPr>
                  <w:rStyle w:val="Hyperlink"/>
                  <w:rFonts w:ascii="Arial Narrow" w:hAnsi="Arial Narrow" w:cs="Tahoma"/>
                  <w:color w:val="auto"/>
                  <w:sz w:val="22"/>
                  <w:szCs w:val="22"/>
                </w:rPr>
                <w:t>sanja.stojcevic@rzs.rs.ba</w:t>
              </w:r>
            </w:hyperlink>
          </w:p>
          <w:p w:rsidR="009E2A9A" w:rsidRPr="006F129D" w:rsidRDefault="009E2A9A" w:rsidP="009E2A9A">
            <w:pPr>
              <w:jc w:val="both"/>
              <w:rPr>
                <w:rFonts w:ascii="Arial Narrow" w:hAnsi="Arial Narrow"/>
                <w:sz w:val="22"/>
                <w:szCs w:val="22"/>
                <w:lang w:val="sr-Cyrl-BA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/>
                <w:sz w:val="22"/>
                <w:szCs w:val="22"/>
                <w:lang w:val="sr-Cyrl-BA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sz w:val="22"/>
                <w:szCs w:val="22"/>
                <w:lang w:val="sr-Cyrl-BA"/>
              </w:rPr>
            </w:pPr>
          </w:p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sz w:val="22"/>
                <w:szCs w:val="22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A80189" w:rsidRDefault="00A8018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F129D" w:rsidRDefault="009E2A9A" w:rsidP="009E2A9A">
            <w:pPr>
              <w:jc w:val="both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6F129D">
              <w:rPr>
                <w:rFonts w:ascii="Arial Narrow" w:hAnsi="Arial Narrow" w:cs="Tahoma"/>
                <w:b/>
                <w:bCs/>
                <w:sz w:val="22"/>
                <w:szCs w:val="22"/>
              </w:rPr>
              <w:sym w:font="Symbol" w:char="00C6"/>
            </w:r>
            <w:r w:rsidRPr="006F129D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6F129D">
              <w:rPr>
                <w:rFonts w:ascii="Arial Narrow" w:hAnsi="Arial Narrow" w:cs="Tahoma"/>
                <w:bCs/>
                <w:sz w:val="22"/>
                <w:szCs w:val="22"/>
                <w:lang w:val="sr-Cyrl-CS"/>
              </w:rPr>
              <w:t xml:space="preserve">- </w:t>
            </w:r>
            <w:r w:rsidR="00A80189" w:rsidRPr="006F129D">
              <w:rPr>
                <w:rFonts w:ascii="Arial Narrow" w:hAnsi="Arial Narrow" w:cs="Tahoma"/>
                <w:bCs/>
                <w:sz w:val="22"/>
                <w:szCs w:val="22"/>
              </w:rPr>
              <w:t>average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4C20B5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4C20B5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70398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8E64D8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B4E35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2585D" w:rsidRPr="004C20B5" w:rsidRDefault="00B2585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4C20B5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B4E35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B4E35" w:rsidRDefault="00FB4E3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6C6E5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6C6E5E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370398">
        <w:trPr>
          <w:trHeight w:hRule="exact" w:val="11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70398" w:rsidRPr="004C20B5" w:rsidTr="00370398">
        <w:tc>
          <w:tcPr>
            <w:tcW w:w="10490" w:type="dxa"/>
            <w:tcMar>
              <w:left w:w="0" w:type="dxa"/>
              <w:right w:w="0" w:type="dxa"/>
            </w:tcMar>
          </w:tcPr>
          <w:p w:rsidR="00370398" w:rsidRPr="009433A7" w:rsidRDefault="00370398" w:rsidP="00370398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9433A7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370398" w:rsidRPr="004C20B5" w:rsidTr="00370398">
        <w:trPr>
          <w:trHeight w:val="1653"/>
        </w:trPr>
        <w:tc>
          <w:tcPr>
            <w:tcW w:w="10490" w:type="dxa"/>
            <w:tcMar>
              <w:left w:w="0" w:type="dxa"/>
              <w:right w:w="0" w:type="dxa"/>
            </w:tcMar>
          </w:tcPr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Banja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Luka,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9433A7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9433A7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433A7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8" w:history="1">
              <w:r w:rsidRPr="009433A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370398" w:rsidRPr="009433A7" w:rsidRDefault="00370398" w:rsidP="00370398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70398" w:rsidRPr="009433A7" w:rsidRDefault="00370398" w:rsidP="00370398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9433A7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20B5" w:rsidRDefault="006C6E5E" w:rsidP="009E2A9A">
      <w:pPr>
        <w:rPr>
          <w:rFonts w:ascii="Tahoma" w:hAnsi="Tahoma" w:cs="Tahoma"/>
          <w:lang w:val="sr-Cyrl-BA"/>
        </w:rPr>
      </w:pPr>
      <w:r w:rsidRPr="006C6E5E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4C20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E0" w:rsidRDefault="006519E0">
      <w:r>
        <w:separator/>
      </w:r>
    </w:p>
  </w:endnote>
  <w:endnote w:type="continuationSeparator" w:id="0">
    <w:p w:rsidR="006519E0" w:rsidRDefault="0065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E0" w:rsidRDefault="006C6E5E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6519E0" w:rsidRPr="00175687" w:rsidRDefault="006C6E5E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519E0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33F57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E0" w:rsidRDefault="006C6E5E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6519E0" w:rsidRPr="00175687" w:rsidRDefault="006C6E5E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6519E0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D33F57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E0" w:rsidRDefault="006519E0">
      <w:r>
        <w:separator/>
      </w:r>
    </w:p>
  </w:footnote>
  <w:footnote w:type="continuationSeparator" w:id="0">
    <w:p w:rsidR="006519E0" w:rsidRDefault="00651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534"/>
      <w:gridCol w:w="6903"/>
    </w:tblGrid>
    <w:tr w:rsidR="006519E0" w:rsidTr="00A80189">
      <w:tc>
        <w:tcPr>
          <w:tcW w:w="169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6519E0" w:rsidRPr="00A80189" w:rsidRDefault="006519E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6519E0" w:rsidRPr="00A80189" w:rsidRDefault="006519E0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07" w:type="pct"/>
          <w:tcBorders>
            <w:bottom w:val="single" w:sz="4" w:space="0" w:color="auto"/>
          </w:tcBorders>
          <w:vAlign w:val="bottom"/>
        </w:tcPr>
        <w:p w:rsidR="006519E0" w:rsidRPr="005D5311" w:rsidRDefault="006519E0" w:rsidP="00A8018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6</w:t>
          </w:r>
          <w:proofErr w:type="spellStart"/>
          <w:r w:rsidRPr="00A80189">
            <w:rPr>
              <w:rFonts w:ascii="Arial Narrow" w:hAnsi="Arial Narrow" w:cs="Tahoma"/>
              <w:color w:val="0070C0"/>
              <w:sz w:val="18"/>
              <w:vertAlign w:val="superscript"/>
            </w:rPr>
            <w:t>th</w:t>
          </w:r>
          <w:proofErr w:type="spellEnd"/>
          <w:r>
            <w:rPr>
              <w:rFonts w:ascii="Arial Narrow" w:hAnsi="Arial Narrow" w:cs="Tahoma"/>
              <w:color w:val="0070C0"/>
              <w:sz w:val="18"/>
            </w:rPr>
            <w:t xml:space="preserve"> March 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2014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3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6519E0" w:rsidRDefault="006C6E5E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6C6E5E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6342"/>
    <w:rsid w:val="00016ABE"/>
    <w:rsid w:val="00016B4C"/>
    <w:rsid w:val="00017392"/>
    <w:rsid w:val="00017432"/>
    <w:rsid w:val="00017E51"/>
    <w:rsid w:val="00017F05"/>
    <w:rsid w:val="0002049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C57"/>
    <w:rsid w:val="00057D94"/>
    <w:rsid w:val="0006014D"/>
    <w:rsid w:val="00060C1B"/>
    <w:rsid w:val="00060E42"/>
    <w:rsid w:val="0006143E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6A49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0AB6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3E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E52"/>
    <w:rsid w:val="000C4147"/>
    <w:rsid w:val="000C433C"/>
    <w:rsid w:val="000C478D"/>
    <w:rsid w:val="000C4E02"/>
    <w:rsid w:val="000C51F4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E12"/>
    <w:rsid w:val="000F0E43"/>
    <w:rsid w:val="000F0FB0"/>
    <w:rsid w:val="000F1185"/>
    <w:rsid w:val="000F1EDA"/>
    <w:rsid w:val="000F263F"/>
    <w:rsid w:val="000F2712"/>
    <w:rsid w:val="000F27B9"/>
    <w:rsid w:val="000F2FBE"/>
    <w:rsid w:val="000F4DE8"/>
    <w:rsid w:val="000F55DE"/>
    <w:rsid w:val="000F5794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46CD"/>
    <w:rsid w:val="00104805"/>
    <w:rsid w:val="00104CCC"/>
    <w:rsid w:val="0010528B"/>
    <w:rsid w:val="001053AA"/>
    <w:rsid w:val="0010606C"/>
    <w:rsid w:val="001064F5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4D02"/>
    <w:rsid w:val="00155AC7"/>
    <w:rsid w:val="00155ECD"/>
    <w:rsid w:val="00155F2E"/>
    <w:rsid w:val="001561A7"/>
    <w:rsid w:val="0015632D"/>
    <w:rsid w:val="001569CD"/>
    <w:rsid w:val="00157003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5F1"/>
    <w:rsid w:val="001D7DB8"/>
    <w:rsid w:val="001E0310"/>
    <w:rsid w:val="001E0C41"/>
    <w:rsid w:val="001E0DFB"/>
    <w:rsid w:val="001E15D3"/>
    <w:rsid w:val="001E1ACA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114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A1A"/>
    <w:rsid w:val="00272E9A"/>
    <w:rsid w:val="00272EFB"/>
    <w:rsid w:val="00272FE5"/>
    <w:rsid w:val="0027420E"/>
    <w:rsid w:val="00274BB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5A4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304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BB4"/>
    <w:rsid w:val="00313D98"/>
    <w:rsid w:val="00313F03"/>
    <w:rsid w:val="00314330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398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3F7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38F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917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591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88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559"/>
    <w:rsid w:val="005E5C26"/>
    <w:rsid w:val="005E5C89"/>
    <w:rsid w:val="005E5E3F"/>
    <w:rsid w:val="005E60C5"/>
    <w:rsid w:val="005E703E"/>
    <w:rsid w:val="005E758A"/>
    <w:rsid w:val="005E7621"/>
    <w:rsid w:val="005E790C"/>
    <w:rsid w:val="005F0733"/>
    <w:rsid w:val="005F07B6"/>
    <w:rsid w:val="005F0A6A"/>
    <w:rsid w:val="005F0AE8"/>
    <w:rsid w:val="005F0FD4"/>
    <w:rsid w:val="005F0FDF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9E0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710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B0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45F7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E5E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B2E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29D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8D6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DB9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C98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A0"/>
    <w:rsid w:val="008B12B4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4D8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1240"/>
    <w:rsid w:val="009023F5"/>
    <w:rsid w:val="00902D6C"/>
    <w:rsid w:val="00903136"/>
    <w:rsid w:val="009037EA"/>
    <w:rsid w:val="00903A70"/>
    <w:rsid w:val="00903B33"/>
    <w:rsid w:val="00903C1E"/>
    <w:rsid w:val="0090404D"/>
    <w:rsid w:val="00904133"/>
    <w:rsid w:val="0090478C"/>
    <w:rsid w:val="009049DB"/>
    <w:rsid w:val="00904AC2"/>
    <w:rsid w:val="00904D3A"/>
    <w:rsid w:val="00905195"/>
    <w:rsid w:val="00905325"/>
    <w:rsid w:val="00905F00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55A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3DB3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67ED9"/>
    <w:rsid w:val="00970FF2"/>
    <w:rsid w:val="0097122C"/>
    <w:rsid w:val="009712A1"/>
    <w:rsid w:val="0097159D"/>
    <w:rsid w:val="00971631"/>
    <w:rsid w:val="00971A6E"/>
    <w:rsid w:val="00971D6B"/>
    <w:rsid w:val="009722E9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1EDF"/>
    <w:rsid w:val="009C2510"/>
    <w:rsid w:val="009C27FA"/>
    <w:rsid w:val="009C2B22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4668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D7345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8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176"/>
    <w:rsid w:val="00AA3526"/>
    <w:rsid w:val="00AA37F3"/>
    <w:rsid w:val="00AA39B4"/>
    <w:rsid w:val="00AA3E9E"/>
    <w:rsid w:val="00AA3FD5"/>
    <w:rsid w:val="00AA40BE"/>
    <w:rsid w:val="00AA41D7"/>
    <w:rsid w:val="00AA431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178C2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7F9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26C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E80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0828"/>
    <w:rsid w:val="00BA15A5"/>
    <w:rsid w:val="00BA225E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99D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2CDE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3F57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47CC7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1F06"/>
    <w:rsid w:val="00D62110"/>
    <w:rsid w:val="00D6254A"/>
    <w:rsid w:val="00D625EA"/>
    <w:rsid w:val="00D62936"/>
    <w:rsid w:val="00D6293B"/>
    <w:rsid w:val="00D62C6D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1F58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AFE"/>
    <w:rsid w:val="00DA4DBB"/>
    <w:rsid w:val="00DA518F"/>
    <w:rsid w:val="00DA531D"/>
    <w:rsid w:val="00DA5733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2440"/>
    <w:rsid w:val="00DF2CA1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93F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1B3"/>
    <w:rsid w:val="00E1648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31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7FD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35F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D37"/>
    <w:rsid w:val="00F906FD"/>
    <w:rsid w:val="00F9136D"/>
    <w:rsid w:val="00F9150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3288"/>
    <w:rsid w:val="00FB3515"/>
    <w:rsid w:val="00FB3C8A"/>
    <w:rsid w:val="00FB3CBE"/>
    <w:rsid w:val="00FB407C"/>
    <w:rsid w:val="00FB4401"/>
    <w:rsid w:val="00FB4480"/>
    <w:rsid w:val="00FB4E35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38CB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7AE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Febru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feb%202014\za%20Graf%20I-II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2013</c:v>
                  </c:pt>
                  <c:pt idx="11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811</c:v>
                </c:pt>
                <c:pt idx="1">
                  <c:v>799</c:v>
                </c:pt>
                <c:pt idx="2">
                  <c:v>798</c:v>
                </c:pt>
                <c:pt idx="3">
                  <c:v>796</c:v>
                </c:pt>
                <c:pt idx="4">
                  <c:v>816</c:v>
                </c:pt>
                <c:pt idx="5">
                  <c:v>803</c:v>
                </c:pt>
                <c:pt idx="6">
                  <c:v>811</c:v>
                </c:pt>
                <c:pt idx="7">
                  <c:v>813</c:v>
                </c:pt>
                <c:pt idx="8">
                  <c:v>808</c:v>
                </c:pt>
                <c:pt idx="9">
                  <c:v>811</c:v>
                </c:pt>
                <c:pt idx="10">
                  <c:v>820</c:v>
                </c:pt>
                <c:pt idx="11">
                  <c:v>810</c:v>
                </c:pt>
                <c:pt idx="12">
                  <c:v>822</c:v>
                </c:pt>
              </c:numCache>
            </c:numRef>
          </c:val>
        </c:ser>
        <c:dLbls/>
        <c:marker val="1"/>
        <c:axId val="38127872"/>
        <c:axId val="38133760"/>
      </c:lineChart>
      <c:catAx>
        <c:axId val="38127872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8133760"/>
        <c:crosses val="autoZero"/>
        <c:auto val="1"/>
        <c:lblAlgn val="ctr"/>
        <c:lblOffset val="100"/>
      </c:catAx>
      <c:valAx>
        <c:axId val="38133760"/>
        <c:scaling>
          <c:orientation val="minMax"/>
          <c:max val="900"/>
          <c:min val="600"/>
        </c:scaling>
        <c:axPos val="l"/>
        <c:majorGridlines>
          <c:spPr>
            <a:ln w="3175"/>
          </c:spPr>
        </c:majorGridlines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812787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7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98.436810219170397</c:v>
                </c:pt>
                <c:pt idx="1">
                  <c:v>97.398324990546655</c:v>
                </c:pt>
                <c:pt idx="2">
                  <c:v>95.918985223077726</c:v>
                </c:pt>
                <c:pt idx="3">
                  <c:v>104.89460575052181</c:v>
                </c:pt>
                <c:pt idx="4">
                  <c:v>97.629348685988688</c:v>
                </c:pt>
                <c:pt idx="5">
                  <c:v>91.407730247526757</c:v>
                </c:pt>
                <c:pt idx="6">
                  <c:v>98.175694657648478</c:v>
                </c:pt>
                <c:pt idx="7">
                  <c:v>98.723956438493389</c:v>
                </c:pt>
                <c:pt idx="8">
                  <c:v>98.19202970070414</c:v>
                </c:pt>
                <c:pt idx="9">
                  <c:v>102.06180821569215</c:v>
                </c:pt>
                <c:pt idx="10">
                  <c:v>104.24330532375905</c:v>
                </c:pt>
                <c:pt idx="11">
                  <c:v>107.35439786138392</c:v>
                </c:pt>
                <c:pt idx="12">
                  <c:v>101.89034073494004</c:v>
                </c:pt>
                <c:pt idx="13">
                  <c:v>103.12948202123025</c:v>
                </c:pt>
                <c:pt idx="14">
                  <c:v>100.51455723991236</c:v>
                </c:pt>
                <c:pt idx="15">
                  <c:v>103.46281622045977</c:v>
                </c:pt>
                <c:pt idx="16">
                  <c:v>105.66964077710158</c:v>
                </c:pt>
                <c:pt idx="17">
                  <c:v>110.33049722584579</c:v>
                </c:pt>
                <c:pt idx="18">
                  <c:v>107.50326872162773</c:v>
                </c:pt>
                <c:pt idx="19">
                  <c:v>99.473939457757481</c:v>
                </c:pt>
                <c:pt idx="20">
                  <c:v>104.52012799114597</c:v>
                </c:pt>
                <c:pt idx="21">
                  <c:v>103.59481255635121</c:v>
                </c:pt>
                <c:pt idx="22">
                  <c:v>100.18985227871075</c:v>
                </c:pt>
                <c:pt idx="23">
                  <c:v>102.68292490892053</c:v>
                </c:pt>
                <c:pt idx="24">
                  <c:v>97.783639900226135</c:v>
                </c:pt>
                <c:pt idx="25">
                  <c:v>100.5301341011551</c:v>
                </c:pt>
                <c:pt idx="26">
                  <c:v>100.62544825098796</c:v>
                </c:pt>
                <c:pt idx="27">
                  <c:v>99.36993849005944</c:v>
                </c:pt>
                <c:pt idx="28">
                  <c:v>99.6809892162876</c:v>
                </c:pt>
                <c:pt idx="29">
                  <c:v>93.470235149074952</c:v>
                </c:pt>
                <c:pt idx="30">
                  <c:v>98.886323589903157</c:v>
                </c:pt>
                <c:pt idx="31">
                  <c:v>106.38037044075924</c:v>
                </c:pt>
                <c:pt idx="32">
                  <c:v>101.16825237833271</c:v>
                </c:pt>
                <c:pt idx="33">
                  <c:v>99.358342677927254</c:v>
                </c:pt>
                <c:pt idx="34">
                  <c:v>101.75721473950072</c:v>
                </c:pt>
                <c:pt idx="35">
                  <c:v>101.52647655164613</c:v>
                </c:pt>
                <c:pt idx="36">
                  <c:v>102.11268576832695</c:v>
                </c:pt>
                <c:pt idx="37">
                  <c:v>99.168156872212379</c:v>
                </c:pt>
                <c:pt idx="38">
                  <c:v>107.82318198129026</c:v>
                </c:pt>
                <c:pt idx="39">
                  <c:v>102.96926378667111</c:v>
                </c:pt>
                <c:pt idx="40">
                  <c:v>104.73783105904353</c:v>
                </c:pt>
                <c:pt idx="41">
                  <c:v>110.57731926452618</c:v>
                </c:pt>
                <c:pt idx="42">
                  <c:v>104.89461260468491</c:v>
                </c:pt>
                <c:pt idx="43">
                  <c:v>101.80444179609891</c:v>
                </c:pt>
                <c:pt idx="44">
                  <c:v>102.9175565449486</c:v>
                </c:pt>
                <c:pt idx="45">
                  <c:v>105.31153049872087</c:v>
                </c:pt>
                <c:pt idx="46">
                  <c:v>105.56573188193885</c:v>
                </c:pt>
                <c:pt idx="47">
                  <c:v>105.83019041816236</c:v>
                </c:pt>
                <c:pt idx="48">
                  <c:v>108.42848175272162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2010</c:v>
                  </c:pt>
                  <c:pt idx="11">
                    <c:v>2011</c:v>
                  </c:pt>
                  <c:pt idx="23">
                    <c:v>2012</c:v>
                  </c:pt>
                  <c:pt idx="35">
                    <c:v>2013</c:v>
                  </c:pt>
                  <c:pt idx="47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97.278728734495857</c:v>
                </c:pt>
                <c:pt idx="1">
                  <c:v>97.563312130984443</c:v>
                </c:pt>
                <c:pt idx="2">
                  <c:v>97.889599423298364</c:v>
                </c:pt>
                <c:pt idx="3">
                  <c:v>98.230407386715001</c:v>
                </c:pt>
                <c:pt idx="4">
                  <c:v>98.406747694717964</c:v>
                </c:pt>
                <c:pt idx="5">
                  <c:v>98.604709507440049</c:v>
                </c:pt>
                <c:pt idx="6">
                  <c:v>99.034848734702052</c:v>
                </c:pt>
                <c:pt idx="7">
                  <c:v>99.534830705133174</c:v>
                </c:pt>
                <c:pt idx="8">
                  <c:v>100.06548029850511</c:v>
                </c:pt>
                <c:pt idx="9">
                  <c:v>100.65084044015335</c:v>
                </c:pt>
                <c:pt idx="10">
                  <c:v>101.20819903194436</c:v>
                </c:pt>
                <c:pt idx="11">
                  <c:v>101.63044531478529</c:v>
                </c:pt>
                <c:pt idx="12">
                  <c:v>101.8975270816489</c:v>
                </c:pt>
                <c:pt idx="13">
                  <c:v>102.11392251837471</c:v>
                </c:pt>
                <c:pt idx="14">
                  <c:v>102.33252258282384</c:v>
                </c:pt>
                <c:pt idx="15">
                  <c:v>102.57908960975985</c:v>
                </c:pt>
                <c:pt idx="16">
                  <c:v>102.81397592369818</c:v>
                </c:pt>
                <c:pt idx="17">
                  <c:v>102.92455470068246</c:v>
                </c:pt>
                <c:pt idx="18">
                  <c:v>102.78773281935133</c:v>
                </c:pt>
                <c:pt idx="19">
                  <c:v>102.51055515784789</c:v>
                </c:pt>
                <c:pt idx="20">
                  <c:v>102.29038238816341</c:v>
                </c:pt>
                <c:pt idx="21">
                  <c:v>102.02477349016529</c:v>
                </c:pt>
                <c:pt idx="22">
                  <c:v>101.71349238853261</c:v>
                </c:pt>
                <c:pt idx="23">
                  <c:v>101.42781696079359</c:v>
                </c:pt>
                <c:pt idx="24">
                  <c:v>101.15159233416934</c:v>
                </c:pt>
                <c:pt idx="25">
                  <c:v>100.96237176818595</c:v>
                </c:pt>
                <c:pt idx="26">
                  <c:v>100.81981441908125</c:v>
                </c:pt>
                <c:pt idx="27">
                  <c:v>100.6965543565527</c:v>
                </c:pt>
                <c:pt idx="28">
                  <c:v>100.61269059303963</c:v>
                </c:pt>
                <c:pt idx="29">
                  <c:v>100.61554930330118</c:v>
                </c:pt>
                <c:pt idx="30">
                  <c:v>100.85535512393884</c:v>
                </c:pt>
                <c:pt idx="31">
                  <c:v>101.1782312977586</c:v>
                </c:pt>
                <c:pt idx="32">
                  <c:v>101.36944016918001</c:v>
                </c:pt>
                <c:pt idx="33">
                  <c:v>101.56194988301912</c:v>
                </c:pt>
                <c:pt idx="34">
                  <c:v>101.83762766670553</c:v>
                </c:pt>
                <c:pt idx="35">
                  <c:v>102.1502269415254</c:v>
                </c:pt>
                <c:pt idx="36">
                  <c:v>102.47491021332495</c:v>
                </c:pt>
                <c:pt idx="37">
                  <c:v>102.87190610273555</c:v>
                </c:pt>
                <c:pt idx="38">
                  <c:v>103.34840711336547</c:v>
                </c:pt>
                <c:pt idx="39">
                  <c:v>103.75634718913118</c:v>
                </c:pt>
                <c:pt idx="40">
                  <c:v>104.16707773395788</c:v>
                </c:pt>
                <c:pt idx="41">
                  <c:v>104.56221766711992</c:v>
                </c:pt>
                <c:pt idx="42">
                  <c:v>104.7985939747078</c:v>
                </c:pt>
                <c:pt idx="43">
                  <c:v>105.02655538061012</c:v>
                </c:pt>
                <c:pt idx="44">
                  <c:v>105.38720423072506</c:v>
                </c:pt>
                <c:pt idx="45">
                  <c:v>105.85106592677116</c:v>
                </c:pt>
                <c:pt idx="46">
                  <c:v>106.35957299260178</c:v>
                </c:pt>
                <c:pt idx="47">
                  <c:v>106.91670432247875</c:v>
                </c:pt>
                <c:pt idx="48">
                  <c:v>107.52193005380504</c:v>
                </c:pt>
              </c:numCache>
            </c:numRef>
          </c:val>
        </c:ser>
        <c:dLbls/>
        <c:marker val="1"/>
        <c:axId val="38683008"/>
        <c:axId val="38684544"/>
      </c:lineChart>
      <c:catAx>
        <c:axId val="38683008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8684544"/>
        <c:crosses val="autoZero"/>
        <c:auto val="1"/>
        <c:lblAlgn val="ctr"/>
        <c:lblOffset val="100"/>
      </c:catAx>
      <c:valAx>
        <c:axId val="38684544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3868300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9676338402905058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zaFeb2014!$A$2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zaFeb2014!$B$2:$N$2</c:f>
              <c:numCache>
                <c:formatCode>General</c:formatCode>
                <c:ptCount val="13"/>
                <c:pt idx="0">
                  <c:v>342893</c:v>
                </c:pt>
                <c:pt idx="1">
                  <c:v>393365</c:v>
                </c:pt>
                <c:pt idx="2">
                  <c:v>379748</c:v>
                </c:pt>
                <c:pt idx="3">
                  <c:v>380770</c:v>
                </c:pt>
                <c:pt idx="4">
                  <c:v>317176</c:v>
                </c:pt>
                <c:pt idx="5">
                  <c:v>400481</c:v>
                </c:pt>
                <c:pt idx="6">
                  <c:v>385911</c:v>
                </c:pt>
                <c:pt idx="7">
                  <c:v>390579</c:v>
                </c:pt>
                <c:pt idx="8">
                  <c:v>454480</c:v>
                </c:pt>
                <c:pt idx="9">
                  <c:v>424992</c:v>
                </c:pt>
                <c:pt idx="10">
                  <c:v>391993</c:v>
                </c:pt>
                <c:pt idx="11">
                  <c:v>251906</c:v>
                </c:pt>
                <c:pt idx="12">
                  <c:v>427126</c:v>
                </c:pt>
              </c:numCache>
            </c:numRef>
          </c:val>
        </c:ser>
        <c:ser>
          <c:idx val="1"/>
          <c:order val="1"/>
          <c:tx>
            <c:strRef>
              <c:f>zaFeb2014!$A$3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zaFeb2014!$B$1:$N$1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zaFeb2014!$B$3:$N$3</c:f>
              <c:numCache>
                <c:formatCode>General</c:formatCode>
                <c:ptCount val="13"/>
                <c:pt idx="0">
                  <c:v>182220</c:v>
                </c:pt>
                <c:pt idx="1">
                  <c:v>210184</c:v>
                </c:pt>
                <c:pt idx="2">
                  <c:v>238435</c:v>
                </c:pt>
                <c:pt idx="3">
                  <c:v>220764</c:v>
                </c:pt>
                <c:pt idx="4">
                  <c:v>220173</c:v>
                </c:pt>
                <c:pt idx="5">
                  <c:v>242098</c:v>
                </c:pt>
                <c:pt idx="6">
                  <c:v>199427</c:v>
                </c:pt>
                <c:pt idx="7">
                  <c:v>230912</c:v>
                </c:pt>
                <c:pt idx="8">
                  <c:v>221870</c:v>
                </c:pt>
                <c:pt idx="9">
                  <c:v>231500</c:v>
                </c:pt>
                <c:pt idx="10">
                  <c:v>222497</c:v>
                </c:pt>
                <c:pt idx="11">
                  <c:v>196665</c:v>
                </c:pt>
                <c:pt idx="12">
                  <c:v>211099</c:v>
                </c:pt>
              </c:numCache>
            </c:numRef>
          </c:val>
        </c:ser>
        <c:dLbls/>
        <c:marker val="1"/>
        <c:axId val="38276480"/>
        <c:axId val="38286464"/>
      </c:lineChart>
      <c:catAx>
        <c:axId val="38276480"/>
        <c:scaling>
          <c:orientation val="minMax"/>
        </c:scaling>
        <c:axPos val="b"/>
        <c:minorGridlines>
          <c:spPr>
            <a:ln w="3175"/>
          </c:spPr>
        </c:minorGridlines>
        <c:numFmt formatCode="General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8286464"/>
        <c:crosses val="autoZero"/>
        <c:auto val="1"/>
        <c:lblAlgn val="ctr"/>
        <c:lblOffset val="100"/>
      </c:catAx>
      <c:valAx>
        <c:axId val="38286464"/>
        <c:scaling>
          <c:orientation val="minMax"/>
        </c:scaling>
        <c:axPos val="l"/>
        <c:majorGridlines>
          <c:spPr>
            <a:ln w="3175"/>
          </c:spPr>
        </c:majorGridlines>
        <c:numFmt formatCode="#,##0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38276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6021"/>
          <c:y val="0.34220861281228737"/>
          <c:w val="0.1623018013159313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0.89065</cdr:x>
      <cdr:y>0.34862</cdr:y>
    </cdr:from>
    <cdr:to>
      <cdr:x>1</cdr:x>
      <cdr:y>0.45988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86225" y="895350"/>
          <a:ext cx="501678" cy="2857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0.89065</cdr:x>
      <cdr:y>0.43763</cdr:y>
    </cdr:from>
    <cdr:to>
      <cdr:x>1</cdr:x>
      <cdr:y>0.56373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86226" y="1123951"/>
          <a:ext cx="501678" cy="32385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30D3-69E4-4E99-B177-34366ED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13349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kandicje</cp:lastModifiedBy>
  <cp:revision>84</cp:revision>
  <cp:lastPrinted>2014-03-24T11:51:00Z</cp:lastPrinted>
  <dcterms:created xsi:type="dcterms:W3CDTF">2014-03-14T12:01:00Z</dcterms:created>
  <dcterms:modified xsi:type="dcterms:W3CDTF">2014-03-26T07:22:00Z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