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FE7EA9">
            <w:pPr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9820C8" w:rsidRPr="004C20B5">
              <w:rPr>
                <w:rFonts w:ascii="Tahoma" w:hAnsi="Tahoma" w:cs="Tahoma"/>
                <w:sz w:val="16"/>
              </w:rPr>
              <w:t xml:space="preserve">          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A975F3" w:rsidRPr="00AE222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AE2222" w:rsidRPr="00AE222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4</w:t>
            </w:r>
            <w:r w:rsidR="00FE7EA9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 xml:space="preserve">th </w:t>
            </w:r>
            <w:r w:rsidR="00FE7EA9">
              <w:rPr>
                <w:rFonts w:ascii="Arial Narrow" w:hAnsi="Arial Narrow" w:cs="Tahoma"/>
                <w:color w:val="1F497D" w:themeColor="text2"/>
                <w:sz w:val="18"/>
              </w:rPr>
              <w:t xml:space="preserve">June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 </w:t>
            </w:r>
            <w:r w:rsidR="007977C1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6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E7EA9" w:rsidRDefault="00FE7EA9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June 2014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FE7EA9" w:rsidRDefault="00FE7EA9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A92EED" w:rsidRDefault="00A92EED" w:rsidP="00D84D95">
      <w:pPr>
        <w:rPr>
          <w:rFonts w:ascii="Arial Narrow" w:hAnsi="Arial Narrow" w:cs="Tahoma"/>
          <w:sz w:val="30"/>
          <w:szCs w:val="30"/>
          <w:lang w:val="sr-Latn-CS"/>
        </w:rPr>
      </w:pPr>
      <w:r>
        <w:rPr>
          <w:rFonts w:ascii="Arial Narrow" w:hAnsi="Arial Narrow" w:cs="Tahoma"/>
          <w:sz w:val="30"/>
          <w:szCs w:val="30"/>
          <w:lang w:val="sr-Latn-CS"/>
        </w:rPr>
        <w:t>In 2013, a decrease in the number of resolved criminal charges and in the number of accused and convicted adults</w:t>
      </w:r>
    </w:p>
    <w:p w:rsidR="00D84D95" w:rsidRPr="00403114" w:rsidRDefault="00D84D95" w:rsidP="00D84D95">
      <w:pPr>
        <w:jc w:val="both"/>
        <w:rPr>
          <w:rFonts w:ascii="Tahoma" w:hAnsi="Tahoma" w:cs="Tahoma"/>
          <w:sz w:val="24"/>
          <w:szCs w:val="24"/>
          <w:lang w:val="sr-Cyrl-CS"/>
        </w:rPr>
      </w:pPr>
    </w:p>
    <w:p w:rsidR="00F77161" w:rsidRDefault="00F77161" w:rsidP="00D84D9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2013, there were 11,901 criminal charges filed against adults, and this represented a decrease by 4.4% compared to the previous year. Also, a decrease by 7.0% was recorded in the number of accused adults, while the number of convicted adults decreased by 5.0%. When it comes to juvenile perpetrators of criminal offences, there were 277 resolved criminal charges in 2013, and this represented a decrease by 21.5% compared to 2012. </w:t>
      </w:r>
      <w:r w:rsidRPr="00F77161">
        <w:rPr>
          <w:rFonts w:ascii="Arial Narrow" w:hAnsi="Arial Narrow" w:cs="Tahoma"/>
          <w:sz w:val="22"/>
          <w:szCs w:val="22"/>
        </w:rPr>
        <w:t xml:space="preserve">In the same period, </w:t>
      </w:r>
      <w:r w:rsidRPr="00F77161">
        <w:rPr>
          <w:rFonts w:ascii="Arial Narrow" w:hAnsi="Arial Narrow" w:cs="Tahoma"/>
          <w:sz w:val="22"/>
          <w:szCs w:val="22"/>
          <w:lang w:val="sr-Cyrl-CS"/>
        </w:rPr>
        <w:t>67</w:t>
      </w:r>
      <w:r w:rsidRPr="00F77161">
        <w:rPr>
          <w:rFonts w:ascii="Arial Narrow" w:hAnsi="Arial Narrow" w:cs="Tahoma"/>
          <w:sz w:val="22"/>
          <w:szCs w:val="22"/>
        </w:rPr>
        <w:t xml:space="preserve"> decisions (charges) were made, thus, there was one charge</w:t>
      </w:r>
      <w:r>
        <w:rPr>
          <w:rFonts w:ascii="Arial Narrow" w:hAnsi="Arial Narrow" w:cs="Tahoma"/>
          <w:sz w:val="22"/>
          <w:szCs w:val="22"/>
        </w:rPr>
        <w:t xml:space="preserve"> more than in the previous year, while the number of imposed criminal sanctions increased by 5.9%. </w:t>
      </w:r>
    </w:p>
    <w:p w:rsidR="00F77161" w:rsidRDefault="00F77161" w:rsidP="00D84D95">
      <w:pPr>
        <w:jc w:val="both"/>
        <w:rPr>
          <w:rFonts w:ascii="Arial Narrow" w:hAnsi="Arial Narrow" w:cs="Tahoma"/>
          <w:sz w:val="22"/>
          <w:szCs w:val="22"/>
        </w:rPr>
      </w:pPr>
    </w:p>
    <w:p w:rsidR="00F77161" w:rsidRDefault="00F77161" w:rsidP="00D84D95">
      <w:pPr>
        <w:jc w:val="both"/>
        <w:rPr>
          <w:rFonts w:ascii="Arial Narrow" w:hAnsi="Arial Narrow" w:cs="Tahoma"/>
          <w:sz w:val="22"/>
          <w:szCs w:val="22"/>
        </w:rPr>
      </w:pPr>
      <w:r w:rsidRPr="00F77161">
        <w:rPr>
          <w:rFonts w:ascii="Arial Narrow" w:hAnsi="Arial Narrow" w:cs="Tahoma"/>
          <w:sz w:val="22"/>
          <w:szCs w:val="22"/>
        </w:rPr>
        <w:t xml:space="preserve">The most frequent criminal sanction </w:t>
      </w:r>
      <w:r w:rsidR="00CE6AB0">
        <w:rPr>
          <w:rFonts w:ascii="Arial Narrow" w:hAnsi="Arial Narrow" w:cs="Tahoma"/>
          <w:sz w:val="22"/>
          <w:szCs w:val="22"/>
        </w:rPr>
        <w:t xml:space="preserve">for adults </w:t>
      </w:r>
      <w:r w:rsidRPr="00F77161">
        <w:rPr>
          <w:rFonts w:ascii="Arial Narrow" w:hAnsi="Arial Narrow" w:cs="Tahoma"/>
          <w:sz w:val="22"/>
          <w:szCs w:val="22"/>
        </w:rPr>
        <w:t xml:space="preserve">was conditional sentence with the share of </w:t>
      </w:r>
      <w:r w:rsidR="00CE6AB0">
        <w:rPr>
          <w:rFonts w:ascii="Arial Narrow" w:hAnsi="Arial Narrow" w:cs="Tahoma"/>
          <w:sz w:val="22"/>
          <w:szCs w:val="22"/>
        </w:rPr>
        <w:t>54.4</w:t>
      </w:r>
      <w:r w:rsidRPr="00F77161">
        <w:rPr>
          <w:rFonts w:ascii="Arial Narrow" w:hAnsi="Arial Narrow" w:cs="Tahoma"/>
          <w:sz w:val="22"/>
          <w:szCs w:val="22"/>
        </w:rPr>
        <w:t>%, followed by fine with 2</w:t>
      </w:r>
      <w:r w:rsidRPr="00F77161">
        <w:rPr>
          <w:rFonts w:ascii="Arial Narrow" w:hAnsi="Arial Narrow" w:cs="Tahoma"/>
          <w:sz w:val="22"/>
          <w:szCs w:val="22"/>
          <w:lang w:val="sr-Cyrl-CS"/>
        </w:rPr>
        <w:t>0</w:t>
      </w:r>
      <w:r w:rsidRPr="00F77161">
        <w:rPr>
          <w:rFonts w:ascii="Arial Narrow" w:hAnsi="Arial Narrow" w:cs="Tahoma"/>
          <w:sz w:val="22"/>
          <w:szCs w:val="22"/>
        </w:rPr>
        <w:t>.</w:t>
      </w:r>
      <w:r w:rsidRPr="00F77161">
        <w:rPr>
          <w:rFonts w:ascii="Arial Narrow" w:hAnsi="Arial Narrow" w:cs="Tahoma"/>
          <w:sz w:val="22"/>
          <w:szCs w:val="22"/>
          <w:lang w:val="sr-Cyrl-CS"/>
        </w:rPr>
        <w:t>9</w:t>
      </w:r>
      <w:r w:rsidRPr="00F77161">
        <w:rPr>
          <w:rFonts w:ascii="Arial Narrow" w:hAnsi="Arial Narrow" w:cs="Tahoma"/>
          <w:sz w:val="22"/>
          <w:szCs w:val="22"/>
        </w:rPr>
        <w:t>% and imprisonment with 1</w:t>
      </w:r>
      <w:r w:rsidRPr="00F77161">
        <w:rPr>
          <w:rFonts w:ascii="Arial Narrow" w:hAnsi="Arial Narrow" w:cs="Tahoma"/>
          <w:sz w:val="22"/>
          <w:szCs w:val="22"/>
          <w:lang w:val="sr-Cyrl-CS"/>
        </w:rPr>
        <w:t>8</w:t>
      </w:r>
      <w:r w:rsidRPr="00F77161">
        <w:rPr>
          <w:rFonts w:ascii="Arial Narrow" w:hAnsi="Arial Narrow" w:cs="Tahoma"/>
          <w:sz w:val="22"/>
          <w:szCs w:val="22"/>
        </w:rPr>
        <w:t>.</w:t>
      </w:r>
      <w:r w:rsidRPr="00F77161">
        <w:rPr>
          <w:rFonts w:ascii="Arial Narrow" w:hAnsi="Arial Narrow" w:cs="Tahoma"/>
          <w:sz w:val="22"/>
          <w:szCs w:val="22"/>
          <w:lang w:val="sr-Cyrl-CS"/>
        </w:rPr>
        <w:t>4</w:t>
      </w:r>
      <w:r w:rsidRPr="00F77161">
        <w:rPr>
          <w:rFonts w:ascii="Arial Narrow" w:hAnsi="Arial Narrow" w:cs="Tahoma"/>
          <w:sz w:val="22"/>
          <w:szCs w:val="22"/>
        </w:rPr>
        <w:t>%</w:t>
      </w:r>
      <w:r w:rsidRPr="00F77161">
        <w:rPr>
          <w:rFonts w:ascii="Arial Narrow" w:hAnsi="Arial Narrow" w:cs="Tahoma"/>
          <w:sz w:val="22"/>
          <w:szCs w:val="22"/>
          <w:lang w:val="sr-Cyrl-CS"/>
        </w:rPr>
        <w:t>.</w:t>
      </w:r>
    </w:p>
    <w:p w:rsidR="00CE6AB0" w:rsidRPr="00CE6AB0" w:rsidRDefault="00CE6AB0" w:rsidP="00D84D95">
      <w:pPr>
        <w:jc w:val="both"/>
        <w:rPr>
          <w:rFonts w:ascii="Arial Narrow" w:hAnsi="Arial Narrow" w:cs="Tahoma"/>
          <w:sz w:val="22"/>
          <w:szCs w:val="22"/>
        </w:rPr>
      </w:pPr>
    </w:p>
    <w:p w:rsidR="003850AB" w:rsidRDefault="003850AB" w:rsidP="00D84D9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2013, </w:t>
      </w:r>
      <w:r w:rsidR="00902831">
        <w:rPr>
          <w:rFonts w:ascii="Arial Narrow" w:hAnsi="Arial Narrow" w:cs="Tahoma"/>
          <w:sz w:val="22"/>
          <w:szCs w:val="22"/>
        </w:rPr>
        <w:t xml:space="preserve">for juvenile perpetrators </w:t>
      </w:r>
      <w:r>
        <w:rPr>
          <w:rFonts w:ascii="Arial Narrow" w:hAnsi="Arial Narrow" w:cs="Tahoma"/>
          <w:sz w:val="22"/>
          <w:szCs w:val="22"/>
        </w:rPr>
        <w:t>only educational-correctional measures were imposed</w:t>
      </w:r>
      <w:r w:rsidR="00902831">
        <w:rPr>
          <w:rFonts w:ascii="Arial Narrow" w:hAnsi="Arial Narrow" w:cs="Tahoma"/>
          <w:sz w:val="22"/>
          <w:szCs w:val="22"/>
        </w:rPr>
        <w:t xml:space="preserve">, of which mostly warning and guidance measures 51.8% and increased supervision 44.4%. There were no juvenile imprisonment sentences. </w:t>
      </w:r>
    </w:p>
    <w:p w:rsidR="000D0581" w:rsidRDefault="000D0581" w:rsidP="00D84D95">
      <w:pPr>
        <w:jc w:val="both"/>
        <w:rPr>
          <w:rFonts w:ascii="Arial Narrow" w:hAnsi="Arial Narrow" w:cs="Tahoma"/>
          <w:sz w:val="22"/>
          <w:szCs w:val="22"/>
        </w:rPr>
      </w:pPr>
    </w:p>
    <w:p w:rsidR="000D0581" w:rsidRDefault="000D0581" w:rsidP="00D84D95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As in the previous years, the most common were criminal offences against property (theft, aggravated theft, etc.)</w:t>
      </w:r>
      <w:r w:rsidR="001436A9">
        <w:rPr>
          <w:rFonts w:ascii="Arial Narrow" w:hAnsi="Arial Narrow" w:cs="Tahoma"/>
          <w:sz w:val="22"/>
          <w:szCs w:val="22"/>
        </w:rPr>
        <w:t>,</w:t>
      </w:r>
      <w:r>
        <w:rPr>
          <w:rFonts w:ascii="Arial Narrow" w:hAnsi="Arial Narrow" w:cs="Tahoma"/>
          <w:sz w:val="22"/>
          <w:szCs w:val="22"/>
        </w:rPr>
        <w:t xml:space="preserve"> both among juvenile and adult perpetrators of crimina</w:t>
      </w:r>
      <w:r w:rsidR="00250A61">
        <w:rPr>
          <w:rFonts w:ascii="Arial Narrow" w:hAnsi="Arial Narrow" w:cs="Tahoma"/>
          <w:sz w:val="22"/>
          <w:szCs w:val="22"/>
        </w:rPr>
        <w:t>l offences</w:t>
      </w:r>
      <w:r w:rsidR="00F151C6">
        <w:rPr>
          <w:rFonts w:ascii="Arial Narrow" w:hAnsi="Arial Narrow" w:cs="Tahoma"/>
          <w:sz w:val="22"/>
          <w:szCs w:val="22"/>
        </w:rPr>
        <w:t>,</w:t>
      </w:r>
      <w:r w:rsidR="00250A61">
        <w:rPr>
          <w:rFonts w:ascii="Arial Narrow" w:hAnsi="Arial Narrow" w:cs="Tahoma"/>
          <w:sz w:val="22"/>
          <w:szCs w:val="22"/>
        </w:rPr>
        <w:t xml:space="preserve"> in all phases of criminal proceedings. </w:t>
      </w:r>
    </w:p>
    <w:p w:rsidR="00DF1E52" w:rsidRPr="00403114" w:rsidRDefault="00DF1E52" w:rsidP="00DF1E52">
      <w:pPr>
        <w:rPr>
          <w:lang w:val="sr-Cyrl-CS"/>
        </w:rPr>
      </w:pPr>
    </w:p>
    <w:p w:rsidR="002B046A" w:rsidRPr="00403114" w:rsidRDefault="00FE7EA9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816474">
        <w:rPr>
          <w:rFonts w:ascii="Arial Narrow" w:hAnsi="Arial Narrow" w:cs="Tahoma"/>
          <w:sz w:val="30"/>
          <w:szCs w:val="30"/>
        </w:rPr>
        <w:t>Average net wage in</w:t>
      </w:r>
      <w:r w:rsidRPr="00403114">
        <w:rPr>
          <w:rFonts w:ascii="Arial Narrow" w:hAnsi="Arial Narrow" w:cs="Tahoma"/>
          <w:sz w:val="30"/>
          <w:szCs w:val="30"/>
          <w:lang w:val="sr-Cyrl-BA"/>
        </w:rPr>
        <w:t xml:space="preserve"> </w:t>
      </w:r>
      <w:r>
        <w:rPr>
          <w:rFonts w:ascii="Arial Narrow" w:hAnsi="Arial Narrow" w:cs="Tahoma"/>
          <w:sz w:val="30"/>
          <w:szCs w:val="30"/>
        </w:rPr>
        <w:t>May</w:t>
      </w:r>
      <w:r w:rsidR="002B046A" w:rsidRPr="00403114">
        <w:rPr>
          <w:rFonts w:ascii="Arial Narrow" w:hAnsi="Arial Narrow" w:cs="Tahoma"/>
          <w:sz w:val="30"/>
          <w:szCs w:val="30"/>
          <w:lang w:val="bs-Latn-BA"/>
        </w:rPr>
        <w:t xml:space="preserve"> </w:t>
      </w:r>
      <w:r w:rsidR="002B046A" w:rsidRPr="00403114">
        <w:rPr>
          <w:rFonts w:ascii="Arial Narrow" w:hAnsi="Arial Narrow" w:cs="Tahoma"/>
          <w:sz w:val="30"/>
          <w:szCs w:val="30"/>
          <w:lang w:val="sr-Cyrl-CS"/>
        </w:rPr>
        <w:t>8</w:t>
      </w:r>
      <w:r w:rsidR="00ED5808" w:rsidRPr="00403114">
        <w:rPr>
          <w:rFonts w:ascii="Arial Narrow" w:hAnsi="Arial Narrow" w:cs="Tahoma"/>
          <w:sz w:val="30"/>
          <w:szCs w:val="30"/>
          <w:lang w:val="sr-Cyrl-CS"/>
        </w:rPr>
        <w:t>18</w:t>
      </w:r>
      <w:r w:rsidR="002B046A" w:rsidRPr="00403114">
        <w:rPr>
          <w:rFonts w:ascii="Arial Narrow" w:hAnsi="Arial Narrow" w:cs="Tahoma"/>
          <w:sz w:val="30"/>
          <w:szCs w:val="30"/>
          <w:lang w:val="sr-Cyrl-CS"/>
        </w:rPr>
        <w:t xml:space="preserve"> </w:t>
      </w:r>
      <w:r w:rsidR="002B046A" w:rsidRPr="00403114">
        <w:rPr>
          <w:rFonts w:ascii="Arial Narrow" w:hAnsi="Arial Narrow" w:cs="Tahoma"/>
          <w:sz w:val="30"/>
          <w:szCs w:val="30"/>
          <w:lang w:val="ru-RU"/>
        </w:rPr>
        <w:t>КМ</w:t>
      </w:r>
    </w:p>
    <w:p w:rsidR="00FE7EA9" w:rsidRPr="00816474" w:rsidRDefault="00FE7EA9" w:rsidP="00FE7EA9">
      <w:pPr>
        <w:tabs>
          <w:tab w:val="left" w:pos="4343"/>
        </w:tabs>
        <w:jc w:val="both"/>
        <w:rPr>
          <w:rFonts w:ascii="Arial Narrow" w:hAnsi="Arial Narrow" w:cs="Tahoma"/>
          <w:sz w:val="28"/>
          <w:szCs w:val="28"/>
        </w:rPr>
      </w:pPr>
      <w:r w:rsidRPr="00816474">
        <w:rPr>
          <w:rFonts w:ascii="Arial Narrow" w:hAnsi="Arial Narrow" w:cs="Tahoma"/>
          <w:sz w:val="28"/>
          <w:szCs w:val="28"/>
          <w:lang w:val="ru-RU"/>
        </w:rPr>
        <w:t xml:space="preserve">The highest average net wage was that in the section </w:t>
      </w:r>
      <w:r w:rsidRPr="00816474">
        <w:rPr>
          <w:rFonts w:ascii="Arial Narrow" w:hAnsi="Arial Narrow" w:cs="Tahoma"/>
          <w:i/>
          <w:sz w:val="28"/>
          <w:szCs w:val="28"/>
          <w:lang w:val="ru-RU"/>
        </w:rPr>
        <w:t>Financial and insurance activities</w:t>
      </w:r>
      <w:r w:rsidRPr="00816474">
        <w:rPr>
          <w:rFonts w:ascii="Arial Narrow" w:hAnsi="Arial Narrow" w:cs="Tahoma"/>
          <w:sz w:val="28"/>
          <w:szCs w:val="28"/>
          <w:lang w:val="ru-RU"/>
        </w:rPr>
        <w:t xml:space="preserve"> 1,2</w:t>
      </w:r>
      <w:r>
        <w:rPr>
          <w:rFonts w:ascii="Arial Narrow" w:hAnsi="Arial Narrow" w:cs="Tahoma"/>
          <w:sz w:val="28"/>
          <w:szCs w:val="28"/>
        </w:rPr>
        <w:t>76</w:t>
      </w:r>
      <w:r w:rsidRPr="00816474">
        <w:rPr>
          <w:rFonts w:ascii="Arial Narrow" w:hAnsi="Arial Narrow" w:cs="Tahoma"/>
          <w:sz w:val="28"/>
          <w:szCs w:val="28"/>
          <w:lang w:val="ru-RU"/>
        </w:rPr>
        <w:t xml:space="preserve"> КМ, while the lowest one was that in the section </w:t>
      </w:r>
      <w:r w:rsidRPr="00816474">
        <w:rPr>
          <w:rFonts w:ascii="Arial Narrow" w:hAnsi="Arial Narrow" w:cs="Tahoma"/>
          <w:i/>
          <w:sz w:val="28"/>
          <w:szCs w:val="28"/>
          <w:lang w:val="ru-RU"/>
        </w:rPr>
        <w:t>Administrative and support service activities</w:t>
      </w:r>
      <w:r w:rsidRPr="00816474">
        <w:rPr>
          <w:rFonts w:ascii="Arial Narrow" w:hAnsi="Arial Narrow" w:cs="Tahoma"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sz w:val="28"/>
          <w:szCs w:val="28"/>
        </w:rPr>
        <w:t>497</w:t>
      </w:r>
      <w:r w:rsidRPr="00816474">
        <w:rPr>
          <w:rFonts w:ascii="Arial Narrow" w:hAnsi="Arial Narrow" w:cs="Tahoma"/>
          <w:sz w:val="28"/>
          <w:szCs w:val="28"/>
          <w:lang w:val="ru-RU"/>
        </w:rPr>
        <w:t xml:space="preserve"> КМ</w:t>
      </w:r>
    </w:p>
    <w:p w:rsidR="00FE7EA9" w:rsidRDefault="00FE7EA9" w:rsidP="002B046A">
      <w:pPr>
        <w:tabs>
          <w:tab w:val="left" w:pos="4343"/>
        </w:tabs>
        <w:jc w:val="both"/>
        <w:rPr>
          <w:rFonts w:ascii="Arial Narrow" w:hAnsi="Arial Narrow" w:cs="Tahoma"/>
          <w:sz w:val="28"/>
          <w:szCs w:val="28"/>
        </w:rPr>
      </w:pPr>
    </w:p>
    <w:p w:rsidR="00FE7EA9" w:rsidRPr="001A5D64" w:rsidRDefault="00FE7EA9" w:rsidP="00FE7EA9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1A5D64">
        <w:rPr>
          <w:rFonts w:ascii="Arial Narrow" w:hAnsi="Arial Narrow" w:cs="Tahoma"/>
          <w:sz w:val="22"/>
          <w:lang w:val="sr-Cyrl-CS"/>
        </w:rPr>
        <w:t>Average monthly net wage of employed persons in Republika Srpska paid in May 2014 was 818 КМ, while average monthly gross wage</w:t>
      </w:r>
      <w:r w:rsidR="001A5D64" w:rsidRPr="001A5D64">
        <w:rPr>
          <w:rFonts w:ascii="Arial Narrow" w:hAnsi="Arial Narrow" w:cs="Tahoma"/>
          <w:sz w:val="22"/>
          <w:lang w:val="sr-Cyrl-CS"/>
        </w:rPr>
        <w:t xml:space="preserve"> was 1,316</w:t>
      </w:r>
      <w:r w:rsidRPr="001A5D64">
        <w:rPr>
          <w:rFonts w:ascii="Arial Narrow" w:hAnsi="Arial Narrow" w:cs="Tahoma"/>
          <w:sz w:val="22"/>
          <w:lang w:val="sr-Cyrl-CS"/>
        </w:rPr>
        <w:t xml:space="preserve"> КМ.</w:t>
      </w:r>
    </w:p>
    <w:p w:rsidR="002B046A" w:rsidRPr="00403114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B046A" w:rsidRPr="001A5D64" w:rsidRDefault="001A5D64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April 2014, average net wage paid in May 2014 was really 0.3% lower, while compared to May 2013 it was really 4.5% higher. </w:t>
      </w:r>
    </w:p>
    <w:p w:rsidR="002B046A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1A5D64" w:rsidRPr="001A5D64" w:rsidRDefault="001A5D64" w:rsidP="001A5D64">
      <w:pPr>
        <w:tabs>
          <w:tab w:val="left" w:pos="4343"/>
        </w:tabs>
        <w:jc w:val="both"/>
        <w:rPr>
          <w:rFonts w:ascii="Arial Narrow" w:hAnsi="Arial Narrow" w:cs="Tahoma"/>
          <w:sz w:val="22"/>
          <w:szCs w:val="22"/>
        </w:rPr>
      </w:pPr>
      <w:r w:rsidRPr="001A5D64">
        <w:rPr>
          <w:rFonts w:ascii="Arial Narrow" w:hAnsi="Arial Narrow" w:cs="Tahoma"/>
          <w:sz w:val="22"/>
          <w:szCs w:val="22"/>
        </w:rPr>
        <w:t xml:space="preserve">The highest average net wage paid in </w:t>
      </w:r>
      <w:r>
        <w:rPr>
          <w:rFonts w:ascii="Arial Narrow" w:hAnsi="Arial Narrow" w:cs="Tahoma"/>
          <w:sz w:val="22"/>
          <w:szCs w:val="22"/>
        </w:rPr>
        <w:t>May</w:t>
      </w:r>
      <w:r w:rsidRPr="001A5D64">
        <w:rPr>
          <w:rFonts w:ascii="Arial Narrow" w:hAnsi="Arial Narrow" w:cs="Tahoma"/>
          <w:sz w:val="22"/>
          <w:szCs w:val="22"/>
        </w:rPr>
        <w:t xml:space="preserve"> 2014, by section of activities, was paid in the section </w:t>
      </w:r>
      <w:r w:rsidRPr="001A5D64">
        <w:rPr>
          <w:rFonts w:ascii="Arial Narrow" w:hAnsi="Arial Narrow" w:cs="Tahoma"/>
          <w:i/>
          <w:sz w:val="22"/>
          <w:szCs w:val="22"/>
        </w:rPr>
        <w:t>Financial and insurance activities</w:t>
      </w:r>
      <w:r>
        <w:rPr>
          <w:rFonts w:ascii="Arial Narrow" w:hAnsi="Arial Narrow" w:cs="Tahoma"/>
          <w:sz w:val="22"/>
          <w:szCs w:val="22"/>
        </w:rPr>
        <w:t>, and it amounted to 1,276</w:t>
      </w:r>
      <w:r w:rsidRPr="001A5D64">
        <w:rPr>
          <w:rFonts w:ascii="Arial Narrow" w:hAnsi="Arial Narrow" w:cs="Tahoma"/>
          <w:sz w:val="22"/>
          <w:szCs w:val="22"/>
        </w:rPr>
        <w:t xml:space="preserve"> KM, while the lowest one was paid in the section </w:t>
      </w:r>
      <w:r w:rsidRPr="001A5D64">
        <w:rPr>
          <w:rFonts w:ascii="Arial Narrow" w:hAnsi="Arial Narrow" w:cs="Tahoma"/>
          <w:i/>
          <w:sz w:val="22"/>
          <w:szCs w:val="22"/>
        </w:rPr>
        <w:t>Administrative and support service activities</w:t>
      </w:r>
      <w:r w:rsidRPr="001A5D64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>497</w:t>
      </w:r>
      <w:r w:rsidRPr="001A5D64">
        <w:rPr>
          <w:rFonts w:ascii="Arial Narrow" w:hAnsi="Arial Narrow" w:cs="Tahoma"/>
          <w:sz w:val="22"/>
          <w:szCs w:val="22"/>
        </w:rPr>
        <w:t xml:space="preserve"> KM. </w:t>
      </w:r>
    </w:p>
    <w:p w:rsidR="001A5D64" w:rsidRPr="001A5D64" w:rsidRDefault="001A5D64" w:rsidP="001A5D64">
      <w:pPr>
        <w:tabs>
          <w:tab w:val="left" w:pos="4343"/>
        </w:tabs>
        <w:jc w:val="both"/>
        <w:rPr>
          <w:rFonts w:ascii="Arial Narrow" w:hAnsi="Arial Narrow" w:cs="Tahoma"/>
          <w:sz w:val="22"/>
          <w:szCs w:val="22"/>
        </w:rPr>
      </w:pPr>
    </w:p>
    <w:p w:rsidR="001A5D64" w:rsidRPr="001A5D64" w:rsidRDefault="001A5D64" w:rsidP="001A5D64">
      <w:pPr>
        <w:jc w:val="both"/>
        <w:rPr>
          <w:rFonts w:ascii="Arial Narrow" w:hAnsi="Arial Narrow" w:cs="Tahoma"/>
          <w:sz w:val="22"/>
          <w:szCs w:val="22"/>
        </w:rPr>
      </w:pPr>
      <w:r w:rsidRPr="001A5D64">
        <w:rPr>
          <w:rFonts w:ascii="Arial Narrow" w:hAnsi="Arial Narrow" w:cs="Tahoma"/>
          <w:sz w:val="22"/>
          <w:szCs w:val="22"/>
        </w:rPr>
        <w:t xml:space="preserve">In </w:t>
      </w:r>
      <w:r>
        <w:rPr>
          <w:rFonts w:ascii="Arial Narrow" w:hAnsi="Arial Narrow" w:cs="Tahoma"/>
          <w:sz w:val="22"/>
          <w:szCs w:val="22"/>
        </w:rPr>
        <w:t>May</w:t>
      </w:r>
      <w:r w:rsidRPr="001A5D64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April</w:t>
      </w:r>
      <w:r w:rsidRPr="001A5D64">
        <w:rPr>
          <w:rFonts w:ascii="Arial Narrow" w:hAnsi="Arial Narrow" w:cs="Tahoma"/>
          <w:sz w:val="22"/>
          <w:szCs w:val="22"/>
        </w:rPr>
        <w:t xml:space="preserve"> 2014, an increase in nominal net wages was recorded in the sections</w:t>
      </w:r>
      <w:r w:rsidRPr="001A5D64"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 xml:space="preserve">Accommodation and food service activities </w:t>
      </w:r>
      <w:r w:rsidRPr="001A5D64">
        <w:rPr>
          <w:rFonts w:ascii="Arial Narrow" w:hAnsi="Arial Narrow" w:cs="Tahoma"/>
          <w:sz w:val="22"/>
          <w:szCs w:val="22"/>
        </w:rPr>
        <w:t>3.8%,</w:t>
      </w:r>
      <w:r>
        <w:rPr>
          <w:rFonts w:ascii="Arial Narrow" w:hAnsi="Arial Narrow" w:cs="Tahoma"/>
          <w:i/>
          <w:sz w:val="22"/>
          <w:szCs w:val="22"/>
        </w:rPr>
        <w:t xml:space="preserve"> Other service activities </w:t>
      </w:r>
      <w:r w:rsidRPr="001A5D64">
        <w:rPr>
          <w:rFonts w:ascii="Arial Narrow" w:hAnsi="Arial Narrow" w:cs="Tahoma"/>
          <w:sz w:val="22"/>
          <w:szCs w:val="22"/>
        </w:rPr>
        <w:t>1.7%</w:t>
      </w:r>
      <w:r>
        <w:rPr>
          <w:rFonts w:ascii="Arial Narrow" w:hAnsi="Arial Narrow" w:cs="Tahoma"/>
          <w:i/>
          <w:sz w:val="22"/>
          <w:szCs w:val="22"/>
        </w:rPr>
        <w:t xml:space="preserve"> and Mining and quarrying </w:t>
      </w:r>
      <w:r w:rsidRPr="001A5D64">
        <w:rPr>
          <w:rFonts w:ascii="Arial Narrow" w:hAnsi="Arial Narrow" w:cs="Tahoma"/>
          <w:sz w:val="22"/>
          <w:szCs w:val="22"/>
        </w:rPr>
        <w:t>1.7%.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</w:p>
    <w:p w:rsidR="001A5D64" w:rsidRPr="001A5D64" w:rsidRDefault="001A5D64" w:rsidP="001A5D64">
      <w:pPr>
        <w:jc w:val="both"/>
        <w:rPr>
          <w:rFonts w:ascii="Arial Narrow" w:hAnsi="Arial Narrow" w:cs="Tahoma"/>
          <w:color w:val="FF0000"/>
          <w:sz w:val="22"/>
          <w:szCs w:val="22"/>
        </w:rPr>
      </w:pPr>
    </w:p>
    <w:p w:rsidR="001A5D64" w:rsidRPr="001A5D64" w:rsidRDefault="001A5D64" w:rsidP="001A5D64">
      <w:pPr>
        <w:jc w:val="both"/>
        <w:rPr>
          <w:rFonts w:ascii="Arial Narrow" w:hAnsi="Arial Narrow" w:cs="Tahoma"/>
          <w:sz w:val="22"/>
          <w:szCs w:val="22"/>
        </w:rPr>
      </w:pPr>
      <w:r w:rsidRPr="001A5D64">
        <w:rPr>
          <w:rFonts w:ascii="Arial Narrow" w:hAnsi="Arial Narrow" w:cs="Tahoma"/>
          <w:sz w:val="22"/>
          <w:szCs w:val="22"/>
        </w:rPr>
        <w:t xml:space="preserve">A decrease in nominal wages was recorded in the sections </w:t>
      </w:r>
      <w:r w:rsidRPr="001A5D64">
        <w:rPr>
          <w:rFonts w:ascii="Arial Narrow" w:hAnsi="Arial Narrow" w:cs="Tahoma"/>
          <w:i/>
          <w:sz w:val="22"/>
          <w:szCs w:val="22"/>
        </w:rPr>
        <w:t>Professional, scientific and technical activities</w:t>
      </w:r>
      <w:r>
        <w:rPr>
          <w:rFonts w:ascii="Arial Narrow" w:hAnsi="Arial Narrow" w:cs="Tahoma"/>
          <w:sz w:val="22"/>
          <w:szCs w:val="22"/>
        </w:rPr>
        <w:t xml:space="preserve"> 7</w:t>
      </w:r>
      <w:r w:rsidRPr="001A5D64">
        <w:rPr>
          <w:rFonts w:ascii="Arial Narrow" w:hAnsi="Arial Narrow" w:cs="Tahoma"/>
          <w:sz w:val="22"/>
          <w:szCs w:val="22"/>
        </w:rPr>
        <w:t xml:space="preserve">.0%, </w:t>
      </w:r>
      <w:r w:rsidRPr="001A5D64">
        <w:rPr>
          <w:rFonts w:ascii="Arial Narrow" w:hAnsi="Arial Narrow" w:cs="Tahoma"/>
          <w:i/>
          <w:sz w:val="22"/>
          <w:szCs w:val="22"/>
        </w:rPr>
        <w:t>Art, entertainment and</w:t>
      </w:r>
      <w:r w:rsidRPr="00816474">
        <w:rPr>
          <w:rFonts w:ascii="Arial Narrow" w:hAnsi="Arial Narrow" w:cs="Tahoma"/>
          <w:i/>
        </w:rPr>
        <w:t xml:space="preserve"> </w:t>
      </w:r>
      <w:r w:rsidRPr="001A5D64">
        <w:rPr>
          <w:rFonts w:ascii="Arial Narrow" w:hAnsi="Arial Narrow" w:cs="Tahoma"/>
          <w:i/>
          <w:sz w:val="22"/>
          <w:szCs w:val="22"/>
        </w:rPr>
        <w:t>recreation</w:t>
      </w:r>
      <w:r w:rsidRPr="00816474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sz w:val="22"/>
          <w:szCs w:val="22"/>
        </w:rPr>
        <w:t>5.8</w:t>
      </w:r>
      <w:r w:rsidRPr="001A5D64">
        <w:rPr>
          <w:rFonts w:ascii="Arial Narrow" w:hAnsi="Arial Narrow" w:cs="Tahoma"/>
          <w:sz w:val="22"/>
          <w:szCs w:val="22"/>
        </w:rPr>
        <w:t xml:space="preserve">% and </w:t>
      </w:r>
      <w:r w:rsidRPr="001A5D64">
        <w:rPr>
          <w:rFonts w:ascii="Arial Narrow" w:hAnsi="Arial Narrow" w:cs="Tahoma"/>
          <w:i/>
          <w:sz w:val="22"/>
          <w:szCs w:val="22"/>
        </w:rPr>
        <w:t>Administrative and support service activities</w:t>
      </w:r>
      <w:r>
        <w:rPr>
          <w:rFonts w:ascii="Arial Narrow" w:hAnsi="Arial Narrow" w:cs="Tahoma"/>
          <w:sz w:val="22"/>
          <w:szCs w:val="22"/>
        </w:rPr>
        <w:t xml:space="preserve"> 1.5</w:t>
      </w:r>
      <w:r w:rsidRPr="001A5D64">
        <w:rPr>
          <w:rFonts w:ascii="Arial Narrow" w:hAnsi="Arial Narrow" w:cs="Tahoma"/>
          <w:sz w:val="22"/>
          <w:szCs w:val="22"/>
        </w:rPr>
        <w:t xml:space="preserve">%. </w:t>
      </w:r>
    </w:p>
    <w:p w:rsidR="001A5D64" w:rsidRPr="00403114" w:rsidRDefault="001A5D64" w:rsidP="002B046A">
      <w:pPr>
        <w:tabs>
          <w:tab w:val="left" w:pos="4343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2B046A" w:rsidRPr="001A5D64" w:rsidRDefault="002B046A" w:rsidP="002B046A">
      <w:pPr>
        <w:jc w:val="both"/>
        <w:rPr>
          <w:rFonts w:ascii="Arial Narrow" w:hAnsi="Arial Narrow" w:cs="Tahoma"/>
          <w:sz w:val="22"/>
        </w:rPr>
      </w:pPr>
    </w:p>
    <w:p w:rsidR="00037786" w:rsidRPr="001A5D64" w:rsidRDefault="00037786" w:rsidP="00ED4323">
      <w:pPr>
        <w:jc w:val="both"/>
        <w:rPr>
          <w:rFonts w:ascii="Tahoma" w:hAnsi="Tahoma" w:cs="Tahoma"/>
        </w:rPr>
      </w:pPr>
    </w:p>
    <w:p w:rsidR="00BE051D" w:rsidRPr="00403114" w:rsidRDefault="00037786" w:rsidP="00037786">
      <w:pPr>
        <w:jc w:val="both"/>
        <w:rPr>
          <w:rFonts w:ascii="Tahoma" w:hAnsi="Tahoma" w:cs="Tahoma"/>
          <w:sz w:val="14"/>
          <w:lang w:val="sr-Cyrl-CS"/>
        </w:rPr>
      </w:pPr>
      <w:r w:rsidRPr="00403114">
        <w:rPr>
          <w:rFonts w:ascii="Tahoma" w:hAnsi="Tahoma" w:cs="Tahoma"/>
          <w:i/>
          <w:sz w:val="14"/>
          <w:lang w:val="sr-Cyrl-CS"/>
        </w:rPr>
        <w:t xml:space="preserve"> </w:t>
      </w:r>
      <w:r w:rsidRPr="00403114">
        <w:rPr>
          <w:rFonts w:ascii="Tahoma" w:hAnsi="Tahoma" w:cs="Tahoma"/>
          <w:sz w:val="14"/>
          <w:lang w:val="sr-Cyrl-CS"/>
        </w:rPr>
        <w:t xml:space="preserve">       </w:t>
      </w:r>
      <w:r w:rsidRPr="00403114">
        <w:rPr>
          <w:rFonts w:ascii="Tahoma" w:hAnsi="Tahoma" w:cs="Tahoma"/>
          <w:sz w:val="14"/>
          <w:lang w:val="sr-Latn-CS"/>
        </w:rPr>
        <w:t xml:space="preserve"> </w:t>
      </w:r>
      <w:r w:rsidR="003D38C1" w:rsidRPr="00403114">
        <w:rPr>
          <w:rFonts w:ascii="Tahoma" w:hAnsi="Tahoma" w:cs="Tahoma"/>
          <w:sz w:val="14"/>
          <w:lang w:val="sr-Latn-CS"/>
        </w:rPr>
        <w:tab/>
      </w:r>
      <w:r w:rsidR="003D38C1" w:rsidRPr="00403114">
        <w:rPr>
          <w:rFonts w:ascii="Tahoma" w:hAnsi="Tahoma" w:cs="Tahoma"/>
          <w:sz w:val="14"/>
          <w:lang w:val="sr-Latn-CS"/>
        </w:rPr>
        <w:tab/>
        <w:t xml:space="preserve"> </w:t>
      </w:r>
      <w:r w:rsidR="000E4DB9" w:rsidRPr="00403114">
        <w:rPr>
          <w:rFonts w:ascii="Tahoma" w:hAnsi="Tahoma" w:cs="Tahoma"/>
          <w:sz w:val="14"/>
          <w:lang w:val="sr-Latn-CS"/>
        </w:rPr>
        <w:t xml:space="preserve"> </w:t>
      </w: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Pr="00403114" w:rsidRDefault="00BE051D" w:rsidP="00037786">
      <w:pPr>
        <w:jc w:val="both"/>
        <w:rPr>
          <w:rFonts w:ascii="Tahoma" w:hAnsi="Tahoma" w:cs="Tahoma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Pr="001A5D64" w:rsidRDefault="00BE051D" w:rsidP="00037786">
      <w:pPr>
        <w:jc w:val="both"/>
        <w:rPr>
          <w:rFonts w:ascii="Tahoma" w:hAnsi="Tahoma" w:cs="Tahoma"/>
          <w:color w:val="FF0000"/>
          <w:sz w:val="14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BE051D" w:rsidRDefault="00BE051D" w:rsidP="00037786">
      <w:pPr>
        <w:jc w:val="both"/>
        <w:rPr>
          <w:rFonts w:ascii="Tahoma" w:hAnsi="Tahoma" w:cs="Tahoma"/>
          <w:color w:val="FF0000"/>
          <w:sz w:val="14"/>
          <w:lang w:val="sr-Cyrl-CS"/>
        </w:rPr>
      </w:pPr>
    </w:p>
    <w:p w:rsidR="00037786" w:rsidRPr="00403114" w:rsidRDefault="003D38C1" w:rsidP="00BE051D">
      <w:pPr>
        <w:ind w:left="1440"/>
        <w:jc w:val="both"/>
        <w:rPr>
          <w:rFonts w:ascii="Arial Narrow" w:hAnsi="Arial Narrow" w:cs="Tahoma"/>
          <w:sz w:val="14"/>
        </w:rPr>
      </w:pPr>
      <w:r w:rsidRPr="00403114">
        <w:rPr>
          <w:rFonts w:ascii="Tahoma" w:hAnsi="Tahoma" w:cs="Tahoma"/>
          <w:sz w:val="14"/>
          <w:lang w:val="sr-Latn-CS"/>
        </w:rPr>
        <w:t xml:space="preserve"> </w:t>
      </w:r>
      <w:r w:rsidR="008809BE" w:rsidRPr="00403114">
        <w:rPr>
          <w:rFonts w:ascii="Tahoma" w:hAnsi="Tahoma" w:cs="Tahoma"/>
          <w:sz w:val="14"/>
        </w:rPr>
        <w:t xml:space="preserve">  </w:t>
      </w:r>
      <w:r w:rsidR="00E144F4" w:rsidRPr="00403114">
        <w:rPr>
          <w:rFonts w:ascii="Tahoma" w:hAnsi="Tahoma" w:cs="Tahoma"/>
          <w:sz w:val="14"/>
        </w:rPr>
        <w:t xml:space="preserve"> </w:t>
      </w:r>
      <w:r w:rsidR="00037786" w:rsidRPr="00403114">
        <w:rPr>
          <w:rFonts w:ascii="Arial Narrow" w:hAnsi="Arial Narrow" w:cs="Tahoma"/>
          <w:sz w:val="16"/>
          <w:lang w:val="sr-Cyrl-CS"/>
        </w:rPr>
        <w:t>км</w:t>
      </w:r>
    </w:p>
    <w:p w:rsidR="00037786" w:rsidRPr="00040BF1" w:rsidRDefault="00040BF1" w:rsidP="00037786">
      <w:pPr>
        <w:jc w:val="center"/>
        <w:rPr>
          <w:rFonts w:ascii="Tahoma" w:hAnsi="Tahoma" w:cs="Tahoma"/>
          <w:color w:val="FF0000"/>
        </w:rPr>
      </w:pPr>
      <w:r w:rsidRPr="00040BF1">
        <w:rPr>
          <w:rFonts w:ascii="Tahoma" w:hAnsi="Tahoma" w:cs="Tahoma"/>
          <w:noProof/>
          <w:color w:val="FF0000"/>
          <w:szCs w:val="18"/>
        </w:rPr>
        <w:drawing>
          <wp:inline distT="0" distB="0" distL="0" distR="0">
            <wp:extent cx="4572000" cy="27432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040BF1">
        <w:rPr>
          <w:rFonts w:ascii="Tahoma" w:hAnsi="Tahoma" w:cs="Tahoma"/>
          <w:color w:val="FF0000"/>
          <w:szCs w:val="18"/>
        </w:rPr>
        <w:t xml:space="preserve"> </w:t>
      </w:r>
      <w:r w:rsidR="00E144F4" w:rsidRPr="00040BF1">
        <w:rPr>
          <w:rFonts w:ascii="Tahoma" w:hAnsi="Tahoma" w:cs="Tahoma"/>
          <w:noProof/>
          <w:color w:val="FF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949656</wp:posOffset>
            </wp:positionH>
            <wp:positionV relativeFrom="paragraph">
              <wp:posOffset>2053590</wp:posOffset>
            </wp:positionV>
            <wp:extent cx="4505242" cy="461175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820" w:rsidRPr="00040BF1">
        <w:rPr>
          <w:rFonts w:ascii="Tahoma" w:hAnsi="Tahoma" w:cs="Tahoma"/>
          <w:color w:val="FF0000"/>
          <w:szCs w:val="18"/>
        </w:rPr>
        <w:t xml:space="preserve"> </w:t>
      </w:r>
      <w:r w:rsidR="00673D83" w:rsidRPr="00040BF1">
        <w:rPr>
          <w:rFonts w:ascii="Tahoma" w:hAnsi="Tahoma" w:cs="Tahoma"/>
          <w:color w:val="FF0000"/>
          <w:szCs w:val="18"/>
        </w:rPr>
        <w:t xml:space="preserve"> </w:t>
      </w:r>
    </w:p>
    <w:p w:rsidR="00037786" w:rsidRPr="00040BF1" w:rsidRDefault="00037786" w:rsidP="00037786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037786" w:rsidRPr="009D10C9" w:rsidRDefault="009D10C9" w:rsidP="00037786">
      <w:pPr>
        <w:jc w:val="center"/>
        <w:outlineLvl w:val="0"/>
        <w:rPr>
          <w:rFonts w:ascii="Arial Narrow" w:hAnsi="Arial Narrow" w:cs="Tahoma"/>
          <w:sz w:val="16"/>
        </w:rPr>
      </w:pPr>
      <w:r>
        <w:rPr>
          <w:rFonts w:ascii="Arial Narrow" w:hAnsi="Arial Narrow" w:cs="Tahoma"/>
          <w:sz w:val="16"/>
        </w:rPr>
        <w:t>Graph</w:t>
      </w:r>
      <w:r w:rsidR="00037786" w:rsidRPr="00403114">
        <w:rPr>
          <w:rFonts w:ascii="Arial Narrow" w:hAnsi="Arial Narrow" w:cs="Tahoma"/>
          <w:sz w:val="16"/>
          <w:lang w:val="sr-Cyrl-BA"/>
        </w:rPr>
        <w:t xml:space="preserve"> </w:t>
      </w:r>
      <w:r w:rsidR="00BE051D" w:rsidRPr="00403114">
        <w:rPr>
          <w:rFonts w:ascii="Arial Narrow" w:hAnsi="Arial Narrow" w:cs="Tahoma"/>
          <w:sz w:val="16"/>
          <w:lang w:val="sr-Cyrl-CS"/>
        </w:rPr>
        <w:t>1</w:t>
      </w:r>
      <w:r w:rsidR="00D05B8A" w:rsidRPr="00403114">
        <w:rPr>
          <w:rFonts w:ascii="Arial Narrow" w:hAnsi="Arial Narrow" w:cs="Tahoma"/>
          <w:sz w:val="16"/>
          <w:lang w:val="sr-Cyrl-CS"/>
        </w:rPr>
        <w:t>.</w:t>
      </w:r>
      <w:r w:rsidR="00037786" w:rsidRPr="00403114">
        <w:rPr>
          <w:rFonts w:ascii="Arial Narrow" w:hAnsi="Arial Narrow" w:cs="Tahoma"/>
          <w:sz w:val="16"/>
          <w:lang w:val="sr-Cyrl-BA"/>
        </w:rPr>
        <w:t xml:space="preserve"> </w:t>
      </w:r>
      <w:r>
        <w:rPr>
          <w:rFonts w:ascii="Arial Narrow" w:hAnsi="Arial Narrow" w:cs="Tahoma"/>
          <w:sz w:val="16"/>
        </w:rPr>
        <w:t>Average net wages of employees by month</w:t>
      </w:r>
    </w:p>
    <w:p w:rsidR="00BE051D" w:rsidRDefault="00BE051D">
      <w:pPr>
        <w:rPr>
          <w:rFonts w:ascii="Tahoma" w:hAnsi="Tahoma" w:cs="Tahoma"/>
          <w:lang w:val="sr-Cyrl-BA"/>
        </w:rPr>
      </w:pPr>
    </w:p>
    <w:p w:rsidR="00BE051D" w:rsidRDefault="00BE051D" w:rsidP="0076554B">
      <w:pPr>
        <w:rPr>
          <w:rFonts w:ascii="Arial Narrow" w:hAnsi="Arial Narrow" w:cs="Tahoma"/>
          <w:b/>
          <w:color w:val="FF0000"/>
          <w:sz w:val="30"/>
          <w:szCs w:val="30"/>
          <w:lang w:val="sr-Cyrl-BA"/>
        </w:rPr>
      </w:pPr>
    </w:p>
    <w:p w:rsidR="0076554B" w:rsidRPr="008F12CE" w:rsidRDefault="008F12CE" w:rsidP="0076554B">
      <w:pPr>
        <w:rPr>
          <w:rFonts w:ascii="Arial Narrow" w:hAnsi="Arial Narrow" w:cs="Tahoma"/>
          <w:sz w:val="30"/>
          <w:szCs w:val="30"/>
        </w:rPr>
      </w:pPr>
      <w:r>
        <w:rPr>
          <w:rFonts w:ascii="Arial Narrow" w:hAnsi="Arial Narrow" w:cs="Tahoma"/>
          <w:sz w:val="30"/>
          <w:szCs w:val="30"/>
        </w:rPr>
        <w:t>Monthly inflation</w:t>
      </w:r>
      <w:r>
        <w:rPr>
          <w:rFonts w:ascii="Arial Narrow" w:hAnsi="Arial Narrow" w:cs="Tahoma"/>
          <w:sz w:val="30"/>
          <w:szCs w:val="30"/>
          <w:lang w:val="sr-Cyrl-BA"/>
        </w:rPr>
        <w:t xml:space="preserve"> -0</w:t>
      </w:r>
      <w:r>
        <w:rPr>
          <w:rFonts w:ascii="Arial Narrow" w:hAnsi="Arial Narrow" w:cs="Tahoma"/>
          <w:sz w:val="30"/>
          <w:szCs w:val="30"/>
        </w:rPr>
        <w:t>.</w:t>
      </w:r>
      <w:r w:rsidR="0076554B" w:rsidRPr="00403114">
        <w:rPr>
          <w:rFonts w:ascii="Arial Narrow" w:hAnsi="Arial Narrow" w:cs="Tahoma"/>
          <w:sz w:val="30"/>
          <w:szCs w:val="30"/>
          <w:lang w:val="sr-Cyrl-BA"/>
        </w:rPr>
        <w:t>1%</w:t>
      </w:r>
      <w:r>
        <w:rPr>
          <w:rFonts w:ascii="Arial Narrow" w:hAnsi="Arial Narrow" w:cs="Tahoma"/>
          <w:sz w:val="30"/>
          <w:szCs w:val="30"/>
        </w:rPr>
        <w:t xml:space="preserve"> in May 2014</w:t>
      </w:r>
    </w:p>
    <w:p w:rsidR="0076554B" w:rsidRPr="00403114" w:rsidRDefault="008F12CE" w:rsidP="0076554B">
      <w:pPr>
        <w:rPr>
          <w:rFonts w:ascii="Arial Narrow" w:hAnsi="Arial Narrow" w:cs="Tahoma"/>
          <w:sz w:val="30"/>
          <w:szCs w:val="30"/>
          <w:lang w:val="sr-Cyrl-BA"/>
        </w:rPr>
      </w:pPr>
      <w:r>
        <w:rPr>
          <w:rFonts w:ascii="Arial Narrow" w:hAnsi="Arial Narrow" w:cs="Tahoma"/>
          <w:sz w:val="30"/>
          <w:szCs w:val="30"/>
        </w:rPr>
        <w:t>Annual inflation</w:t>
      </w:r>
      <w:r w:rsidR="0076554B" w:rsidRPr="00403114">
        <w:rPr>
          <w:rFonts w:ascii="Arial Narrow" w:hAnsi="Arial Narrow" w:cs="Tahoma"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sz w:val="30"/>
          <w:szCs w:val="30"/>
          <w:lang w:val="sr-Latn-CS"/>
        </w:rPr>
        <w:t>May</w:t>
      </w:r>
      <w:r w:rsidR="0076554B" w:rsidRPr="00403114">
        <w:rPr>
          <w:rFonts w:ascii="Arial Narrow" w:hAnsi="Arial Narrow" w:cs="Tahoma"/>
          <w:sz w:val="30"/>
          <w:szCs w:val="30"/>
          <w:lang w:val="sr-Cyrl-BA"/>
        </w:rPr>
        <w:t xml:space="preserve"> 2014/</w:t>
      </w:r>
      <w:r>
        <w:rPr>
          <w:rFonts w:ascii="Arial Narrow" w:hAnsi="Arial Narrow" w:cs="Tahoma"/>
          <w:sz w:val="30"/>
          <w:szCs w:val="30"/>
          <w:lang w:val="sr-Latn-CS"/>
        </w:rPr>
        <w:t xml:space="preserve"> May</w:t>
      </w:r>
      <w:r w:rsidR="0076554B" w:rsidRPr="00403114">
        <w:rPr>
          <w:rFonts w:ascii="Arial Narrow" w:hAnsi="Arial Narrow" w:cs="Tahoma"/>
          <w:sz w:val="30"/>
          <w:szCs w:val="30"/>
          <w:lang w:val="sr-Cyrl-BA"/>
        </w:rPr>
        <w:t xml:space="preserve"> 2013</w:t>
      </w:r>
      <w:r>
        <w:rPr>
          <w:rFonts w:ascii="Arial Narrow" w:hAnsi="Arial Narrow" w:cs="Tahoma"/>
          <w:sz w:val="30"/>
          <w:szCs w:val="30"/>
          <w:lang w:val="sr-Cyrl-BA"/>
        </w:rPr>
        <w:t>) -1</w:t>
      </w:r>
      <w:r>
        <w:rPr>
          <w:rFonts w:ascii="Arial Narrow" w:hAnsi="Arial Narrow" w:cs="Tahoma"/>
          <w:sz w:val="30"/>
          <w:szCs w:val="30"/>
        </w:rPr>
        <w:t>.</w:t>
      </w:r>
      <w:r w:rsidR="0076554B" w:rsidRPr="00403114">
        <w:rPr>
          <w:rFonts w:ascii="Arial Narrow" w:hAnsi="Arial Narrow" w:cs="Tahoma"/>
          <w:sz w:val="30"/>
          <w:szCs w:val="30"/>
          <w:lang w:val="sr-Cyrl-BA"/>
        </w:rPr>
        <w:t>7%</w:t>
      </w:r>
    </w:p>
    <w:p w:rsidR="005447EC" w:rsidRPr="00403114" w:rsidRDefault="005447EC" w:rsidP="0076554B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</w:p>
    <w:p w:rsidR="00ED0831" w:rsidRPr="00656F43" w:rsidRDefault="00ED0831" w:rsidP="0076554B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656F43">
        <w:rPr>
          <w:rFonts w:ascii="Arial Narrow" w:hAnsi="Arial Narrow" w:cs="Tahoma"/>
          <w:sz w:val="22"/>
          <w:szCs w:val="22"/>
        </w:rPr>
        <w:t xml:space="preserve">Prices of products and services for personal consumption in Republika Srpska, measured with the consumer price index, in May 2014 were on the average 0.1% lower compared to April 2014. An increase was recorded in </w:t>
      </w:r>
      <w:r w:rsidR="00C1244F" w:rsidRPr="00656F43">
        <w:rPr>
          <w:rFonts w:ascii="Arial Narrow" w:hAnsi="Arial Narrow" w:cs="Tahoma"/>
          <w:sz w:val="22"/>
          <w:szCs w:val="22"/>
        </w:rPr>
        <w:t>three</w:t>
      </w:r>
      <w:r w:rsidRPr="00656F43">
        <w:rPr>
          <w:rFonts w:ascii="Arial Narrow" w:hAnsi="Arial Narrow" w:cs="Tahoma"/>
          <w:sz w:val="22"/>
          <w:szCs w:val="22"/>
        </w:rPr>
        <w:t xml:space="preserve"> out of 12 divisions. An increase in prices was recorded in the sections </w:t>
      </w:r>
      <w:r w:rsidRPr="00656F43">
        <w:rPr>
          <w:rFonts w:ascii="Arial Narrow" w:hAnsi="Arial Narrow" w:cs="Tahoma"/>
          <w:i/>
          <w:sz w:val="22"/>
          <w:szCs w:val="22"/>
        </w:rPr>
        <w:t>Housing</w:t>
      </w:r>
      <w:r w:rsidRPr="00656F43">
        <w:rPr>
          <w:rFonts w:ascii="Arial Narrow" w:hAnsi="Arial Narrow" w:cs="Tahoma"/>
          <w:sz w:val="22"/>
          <w:szCs w:val="22"/>
        </w:rPr>
        <w:t xml:space="preserve"> 0.3%, </w:t>
      </w:r>
      <w:r w:rsidRPr="00656F43">
        <w:rPr>
          <w:rFonts w:ascii="Arial Narrow" w:hAnsi="Arial Narrow" w:cs="Tahoma"/>
          <w:i/>
          <w:sz w:val="22"/>
          <w:szCs w:val="22"/>
        </w:rPr>
        <w:t>Health care</w:t>
      </w:r>
      <w:r w:rsidRPr="00656F43">
        <w:rPr>
          <w:rFonts w:ascii="Arial Narrow" w:hAnsi="Arial Narrow" w:cs="Tahoma"/>
          <w:sz w:val="22"/>
          <w:szCs w:val="22"/>
        </w:rPr>
        <w:t xml:space="preserve"> 0.2% and </w:t>
      </w:r>
      <w:r w:rsidRPr="00656F43">
        <w:rPr>
          <w:rFonts w:ascii="Arial Narrow" w:hAnsi="Arial Narrow" w:cs="Tahoma"/>
          <w:i/>
          <w:sz w:val="22"/>
          <w:szCs w:val="22"/>
        </w:rPr>
        <w:t>Other goods and services</w:t>
      </w:r>
      <w:r w:rsidRPr="00656F43">
        <w:rPr>
          <w:rFonts w:ascii="Arial Narrow" w:hAnsi="Arial Narrow" w:cs="Tahoma"/>
          <w:sz w:val="22"/>
          <w:szCs w:val="22"/>
        </w:rPr>
        <w:t xml:space="preserve"> 0.1%. </w:t>
      </w:r>
    </w:p>
    <w:p w:rsidR="00ED0831" w:rsidRPr="00656F43" w:rsidRDefault="00C1244F" w:rsidP="0076554B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656F43">
        <w:rPr>
          <w:rFonts w:ascii="Arial Narrow" w:hAnsi="Arial Narrow" w:cs="Tahoma"/>
          <w:sz w:val="22"/>
          <w:szCs w:val="22"/>
        </w:rPr>
        <w:t xml:space="preserve">Lower prices were recorded in five out of 12 divisions. The highest decrease in consumer prices in May was that in the division </w:t>
      </w:r>
      <w:r w:rsidRPr="00656F43">
        <w:rPr>
          <w:rFonts w:ascii="Arial Narrow" w:hAnsi="Arial Narrow" w:cs="Tahoma"/>
          <w:i/>
          <w:sz w:val="22"/>
          <w:szCs w:val="22"/>
        </w:rPr>
        <w:t>Clothing and footwear</w:t>
      </w:r>
      <w:r w:rsidRPr="00656F43">
        <w:rPr>
          <w:rFonts w:ascii="Arial Narrow" w:hAnsi="Arial Narrow" w:cs="Tahoma"/>
          <w:sz w:val="22"/>
          <w:szCs w:val="22"/>
        </w:rPr>
        <w:t xml:space="preserve"> (0.6%) and it occurred due to numerous seasonal sales. </w:t>
      </w:r>
    </w:p>
    <w:p w:rsidR="00656F43" w:rsidRPr="00656F43" w:rsidRDefault="00656F43" w:rsidP="0076554B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656F43">
        <w:rPr>
          <w:rFonts w:ascii="Arial Narrow" w:hAnsi="Arial Narrow" w:cs="Tahoma"/>
          <w:sz w:val="22"/>
          <w:szCs w:val="22"/>
        </w:rPr>
        <w:t xml:space="preserve">A decrease in prices by 0.4% recorded in the division </w:t>
      </w:r>
      <w:r w:rsidRPr="00656F43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656F43">
        <w:rPr>
          <w:rFonts w:ascii="Arial Narrow" w:hAnsi="Arial Narrow" w:cs="Tahoma"/>
          <w:sz w:val="22"/>
          <w:szCs w:val="22"/>
        </w:rPr>
        <w:t xml:space="preserve"> occurred due to lower (discounted) prices of pasta (8.7%), biscuits (1.9%), various cured meat products, milk and dairy products </w:t>
      </w:r>
      <w:r>
        <w:rPr>
          <w:rFonts w:ascii="Arial Narrow" w:hAnsi="Arial Narrow" w:cs="Tahoma"/>
          <w:sz w:val="22"/>
          <w:szCs w:val="22"/>
        </w:rPr>
        <w:t xml:space="preserve">(0.6%), oil and other fats (0.8%). Prices of fruits in May increased by 2.3%; due to the offer of new seasonal crops and as a result of a higher purchase price of lemon (on the average by 20%). On the other hand, prices of vegetables decreased by 4.3% as a result of seasonal crops on offer. </w:t>
      </w:r>
    </w:p>
    <w:p w:rsidR="005447EC" w:rsidRPr="00656F43" w:rsidRDefault="00656F43" w:rsidP="0076554B">
      <w:pPr>
        <w:jc w:val="both"/>
        <w:rPr>
          <w:rFonts w:ascii="Arial Narrow" w:hAnsi="Arial Narrow" w:cs="Tahoma"/>
          <w:sz w:val="22"/>
          <w:szCs w:val="22"/>
        </w:rPr>
      </w:pPr>
      <w:r w:rsidRPr="00656F43">
        <w:rPr>
          <w:rFonts w:ascii="Arial Narrow" w:hAnsi="Arial Narrow" w:cs="Tahoma"/>
          <w:sz w:val="22"/>
          <w:szCs w:val="22"/>
        </w:rPr>
        <w:t xml:space="preserve">In the divisions </w:t>
      </w:r>
      <w:r w:rsidRPr="00656F43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656F43">
        <w:rPr>
          <w:rFonts w:ascii="Arial Narrow" w:hAnsi="Arial Narrow" w:cs="Tahoma"/>
          <w:sz w:val="22"/>
          <w:szCs w:val="22"/>
        </w:rPr>
        <w:t xml:space="preserve"> and </w:t>
      </w:r>
      <w:r w:rsidRPr="00656F43">
        <w:rPr>
          <w:rFonts w:ascii="Arial Narrow" w:hAnsi="Arial Narrow" w:cs="Tahoma"/>
          <w:i/>
          <w:sz w:val="22"/>
          <w:szCs w:val="22"/>
        </w:rPr>
        <w:t>Recreation and culture</w:t>
      </w:r>
      <w:r w:rsidRPr="00656F43">
        <w:rPr>
          <w:rFonts w:ascii="Arial Narrow" w:hAnsi="Arial Narrow" w:cs="Tahoma"/>
          <w:sz w:val="22"/>
          <w:szCs w:val="22"/>
        </w:rPr>
        <w:t xml:space="preserve"> a decrease by 0.2% was recorded, while the index of the division </w:t>
      </w:r>
      <w:r w:rsidRPr="00656F43">
        <w:rPr>
          <w:rFonts w:ascii="Arial Narrow" w:hAnsi="Arial Narrow" w:cs="Tahoma"/>
          <w:i/>
          <w:sz w:val="22"/>
          <w:szCs w:val="22"/>
        </w:rPr>
        <w:t>Transport</w:t>
      </w:r>
      <w:r w:rsidRPr="00656F43">
        <w:rPr>
          <w:rFonts w:ascii="Arial Narrow" w:hAnsi="Arial Narrow" w:cs="Tahoma"/>
          <w:sz w:val="22"/>
          <w:szCs w:val="22"/>
        </w:rPr>
        <w:t xml:space="preserve"> decreased by 0.1%. </w:t>
      </w:r>
    </w:p>
    <w:p w:rsidR="00656F43" w:rsidRPr="00656F43" w:rsidRDefault="00656F43" w:rsidP="0076554B">
      <w:pPr>
        <w:spacing w:after="120"/>
        <w:jc w:val="both"/>
        <w:rPr>
          <w:rFonts w:ascii="Arial Narrow" w:hAnsi="Arial Narrow" w:cs="Tahoma"/>
          <w:sz w:val="22"/>
          <w:szCs w:val="22"/>
        </w:rPr>
      </w:pPr>
    </w:p>
    <w:p w:rsidR="00656F43" w:rsidRPr="00656F43" w:rsidRDefault="00656F43" w:rsidP="00656F4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656F43">
        <w:rPr>
          <w:rFonts w:ascii="Arial Narrow" w:hAnsi="Arial Narrow" w:cs="Tahoma"/>
          <w:sz w:val="22"/>
          <w:szCs w:val="22"/>
        </w:rPr>
        <w:t xml:space="preserve">In the divisions </w:t>
      </w:r>
      <w:r w:rsidRPr="00656F43">
        <w:rPr>
          <w:rFonts w:ascii="Arial Narrow" w:hAnsi="Arial Narrow" w:cs="Tahoma"/>
          <w:i/>
          <w:sz w:val="22"/>
          <w:szCs w:val="22"/>
        </w:rPr>
        <w:t>Furnishing and other equipment</w:t>
      </w:r>
      <w:r w:rsidRPr="00656F43">
        <w:rPr>
          <w:rFonts w:ascii="Arial Narrow" w:hAnsi="Arial Narrow" w:cs="Tahoma"/>
          <w:sz w:val="22"/>
          <w:szCs w:val="22"/>
        </w:rPr>
        <w:t xml:space="preserve">, </w:t>
      </w:r>
      <w:r w:rsidRPr="00656F43">
        <w:rPr>
          <w:rFonts w:ascii="Arial Narrow" w:hAnsi="Arial Narrow" w:cs="Tahoma"/>
          <w:i/>
          <w:sz w:val="22"/>
          <w:szCs w:val="22"/>
        </w:rPr>
        <w:t>Communications</w:t>
      </w:r>
      <w:r w:rsidRPr="00656F43">
        <w:rPr>
          <w:rFonts w:ascii="Arial Narrow" w:hAnsi="Arial Narrow" w:cs="Tahoma"/>
          <w:sz w:val="22"/>
          <w:szCs w:val="22"/>
        </w:rPr>
        <w:t xml:space="preserve">, </w:t>
      </w:r>
      <w:r w:rsidRPr="00656F43">
        <w:rPr>
          <w:rFonts w:ascii="Arial Narrow" w:hAnsi="Arial Narrow" w:cs="Tahoma"/>
          <w:i/>
          <w:sz w:val="22"/>
          <w:szCs w:val="22"/>
        </w:rPr>
        <w:t>Education</w:t>
      </w:r>
      <w:r w:rsidRPr="00656F43">
        <w:rPr>
          <w:rFonts w:ascii="Arial Narrow" w:hAnsi="Arial Narrow" w:cs="Tahoma"/>
          <w:sz w:val="22"/>
          <w:szCs w:val="22"/>
        </w:rPr>
        <w:t xml:space="preserve">, and </w:t>
      </w:r>
      <w:r w:rsidRPr="00656F43">
        <w:rPr>
          <w:rFonts w:ascii="Arial Narrow" w:hAnsi="Arial Narrow" w:cs="Tahoma"/>
          <w:i/>
          <w:sz w:val="22"/>
          <w:szCs w:val="22"/>
        </w:rPr>
        <w:t>Restaurants</w:t>
      </w:r>
      <w:r w:rsidRPr="00656F43">
        <w:rPr>
          <w:rFonts w:ascii="Arial Narrow" w:hAnsi="Arial Narrow" w:cs="Tahoma"/>
          <w:sz w:val="22"/>
          <w:szCs w:val="22"/>
        </w:rPr>
        <w:t xml:space="preserve"> </w:t>
      </w:r>
      <w:r w:rsidRPr="00656F43">
        <w:rPr>
          <w:rFonts w:ascii="Arial Narrow" w:hAnsi="Arial Narrow" w:cs="Tahoma"/>
          <w:i/>
          <w:sz w:val="22"/>
          <w:szCs w:val="22"/>
        </w:rPr>
        <w:t>and</w:t>
      </w:r>
      <w:r w:rsidRPr="00656F43">
        <w:rPr>
          <w:rFonts w:ascii="Arial Narrow" w:hAnsi="Arial Narrow" w:cs="Tahoma"/>
          <w:sz w:val="22"/>
          <w:szCs w:val="22"/>
        </w:rPr>
        <w:t xml:space="preserve"> </w:t>
      </w:r>
      <w:r w:rsidRPr="00656F43">
        <w:rPr>
          <w:rFonts w:ascii="Arial Narrow" w:hAnsi="Arial Narrow" w:cs="Tahoma"/>
          <w:i/>
          <w:sz w:val="22"/>
          <w:szCs w:val="22"/>
        </w:rPr>
        <w:t>hotels</w:t>
      </w:r>
      <w:r w:rsidRPr="00656F43">
        <w:rPr>
          <w:rFonts w:ascii="Arial Narrow" w:hAnsi="Arial Narrow" w:cs="Tahoma"/>
          <w:sz w:val="22"/>
          <w:szCs w:val="22"/>
        </w:rPr>
        <w:t xml:space="preserve"> prices remained on the average at the same level. </w:t>
      </w:r>
    </w:p>
    <w:p w:rsidR="00656F43" w:rsidRPr="00656F43" w:rsidRDefault="00656F43" w:rsidP="00656F4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656F43">
        <w:rPr>
          <w:rFonts w:ascii="Arial Narrow" w:hAnsi="Arial Narrow" w:cs="Tahoma"/>
          <w:sz w:val="22"/>
          <w:szCs w:val="22"/>
        </w:rPr>
        <w:t xml:space="preserve">Indices of products and services used for personal consumption in Republika Srpska in </w:t>
      </w:r>
      <w:r>
        <w:rPr>
          <w:rFonts w:ascii="Arial Narrow" w:hAnsi="Arial Narrow" w:cs="Tahoma"/>
          <w:sz w:val="22"/>
          <w:szCs w:val="22"/>
        </w:rPr>
        <w:t>May</w:t>
      </w:r>
      <w:r w:rsidRPr="00656F43">
        <w:rPr>
          <w:rFonts w:ascii="Arial Narrow" w:hAnsi="Arial Narrow" w:cs="Tahoma"/>
          <w:sz w:val="22"/>
          <w:szCs w:val="22"/>
        </w:rPr>
        <w:t xml:space="preserve"> 2014, compared to the same month of 2013, were on the average 1.7% lower. </w:t>
      </w:r>
    </w:p>
    <w:p w:rsidR="005447EC" w:rsidRPr="00403114" w:rsidRDefault="005447EC" w:rsidP="003D2E03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</w:p>
    <w:p w:rsidR="002246BC" w:rsidRDefault="002246BC" w:rsidP="003D2E03">
      <w:pPr>
        <w:jc w:val="both"/>
        <w:rPr>
          <w:rFonts w:ascii="Arial Narrow" w:hAnsi="Arial Narrow" w:cs="Tahoma"/>
          <w:sz w:val="30"/>
          <w:szCs w:val="30"/>
        </w:rPr>
      </w:pPr>
    </w:p>
    <w:p w:rsidR="002246BC" w:rsidRDefault="002246BC" w:rsidP="003D2E03">
      <w:pPr>
        <w:jc w:val="both"/>
        <w:rPr>
          <w:rFonts w:ascii="Arial Narrow" w:hAnsi="Arial Narrow" w:cs="Tahoma"/>
          <w:sz w:val="30"/>
          <w:szCs w:val="30"/>
        </w:rPr>
      </w:pPr>
    </w:p>
    <w:p w:rsidR="002246BC" w:rsidRDefault="002246BC" w:rsidP="003D2E03">
      <w:pPr>
        <w:jc w:val="both"/>
        <w:rPr>
          <w:rFonts w:ascii="Arial Narrow" w:hAnsi="Arial Narrow" w:cs="Tahoma"/>
          <w:sz w:val="30"/>
          <w:szCs w:val="30"/>
        </w:rPr>
      </w:pPr>
    </w:p>
    <w:p w:rsidR="002246BC" w:rsidRDefault="002246BC" w:rsidP="003D2E03">
      <w:pPr>
        <w:jc w:val="both"/>
        <w:rPr>
          <w:rFonts w:ascii="Arial Narrow" w:hAnsi="Arial Narrow" w:cs="Tahoma"/>
          <w:sz w:val="30"/>
          <w:szCs w:val="30"/>
        </w:rPr>
      </w:pPr>
    </w:p>
    <w:p w:rsidR="003D2E03" w:rsidRPr="00656F43" w:rsidRDefault="00656F43" w:rsidP="003D2E03">
      <w:pPr>
        <w:jc w:val="both"/>
        <w:rPr>
          <w:rFonts w:ascii="Arial Narrow" w:hAnsi="Arial Narrow" w:cs="Tahoma"/>
          <w:sz w:val="30"/>
          <w:szCs w:val="30"/>
        </w:rPr>
      </w:pPr>
      <w:r w:rsidRPr="00656F43">
        <w:rPr>
          <w:rFonts w:ascii="Arial Narrow" w:hAnsi="Arial Narrow" w:cs="Tahoma"/>
          <w:sz w:val="30"/>
          <w:szCs w:val="30"/>
        </w:rPr>
        <w:lastRenderedPageBreak/>
        <w:t>Producer prices of industrial products on domestic market</w:t>
      </w:r>
      <w:r w:rsidRPr="00656F43">
        <w:rPr>
          <w:rFonts w:ascii="Arial Narrow" w:hAnsi="Arial Narrow" w:cs="Tahoma"/>
          <w:sz w:val="30"/>
          <w:szCs w:val="30"/>
          <w:lang w:val="sr-Cyrl-CS"/>
        </w:rPr>
        <w:t xml:space="preserve"> 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>(</w:t>
      </w:r>
      <w:r>
        <w:rPr>
          <w:rFonts w:ascii="Arial Narrow" w:hAnsi="Arial Narrow" w:cs="Tahoma"/>
          <w:sz w:val="30"/>
          <w:szCs w:val="30"/>
          <w:lang w:val="sr-Latn-CS"/>
        </w:rPr>
        <w:t>May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 xml:space="preserve"> 2014/</w:t>
      </w:r>
      <w:r>
        <w:rPr>
          <w:rFonts w:ascii="Arial Narrow" w:hAnsi="Arial Narrow" w:cs="Tahoma"/>
          <w:sz w:val="30"/>
          <w:szCs w:val="30"/>
          <w:lang w:val="sr-Latn-CS"/>
        </w:rPr>
        <w:t>April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 xml:space="preserve"> 201</w:t>
      </w:r>
      <w:r w:rsidR="003D2E03" w:rsidRPr="00403114">
        <w:rPr>
          <w:rFonts w:ascii="Arial Narrow" w:hAnsi="Arial Narrow" w:cs="Tahoma"/>
          <w:sz w:val="30"/>
          <w:szCs w:val="30"/>
          <w:lang w:val="sr-Latn-CS"/>
        </w:rPr>
        <w:t>4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>)</w:t>
      </w:r>
      <w:r w:rsidR="003D2E03" w:rsidRPr="00403114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>
        <w:rPr>
          <w:rFonts w:ascii="Arial Narrow" w:hAnsi="Arial Narrow" w:cs="Tahoma"/>
          <w:sz w:val="30"/>
          <w:szCs w:val="30"/>
        </w:rPr>
        <w:t>on the average</w:t>
      </w:r>
      <w:r>
        <w:rPr>
          <w:rFonts w:ascii="Arial Narrow" w:hAnsi="Arial Narrow" w:cs="Tahoma"/>
          <w:sz w:val="30"/>
          <w:szCs w:val="30"/>
          <w:lang w:val="sr-Cyrl-CS"/>
        </w:rPr>
        <w:t xml:space="preserve"> 0</w:t>
      </w:r>
      <w:r>
        <w:rPr>
          <w:rFonts w:ascii="Arial Narrow" w:hAnsi="Arial Narrow" w:cs="Tahoma"/>
          <w:sz w:val="30"/>
          <w:szCs w:val="30"/>
        </w:rPr>
        <w:t>.</w:t>
      </w:r>
      <w:r w:rsidR="00F91751" w:rsidRPr="00403114">
        <w:rPr>
          <w:rFonts w:ascii="Arial Narrow" w:hAnsi="Arial Narrow" w:cs="Tahoma"/>
          <w:sz w:val="30"/>
          <w:szCs w:val="30"/>
          <w:lang w:val="sr-Cyrl-CS"/>
        </w:rPr>
        <w:t>1%</w:t>
      </w:r>
      <w:r>
        <w:rPr>
          <w:rFonts w:ascii="Arial Narrow" w:hAnsi="Arial Narrow" w:cs="Tahoma"/>
          <w:sz w:val="30"/>
          <w:szCs w:val="30"/>
        </w:rPr>
        <w:t xml:space="preserve"> higher</w:t>
      </w:r>
    </w:p>
    <w:p w:rsidR="005447EC" w:rsidRPr="00403114" w:rsidRDefault="005447EC" w:rsidP="00E53171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CC2400" w:rsidRDefault="00CC2400" w:rsidP="00CC2400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CC2400">
        <w:rPr>
          <w:rFonts w:ascii="Arial Narrow" w:hAnsi="Arial Narrow" w:cs="Tahoma"/>
          <w:sz w:val="22"/>
          <w:szCs w:val="22"/>
        </w:rPr>
        <w:t xml:space="preserve">Producer prices of industrial products on domestic market in </w:t>
      </w:r>
      <w:r>
        <w:rPr>
          <w:rFonts w:ascii="Arial Narrow" w:hAnsi="Arial Narrow" w:cs="Tahoma"/>
          <w:sz w:val="22"/>
          <w:szCs w:val="22"/>
        </w:rPr>
        <w:t>May</w:t>
      </w:r>
      <w:r w:rsidRPr="00CC2400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April</w:t>
      </w:r>
      <w:r w:rsidRPr="00CC2400">
        <w:rPr>
          <w:rFonts w:ascii="Arial Narrow" w:hAnsi="Arial Narrow" w:cs="Tahoma"/>
          <w:sz w:val="22"/>
          <w:szCs w:val="22"/>
        </w:rPr>
        <w:t xml:space="preserve"> 2014, were on the average 0.1% </w:t>
      </w:r>
      <w:r>
        <w:rPr>
          <w:rFonts w:ascii="Arial Narrow" w:hAnsi="Arial Narrow" w:cs="Tahoma"/>
          <w:sz w:val="22"/>
          <w:szCs w:val="22"/>
        </w:rPr>
        <w:t>higher</w:t>
      </w:r>
      <w:r w:rsidRPr="00CC2400">
        <w:rPr>
          <w:rFonts w:ascii="Arial Narrow" w:hAnsi="Arial Narrow" w:cs="Tahoma"/>
          <w:sz w:val="22"/>
          <w:szCs w:val="22"/>
        </w:rPr>
        <w:t xml:space="preserve">. Compared to </w:t>
      </w:r>
      <w:r>
        <w:rPr>
          <w:rFonts w:ascii="Arial Narrow" w:hAnsi="Arial Narrow" w:cs="Tahoma"/>
          <w:sz w:val="22"/>
          <w:szCs w:val="22"/>
        </w:rPr>
        <w:t>May</w:t>
      </w:r>
      <w:r w:rsidRPr="00CC2400">
        <w:rPr>
          <w:rFonts w:ascii="Arial Narrow" w:hAnsi="Arial Narrow" w:cs="Tahoma"/>
          <w:sz w:val="22"/>
          <w:szCs w:val="22"/>
        </w:rPr>
        <w:t xml:space="preserve"> 2013 they were on the average 1.1% lower and compared to December 2</w:t>
      </w:r>
      <w:r w:rsidR="00C97A83">
        <w:rPr>
          <w:rFonts w:ascii="Arial Narrow" w:hAnsi="Arial Narrow" w:cs="Tahoma"/>
          <w:sz w:val="22"/>
          <w:szCs w:val="22"/>
        </w:rPr>
        <w:t>013 they were on the average 0.2</w:t>
      </w:r>
      <w:r w:rsidRPr="00CC2400">
        <w:rPr>
          <w:rFonts w:ascii="Arial Narrow" w:hAnsi="Arial Narrow" w:cs="Tahoma"/>
          <w:sz w:val="22"/>
          <w:szCs w:val="22"/>
        </w:rPr>
        <w:t xml:space="preserve">% higher. </w:t>
      </w:r>
    </w:p>
    <w:p w:rsidR="008171AF" w:rsidRDefault="008171AF" w:rsidP="008171AF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8171AF">
        <w:rPr>
          <w:rFonts w:ascii="Arial Narrow" w:hAnsi="Arial Narrow" w:cs="Tahoma"/>
          <w:sz w:val="22"/>
          <w:szCs w:val="22"/>
        </w:rPr>
        <w:t xml:space="preserve">By purpose of consumption, in </w:t>
      </w:r>
      <w:r>
        <w:rPr>
          <w:rFonts w:ascii="Arial Narrow" w:hAnsi="Arial Narrow" w:cs="Tahoma"/>
          <w:sz w:val="22"/>
          <w:szCs w:val="22"/>
        </w:rPr>
        <w:t>May</w:t>
      </w:r>
      <w:r w:rsidRPr="008171AF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April</w:t>
      </w:r>
      <w:r w:rsidRPr="008171AF">
        <w:rPr>
          <w:rFonts w:ascii="Arial Narrow" w:hAnsi="Arial Narrow" w:cs="Tahoma"/>
          <w:sz w:val="22"/>
          <w:szCs w:val="22"/>
        </w:rPr>
        <w:t xml:space="preserve"> 2014, prices of </w:t>
      </w:r>
      <w:r>
        <w:rPr>
          <w:rFonts w:ascii="Arial Narrow" w:hAnsi="Arial Narrow" w:cs="Tahoma"/>
          <w:sz w:val="22"/>
          <w:szCs w:val="22"/>
        </w:rPr>
        <w:t>consumer non-durables were on the average 0.5</w:t>
      </w:r>
      <w:r w:rsidRPr="008171AF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</w:t>
      </w:r>
      <w:r w:rsidR="0090769D">
        <w:rPr>
          <w:rFonts w:ascii="Arial Narrow" w:hAnsi="Arial Narrow" w:cs="Tahoma"/>
          <w:sz w:val="22"/>
          <w:szCs w:val="22"/>
        </w:rPr>
        <w:t xml:space="preserve">, </w:t>
      </w:r>
      <w:r w:rsidRPr="008171AF">
        <w:rPr>
          <w:rFonts w:ascii="Arial Narrow" w:hAnsi="Arial Narrow" w:cs="Tahoma"/>
          <w:sz w:val="22"/>
          <w:szCs w:val="22"/>
        </w:rPr>
        <w:t xml:space="preserve">prices of energy were </w:t>
      </w:r>
      <w:r>
        <w:rPr>
          <w:rFonts w:ascii="Arial Narrow" w:hAnsi="Arial Narrow" w:cs="Tahoma"/>
          <w:sz w:val="22"/>
          <w:szCs w:val="22"/>
        </w:rPr>
        <w:t xml:space="preserve">on the average </w:t>
      </w:r>
      <w:r w:rsidRPr="008171AF">
        <w:rPr>
          <w:rFonts w:ascii="Arial Narrow" w:hAnsi="Arial Narrow" w:cs="Tahoma"/>
          <w:sz w:val="22"/>
          <w:szCs w:val="22"/>
        </w:rPr>
        <w:t>0.1%</w:t>
      </w:r>
      <w:r>
        <w:rPr>
          <w:rFonts w:ascii="Arial Narrow" w:hAnsi="Arial Narrow" w:cs="Tahoma"/>
          <w:sz w:val="22"/>
          <w:szCs w:val="22"/>
        </w:rPr>
        <w:t xml:space="preserve"> lower</w:t>
      </w:r>
      <w:r w:rsidRPr="008171AF">
        <w:rPr>
          <w:rFonts w:ascii="Arial Narrow" w:hAnsi="Arial Narrow" w:cs="Tahoma"/>
          <w:sz w:val="22"/>
          <w:szCs w:val="22"/>
        </w:rPr>
        <w:t xml:space="preserve">, while prices of intermediate goods, prices of </w:t>
      </w:r>
      <w:r>
        <w:rPr>
          <w:rFonts w:ascii="Arial Narrow" w:hAnsi="Arial Narrow" w:cs="Tahoma"/>
          <w:sz w:val="22"/>
          <w:szCs w:val="22"/>
        </w:rPr>
        <w:t>capital goods</w:t>
      </w:r>
      <w:r w:rsidRPr="008171AF">
        <w:rPr>
          <w:rFonts w:ascii="Arial Narrow" w:hAnsi="Arial Narrow" w:cs="Tahoma"/>
          <w:sz w:val="22"/>
          <w:szCs w:val="22"/>
        </w:rPr>
        <w:t xml:space="preserve"> and prices of consumer durables remained on the average at the same level. </w:t>
      </w:r>
    </w:p>
    <w:p w:rsidR="0090769D" w:rsidRPr="0090769D" w:rsidRDefault="0090769D" w:rsidP="0090769D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90769D">
        <w:rPr>
          <w:rFonts w:ascii="Arial Narrow" w:hAnsi="Arial Narrow" w:cs="Tahoma"/>
          <w:sz w:val="22"/>
          <w:szCs w:val="22"/>
        </w:rPr>
        <w:t xml:space="preserve">Prices of consumer durables, by purpose of consumption, in </w:t>
      </w:r>
      <w:r>
        <w:rPr>
          <w:rFonts w:ascii="Arial Narrow" w:hAnsi="Arial Narrow" w:cs="Tahoma"/>
          <w:sz w:val="22"/>
          <w:szCs w:val="22"/>
        </w:rPr>
        <w:t>May</w:t>
      </w:r>
      <w:r w:rsidRPr="0090769D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May</w:t>
      </w:r>
      <w:r w:rsidRPr="0090769D">
        <w:rPr>
          <w:rFonts w:ascii="Arial Narrow" w:hAnsi="Arial Narrow" w:cs="Tahoma"/>
          <w:sz w:val="22"/>
          <w:szCs w:val="22"/>
        </w:rPr>
        <w:t xml:space="preserve"> 2013, were on the average 0.6% higher, while prices of intermediate goods were on the average 2.7% lower, prices of capital goods 0.8% lower, </w:t>
      </w:r>
      <w:r>
        <w:rPr>
          <w:rFonts w:ascii="Arial Narrow" w:hAnsi="Arial Narrow" w:cs="Tahoma"/>
          <w:sz w:val="22"/>
          <w:szCs w:val="22"/>
        </w:rPr>
        <w:t xml:space="preserve">and </w:t>
      </w:r>
      <w:r w:rsidRPr="0090769D">
        <w:rPr>
          <w:rFonts w:ascii="Arial Narrow" w:hAnsi="Arial Narrow" w:cs="Tahoma"/>
          <w:sz w:val="22"/>
          <w:szCs w:val="22"/>
        </w:rPr>
        <w:t xml:space="preserve">prices of consumer non-durables and prices of energy </w:t>
      </w:r>
      <w:r>
        <w:rPr>
          <w:rFonts w:ascii="Arial Narrow" w:hAnsi="Arial Narrow" w:cs="Tahoma"/>
          <w:sz w:val="22"/>
          <w:szCs w:val="22"/>
        </w:rPr>
        <w:t xml:space="preserve">were both </w:t>
      </w:r>
      <w:r w:rsidR="00031E8B">
        <w:rPr>
          <w:rFonts w:ascii="Arial Narrow" w:hAnsi="Arial Narrow" w:cs="Tahoma"/>
          <w:sz w:val="22"/>
          <w:szCs w:val="22"/>
        </w:rPr>
        <w:t>0.3</w:t>
      </w:r>
      <w:r w:rsidRPr="0090769D">
        <w:rPr>
          <w:rFonts w:ascii="Arial Narrow" w:hAnsi="Arial Narrow" w:cs="Tahoma"/>
          <w:sz w:val="22"/>
          <w:szCs w:val="22"/>
        </w:rPr>
        <w:t xml:space="preserve">% lower. </w:t>
      </w:r>
    </w:p>
    <w:p w:rsidR="00031E8B" w:rsidRPr="00031E8B" w:rsidRDefault="00031E8B" w:rsidP="00031E8B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By section of industrial production (PRODCOM), in </w:t>
      </w:r>
      <w:r>
        <w:rPr>
          <w:rFonts w:ascii="Arial Narrow" w:hAnsi="Arial Narrow" w:cs="Tahoma"/>
          <w:sz w:val="22"/>
          <w:szCs w:val="22"/>
          <w:lang w:val="sr-Latn-CS"/>
        </w:rPr>
        <w:t>May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2014, compared to </w:t>
      </w:r>
      <w:r>
        <w:rPr>
          <w:rFonts w:ascii="Arial Narrow" w:hAnsi="Arial Narrow" w:cs="Tahoma"/>
          <w:sz w:val="22"/>
          <w:szCs w:val="22"/>
          <w:lang w:val="sr-Latn-CS"/>
        </w:rPr>
        <w:t>April 2014, prices in the section (C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) </w:t>
      </w:r>
      <w:r>
        <w:rPr>
          <w:rFonts w:ascii="Arial Narrow" w:hAnsi="Arial Narrow" w:cs="Tahoma"/>
          <w:sz w:val="22"/>
          <w:szCs w:val="22"/>
          <w:lang w:val="sr-Latn-CS"/>
        </w:rPr>
        <w:t>Manufacturing were on the average 0.2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% </w:t>
      </w:r>
      <w:r>
        <w:rPr>
          <w:rFonts w:ascii="Arial Narrow" w:hAnsi="Arial Narrow" w:cs="Tahoma"/>
          <w:sz w:val="22"/>
          <w:szCs w:val="22"/>
          <w:lang w:val="sr-Latn-CS"/>
        </w:rPr>
        <w:t>higher, prices in the section (B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) </w:t>
      </w:r>
      <w:r>
        <w:rPr>
          <w:rFonts w:ascii="Arial Narrow" w:hAnsi="Arial Narrow" w:cs="Tahoma"/>
          <w:sz w:val="22"/>
          <w:szCs w:val="22"/>
          <w:lang w:val="sr-Latn-CS"/>
        </w:rPr>
        <w:t>Mining and quarrying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were</w:t>
      </w:r>
      <w:r>
        <w:rPr>
          <w:rFonts w:ascii="Arial Narrow" w:hAnsi="Arial Narrow" w:cs="Tahoma"/>
          <w:sz w:val="22"/>
          <w:szCs w:val="22"/>
          <w:lang w:val="sr-Latn-CS"/>
        </w:rPr>
        <w:t xml:space="preserve"> on the average 0.5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% lower, while prices in the section (D) Electricity, gas, steam and air-conditioning supply remained on the average at the same level. </w:t>
      </w:r>
    </w:p>
    <w:p w:rsidR="00031E8B" w:rsidRPr="00031E8B" w:rsidRDefault="00031E8B" w:rsidP="00031E8B">
      <w:pPr>
        <w:jc w:val="both"/>
        <w:rPr>
          <w:rFonts w:ascii="Arial Narrow" w:hAnsi="Arial Narrow" w:cs="Tahoma"/>
          <w:sz w:val="22"/>
          <w:szCs w:val="22"/>
          <w:lang w:val="sr-Latn-CS"/>
        </w:rPr>
      </w:pP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In </w:t>
      </w:r>
      <w:r>
        <w:rPr>
          <w:rFonts w:ascii="Arial Narrow" w:hAnsi="Arial Narrow" w:cs="Tahoma"/>
          <w:sz w:val="22"/>
          <w:szCs w:val="22"/>
          <w:lang w:val="sr-Latn-CS"/>
        </w:rPr>
        <w:t>May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2014, compared to </w:t>
      </w:r>
      <w:r>
        <w:rPr>
          <w:rFonts w:ascii="Arial Narrow" w:hAnsi="Arial Narrow" w:cs="Tahoma"/>
          <w:sz w:val="22"/>
          <w:szCs w:val="22"/>
          <w:lang w:val="sr-Latn-CS"/>
        </w:rPr>
        <w:t>May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 2013, prices in the section </w:t>
      </w:r>
      <w:r w:rsidRPr="00031E8B">
        <w:rPr>
          <w:rFonts w:ascii="Arial Narrow" w:hAnsi="Arial Narrow" w:cs="Tahoma"/>
          <w:i/>
          <w:sz w:val="22"/>
          <w:szCs w:val="22"/>
          <w:lang w:val="sr-Latn-CS"/>
        </w:rPr>
        <w:t>Manufacturing</w:t>
      </w:r>
      <w:r>
        <w:rPr>
          <w:rFonts w:ascii="Arial Narrow" w:hAnsi="Arial Narrow" w:cs="Tahoma"/>
          <w:sz w:val="22"/>
          <w:szCs w:val="22"/>
          <w:lang w:val="sr-Latn-CS"/>
        </w:rPr>
        <w:t xml:space="preserve"> deceased by 1.7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%, prices in the section </w:t>
      </w:r>
      <w:r w:rsidRPr="00031E8B">
        <w:rPr>
          <w:rFonts w:ascii="Arial Narrow" w:hAnsi="Arial Narrow" w:cs="Tahoma"/>
          <w:i/>
          <w:sz w:val="22"/>
          <w:szCs w:val="22"/>
          <w:lang w:val="sr-Latn-CS"/>
        </w:rPr>
        <w:t>Mining and quarrying</w:t>
      </w:r>
      <w:r>
        <w:rPr>
          <w:rFonts w:ascii="Arial Narrow" w:hAnsi="Arial Narrow" w:cs="Tahoma"/>
          <w:sz w:val="22"/>
          <w:szCs w:val="22"/>
          <w:lang w:val="sr-Latn-CS"/>
        </w:rPr>
        <w:t xml:space="preserve"> decreased by 0.9</w:t>
      </w:r>
      <w:r w:rsidRPr="00031E8B">
        <w:rPr>
          <w:rFonts w:ascii="Arial Narrow" w:hAnsi="Arial Narrow" w:cs="Tahoma"/>
          <w:sz w:val="22"/>
          <w:szCs w:val="22"/>
          <w:lang w:val="sr-Latn-CS"/>
        </w:rPr>
        <w:t xml:space="preserve">%, while prices in the section Electricity, gas, steam and air-conditioning supply remained on the average at the same level. </w:t>
      </w:r>
    </w:p>
    <w:p w:rsidR="00E53171" w:rsidRPr="00403114" w:rsidRDefault="00E53171" w:rsidP="003D2E03">
      <w:pPr>
        <w:jc w:val="both"/>
        <w:rPr>
          <w:rFonts w:ascii="Arial Narrow" w:hAnsi="Arial Narrow" w:cs="Tahoma"/>
          <w:sz w:val="16"/>
          <w:szCs w:val="16"/>
          <w:lang w:val="sr-Cyrl-CS"/>
        </w:rPr>
      </w:pPr>
    </w:p>
    <w:p w:rsidR="003D2E03" w:rsidRPr="00403114" w:rsidRDefault="003D2E03" w:rsidP="003D2E03">
      <w:pPr>
        <w:jc w:val="both"/>
        <w:rPr>
          <w:rFonts w:ascii="Tahoma" w:hAnsi="Tahoma" w:cs="Tahoma"/>
          <w:lang w:val="sr-Cyrl-CS"/>
        </w:rPr>
      </w:pPr>
    </w:p>
    <w:p w:rsidR="003D2E03" w:rsidRPr="00850DA7" w:rsidRDefault="00850DA7" w:rsidP="003D2E03">
      <w:pPr>
        <w:jc w:val="both"/>
        <w:rPr>
          <w:rFonts w:ascii="Arial Narrow" w:hAnsi="Arial Narrow" w:cs="Tahoma"/>
          <w:sz w:val="30"/>
          <w:szCs w:val="30"/>
        </w:rPr>
      </w:pPr>
      <w:r w:rsidRPr="00816474">
        <w:rPr>
          <w:rFonts w:ascii="Arial Narrow" w:hAnsi="Arial Narrow" w:cs="Tahoma"/>
          <w:sz w:val="30"/>
          <w:szCs w:val="30"/>
        </w:rPr>
        <w:t xml:space="preserve">Producer prices of industrial products on non-domestic market 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>(</w:t>
      </w:r>
      <w:r>
        <w:rPr>
          <w:rFonts w:ascii="Arial Narrow" w:hAnsi="Arial Narrow" w:cs="Tahoma"/>
          <w:sz w:val="30"/>
          <w:szCs w:val="30"/>
          <w:lang w:val="sr-Latn-CS"/>
        </w:rPr>
        <w:t>May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 xml:space="preserve"> 2014/</w:t>
      </w:r>
      <w:r>
        <w:rPr>
          <w:rFonts w:ascii="Arial Narrow" w:hAnsi="Arial Narrow" w:cs="Tahoma"/>
          <w:sz w:val="30"/>
          <w:szCs w:val="30"/>
          <w:lang w:val="sr-Latn-CS"/>
        </w:rPr>
        <w:t>April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 xml:space="preserve"> 201</w:t>
      </w:r>
      <w:r w:rsidR="003D2E03" w:rsidRPr="00403114">
        <w:rPr>
          <w:rFonts w:ascii="Arial Narrow" w:hAnsi="Arial Narrow" w:cs="Tahoma"/>
          <w:sz w:val="30"/>
          <w:szCs w:val="30"/>
          <w:lang w:val="sr-Latn-CS"/>
        </w:rPr>
        <w:t>4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>)</w:t>
      </w:r>
      <w:r w:rsidR="003D2E03" w:rsidRPr="00403114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>
        <w:rPr>
          <w:rFonts w:ascii="Arial Narrow" w:hAnsi="Arial Narrow" w:cs="Tahoma"/>
          <w:sz w:val="30"/>
          <w:szCs w:val="30"/>
        </w:rPr>
        <w:t xml:space="preserve">on the average </w:t>
      </w:r>
      <w:r>
        <w:rPr>
          <w:rFonts w:ascii="Arial Narrow" w:hAnsi="Arial Narrow" w:cs="Tahoma"/>
          <w:sz w:val="30"/>
          <w:szCs w:val="30"/>
          <w:lang w:val="sr-Cyrl-CS"/>
        </w:rPr>
        <w:t>0</w:t>
      </w:r>
      <w:r>
        <w:rPr>
          <w:rFonts w:ascii="Arial Narrow" w:hAnsi="Arial Narrow" w:cs="Tahoma"/>
          <w:sz w:val="30"/>
          <w:szCs w:val="30"/>
        </w:rPr>
        <w:t>.</w:t>
      </w:r>
      <w:r w:rsidR="005B360A" w:rsidRPr="00403114">
        <w:rPr>
          <w:rFonts w:ascii="Arial Narrow" w:hAnsi="Arial Narrow" w:cs="Tahoma"/>
          <w:sz w:val="30"/>
          <w:szCs w:val="30"/>
          <w:lang w:val="sr-Cyrl-CS"/>
        </w:rPr>
        <w:t>3</w:t>
      </w:r>
      <w:r w:rsidR="003D2E03" w:rsidRPr="00403114">
        <w:rPr>
          <w:rFonts w:ascii="Arial Narrow" w:hAnsi="Arial Narrow" w:cs="Tahoma"/>
          <w:sz w:val="30"/>
          <w:szCs w:val="30"/>
          <w:lang w:val="sr-Cyrl-CS"/>
        </w:rPr>
        <w:t>%</w:t>
      </w:r>
      <w:r>
        <w:rPr>
          <w:rFonts w:ascii="Arial Narrow" w:hAnsi="Arial Narrow" w:cs="Tahoma"/>
          <w:sz w:val="30"/>
          <w:szCs w:val="30"/>
        </w:rPr>
        <w:t xml:space="preserve"> lower</w:t>
      </w:r>
    </w:p>
    <w:p w:rsidR="003D2E03" w:rsidRPr="00403114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3730F4" w:rsidRPr="003730F4" w:rsidRDefault="003730F4" w:rsidP="003730F4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3730F4">
        <w:rPr>
          <w:rFonts w:ascii="Arial Narrow" w:hAnsi="Arial Narrow" w:cs="Tahoma"/>
          <w:sz w:val="22"/>
          <w:szCs w:val="22"/>
        </w:rPr>
        <w:t xml:space="preserve">Producer prices of industrial products on non-domestic market in </w:t>
      </w:r>
      <w:r>
        <w:rPr>
          <w:rFonts w:ascii="Arial Narrow" w:hAnsi="Arial Narrow" w:cs="Tahoma"/>
          <w:sz w:val="22"/>
          <w:szCs w:val="22"/>
        </w:rPr>
        <w:t>May</w:t>
      </w:r>
      <w:r w:rsidRPr="003730F4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April 2014, were on the average 0.3% low</w:t>
      </w:r>
      <w:r w:rsidRPr="003730F4">
        <w:rPr>
          <w:rFonts w:ascii="Arial Narrow" w:hAnsi="Arial Narrow" w:cs="Tahoma"/>
          <w:sz w:val="22"/>
          <w:szCs w:val="22"/>
        </w:rPr>
        <w:t xml:space="preserve">er, compared to </w:t>
      </w:r>
      <w:r>
        <w:rPr>
          <w:rFonts w:ascii="Arial Narrow" w:hAnsi="Arial Narrow" w:cs="Tahoma"/>
          <w:sz w:val="22"/>
          <w:szCs w:val="22"/>
        </w:rPr>
        <w:t>May 2013 they were on the average 0.3% high</w:t>
      </w:r>
      <w:r w:rsidRPr="003730F4">
        <w:rPr>
          <w:rFonts w:ascii="Arial Narrow" w:hAnsi="Arial Narrow" w:cs="Tahoma"/>
          <w:sz w:val="22"/>
          <w:szCs w:val="22"/>
        </w:rPr>
        <w:t>er, and compa</w:t>
      </w:r>
      <w:r>
        <w:rPr>
          <w:rFonts w:ascii="Arial Narrow" w:hAnsi="Arial Narrow" w:cs="Tahoma"/>
          <w:sz w:val="22"/>
          <w:szCs w:val="22"/>
        </w:rPr>
        <w:t>red to December 2013 they were 1.1</w:t>
      </w:r>
      <w:r w:rsidRPr="003730F4">
        <w:rPr>
          <w:rFonts w:ascii="Arial Narrow" w:hAnsi="Arial Narrow" w:cs="Tahoma"/>
          <w:sz w:val="22"/>
          <w:szCs w:val="22"/>
        </w:rPr>
        <w:t>% lower.</w:t>
      </w:r>
    </w:p>
    <w:p w:rsidR="003730F4" w:rsidRPr="003730F4" w:rsidRDefault="003730F4" w:rsidP="003730F4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3730F4">
        <w:rPr>
          <w:rFonts w:ascii="Arial Narrow" w:hAnsi="Arial Narrow" w:cs="Tahoma"/>
          <w:sz w:val="22"/>
          <w:szCs w:val="22"/>
        </w:rPr>
        <w:t xml:space="preserve">By purpose of consumption, in </w:t>
      </w:r>
      <w:r>
        <w:rPr>
          <w:rFonts w:ascii="Arial Narrow" w:hAnsi="Arial Narrow" w:cs="Tahoma"/>
          <w:sz w:val="22"/>
          <w:szCs w:val="22"/>
        </w:rPr>
        <w:t>May</w:t>
      </w:r>
      <w:r w:rsidRPr="003730F4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April</w:t>
      </w:r>
      <w:r w:rsidRPr="003730F4">
        <w:rPr>
          <w:rFonts w:ascii="Arial Narrow" w:hAnsi="Arial Narrow" w:cs="Tahoma"/>
          <w:sz w:val="22"/>
          <w:szCs w:val="22"/>
        </w:rPr>
        <w:t xml:space="preserve"> 2014, prices of </w:t>
      </w:r>
      <w:r>
        <w:rPr>
          <w:rFonts w:ascii="Arial Narrow" w:hAnsi="Arial Narrow" w:cs="Tahoma"/>
          <w:sz w:val="22"/>
          <w:szCs w:val="22"/>
        </w:rPr>
        <w:t xml:space="preserve">capital goods were on the average 1.4% higher and </w:t>
      </w:r>
      <w:r w:rsidRPr="003730F4">
        <w:rPr>
          <w:rFonts w:ascii="Arial Narrow" w:hAnsi="Arial Narrow" w:cs="Tahoma"/>
          <w:sz w:val="22"/>
          <w:szCs w:val="22"/>
        </w:rPr>
        <w:t xml:space="preserve">prices of </w:t>
      </w:r>
      <w:r>
        <w:rPr>
          <w:rFonts w:ascii="Arial Narrow" w:hAnsi="Arial Narrow" w:cs="Tahoma"/>
          <w:sz w:val="22"/>
          <w:szCs w:val="22"/>
        </w:rPr>
        <w:t>consumer non-durables were 0.2</w:t>
      </w:r>
      <w:r w:rsidRPr="003730F4">
        <w:rPr>
          <w:rFonts w:ascii="Arial Narrow" w:hAnsi="Arial Narrow" w:cs="Tahoma"/>
          <w:sz w:val="22"/>
          <w:szCs w:val="22"/>
        </w:rPr>
        <w:t xml:space="preserve">% higher, while prices of </w:t>
      </w:r>
      <w:r w:rsidR="00E97574">
        <w:rPr>
          <w:rFonts w:ascii="Arial Narrow" w:hAnsi="Arial Narrow" w:cs="Tahoma"/>
          <w:sz w:val="22"/>
          <w:szCs w:val="22"/>
        </w:rPr>
        <w:t>energy were on the average 0.5</w:t>
      </w:r>
      <w:r w:rsidRPr="003730F4">
        <w:rPr>
          <w:rFonts w:ascii="Arial Narrow" w:hAnsi="Arial Narrow" w:cs="Tahoma"/>
          <w:sz w:val="22"/>
          <w:szCs w:val="22"/>
        </w:rPr>
        <w:t>% lower and price</w:t>
      </w:r>
      <w:r w:rsidR="00E97574">
        <w:rPr>
          <w:rFonts w:ascii="Arial Narrow" w:hAnsi="Arial Narrow" w:cs="Tahoma"/>
          <w:sz w:val="22"/>
          <w:szCs w:val="22"/>
        </w:rPr>
        <w:t>s of intermediate goods were 0.4</w:t>
      </w:r>
      <w:r w:rsidRPr="003730F4">
        <w:rPr>
          <w:rFonts w:ascii="Arial Narrow" w:hAnsi="Arial Narrow" w:cs="Tahoma"/>
          <w:sz w:val="22"/>
          <w:szCs w:val="22"/>
        </w:rPr>
        <w:t>% lower. Prices of consumer durables remained on the average at the same level.</w:t>
      </w:r>
    </w:p>
    <w:p w:rsidR="007F2561" w:rsidRPr="007F2561" w:rsidRDefault="007F2561" w:rsidP="007F2561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7F2561">
        <w:rPr>
          <w:rFonts w:ascii="Arial Narrow" w:hAnsi="Arial Narrow" w:cs="Tahoma"/>
          <w:sz w:val="22"/>
          <w:szCs w:val="22"/>
        </w:rPr>
        <w:t xml:space="preserve">Prices of consumer non-durables, by purpose of consumption, in </w:t>
      </w:r>
      <w:r>
        <w:rPr>
          <w:rFonts w:ascii="Arial Narrow" w:hAnsi="Arial Narrow" w:cs="Tahoma"/>
          <w:sz w:val="22"/>
          <w:szCs w:val="22"/>
        </w:rPr>
        <w:t>May</w:t>
      </w:r>
      <w:r w:rsidRPr="007F2561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 xml:space="preserve">May 2013, were on the average 4.2% higher, </w:t>
      </w:r>
      <w:r w:rsidRPr="007F2561">
        <w:rPr>
          <w:rFonts w:ascii="Arial Narrow" w:hAnsi="Arial Narrow" w:cs="Tahoma"/>
          <w:sz w:val="22"/>
          <w:szCs w:val="22"/>
        </w:rPr>
        <w:t xml:space="preserve">prices of consumer durables were 2.5% higher, prices of </w:t>
      </w:r>
      <w:r>
        <w:rPr>
          <w:rFonts w:ascii="Arial Narrow" w:hAnsi="Arial Narrow" w:cs="Tahoma"/>
          <w:sz w:val="22"/>
          <w:szCs w:val="22"/>
        </w:rPr>
        <w:t>intermediate</w:t>
      </w:r>
      <w:r w:rsidRPr="007F2561">
        <w:rPr>
          <w:rFonts w:ascii="Arial Narrow" w:hAnsi="Arial Narrow" w:cs="Tahoma"/>
          <w:sz w:val="22"/>
          <w:szCs w:val="22"/>
        </w:rPr>
        <w:t xml:space="preserve"> goods </w:t>
      </w:r>
      <w:r>
        <w:rPr>
          <w:rFonts w:ascii="Arial Narrow" w:hAnsi="Arial Narrow" w:cs="Tahoma"/>
          <w:sz w:val="22"/>
          <w:szCs w:val="22"/>
        </w:rPr>
        <w:t xml:space="preserve">and prices of capital goods </w:t>
      </w:r>
      <w:r w:rsidRPr="007F2561">
        <w:rPr>
          <w:rFonts w:ascii="Arial Narrow" w:hAnsi="Arial Narrow" w:cs="Tahoma"/>
          <w:sz w:val="22"/>
          <w:szCs w:val="22"/>
        </w:rPr>
        <w:t>were on t</w:t>
      </w:r>
      <w:r>
        <w:rPr>
          <w:rFonts w:ascii="Arial Narrow" w:hAnsi="Arial Narrow" w:cs="Tahoma"/>
          <w:sz w:val="22"/>
          <w:szCs w:val="22"/>
        </w:rPr>
        <w:t>he average 0.7</w:t>
      </w:r>
      <w:r w:rsidRPr="007F2561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</w:t>
      </w:r>
      <w:r w:rsidRPr="007F2561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>while</w:t>
      </w:r>
      <w:r w:rsidRPr="007F2561">
        <w:rPr>
          <w:rFonts w:ascii="Arial Narrow" w:hAnsi="Arial Narrow" w:cs="Tahoma"/>
          <w:sz w:val="22"/>
          <w:szCs w:val="22"/>
        </w:rPr>
        <w:t xml:space="preserve"> prices of energy </w:t>
      </w:r>
      <w:r>
        <w:rPr>
          <w:rFonts w:ascii="Arial Narrow" w:hAnsi="Arial Narrow" w:cs="Tahoma"/>
          <w:sz w:val="22"/>
          <w:szCs w:val="22"/>
        </w:rPr>
        <w:t>were on the average 0.8</w:t>
      </w:r>
      <w:r w:rsidRPr="007F2561">
        <w:rPr>
          <w:rFonts w:ascii="Arial Narrow" w:hAnsi="Arial Narrow" w:cs="Tahoma"/>
          <w:sz w:val="22"/>
          <w:szCs w:val="22"/>
        </w:rPr>
        <w:t xml:space="preserve">% lower. </w:t>
      </w:r>
    </w:p>
    <w:p w:rsidR="00436AA7" w:rsidRDefault="00436AA7" w:rsidP="00436AA7">
      <w:pPr>
        <w:jc w:val="both"/>
        <w:rPr>
          <w:rFonts w:ascii="Arial Narrow" w:hAnsi="Arial Narrow" w:cs="Tahoma"/>
          <w:sz w:val="22"/>
          <w:szCs w:val="22"/>
        </w:rPr>
      </w:pPr>
      <w:r w:rsidRPr="00436AA7">
        <w:rPr>
          <w:rFonts w:ascii="Arial Narrow" w:hAnsi="Arial Narrow" w:cs="Tahoma"/>
          <w:sz w:val="22"/>
          <w:szCs w:val="22"/>
          <w:lang w:val="sr-Cyrl-CS"/>
        </w:rPr>
        <w:t>By section of industrial production (PR</w:t>
      </w:r>
      <w:r>
        <w:rPr>
          <w:rFonts w:ascii="Arial Narrow" w:hAnsi="Arial Narrow" w:cs="Tahoma"/>
          <w:sz w:val="22"/>
          <w:szCs w:val="22"/>
          <w:lang w:val="sr-Cyrl-CS"/>
        </w:rPr>
        <w:t>ODCOM), prices in the section (</w:t>
      </w:r>
      <w:r>
        <w:rPr>
          <w:rFonts w:ascii="Arial Narrow" w:hAnsi="Arial Narrow" w:cs="Tahoma"/>
          <w:sz w:val="22"/>
          <w:szCs w:val="22"/>
        </w:rPr>
        <w:t>B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) Mining and quarrying in </w:t>
      </w:r>
      <w:r>
        <w:rPr>
          <w:rFonts w:ascii="Arial Narrow" w:hAnsi="Arial Narrow" w:cs="Tahoma"/>
          <w:sz w:val="22"/>
          <w:szCs w:val="22"/>
        </w:rPr>
        <w:t>May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April</w:t>
      </w:r>
      <w:r>
        <w:rPr>
          <w:rFonts w:ascii="Arial Narrow" w:hAnsi="Arial Narrow" w:cs="Tahoma"/>
          <w:sz w:val="22"/>
          <w:szCs w:val="22"/>
          <w:lang w:val="sr-Cyrl-CS"/>
        </w:rPr>
        <w:t xml:space="preserve"> 2014, were on the average 0.</w:t>
      </w:r>
      <w:r>
        <w:rPr>
          <w:rFonts w:ascii="Arial Narrow" w:hAnsi="Arial Narrow" w:cs="Tahoma"/>
          <w:sz w:val="22"/>
          <w:szCs w:val="22"/>
        </w:rPr>
        <w:t>8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% </w:t>
      </w:r>
      <w:r>
        <w:rPr>
          <w:rFonts w:ascii="Arial Narrow" w:hAnsi="Arial Narrow" w:cs="Tahoma"/>
          <w:sz w:val="22"/>
          <w:szCs w:val="22"/>
        </w:rPr>
        <w:t xml:space="preserve">lower and </w:t>
      </w:r>
      <w:r>
        <w:rPr>
          <w:rFonts w:ascii="Arial Narrow" w:hAnsi="Arial Narrow" w:cs="Tahoma"/>
          <w:sz w:val="22"/>
          <w:szCs w:val="22"/>
          <w:lang w:val="sr-Cyrl-CS"/>
        </w:rPr>
        <w:t>prices in the section (</w:t>
      </w:r>
      <w:r>
        <w:rPr>
          <w:rFonts w:ascii="Arial Narrow" w:hAnsi="Arial Narrow" w:cs="Tahoma"/>
          <w:sz w:val="22"/>
          <w:szCs w:val="22"/>
        </w:rPr>
        <w:t>C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) </w:t>
      </w:r>
      <w:r>
        <w:rPr>
          <w:rFonts w:ascii="Arial Narrow" w:hAnsi="Arial Narrow" w:cs="Tahoma"/>
          <w:sz w:val="22"/>
          <w:szCs w:val="22"/>
        </w:rPr>
        <w:t>Manufacturing were on the average 0.2% lower.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>
        <w:rPr>
          <w:rFonts w:ascii="Arial Narrow" w:hAnsi="Arial Narrow" w:cs="Tahoma"/>
          <w:sz w:val="22"/>
          <w:szCs w:val="22"/>
        </w:rPr>
        <w:t>Prices in the section</w:t>
      </w:r>
      <w:r w:rsidRPr="00436AA7">
        <w:rPr>
          <w:rFonts w:ascii="Arial Narrow" w:hAnsi="Arial Narrow" w:cs="Tahoma"/>
          <w:sz w:val="22"/>
          <w:szCs w:val="22"/>
          <w:lang w:val="sr-Cyrl-CS"/>
        </w:rPr>
        <w:t xml:space="preserve"> (D) Electricity, gas, steam and air-conditioning supply remained on the average at the same level. </w:t>
      </w:r>
    </w:p>
    <w:p w:rsidR="00436AA7" w:rsidRDefault="00436AA7" w:rsidP="00436AA7">
      <w:pPr>
        <w:jc w:val="both"/>
        <w:rPr>
          <w:rFonts w:ascii="Arial Narrow" w:hAnsi="Arial Narrow" w:cs="Tahoma"/>
          <w:sz w:val="22"/>
          <w:szCs w:val="22"/>
        </w:rPr>
      </w:pPr>
    </w:p>
    <w:p w:rsidR="00436AA7" w:rsidRPr="00436AA7" w:rsidRDefault="00436AA7" w:rsidP="00436AA7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May 2014, compared to May 2013, prices in the section </w:t>
      </w:r>
      <w:r w:rsidRPr="00436AA7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increased by 3.4% and prices in the section </w:t>
      </w:r>
      <w:r w:rsidRPr="00436AA7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by 1.3%.</w:t>
      </w:r>
    </w:p>
    <w:p w:rsidR="003D2E03" w:rsidRPr="00403114" w:rsidRDefault="003D2E03" w:rsidP="003D2E03">
      <w:pPr>
        <w:jc w:val="both"/>
        <w:rPr>
          <w:rFonts w:ascii="Tahoma" w:hAnsi="Tahoma" w:cs="Tahoma"/>
          <w:lang w:val="hr-HR"/>
        </w:rPr>
      </w:pPr>
    </w:p>
    <w:p w:rsidR="00DF108E" w:rsidRPr="00403114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4D0DAE" w:rsidRPr="00403114" w:rsidRDefault="00436AA7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Cs/>
          <w:sz w:val="30"/>
          <w:szCs w:val="30"/>
          <w:lang w:val="sr-Cyrl-CS"/>
        </w:rPr>
      </w:pPr>
      <w:r>
        <w:rPr>
          <w:rFonts w:ascii="Arial Narrow" w:hAnsi="Arial Narrow" w:cs="Tahoma"/>
          <w:sz w:val="30"/>
          <w:szCs w:val="30"/>
        </w:rPr>
        <w:t>Seasonally adjusted industrial production</w:t>
      </w:r>
      <w:r w:rsidR="004D0DAE" w:rsidRPr="00403114">
        <w:rPr>
          <w:rFonts w:ascii="Arial Narrow" w:hAnsi="Arial Narrow" w:cs="Tahoma"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sz w:val="30"/>
          <w:szCs w:val="30"/>
        </w:rPr>
        <w:t>May</w:t>
      </w:r>
      <w:r w:rsidR="004D0DAE" w:rsidRPr="00403114">
        <w:rPr>
          <w:rFonts w:ascii="Arial Narrow" w:hAnsi="Arial Narrow" w:cs="Tahoma"/>
          <w:sz w:val="30"/>
          <w:szCs w:val="30"/>
          <w:lang w:val="sr-Latn-BA"/>
        </w:rPr>
        <w:t xml:space="preserve"> 20</w:t>
      </w:r>
      <w:r w:rsidR="004D0DAE" w:rsidRPr="00403114">
        <w:rPr>
          <w:rFonts w:ascii="Arial Narrow" w:hAnsi="Arial Narrow" w:cs="Tahoma"/>
          <w:sz w:val="30"/>
          <w:szCs w:val="30"/>
          <w:lang w:val="sr-Cyrl-CS"/>
        </w:rPr>
        <w:t>1</w:t>
      </w:r>
      <w:r w:rsidR="004D0DAE" w:rsidRPr="00403114">
        <w:rPr>
          <w:rFonts w:ascii="Arial Narrow" w:hAnsi="Arial Narrow" w:cs="Tahoma"/>
          <w:sz w:val="30"/>
          <w:szCs w:val="30"/>
        </w:rPr>
        <w:t>4</w:t>
      </w:r>
      <w:r w:rsidR="004D0DAE" w:rsidRPr="00403114">
        <w:rPr>
          <w:rFonts w:ascii="Arial Narrow" w:hAnsi="Arial Narrow" w:cs="Tahoma"/>
          <w:sz w:val="30"/>
          <w:szCs w:val="30"/>
          <w:lang w:val="sr-Latn-BA"/>
        </w:rPr>
        <w:t>/</w:t>
      </w:r>
      <w:r>
        <w:rPr>
          <w:rFonts w:ascii="Arial Narrow" w:hAnsi="Arial Narrow" w:cs="Tahoma"/>
          <w:sz w:val="30"/>
          <w:szCs w:val="30"/>
        </w:rPr>
        <w:t>April</w:t>
      </w:r>
      <w:r w:rsidR="004D0DAE"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 w:rsidR="004D0DAE" w:rsidRPr="00403114">
        <w:rPr>
          <w:rFonts w:ascii="Arial Narrow" w:hAnsi="Arial Narrow" w:cs="Tahoma"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Cs/>
          <w:sz w:val="30"/>
          <w:szCs w:val="30"/>
        </w:rPr>
        <w:t>4</w:t>
      </w:r>
      <w:r w:rsidR="004D0DAE" w:rsidRPr="00403114">
        <w:rPr>
          <w:rFonts w:ascii="Arial Narrow" w:hAnsi="Arial Narrow" w:cs="Tahoma"/>
          <w:bCs/>
          <w:sz w:val="30"/>
          <w:szCs w:val="30"/>
          <w:lang w:val="hr-HR"/>
        </w:rPr>
        <w:t>)</w:t>
      </w:r>
      <w:r w:rsidR="004D0DAE"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Cs/>
          <w:sz w:val="30"/>
          <w:szCs w:val="30"/>
        </w:rPr>
        <w:t>increased by</w:t>
      </w:r>
      <w:r>
        <w:rPr>
          <w:rFonts w:ascii="Arial Narrow" w:hAnsi="Arial Narrow" w:cs="Tahoma"/>
          <w:bCs/>
          <w:sz w:val="30"/>
          <w:szCs w:val="30"/>
          <w:lang w:val="sr-Cyrl-CS"/>
        </w:rPr>
        <w:t xml:space="preserve"> 1</w:t>
      </w:r>
      <w:r>
        <w:rPr>
          <w:rFonts w:ascii="Arial Narrow" w:hAnsi="Arial Narrow" w:cs="Tahoma"/>
          <w:bCs/>
          <w:sz w:val="30"/>
          <w:szCs w:val="30"/>
        </w:rPr>
        <w:t>.</w:t>
      </w:r>
      <w:r w:rsidR="00802CC2" w:rsidRPr="00403114">
        <w:rPr>
          <w:rFonts w:ascii="Arial Narrow" w:hAnsi="Arial Narrow" w:cs="Tahoma"/>
          <w:bCs/>
          <w:sz w:val="30"/>
          <w:szCs w:val="30"/>
          <w:lang w:val="sr-Cyrl-CS"/>
        </w:rPr>
        <w:t>0%</w:t>
      </w:r>
    </w:p>
    <w:p w:rsidR="00802CC2" w:rsidRPr="00403114" w:rsidRDefault="00436AA7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z w:val="30"/>
          <w:szCs w:val="30"/>
        </w:rPr>
      </w:pPr>
      <w:r>
        <w:rPr>
          <w:rFonts w:ascii="Arial Narrow" w:hAnsi="Arial Narrow" w:cs="Tahoma"/>
          <w:bCs/>
          <w:sz w:val="30"/>
          <w:szCs w:val="30"/>
        </w:rPr>
        <w:t>Working-day adjusted industrial production</w:t>
      </w:r>
      <w:r w:rsidR="00802CC2"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sz w:val="30"/>
          <w:szCs w:val="30"/>
        </w:rPr>
        <w:t>May</w:t>
      </w:r>
      <w:r w:rsidR="00802CC2" w:rsidRPr="00403114">
        <w:rPr>
          <w:rFonts w:ascii="Arial Narrow" w:hAnsi="Arial Narrow" w:cs="Tahoma"/>
          <w:sz w:val="30"/>
          <w:szCs w:val="30"/>
          <w:lang w:val="sr-Latn-BA"/>
        </w:rPr>
        <w:t xml:space="preserve"> 20</w:t>
      </w:r>
      <w:r w:rsidR="00802CC2" w:rsidRPr="00403114">
        <w:rPr>
          <w:rFonts w:ascii="Arial Narrow" w:hAnsi="Arial Narrow" w:cs="Tahoma"/>
          <w:sz w:val="30"/>
          <w:szCs w:val="30"/>
          <w:lang w:val="sr-Cyrl-CS"/>
        </w:rPr>
        <w:t>1</w:t>
      </w:r>
      <w:r w:rsidR="00802CC2" w:rsidRPr="00403114">
        <w:rPr>
          <w:rFonts w:ascii="Arial Narrow" w:hAnsi="Arial Narrow" w:cs="Tahoma"/>
          <w:sz w:val="30"/>
          <w:szCs w:val="30"/>
        </w:rPr>
        <w:t>4</w:t>
      </w:r>
      <w:r w:rsidR="00802CC2" w:rsidRPr="00403114">
        <w:rPr>
          <w:rFonts w:ascii="Arial Narrow" w:hAnsi="Arial Narrow" w:cs="Tahoma"/>
          <w:sz w:val="30"/>
          <w:szCs w:val="30"/>
          <w:lang w:val="sr-Latn-BA"/>
        </w:rPr>
        <w:t>/</w:t>
      </w:r>
      <w:r>
        <w:rPr>
          <w:rFonts w:ascii="Arial Narrow" w:hAnsi="Arial Narrow" w:cs="Tahoma"/>
          <w:sz w:val="30"/>
          <w:szCs w:val="30"/>
        </w:rPr>
        <w:t>May</w:t>
      </w:r>
      <w:r w:rsidR="00802CC2"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 w:rsidR="00802CC2" w:rsidRPr="00403114">
        <w:rPr>
          <w:rFonts w:ascii="Arial Narrow" w:hAnsi="Arial Narrow" w:cs="Tahoma"/>
          <w:bCs/>
          <w:sz w:val="30"/>
          <w:szCs w:val="30"/>
          <w:lang w:val="ru-RU"/>
        </w:rPr>
        <w:t>2013</w:t>
      </w:r>
      <w:r w:rsidR="00802CC2" w:rsidRPr="00403114">
        <w:rPr>
          <w:rFonts w:ascii="Arial Narrow" w:hAnsi="Arial Narrow" w:cs="Tahoma"/>
          <w:bCs/>
          <w:sz w:val="30"/>
          <w:szCs w:val="30"/>
          <w:lang w:val="hr-HR"/>
        </w:rPr>
        <w:t>)</w:t>
      </w:r>
      <w:r w:rsidR="00802CC2" w:rsidRPr="00403114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Cs/>
          <w:sz w:val="30"/>
          <w:szCs w:val="30"/>
        </w:rPr>
        <w:t>decreased</w:t>
      </w:r>
      <w:r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Cs/>
          <w:sz w:val="30"/>
          <w:szCs w:val="30"/>
        </w:rPr>
        <w:t>by</w:t>
      </w:r>
      <w:r>
        <w:rPr>
          <w:rFonts w:ascii="Arial Narrow" w:hAnsi="Arial Narrow" w:cs="Tahoma"/>
          <w:bCs/>
          <w:sz w:val="30"/>
          <w:szCs w:val="30"/>
          <w:lang w:val="sr-Cyrl-CS"/>
        </w:rPr>
        <w:t xml:space="preserve"> 0</w:t>
      </w:r>
      <w:r>
        <w:rPr>
          <w:rFonts w:ascii="Arial Narrow" w:hAnsi="Arial Narrow" w:cs="Tahoma"/>
          <w:bCs/>
          <w:sz w:val="30"/>
          <w:szCs w:val="30"/>
        </w:rPr>
        <w:t>.</w:t>
      </w:r>
      <w:r w:rsidR="00802CC2" w:rsidRPr="00403114">
        <w:rPr>
          <w:rFonts w:ascii="Arial Narrow" w:hAnsi="Arial Narrow" w:cs="Tahoma"/>
          <w:bCs/>
          <w:sz w:val="30"/>
          <w:szCs w:val="30"/>
          <w:lang w:val="sr-Cyrl-CS"/>
        </w:rPr>
        <w:t>3%</w:t>
      </w:r>
    </w:p>
    <w:p w:rsidR="009F404C" w:rsidRPr="00403114" w:rsidRDefault="00436AA7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sz w:val="28"/>
        </w:rPr>
        <w:t>Number of employees in industry</w:t>
      </w:r>
      <w:r w:rsidR="009F404C" w:rsidRPr="00403114">
        <w:rPr>
          <w:rFonts w:ascii="Arial Narrow" w:hAnsi="Arial Narrow" w:cs="Tahoma"/>
          <w:sz w:val="28"/>
          <w:lang w:val="ru-RU"/>
        </w:rPr>
        <w:t xml:space="preserve"> (</w:t>
      </w:r>
      <w:r>
        <w:rPr>
          <w:rFonts w:ascii="Arial Narrow" w:hAnsi="Arial Narrow" w:cs="Tahoma"/>
          <w:sz w:val="28"/>
        </w:rPr>
        <w:t>May</w:t>
      </w:r>
      <w:r w:rsidR="00802CC2" w:rsidRPr="00403114">
        <w:rPr>
          <w:rFonts w:ascii="Arial Narrow" w:hAnsi="Arial Narrow" w:cs="Tahoma"/>
          <w:sz w:val="28"/>
          <w:lang w:val="ru-RU"/>
        </w:rPr>
        <w:t xml:space="preserve"> 2014/</w:t>
      </w:r>
      <w:r>
        <w:rPr>
          <w:rFonts w:ascii="Arial Narrow" w:hAnsi="Arial Narrow" w:cs="Tahoma"/>
          <w:sz w:val="28"/>
        </w:rPr>
        <w:t>May</w:t>
      </w:r>
      <w:r>
        <w:rPr>
          <w:rFonts w:ascii="Arial Narrow" w:hAnsi="Arial Narrow" w:cs="Tahoma"/>
          <w:sz w:val="28"/>
          <w:lang w:val="ru-RU"/>
        </w:rPr>
        <w:t xml:space="preserve"> 2013</w:t>
      </w:r>
      <w:r w:rsidR="009F404C" w:rsidRPr="00403114">
        <w:rPr>
          <w:rFonts w:ascii="Arial Narrow" w:hAnsi="Arial Narrow" w:cs="Tahoma"/>
          <w:sz w:val="28"/>
          <w:lang w:val="ru-RU"/>
        </w:rPr>
        <w:t xml:space="preserve">) </w:t>
      </w:r>
      <w:r>
        <w:rPr>
          <w:rFonts w:ascii="Arial Narrow" w:hAnsi="Arial Narrow" w:cs="Tahoma"/>
          <w:sz w:val="28"/>
        </w:rPr>
        <w:t>increased by</w:t>
      </w:r>
      <w:r w:rsidR="009F404C" w:rsidRPr="00403114">
        <w:rPr>
          <w:rFonts w:ascii="Arial Narrow" w:hAnsi="Arial Narrow" w:cs="Tahoma"/>
          <w:sz w:val="28"/>
          <w:lang w:val="ru-RU"/>
        </w:rPr>
        <w:t xml:space="preserve"> </w:t>
      </w:r>
      <w:r w:rsidR="00802CC2" w:rsidRPr="00403114">
        <w:rPr>
          <w:rFonts w:ascii="Arial Narrow" w:hAnsi="Arial Narrow" w:cs="Tahoma"/>
          <w:sz w:val="28"/>
          <w:lang w:val="ru-RU"/>
        </w:rPr>
        <w:t>1</w:t>
      </w:r>
      <w:r>
        <w:rPr>
          <w:rFonts w:ascii="Arial Narrow" w:hAnsi="Arial Narrow" w:cs="Tahoma"/>
          <w:sz w:val="28"/>
        </w:rPr>
        <w:t>.</w:t>
      </w:r>
      <w:r w:rsidR="00802CC2" w:rsidRPr="00403114">
        <w:rPr>
          <w:rFonts w:ascii="Arial Narrow" w:hAnsi="Arial Narrow" w:cs="Tahoma"/>
          <w:sz w:val="28"/>
          <w:lang w:val="ru-RU"/>
        </w:rPr>
        <w:t>5</w:t>
      </w:r>
      <w:r w:rsidR="009F404C" w:rsidRPr="00403114">
        <w:rPr>
          <w:rFonts w:ascii="Arial Narrow" w:hAnsi="Arial Narrow" w:cs="Tahoma"/>
          <w:sz w:val="28"/>
          <w:lang w:val="ru-RU"/>
        </w:rPr>
        <w:t>%</w:t>
      </w:r>
    </w:p>
    <w:p w:rsidR="00870AD1" w:rsidRPr="00403114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B23575" w:rsidRPr="00B23575" w:rsidRDefault="00B23575" w:rsidP="00B23575">
      <w:pPr>
        <w:jc w:val="both"/>
        <w:rPr>
          <w:rFonts w:ascii="Arial Narrow" w:hAnsi="Arial Narrow" w:cs="Tahoma"/>
          <w:sz w:val="22"/>
        </w:rPr>
      </w:pPr>
      <w:r w:rsidRPr="00B23575">
        <w:rPr>
          <w:rFonts w:ascii="Arial Narrow" w:hAnsi="Arial Narrow" w:cs="Tahoma"/>
          <w:b/>
          <w:sz w:val="22"/>
        </w:rPr>
        <w:t>Seasonally adjusted industrial production</w:t>
      </w:r>
      <w:r w:rsidRPr="00B23575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May 2014</w:t>
      </w:r>
      <w:r w:rsidRPr="00B23575">
        <w:rPr>
          <w:rFonts w:ascii="Arial Narrow" w:hAnsi="Arial Narrow" w:cs="Tahoma"/>
          <w:sz w:val="22"/>
        </w:rPr>
        <w:t xml:space="preserve"> compared to </w:t>
      </w:r>
      <w:r>
        <w:rPr>
          <w:rFonts w:ascii="Arial Narrow" w:hAnsi="Arial Narrow" w:cs="Tahoma"/>
          <w:sz w:val="22"/>
        </w:rPr>
        <w:t>April 2014</w:t>
      </w:r>
      <w:r w:rsidRPr="00B23575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>increased by 1.0%</w:t>
      </w:r>
      <w:r w:rsidRPr="00B23575">
        <w:rPr>
          <w:rFonts w:ascii="Arial Narrow" w:hAnsi="Arial Narrow" w:cs="Tahoma"/>
          <w:sz w:val="22"/>
        </w:rPr>
        <w:t xml:space="preserve">. In the section </w:t>
      </w:r>
      <w:r w:rsidRPr="00B23575">
        <w:rPr>
          <w:rFonts w:ascii="Arial Narrow" w:hAnsi="Arial Narrow" w:cs="Tahoma"/>
          <w:i/>
          <w:sz w:val="22"/>
        </w:rPr>
        <w:t>Manufacturing</w:t>
      </w:r>
      <w:r w:rsidRPr="00B23575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an increase by 4.2% was recorded, while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sz w:val="22"/>
          <w:szCs w:val="22"/>
        </w:rPr>
        <w:t xml:space="preserve"> a decrease by 1.1% was recorded and in the section </w:t>
      </w:r>
      <w:r w:rsidRPr="00B23575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 decrease by 17.4%. By main industrial group, based on economic purpose of products, seasonally adjusted industrial </w:t>
      </w:r>
      <w:r w:rsidR="00787FC3">
        <w:rPr>
          <w:rFonts w:ascii="Arial Narrow" w:hAnsi="Arial Narrow" w:cs="Tahoma"/>
          <w:sz w:val="22"/>
          <w:szCs w:val="22"/>
        </w:rPr>
        <w:t xml:space="preserve">production of consumer non-durables in May 2014, compared to April 2014, was 0.1%  lower, production of intermediate goods was 8.6% lower and producton of consumer durables was 9.1% lower, while production of capital goods was 21.3% higher and production of energy was 0.6% higher. </w:t>
      </w:r>
    </w:p>
    <w:p w:rsidR="00B23575" w:rsidRDefault="00B23575" w:rsidP="00624567">
      <w:pPr>
        <w:jc w:val="both"/>
        <w:rPr>
          <w:rFonts w:ascii="Arial Narrow" w:hAnsi="Arial Narrow" w:cs="Tahoma"/>
          <w:b/>
          <w:sz w:val="22"/>
        </w:rPr>
      </w:pPr>
    </w:p>
    <w:p w:rsidR="00802CC2" w:rsidRPr="001C767A" w:rsidRDefault="00787FC3" w:rsidP="00624567">
      <w:pPr>
        <w:jc w:val="both"/>
        <w:rPr>
          <w:rFonts w:ascii="Arial Narrow" w:hAnsi="Arial Narrow" w:cs="Tahoma"/>
          <w:sz w:val="22"/>
        </w:rPr>
      </w:pPr>
      <w:r w:rsidRPr="00787FC3">
        <w:rPr>
          <w:rFonts w:ascii="Arial Narrow" w:hAnsi="Arial Narrow" w:cs="Tahoma"/>
          <w:b/>
          <w:spacing w:val="-2"/>
          <w:sz w:val="22"/>
        </w:rPr>
        <w:lastRenderedPageBreak/>
        <w:t>Working-day adjusted industrial production</w:t>
      </w:r>
      <w:r>
        <w:rPr>
          <w:rFonts w:ascii="Arial Narrow" w:hAnsi="Arial Narrow" w:cs="Tahoma"/>
          <w:spacing w:val="-2"/>
          <w:sz w:val="22"/>
        </w:rPr>
        <w:t xml:space="preserve"> in May 2014 compared to May 2013 decreased by 0.3%. </w:t>
      </w:r>
      <w:r w:rsidR="001C767A">
        <w:rPr>
          <w:rFonts w:ascii="Arial Narrow" w:hAnsi="Arial Narrow" w:cs="Tahoma"/>
          <w:spacing w:val="-2"/>
          <w:sz w:val="22"/>
        </w:rPr>
        <w:t xml:space="preserve">In the section </w:t>
      </w:r>
      <w:r w:rsidR="001C767A"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 w:rsidR="001C767A">
        <w:rPr>
          <w:rFonts w:ascii="Arial Narrow" w:hAnsi="Arial Narrow" w:cs="Tahoma"/>
          <w:i/>
          <w:sz w:val="22"/>
          <w:szCs w:val="22"/>
        </w:rPr>
        <w:t xml:space="preserve"> </w:t>
      </w:r>
      <w:r w:rsidR="001C767A">
        <w:rPr>
          <w:rFonts w:ascii="Arial Narrow" w:hAnsi="Arial Narrow" w:cs="Tahoma"/>
          <w:sz w:val="22"/>
          <w:szCs w:val="22"/>
        </w:rPr>
        <w:t xml:space="preserve">a decrease by 13.6% was recorded and in the section </w:t>
      </w:r>
      <w:r w:rsidR="001C767A" w:rsidRPr="00B23575">
        <w:rPr>
          <w:rFonts w:ascii="Arial Narrow" w:hAnsi="Arial Narrow" w:cs="Tahoma"/>
          <w:i/>
          <w:sz w:val="22"/>
          <w:szCs w:val="22"/>
        </w:rPr>
        <w:t>Mining and quarrying</w:t>
      </w:r>
      <w:r w:rsidR="001C767A">
        <w:rPr>
          <w:rFonts w:ascii="Arial Narrow" w:hAnsi="Arial Narrow" w:cs="Tahoma"/>
          <w:i/>
          <w:sz w:val="22"/>
          <w:szCs w:val="22"/>
        </w:rPr>
        <w:t xml:space="preserve"> </w:t>
      </w:r>
      <w:r w:rsidR="001C767A">
        <w:rPr>
          <w:rFonts w:ascii="Arial Narrow" w:hAnsi="Arial Narrow" w:cs="Tahoma"/>
          <w:sz w:val="22"/>
          <w:szCs w:val="22"/>
        </w:rPr>
        <w:t xml:space="preserve">a decrease by 23.6%, while in the section </w:t>
      </w:r>
      <w:r w:rsidR="001C767A" w:rsidRPr="00B23575">
        <w:rPr>
          <w:rFonts w:ascii="Arial Narrow" w:hAnsi="Arial Narrow" w:cs="Tahoma"/>
          <w:i/>
          <w:sz w:val="22"/>
        </w:rPr>
        <w:t>Manufacturing</w:t>
      </w:r>
      <w:r w:rsidR="001C767A">
        <w:rPr>
          <w:rFonts w:ascii="Arial Narrow" w:hAnsi="Arial Narrow" w:cs="Tahoma"/>
          <w:i/>
          <w:sz w:val="22"/>
        </w:rPr>
        <w:t xml:space="preserve"> </w:t>
      </w:r>
      <w:r w:rsidR="001C767A">
        <w:rPr>
          <w:rFonts w:ascii="Arial Narrow" w:hAnsi="Arial Narrow" w:cs="Tahoma"/>
          <w:sz w:val="22"/>
        </w:rPr>
        <w:t xml:space="preserve">an increase by 10.7% was recorded. </w:t>
      </w:r>
      <w:r w:rsidR="001C767A">
        <w:rPr>
          <w:rFonts w:ascii="Arial Narrow" w:hAnsi="Arial Narrow" w:cs="Tahoma"/>
          <w:sz w:val="22"/>
          <w:szCs w:val="22"/>
        </w:rPr>
        <w:t>By main industrial group, based on economic purpose of products, working-day adjusted industrial production of energy in May 2014, compared to May 2013, was 6.3% lower, production of intermediate goods was 10.4% lower and production of consumer durables was 13.9% lower, while production of consumer non-durables was 15.7% higher and production of capital goods was 13.2% higher.</w:t>
      </w:r>
    </w:p>
    <w:p w:rsidR="006053F7" w:rsidRDefault="006053F7" w:rsidP="006053F7">
      <w:pPr>
        <w:jc w:val="both"/>
        <w:rPr>
          <w:rFonts w:ascii="Arial Narrow" w:hAnsi="Arial Narrow" w:cs="Tahoma"/>
          <w:spacing w:val="-2"/>
          <w:sz w:val="22"/>
        </w:rPr>
      </w:pPr>
    </w:p>
    <w:p w:rsidR="006664CA" w:rsidRPr="006664CA" w:rsidRDefault="006664CA" w:rsidP="006053F7">
      <w:pPr>
        <w:jc w:val="both"/>
        <w:rPr>
          <w:rFonts w:ascii="Arial Narrow" w:hAnsi="Arial Narrow" w:cs="Tahoma"/>
          <w:sz w:val="22"/>
        </w:rPr>
      </w:pPr>
      <w:r w:rsidRPr="006664CA">
        <w:rPr>
          <w:rFonts w:ascii="Arial Narrow" w:hAnsi="Arial Narrow" w:cs="Tahoma"/>
          <w:b/>
          <w:spacing w:val="-2"/>
          <w:sz w:val="22"/>
        </w:rPr>
        <w:t>Number of employees in industry</w:t>
      </w:r>
      <w:r>
        <w:rPr>
          <w:rFonts w:ascii="Arial Narrow" w:hAnsi="Arial Narrow" w:cs="Tahoma"/>
          <w:spacing w:val="-2"/>
          <w:sz w:val="22"/>
        </w:rPr>
        <w:t xml:space="preserve"> in May 2014, compared to the same month of the previous year, was 1.5% higher. Compared to the average number of employees in 2013 it was 1.4% higher and compared to April 2014 it was 0.1% lower. Number of employees in industry i</w:t>
      </w:r>
      <w:r w:rsidRPr="006664CA">
        <w:rPr>
          <w:rFonts w:ascii="Arial Narrow" w:hAnsi="Arial Narrow" w:cs="Tahoma"/>
          <w:spacing w:val="-2"/>
          <w:sz w:val="22"/>
        </w:rPr>
        <w:t xml:space="preserve">n the period January – </w:t>
      </w:r>
      <w:r>
        <w:rPr>
          <w:rFonts w:ascii="Arial Narrow" w:hAnsi="Arial Narrow" w:cs="Tahoma"/>
          <w:spacing w:val="-2"/>
          <w:sz w:val="22"/>
        </w:rPr>
        <w:t>May</w:t>
      </w:r>
      <w:r w:rsidRPr="006664CA">
        <w:rPr>
          <w:rFonts w:ascii="Arial Narrow" w:hAnsi="Arial Narrow" w:cs="Tahoma"/>
          <w:spacing w:val="-2"/>
          <w:sz w:val="22"/>
        </w:rPr>
        <w:t xml:space="preserve"> 2014, compared to the same period of the previous year, </w:t>
      </w:r>
      <w:r>
        <w:rPr>
          <w:rFonts w:ascii="Arial Narrow" w:hAnsi="Arial Narrow" w:cs="Tahoma"/>
          <w:spacing w:val="-2"/>
          <w:sz w:val="22"/>
        </w:rPr>
        <w:t>increased by 1.9%. During the same period, i</w:t>
      </w:r>
      <w:r w:rsidRPr="006664CA">
        <w:rPr>
          <w:rFonts w:ascii="Arial Narrow" w:hAnsi="Arial Narrow" w:cs="Tahoma"/>
          <w:spacing w:val="-2"/>
          <w:sz w:val="22"/>
        </w:rPr>
        <w:t xml:space="preserve">n the section </w:t>
      </w:r>
      <w:r w:rsidRPr="006664CA">
        <w:rPr>
          <w:rFonts w:ascii="Arial Narrow" w:hAnsi="Arial Narrow" w:cs="Tahoma"/>
          <w:i/>
          <w:spacing w:val="-2"/>
          <w:sz w:val="22"/>
        </w:rPr>
        <w:t>Mining and quarrying</w:t>
      </w:r>
      <w:r>
        <w:rPr>
          <w:rFonts w:ascii="Arial Narrow" w:hAnsi="Arial Narrow" w:cs="Tahoma"/>
          <w:spacing w:val="-2"/>
          <w:sz w:val="22"/>
        </w:rPr>
        <w:t xml:space="preserve"> an increase by 5.4</w:t>
      </w:r>
      <w:r w:rsidRPr="006664CA">
        <w:rPr>
          <w:rFonts w:ascii="Arial Narrow" w:hAnsi="Arial Narrow" w:cs="Tahoma"/>
          <w:spacing w:val="-2"/>
          <w:sz w:val="22"/>
        </w:rPr>
        <w:t xml:space="preserve">% was realised, in the section </w:t>
      </w:r>
      <w:r w:rsidRPr="006664CA">
        <w:rPr>
          <w:rFonts w:ascii="Arial Narrow" w:hAnsi="Arial Narrow" w:cs="Tahoma"/>
          <w:i/>
          <w:spacing w:val="-2"/>
          <w:sz w:val="22"/>
        </w:rPr>
        <w:t>Manufacturing</w:t>
      </w:r>
      <w:r>
        <w:rPr>
          <w:rFonts w:ascii="Arial Narrow" w:hAnsi="Arial Narrow" w:cs="Tahoma"/>
          <w:spacing w:val="-2"/>
          <w:sz w:val="22"/>
        </w:rPr>
        <w:t xml:space="preserve"> an increase by 1.6</w:t>
      </w:r>
      <w:r w:rsidRPr="006664CA">
        <w:rPr>
          <w:rFonts w:ascii="Arial Narrow" w:hAnsi="Arial Narrow" w:cs="Tahoma"/>
          <w:spacing w:val="-2"/>
          <w:sz w:val="22"/>
        </w:rPr>
        <w:t xml:space="preserve">% and in the section </w:t>
      </w:r>
      <w:r w:rsidRPr="006664CA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>
        <w:rPr>
          <w:rFonts w:ascii="Arial Narrow" w:hAnsi="Arial Narrow" w:cs="Tahoma"/>
          <w:spacing w:val="-2"/>
          <w:sz w:val="22"/>
        </w:rPr>
        <w:t xml:space="preserve"> an increase by 1.5</w:t>
      </w:r>
      <w:r w:rsidRPr="006664CA">
        <w:rPr>
          <w:rFonts w:ascii="Arial Narrow" w:hAnsi="Arial Narrow" w:cs="Tahoma"/>
          <w:spacing w:val="-2"/>
          <w:sz w:val="22"/>
        </w:rPr>
        <w:t>% was recorded</w:t>
      </w:r>
      <w:r>
        <w:rPr>
          <w:rFonts w:ascii="Arial Narrow" w:hAnsi="Arial Narrow" w:cs="Tahoma"/>
          <w:spacing w:val="-2"/>
          <w:sz w:val="22"/>
        </w:rPr>
        <w:t>.</w:t>
      </w:r>
    </w:p>
    <w:p w:rsidR="00517795" w:rsidRPr="00403114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403114" w:rsidRDefault="004E0795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4E0795" w:rsidRPr="00403114" w:rsidRDefault="007F2C02" w:rsidP="00A14198">
      <w:pPr>
        <w:jc w:val="center"/>
        <w:rPr>
          <w:rFonts w:ascii="Tahoma" w:hAnsi="Tahoma" w:cs="Tahoma"/>
          <w:lang w:val="sr-Latn-CS"/>
        </w:rPr>
      </w:pPr>
      <w:r w:rsidRPr="00403114">
        <w:rPr>
          <w:rFonts w:ascii="Tahoma" w:hAnsi="Tahoma" w:cs="Tahoma"/>
          <w:noProof/>
        </w:rPr>
        <w:drawing>
          <wp:inline distT="0" distB="0" distL="0" distR="0">
            <wp:extent cx="6480810" cy="309196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403114" w:rsidRDefault="00AA3EE1" w:rsidP="00A14198">
      <w:pPr>
        <w:jc w:val="center"/>
        <w:rPr>
          <w:rFonts w:ascii="Arial Narrow" w:hAnsi="Arial Narrow" w:cs="Tahoma"/>
          <w:sz w:val="16"/>
          <w:lang w:val="sr-Latn-CS"/>
        </w:rPr>
      </w:pPr>
      <w:r>
        <w:rPr>
          <w:rFonts w:ascii="Arial Narrow" w:hAnsi="Arial Narrow" w:cs="Tahoma"/>
          <w:sz w:val="16"/>
          <w:lang w:val="sr-Latn-CS"/>
        </w:rPr>
        <w:t>Graph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 </w:t>
      </w:r>
      <w:r w:rsidR="00403114">
        <w:rPr>
          <w:rFonts w:ascii="Arial Narrow" w:hAnsi="Arial Narrow" w:cs="Tahoma"/>
          <w:sz w:val="16"/>
          <w:lang w:val="sr-Latn-CS"/>
        </w:rPr>
        <w:t>2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. </w:t>
      </w:r>
      <w:r>
        <w:rPr>
          <w:rFonts w:ascii="Arial Narrow" w:hAnsi="Arial Narrow" w:cs="Tahoma"/>
          <w:sz w:val="16"/>
          <w:lang w:val="sr-Latn-CS"/>
        </w:rPr>
        <w:t>Indices of industrial production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,  </w:t>
      </w:r>
      <w:r>
        <w:rPr>
          <w:rFonts w:ascii="Arial Narrow" w:hAnsi="Arial Narrow" w:cs="Tahoma"/>
          <w:sz w:val="16"/>
        </w:rPr>
        <w:t>May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 20</w:t>
      </w:r>
      <w:r w:rsidR="00B2585D" w:rsidRPr="00403114">
        <w:rPr>
          <w:rFonts w:ascii="Arial Narrow" w:hAnsi="Arial Narrow" w:cs="Tahoma"/>
          <w:sz w:val="16"/>
          <w:lang w:val="sr-Cyrl-CS"/>
        </w:rPr>
        <w:t>10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 – </w:t>
      </w:r>
      <w:r>
        <w:rPr>
          <w:rFonts w:ascii="Arial Narrow" w:hAnsi="Arial Narrow" w:cs="Tahoma"/>
          <w:sz w:val="16"/>
        </w:rPr>
        <w:t>May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 201</w:t>
      </w:r>
      <w:r w:rsidR="00B2585D" w:rsidRPr="00403114">
        <w:rPr>
          <w:rFonts w:ascii="Arial Narrow" w:hAnsi="Arial Narrow" w:cs="Tahoma"/>
          <w:sz w:val="16"/>
          <w:lang w:val="sr-Cyrl-CS"/>
        </w:rPr>
        <w:t>4</w:t>
      </w:r>
      <w:r w:rsidR="00A14198" w:rsidRPr="00403114">
        <w:rPr>
          <w:rFonts w:ascii="Arial Narrow" w:hAnsi="Arial Narrow" w:cs="Tahoma"/>
          <w:sz w:val="16"/>
          <w:lang w:val="sr-Latn-CS"/>
        </w:rPr>
        <w:t xml:space="preserve">  (</w:t>
      </w:r>
      <w:r w:rsidR="00A14198" w:rsidRPr="00403114">
        <w:rPr>
          <w:rFonts w:ascii="Arial Narrow" w:hAnsi="Arial Narrow" w:cs="Tahoma"/>
          <w:sz w:val="16"/>
          <w:lang w:val="sr-Latn-CS"/>
        </w:rPr>
        <w:sym w:font="Symbol" w:char="F0C6"/>
      </w:r>
      <w:r w:rsidR="00A14198" w:rsidRPr="00403114">
        <w:rPr>
          <w:rFonts w:ascii="Arial Narrow" w:hAnsi="Arial Narrow" w:cs="Tahoma"/>
          <w:sz w:val="16"/>
          <w:lang w:val="sr-Latn-CS"/>
        </w:rPr>
        <w:t>2010=100)</w:t>
      </w:r>
    </w:p>
    <w:p w:rsidR="009A1D13" w:rsidRPr="00403114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367C7" w:rsidRPr="00403114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403114" w:rsidRDefault="00221FBE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ru-RU"/>
        </w:rPr>
      </w:pPr>
      <w:bookmarkStart w:id="0" w:name="_GoBack"/>
      <w:r>
        <w:rPr>
          <w:rFonts w:ascii="Arial Narrow" w:hAnsi="Arial Narrow" w:cs="Tahoma"/>
          <w:sz w:val="30"/>
          <w:szCs w:val="30"/>
        </w:rPr>
        <w:t>Export</w:t>
      </w:r>
      <w:r w:rsidR="000A04DF" w:rsidRPr="00403114">
        <w:rPr>
          <w:rFonts w:ascii="Arial Narrow" w:hAnsi="Arial Narrow" w:cs="Tahoma"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sz w:val="30"/>
          <w:szCs w:val="30"/>
          <w:lang w:val="hr-HR"/>
        </w:rPr>
        <w:t>(January</w:t>
      </w:r>
      <w:r w:rsidR="007F1ED7" w:rsidRPr="00403114">
        <w:rPr>
          <w:rFonts w:ascii="Arial Narrow" w:hAnsi="Arial Narrow" w:cs="Tahoma"/>
          <w:sz w:val="30"/>
          <w:szCs w:val="30"/>
          <w:lang w:val="hr-HR"/>
        </w:rPr>
        <w:t>-</w:t>
      </w:r>
      <w:r>
        <w:rPr>
          <w:rFonts w:ascii="Arial Narrow" w:hAnsi="Arial Narrow" w:cs="Tahoma"/>
          <w:sz w:val="30"/>
          <w:szCs w:val="30"/>
          <w:lang w:val="hr-HR"/>
        </w:rPr>
        <w:t>May</w:t>
      </w:r>
      <w:r w:rsidR="000A04DF" w:rsidRPr="00403114">
        <w:rPr>
          <w:rFonts w:ascii="Arial Narrow" w:hAnsi="Arial Narrow" w:cs="Tahoma"/>
          <w:sz w:val="30"/>
          <w:szCs w:val="30"/>
          <w:lang w:val="hr-HR"/>
        </w:rPr>
        <w:t xml:space="preserve"> 201</w:t>
      </w:r>
      <w:r>
        <w:rPr>
          <w:rFonts w:ascii="Arial Narrow" w:hAnsi="Arial Narrow" w:cs="Tahoma"/>
          <w:sz w:val="30"/>
          <w:szCs w:val="30"/>
          <w:lang w:val="hr-HR"/>
        </w:rPr>
        <w:t>4/January</w:t>
      </w:r>
      <w:r w:rsidR="007F1ED7" w:rsidRPr="00403114">
        <w:rPr>
          <w:rFonts w:ascii="Arial Narrow" w:hAnsi="Arial Narrow" w:cs="Tahoma"/>
          <w:sz w:val="30"/>
          <w:szCs w:val="30"/>
          <w:lang w:val="hr-HR"/>
        </w:rPr>
        <w:t>-</w:t>
      </w:r>
      <w:r>
        <w:rPr>
          <w:rFonts w:ascii="Arial Narrow" w:hAnsi="Arial Narrow" w:cs="Tahoma"/>
          <w:sz w:val="30"/>
          <w:szCs w:val="30"/>
          <w:lang w:val="hr-HR"/>
        </w:rPr>
        <w:t>May</w:t>
      </w:r>
      <w:r w:rsidR="00725AED" w:rsidRPr="00403114">
        <w:rPr>
          <w:rFonts w:ascii="Arial Narrow" w:hAnsi="Arial Narrow" w:cs="Tahoma"/>
          <w:sz w:val="30"/>
          <w:szCs w:val="30"/>
          <w:lang w:val="hr-HR"/>
        </w:rPr>
        <w:t xml:space="preserve"> </w:t>
      </w:r>
      <w:r w:rsidR="001A655A" w:rsidRPr="00403114">
        <w:rPr>
          <w:rFonts w:ascii="Arial Narrow" w:hAnsi="Arial Narrow" w:cs="Tahoma"/>
          <w:sz w:val="30"/>
          <w:szCs w:val="30"/>
          <w:lang w:val="hr-HR"/>
        </w:rPr>
        <w:t>2013</w:t>
      </w:r>
      <w:r w:rsidR="000A04DF" w:rsidRPr="00403114">
        <w:rPr>
          <w:rFonts w:ascii="Arial Narrow" w:hAnsi="Arial Narrow" w:cs="Tahoma"/>
          <w:sz w:val="30"/>
          <w:szCs w:val="30"/>
          <w:lang w:val="hr-HR"/>
        </w:rPr>
        <w:t xml:space="preserve">) </w:t>
      </w:r>
      <w:r>
        <w:rPr>
          <w:rFonts w:ascii="Arial Narrow" w:hAnsi="Arial Narrow" w:cs="Tahoma"/>
          <w:sz w:val="30"/>
          <w:szCs w:val="30"/>
        </w:rPr>
        <w:t>increased by</w:t>
      </w:r>
      <w:r w:rsidR="000A04DF" w:rsidRPr="00403114">
        <w:rPr>
          <w:rFonts w:ascii="Arial Narrow" w:hAnsi="Arial Narrow" w:cs="Tahoma"/>
          <w:sz w:val="30"/>
          <w:szCs w:val="30"/>
          <w:lang w:val="sr-Cyrl-BA"/>
        </w:rPr>
        <w:t xml:space="preserve"> </w:t>
      </w:r>
      <w:r w:rsidR="007F1ED7" w:rsidRPr="00403114">
        <w:rPr>
          <w:rFonts w:ascii="Arial Narrow" w:hAnsi="Arial Narrow" w:cs="Tahoma"/>
          <w:sz w:val="30"/>
          <w:szCs w:val="30"/>
        </w:rPr>
        <w:t>4</w:t>
      </w:r>
      <w:r>
        <w:rPr>
          <w:rFonts w:ascii="Arial Narrow" w:hAnsi="Arial Narrow" w:cs="Tahoma"/>
          <w:sz w:val="30"/>
          <w:szCs w:val="30"/>
        </w:rPr>
        <w:t>.</w:t>
      </w:r>
      <w:r w:rsidR="007F1ED7" w:rsidRPr="00403114">
        <w:rPr>
          <w:rFonts w:ascii="Arial Narrow" w:hAnsi="Arial Narrow" w:cs="Tahoma"/>
          <w:sz w:val="30"/>
          <w:szCs w:val="30"/>
        </w:rPr>
        <w:t>3</w:t>
      </w:r>
      <w:r w:rsidR="000A04DF" w:rsidRPr="00403114">
        <w:rPr>
          <w:rFonts w:ascii="Arial Narrow" w:hAnsi="Arial Narrow" w:cs="Tahoma"/>
          <w:sz w:val="30"/>
          <w:szCs w:val="30"/>
          <w:lang w:val="ru-RU"/>
        </w:rPr>
        <w:t>%</w:t>
      </w:r>
    </w:p>
    <w:p w:rsidR="00777348" w:rsidRPr="00403114" w:rsidRDefault="00221FBE" w:rsidP="00777348">
      <w:pPr>
        <w:rPr>
          <w:rFonts w:ascii="Arial Narrow" w:hAnsi="Arial Narrow" w:cs="Tahoma"/>
          <w:sz w:val="28"/>
          <w:szCs w:val="26"/>
          <w:lang w:val="sr-Cyrl-CS"/>
        </w:rPr>
      </w:pPr>
      <w:r>
        <w:rPr>
          <w:rFonts w:ascii="Arial Narrow" w:hAnsi="Arial Narrow" w:cs="Tahoma"/>
          <w:sz w:val="28"/>
          <w:szCs w:val="26"/>
        </w:rPr>
        <w:t>Coverage of import with export</w:t>
      </w:r>
      <w:r w:rsidR="00777348" w:rsidRPr="00403114">
        <w:rPr>
          <w:rFonts w:ascii="Arial Narrow" w:hAnsi="Arial Narrow" w:cs="Tahoma"/>
          <w:sz w:val="28"/>
          <w:szCs w:val="26"/>
          <w:lang w:val="sr-Cyrl-BA"/>
        </w:rPr>
        <w:t xml:space="preserve"> (</w:t>
      </w:r>
      <w:r>
        <w:rPr>
          <w:rFonts w:ascii="Arial Narrow" w:hAnsi="Arial Narrow" w:cs="Tahoma"/>
          <w:sz w:val="28"/>
          <w:szCs w:val="26"/>
        </w:rPr>
        <w:t>in the period</w:t>
      </w:r>
      <w:r w:rsidR="002E172F" w:rsidRPr="00403114">
        <w:rPr>
          <w:rFonts w:ascii="Arial Narrow" w:hAnsi="Arial Narrow" w:cs="Tahoma"/>
          <w:sz w:val="28"/>
          <w:szCs w:val="26"/>
          <w:lang w:val="sr-Cyrl-BA"/>
        </w:rPr>
        <w:t xml:space="preserve"> </w:t>
      </w:r>
      <w:r>
        <w:rPr>
          <w:rFonts w:ascii="Arial Narrow" w:hAnsi="Arial Narrow" w:cs="Tahoma"/>
          <w:sz w:val="28"/>
          <w:szCs w:val="26"/>
          <w:lang w:val="sr-Latn-CS"/>
        </w:rPr>
        <w:t>January</w:t>
      </w:r>
      <w:r w:rsidR="002E172F" w:rsidRPr="00403114">
        <w:rPr>
          <w:rFonts w:ascii="Arial Narrow" w:hAnsi="Arial Narrow" w:cs="Tahoma"/>
          <w:sz w:val="28"/>
          <w:szCs w:val="26"/>
          <w:lang w:val="sr-Cyrl-BA"/>
        </w:rPr>
        <w:t>-</w:t>
      </w:r>
      <w:r>
        <w:rPr>
          <w:rFonts w:ascii="Arial Narrow" w:hAnsi="Arial Narrow" w:cs="Tahoma"/>
          <w:sz w:val="28"/>
          <w:szCs w:val="26"/>
        </w:rPr>
        <w:t>May</w:t>
      </w:r>
      <w:r w:rsidR="00777348" w:rsidRPr="00403114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777348" w:rsidRPr="00403114">
        <w:rPr>
          <w:rFonts w:ascii="Arial Narrow" w:hAnsi="Arial Narrow" w:cs="Tahoma"/>
          <w:sz w:val="28"/>
          <w:szCs w:val="26"/>
          <w:lang w:val="ru-RU"/>
        </w:rPr>
        <w:t>201</w:t>
      </w:r>
      <w:r w:rsidR="001A655A" w:rsidRPr="00403114">
        <w:rPr>
          <w:rFonts w:ascii="Arial Narrow" w:hAnsi="Arial Narrow" w:cs="Tahoma"/>
          <w:sz w:val="28"/>
          <w:szCs w:val="26"/>
        </w:rPr>
        <w:t>4</w:t>
      </w:r>
      <w:r w:rsidR="00777348" w:rsidRPr="00403114">
        <w:rPr>
          <w:rFonts w:ascii="Arial Narrow" w:hAnsi="Arial Narrow" w:cs="Tahoma"/>
          <w:sz w:val="28"/>
          <w:szCs w:val="26"/>
          <w:lang w:val="sr-Cyrl-BA"/>
        </w:rPr>
        <w:t>)</w:t>
      </w:r>
      <w:r w:rsidR="00777348" w:rsidRPr="00403114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7F1ED7" w:rsidRPr="00403114">
        <w:rPr>
          <w:rFonts w:ascii="Arial Narrow" w:hAnsi="Arial Narrow" w:cs="Tahoma"/>
          <w:sz w:val="28"/>
          <w:szCs w:val="26"/>
          <w:lang w:val="sr-Cyrl-BA"/>
        </w:rPr>
        <w:t>5</w:t>
      </w:r>
      <w:r w:rsidR="007F1ED7" w:rsidRPr="00403114">
        <w:rPr>
          <w:rFonts w:ascii="Arial Narrow" w:hAnsi="Arial Narrow" w:cs="Tahoma"/>
          <w:sz w:val="28"/>
          <w:szCs w:val="26"/>
        </w:rPr>
        <w:t>6</w:t>
      </w:r>
      <w:r>
        <w:rPr>
          <w:rFonts w:ascii="Arial Narrow" w:hAnsi="Arial Narrow" w:cs="Tahoma"/>
          <w:sz w:val="28"/>
          <w:szCs w:val="26"/>
        </w:rPr>
        <w:t>.</w:t>
      </w:r>
      <w:r w:rsidR="007F1ED7" w:rsidRPr="00403114">
        <w:rPr>
          <w:rFonts w:ascii="Arial Narrow" w:hAnsi="Arial Narrow" w:cs="Tahoma"/>
          <w:sz w:val="28"/>
          <w:szCs w:val="26"/>
        </w:rPr>
        <w:t>5</w:t>
      </w:r>
      <w:r w:rsidR="00777348" w:rsidRPr="00403114">
        <w:rPr>
          <w:rFonts w:ascii="Arial Narrow" w:hAnsi="Arial Narrow" w:cs="Tahoma"/>
          <w:sz w:val="28"/>
          <w:szCs w:val="26"/>
          <w:lang w:val="ru-RU"/>
        </w:rPr>
        <w:t xml:space="preserve">% </w:t>
      </w:r>
    </w:p>
    <w:bookmarkEnd w:id="0"/>
    <w:p w:rsidR="00777348" w:rsidRPr="00403114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7A6714" w:rsidRDefault="007A6714" w:rsidP="002E172F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May 2014, the value of export amounted to 205 million KM and the value of import was 431 million KM. </w:t>
      </w:r>
    </w:p>
    <w:p w:rsidR="002E172F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7A6714" w:rsidRPr="007A6714" w:rsidRDefault="007A6714" w:rsidP="0077734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May 2014, the value of export was 1 billion and 64 million KM, which represented an increase by 4.3% compared to the same period of the previous year. During the same period, the value of import was 1 billion and 881 million KM, which represented an increase by 5.3% compared to the same period of the previous year. The percentage of coverage of import with export in the first five months of the current year was 56.5%. </w:t>
      </w:r>
    </w:p>
    <w:p w:rsidR="000778B8" w:rsidRDefault="000778B8" w:rsidP="00777348">
      <w:pPr>
        <w:jc w:val="both"/>
        <w:rPr>
          <w:rFonts w:ascii="Arial Narrow" w:hAnsi="Arial Narrow" w:cs="Tahoma"/>
          <w:sz w:val="22"/>
        </w:rPr>
      </w:pPr>
    </w:p>
    <w:p w:rsidR="007A6714" w:rsidRPr="007A6714" w:rsidRDefault="007A6714" w:rsidP="007A6714">
      <w:pPr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>
        <w:rPr>
          <w:rFonts w:ascii="Arial Narrow" w:hAnsi="Arial Narrow" w:cs="Tahoma"/>
          <w:sz w:val="22"/>
        </w:rPr>
        <w:t>May</w:t>
      </w:r>
      <w:r w:rsidRPr="007A6714">
        <w:rPr>
          <w:rFonts w:ascii="Arial Narrow" w:hAnsi="Arial Narrow" w:cs="Tahoma"/>
          <w:sz w:val="22"/>
        </w:rPr>
        <w:t xml:space="preserve"> 2014, the highest value of export was that of export to Italy, with </w:t>
      </w:r>
      <w:r>
        <w:rPr>
          <w:rFonts w:ascii="Arial Narrow" w:hAnsi="Arial Narrow" w:cs="Tahoma"/>
          <w:sz w:val="22"/>
        </w:rPr>
        <w:t>195 million KM or 18.3</w:t>
      </w:r>
      <w:r w:rsidRPr="007A6714">
        <w:rPr>
          <w:rFonts w:ascii="Arial Narrow" w:hAnsi="Arial Narrow" w:cs="Tahoma"/>
          <w:sz w:val="22"/>
        </w:rPr>
        <w:t xml:space="preserve">%, followed by Serbia, with </w:t>
      </w:r>
      <w:r>
        <w:rPr>
          <w:rFonts w:ascii="Arial Narrow" w:hAnsi="Arial Narrow" w:cs="Tahoma"/>
          <w:sz w:val="22"/>
        </w:rPr>
        <w:t>153 million or 14.4</w:t>
      </w:r>
      <w:r w:rsidRPr="007A6714">
        <w:rPr>
          <w:rFonts w:ascii="Arial Narrow" w:hAnsi="Arial Narrow" w:cs="Tahoma"/>
          <w:sz w:val="22"/>
        </w:rPr>
        <w:t xml:space="preserve">% of the total realised export. </w:t>
      </w:r>
    </w:p>
    <w:p w:rsidR="007A6714" w:rsidRPr="007A6714" w:rsidRDefault="007A6714" w:rsidP="00777348">
      <w:pPr>
        <w:jc w:val="both"/>
        <w:rPr>
          <w:rFonts w:ascii="Arial Narrow" w:hAnsi="Arial Narrow" w:cs="Tahoma"/>
          <w:sz w:val="22"/>
        </w:rPr>
      </w:pPr>
    </w:p>
    <w:p w:rsidR="007A6714" w:rsidRPr="007A6714" w:rsidRDefault="007A6714" w:rsidP="007A671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During the same period, the highest value of import was that of import from Russia, with </w:t>
      </w:r>
      <w:r>
        <w:rPr>
          <w:rFonts w:ascii="Arial Narrow" w:hAnsi="Arial Narrow" w:cs="Tahoma"/>
          <w:sz w:val="22"/>
        </w:rPr>
        <w:t>439</w:t>
      </w:r>
      <w:r w:rsidRPr="007A6714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23.3</w:t>
      </w:r>
      <w:r w:rsidRPr="007A6714">
        <w:rPr>
          <w:rFonts w:ascii="Arial Narrow" w:hAnsi="Arial Narrow" w:cs="Tahoma"/>
          <w:sz w:val="22"/>
        </w:rPr>
        <w:t xml:space="preserve">%, followed by Serbia, with </w:t>
      </w:r>
      <w:r>
        <w:rPr>
          <w:rFonts w:ascii="Arial Narrow" w:hAnsi="Arial Narrow" w:cs="Tahoma"/>
          <w:sz w:val="22"/>
        </w:rPr>
        <w:t>288 million KM or 15.3</w:t>
      </w:r>
      <w:r w:rsidRPr="007A6714">
        <w:rPr>
          <w:rFonts w:ascii="Arial Narrow" w:hAnsi="Arial Narrow" w:cs="Tahoma"/>
          <w:sz w:val="22"/>
        </w:rPr>
        <w:t xml:space="preserve">% of the total realised import. </w:t>
      </w:r>
    </w:p>
    <w:p w:rsidR="007A6714" w:rsidRPr="007A6714" w:rsidRDefault="007A6714" w:rsidP="007A671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A6714" w:rsidRPr="007A6714" w:rsidRDefault="007A6714" w:rsidP="007A671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May</w:t>
      </w:r>
      <w:r w:rsidRPr="007A6714">
        <w:rPr>
          <w:rFonts w:ascii="Arial Narrow" w:hAnsi="Arial Narrow" w:cs="Tahoma"/>
          <w:sz w:val="22"/>
        </w:rPr>
        <w:t xml:space="preserve"> 2014, the highest share in export was that of </w:t>
      </w:r>
      <w:r w:rsidRPr="007A6714">
        <w:rPr>
          <w:rFonts w:ascii="Arial Narrow" w:hAnsi="Arial Narrow" w:cs="Tahoma"/>
          <w:bCs/>
          <w:sz w:val="22"/>
        </w:rPr>
        <w:t xml:space="preserve">petroleum oils and oils obtained from bituminous minerals (except raw) with the total value of </w:t>
      </w:r>
      <w:r>
        <w:rPr>
          <w:rFonts w:ascii="Arial Narrow" w:hAnsi="Arial Narrow" w:cs="Tahoma"/>
          <w:bCs/>
          <w:sz w:val="22"/>
        </w:rPr>
        <w:t>101 million KM, which was 9.5</w:t>
      </w:r>
      <w:r w:rsidRPr="007A6714">
        <w:rPr>
          <w:rFonts w:ascii="Arial Narrow" w:hAnsi="Arial Narrow" w:cs="Tahoma"/>
          <w:bCs/>
          <w:sz w:val="22"/>
        </w:rPr>
        <w:t xml:space="preserve">% of the total export, while the </w:t>
      </w:r>
      <w:r w:rsidRPr="007A6714">
        <w:rPr>
          <w:rFonts w:ascii="Arial Narrow" w:hAnsi="Arial Narrow" w:cs="Tahoma"/>
          <w:bCs/>
          <w:sz w:val="22"/>
        </w:rPr>
        <w:lastRenderedPageBreak/>
        <w:t xml:space="preserve">highest share in import was that of </w:t>
      </w:r>
      <w:r w:rsidRPr="007A6714">
        <w:rPr>
          <w:rFonts w:ascii="Arial Narrow" w:hAnsi="Arial Narrow" w:cs="Tahoma"/>
          <w:sz w:val="22"/>
        </w:rPr>
        <w:t xml:space="preserve">petroleum and oils obtained from bituminous minerals (raw), with the total value of </w:t>
      </w:r>
      <w:r>
        <w:rPr>
          <w:rFonts w:ascii="Arial Narrow" w:hAnsi="Arial Narrow" w:cs="Tahoma"/>
          <w:sz w:val="22"/>
        </w:rPr>
        <w:t>431 million KM, which was 22.9</w:t>
      </w:r>
      <w:r w:rsidRPr="007A6714">
        <w:rPr>
          <w:rFonts w:ascii="Arial Narrow" w:hAnsi="Arial Narrow" w:cs="Tahoma"/>
          <w:sz w:val="22"/>
        </w:rPr>
        <w:t xml:space="preserve">% of the total import. </w:t>
      </w:r>
    </w:p>
    <w:p w:rsidR="0096363D" w:rsidRPr="00403114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77348" w:rsidRPr="00403114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15CDB" w:rsidRPr="0040311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403114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03114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221FBE" w:rsidRDefault="00221F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221FBE" w:rsidRPr="00221FBE" w:rsidRDefault="00221F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8809BE" w:rsidRPr="00403114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403114" w:rsidRDefault="002246BC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B23575" w:rsidRPr="003A2A46" w:rsidRDefault="00B2357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6"/>
                      <w:szCs w:val="18"/>
                    </w:rPr>
                    <w:t>thous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115CDB" w:rsidRPr="00403114" w:rsidRDefault="00115CDB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</w:p>
    <w:p w:rsidR="00115CDB" w:rsidRPr="00403114" w:rsidRDefault="00BE098D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403114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4762831" cy="256827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43E2" w:rsidRPr="00403114" w:rsidRDefault="002246BC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B23575" w:rsidRPr="003A2A46" w:rsidRDefault="00B2357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75.05pt;margin-top:-.25pt;width:48.5pt;height:16.4pt;z-index:251662336;mso-height-percent:200;mso-height-percent:200;mso-width-relative:margin;mso-height-relative:margin" stroked="f">
            <v:textbox style="mso-next-textbox:#_x0000_s1066;mso-fit-shape-to-text:t">
              <w:txbxContent>
                <w:p w:rsidR="00B23575" w:rsidRPr="003A2A46" w:rsidRDefault="00B23575" w:rsidP="00115CDB">
                  <w:pPr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</w:p>
    <w:p w:rsidR="004A1822" w:rsidRPr="00403114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A152A0" w:rsidRDefault="00A152A0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</w:rPr>
      </w:pPr>
      <w:r>
        <w:rPr>
          <w:rFonts w:ascii="Arial Narrow" w:hAnsi="Arial Narrow" w:cs="Tahoma"/>
          <w:sz w:val="16"/>
        </w:rPr>
        <w:t>Graph</w:t>
      </w:r>
      <w:r w:rsidR="00777348" w:rsidRPr="00403114">
        <w:rPr>
          <w:rFonts w:ascii="Arial Narrow" w:hAnsi="Arial Narrow" w:cs="Tahoma"/>
          <w:sz w:val="16"/>
          <w:lang w:val="ru-RU"/>
        </w:rPr>
        <w:t xml:space="preserve"> </w:t>
      </w:r>
      <w:r w:rsidR="00403114">
        <w:rPr>
          <w:rFonts w:ascii="Arial Narrow" w:hAnsi="Arial Narrow" w:cs="Tahoma"/>
          <w:sz w:val="16"/>
          <w:lang w:val="sr-Latn-CS"/>
        </w:rPr>
        <w:t>3</w:t>
      </w:r>
      <w:r w:rsidR="00777348" w:rsidRPr="00403114">
        <w:rPr>
          <w:rFonts w:ascii="Arial Narrow" w:hAnsi="Arial Narrow" w:cs="Tahoma"/>
          <w:sz w:val="16"/>
          <w:lang w:val="ru-RU"/>
        </w:rPr>
        <w:t xml:space="preserve">. </w:t>
      </w:r>
      <w:r>
        <w:rPr>
          <w:rFonts w:ascii="Arial Narrow" w:hAnsi="Arial Narrow" w:cs="Tahoma"/>
          <w:iCs/>
          <w:sz w:val="16"/>
        </w:rPr>
        <w:t>Export and import by month</w:t>
      </w:r>
    </w:p>
    <w:p w:rsidR="00115CDB" w:rsidRPr="0040311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403114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403114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7977C1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7977C1" w:rsidRDefault="00F04A4B" w:rsidP="00115CDB">
      <w:pPr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B804C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DB5870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9E2A9A" w:rsidRPr="00DB5870" w:rsidRDefault="002246BC" w:rsidP="00B804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B587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DB5870" w:rsidRDefault="009E2A9A" w:rsidP="00B41EF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B804CF" w:rsidRPr="00F8749F" w:rsidRDefault="00B804CF" w:rsidP="00B804CF">
            <w:pPr>
              <w:jc w:val="both"/>
              <w:rPr>
                <w:rFonts w:ascii="Arial Narrow" w:hAnsi="Arial Narrow" w:cs="Tahoma"/>
                <w:sz w:val="18"/>
                <w:szCs w:val="18"/>
                <w:u w:val="single"/>
                <w:lang w:val="sr-Latn-CS"/>
              </w:rPr>
            </w:pPr>
            <w:r w:rsidRPr="00F8749F">
              <w:rPr>
                <w:rFonts w:ascii="Arial Narrow" w:hAnsi="Arial Narrow" w:cs="Tahoma"/>
                <w:sz w:val="18"/>
                <w:szCs w:val="18"/>
                <w:u w:val="single"/>
                <w:lang w:val="sr-Latn-CS"/>
              </w:rPr>
              <w:t>zeljka.draskovic@rzs.rs.ba</w:t>
            </w:r>
          </w:p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sz w:val="18"/>
                <w:szCs w:val="18"/>
              </w:rPr>
              <w:t>Jasminka Milić</w:t>
            </w:r>
          </w:p>
          <w:p w:rsidR="00B804CF" w:rsidRPr="00DB5870" w:rsidRDefault="002246BC" w:rsidP="00B804CF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4" w:history="1"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B804CF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sz w:val="18"/>
                <w:szCs w:val="18"/>
              </w:rPr>
              <w:t>Mirjana Bandur</w:t>
            </w:r>
          </w:p>
          <w:p w:rsidR="009E2A9A" w:rsidRPr="00DB5870" w:rsidRDefault="002246BC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</w:pPr>
            <w:hyperlink r:id="rId15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  <w:r w:rsidR="009E2A9A" w:rsidRPr="00DB5870"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  <w:t xml:space="preserve"> </w:t>
            </w: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B804CF" w:rsidRPr="00846A7F" w:rsidRDefault="00B804CF" w:rsidP="00B804CF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46A7F">
              <w:rPr>
                <w:rFonts w:ascii="Arial Narrow" w:hAnsi="Arial Narrow" w:cs="Tahoma"/>
                <w:sz w:val="18"/>
                <w:szCs w:val="18"/>
              </w:rPr>
              <w:t>Sanja Stojčević Uvalić</w:t>
            </w:r>
            <w:r>
              <w:rPr>
                <w:rFonts w:ascii="Arial Narrow" w:hAnsi="Arial Narrow" w:cs="Tahoma"/>
                <w:sz w:val="18"/>
                <w:szCs w:val="18"/>
              </w:rPr>
              <w:t>, MSc</w:t>
            </w:r>
          </w:p>
          <w:p w:rsidR="00A62FE1" w:rsidRPr="00DB5870" w:rsidRDefault="002246BC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911780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11780" w:rsidRPr="00B804CF" w:rsidRDefault="00B804C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Crime statistics</w:t>
            </w:r>
          </w:p>
          <w:p w:rsidR="00B804CF" w:rsidRDefault="00B804CF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Vanja Vilipić</w:t>
            </w:r>
          </w:p>
          <w:p w:rsidR="00911780" w:rsidRPr="00911780" w:rsidRDefault="00911780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  <w:r w:rsidRPr="00911780">
              <w:rPr>
                <w:rFonts w:ascii="Arial Narrow" w:hAnsi="Arial Narrow" w:cs="Tahoma"/>
                <w:sz w:val="18"/>
                <w:szCs w:val="18"/>
                <w:u w:val="single"/>
              </w:rPr>
              <w:t>vanja.vilipic@rzs.rs.ba</w:t>
            </w: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B804CF" w:rsidRDefault="00B804CF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B804CF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B804CF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D61322" w:rsidRPr="004C20B5" w:rsidRDefault="00D61322" w:rsidP="00D61322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B804CF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4C20B5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86D1F" w:rsidRPr="00186D1F" w:rsidRDefault="00186D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186D1F" w:rsidRDefault="00186D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03114" w:rsidRDefault="004031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03114" w:rsidRDefault="004031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403114" w:rsidRPr="00403114" w:rsidRDefault="0040311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7977C1" w:rsidRDefault="007977C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C1" w:rsidRDefault="007977C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D7229" w:rsidRDefault="007D722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2246B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4C20B5" w:rsidTr="00E47751">
        <w:trPr>
          <w:trHeight w:hRule="exact" w:val="113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E47751" w:rsidRPr="004C20B5" w:rsidTr="00E47751">
        <w:tc>
          <w:tcPr>
            <w:tcW w:w="10490" w:type="dxa"/>
            <w:tcMar>
              <w:left w:w="0" w:type="dxa"/>
              <w:right w:w="0" w:type="dxa"/>
            </w:tcMar>
          </w:tcPr>
          <w:p w:rsidR="00E47751" w:rsidRPr="00DB5870" w:rsidRDefault="00E47751" w:rsidP="00E47751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9433A7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E47751" w:rsidRPr="004C20B5" w:rsidTr="00E47751">
        <w:trPr>
          <w:trHeight w:val="1603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E47751" w:rsidRPr="009433A7" w:rsidRDefault="00E47751" w:rsidP="00E477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lastRenderedPageBreak/>
              <w:t>Vladan Sibinović, Head of the Division</w:t>
            </w:r>
          </w:p>
          <w:p w:rsidR="00E47751" w:rsidRPr="009433A7" w:rsidRDefault="00E47751" w:rsidP="00E477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Statistics,</w:t>
            </w:r>
          </w:p>
          <w:p w:rsidR="00E47751" w:rsidRPr="009433A7" w:rsidRDefault="00E47751" w:rsidP="00E477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E47751" w:rsidRPr="009433A7" w:rsidRDefault="00E47751" w:rsidP="00E477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>Radmila Čičković, PhD, Director General of the Institute</w:t>
            </w:r>
          </w:p>
          <w:p w:rsidR="00E47751" w:rsidRPr="009433A7" w:rsidRDefault="00E47751" w:rsidP="00E477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E47751" w:rsidRDefault="00E47751" w:rsidP="00E47751">
            <w:pPr>
              <w:jc w:val="center"/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7" w:history="1">
              <w:r w:rsidRPr="009433A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E47751" w:rsidRPr="004C20B5" w:rsidRDefault="00E47751" w:rsidP="00E4775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E47751" w:rsidRPr="00E74FF2" w:rsidRDefault="00E47751" w:rsidP="00E4775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9433A7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C20B5" w:rsidRDefault="002246BC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75" w:rsidRDefault="00B23575">
      <w:r>
        <w:separator/>
      </w:r>
    </w:p>
  </w:endnote>
  <w:endnote w:type="continuationSeparator" w:id="0">
    <w:p w:rsidR="00B23575" w:rsidRDefault="00B2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75" w:rsidRDefault="002246BC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B23575" w:rsidRPr="00175687" w:rsidRDefault="00B23575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2246BC">
                    <w:rPr>
                      <w:rFonts w:ascii="Tahoma" w:hAnsi="Tahoma" w:cs="Tahoma"/>
                      <w:noProof/>
                      <w:color w:val="FFFFFF"/>
                    </w:rPr>
                    <w:t>4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75" w:rsidRDefault="002246BC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B23575" w:rsidRPr="00175687" w:rsidRDefault="00B23575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2246BC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75" w:rsidRDefault="00B23575">
      <w:r>
        <w:separator/>
      </w:r>
    </w:p>
  </w:footnote>
  <w:footnote w:type="continuationSeparator" w:id="0">
    <w:p w:rsidR="00B23575" w:rsidRDefault="00B2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B2357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B23575" w:rsidRPr="00A152A0" w:rsidRDefault="00B2357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B23575" w:rsidRPr="00A152A0" w:rsidRDefault="00B23575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B23575" w:rsidRPr="005D5311" w:rsidRDefault="00B23575" w:rsidP="00A152A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Latn-CS"/>
            </w:rPr>
            <w:t>4</w:t>
          </w:r>
          <w:r w:rsidRPr="00A152A0">
            <w:rPr>
              <w:rFonts w:ascii="Arial Narrow" w:hAnsi="Arial Narrow" w:cs="Tahoma"/>
              <w:color w:val="0070C0"/>
              <w:sz w:val="18"/>
              <w:vertAlign w:val="superscript"/>
            </w:rPr>
            <w:t>th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 </w:t>
          </w:r>
          <w:r>
            <w:rPr>
              <w:rFonts w:ascii="Arial Narrow" w:hAnsi="Arial Narrow" w:cs="Tahoma"/>
              <w:color w:val="0070C0"/>
              <w:sz w:val="18"/>
            </w:rPr>
            <w:t>June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6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B23575" w:rsidRDefault="002246BC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1E8B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581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6A9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5D64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67A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1FBE"/>
    <w:rsid w:val="0022220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6BC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A61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0F4"/>
    <w:rsid w:val="00373311"/>
    <w:rsid w:val="00373641"/>
    <w:rsid w:val="003736D2"/>
    <w:rsid w:val="00373D2D"/>
    <w:rsid w:val="00374009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0AB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11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A7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741"/>
    <w:rsid w:val="00451A53"/>
    <w:rsid w:val="00451E0A"/>
    <w:rsid w:val="004521D8"/>
    <w:rsid w:val="00452346"/>
    <w:rsid w:val="00452440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0B6B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8E3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6F43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4CA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15F2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87FC3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714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561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1AF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2A73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A7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C0F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0A6B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5E44"/>
    <w:rsid w:val="008A7375"/>
    <w:rsid w:val="008A74FC"/>
    <w:rsid w:val="008A7ABC"/>
    <w:rsid w:val="008A7E2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2CE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1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69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5DD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0C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2A0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49"/>
    <w:rsid w:val="00A859DF"/>
    <w:rsid w:val="00A85FF0"/>
    <w:rsid w:val="00A8649C"/>
    <w:rsid w:val="00A87773"/>
    <w:rsid w:val="00A87D08"/>
    <w:rsid w:val="00A87D87"/>
    <w:rsid w:val="00A90589"/>
    <w:rsid w:val="00A907DB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2EED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EE1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22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59F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57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605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4CF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2BC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A0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44F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A75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A83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400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6AB0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51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574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5AB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0831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1C6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1DD0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161"/>
    <w:rsid w:val="00F77D3F"/>
    <w:rsid w:val="00F817E4"/>
    <w:rsid w:val="00F818C3"/>
    <w:rsid w:val="00F81A71"/>
    <w:rsid w:val="00F8285E"/>
    <w:rsid w:val="00F833BA"/>
    <w:rsid w:val="00F84123"/>
    <w:rsid w:val="00F843A5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E7EA9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7EF7883A-FCC0-4292-9B32-B99DE4CF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jasminka.mil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Maj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maj%202014\za%20Graf%20I-V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2013</c:v>
                  </c:pt>
                  <c:pt idx="8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796</c:v>
                </c:pt>
                <c:pt idx="1">
                  <c:v>816</c:v>
                </c:pt>
                <c:pt idx="2">
                  <c:v>803</c:v>
                </c:pt>
                <c:pt idx="3">
                  <c:v>811</c:v>
                </c:pt>
                <c:pt idx="4">
                  <c:v>813</c:v>
                </c:pt>
                <c:pt idx="5">
                  <c:v>808</c:v>
                </c:pt>
                <c:pt idx="6">
                  <c:v>811</c:v>
                </c:pt>
                <c:pt idx="7">
                  <c:v>820</c:v>
                </c:pt>
                <c:pt idx="8">
                  <c:v>810</c:v>
                </c:pt>
                <c:pt idx="9">
                  <c:v>822</c:v>
                </c:pt>
                <c:pt idx="10">
                  <c:v>815</c:v>
                </c:pt>
                <c:pt idx="11">
                  <c:v>821</c:v>
                </c:pt>
                <c:pt idx="12">
                  <c:v>818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552304"/>
        <c:axId val="119552688"/>
      </c:lineChart>
      <c:catAx>
        <c:axId val="11955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19552688"/>
        <c:crosses val="autoZero"/>
        <c:auto val="1"/>
        <c:lblAlgn val="ctr"/>
        <c:lblOffset val="100"/>
        <c:noMultiLvlLbl val="0"/>
      </c:catAx>
      <c:valAx>
        <c:axId val="119552688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195523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2010</c:v>
                  </c:pt>
                  <c:pt idx="8">
                    <c:v>2011</c:v>
                  </c:pt>
                  <c:pt idx="20">
                    <c:v>2012</c:v>
                  </c:pt>
                  <c:pt idx="32">
                    <c:v>2013</c:v>
                  </c:pt>
                  <c:pt idx="44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105.00664146925649</c:v>
                </c:pt>
                <c:pt idx="1">
                  <c:v>97.669659099564512</c:v>
                </c:pt>
                <c:pt idx="2">
                  <c:v>91.424014089634525</c:v>
                </c:pt>
                <c:pt idx="3">
                  <c:v>98.17858191202005</c:v>
                </c:pt>
                <c:pt idx="4">
                  <c:v>98.703116640028526</c:v>
                </c:pt>
                <c:pt idx="5">
                  <c:v>98.171612509604472</c:v>
                </c:pt>
                <c:pt idx="6">
                  <c:v>101.99912348291672</c:v>
                </c:pt>
                <c:pt idx="7">
                  <c:v>104.14520408427695</c:v>
                </c:pt>
                <c:pt idx="8">
                  <c:v>107.23778040568405</c:v>
                </c:pt>
                <c:pt idx="9">
                  <c:v>101.67885484364599</c:v>
                </c:pt>
                <c:pt idx="10">
                  <c:v>103.50103660152411</c:v>
                </c:pt>
                <c:pt idx="11">
                  <c:v>100.85135659378759</c:v>
                </c:pt>
                <c:pt idx="12">
                  <c:v>103.67769883232172</c:v>
                </c:pt>
                <c:pt idx="13">
                  <c:v>105.73498647325195</c:v>
                </c:pt>
                <c:pt idx="14">
                  <c:v>110.3481537222485</c:v>
                </c:pt>
                <c:pt idx="15">
                  <c:v>107.46366657164623</c:v>
                </c:pt>
                <c:pt idx="16">
                  <c:v>99.405386319203558</c:v>
                </c:pt>
                <c:pt idx="17">
                  <c:v>104.43442113000843</c:v>
                </c:pt>
                <c:pt idx="18">
                  <c:v>103.45823998823066</c:v>
                </c:pt>
                <c:pt idx="19">
                  <c:v>100.01013893349705</c:v>
                </c:pt>
                <c:pt idx="20">
                  <c:v>102.45004641367855</c:v>
                </c:pt>
                <c:pt idx="21">
                  <c:v>97.697602453540014</c:v>
                </c:pt>
                <c:pt idx="22">
                  <c:v>101.23105677555351</c:v>
                </c:pt>
                <c:pt idx="23">
                  <c:v>101.24565620958646</c:v>
                </c:pt>
                <c:pt idx="24">
                  <c:v>99.741234407820727</c:v>
                </c:pt>
                <c:pt idx="25">
                  <c:v>99.792078246907579</c:v>
                </c:pt>
                <c:pt idx="26">
                  <c:v>93.444495445650986</c:v>
                </c:pt>
                <c:pt idx="27">
                  <c:v>98.789937231772953</c:v>
                </c:pt>
                <c:pt idx="28">
                  <c:v>106.23355661513838</c:v>
                </c:pt>
                <c:pt idx="29">
                  <c:v>100.9299810631027</c:v>
                </c:pt>
                <c:pt idx="30">
                  <c:v>99.060801218753397</c:v>
                </c:pt>
                <c:pt idx="31">
                  <c:v>101.37165673580985</c:v>
                </c:pt>
                <c:pt idx="32">
                  <c:v>101.0549647973032</c:v>
                </c:pt>
                <c:pt idx="33">
                  <c:v>101.43787335138624</c:v>
                </c:pt>
                <c:pt idx="34">
                  <c:v>100.50154584406769</c:v>
                </c:pt>
                <c:pt idx="35">
                  <c:v>109.02991886483581</c:v>
                </c:pt>
                <c:pt idx="36">
                  <c:v>103.67560536355475</c:v>
                </c:pt>
                <c:pt idx="37">
                  <c:v>104.94379748406229</c:v>
                </c:pt>
                <c:pt idx="38">
                  <c:v>110.44846870271833</c:v>
                </c:pt>
                <c:pt idx="39">
                  <c:v>104.6649124182769</c:v>
                </c:pt>
                <c:pt idx="40">
                  <c:v>101.44296633577299</c:v>
                </c:pt>
                <c:pt idx="41">
                  <c:v>102.4040228047881</c:v>
                </c:pt>
                <c:pt idx="42">
                  <c:v>104.63619923369355</c:v>
                </c:pt>
                <c:pt idx="43">
                  <c:v>104.71751727122142</c:v>
                </c:pt>
                <c:pt idx="44">
                  <c:v>104.7664558861586</c:v>
                </c:pt>
                <c:pt idx="45">
                  <c:v>107.1785032871741</c:v>
                </c:pt>
                <c:pt idx="46">
                  <c:v>102.847801539692</c:v>
                </c:pt>
                <c:pt idx="47">
                  <c:v>102.90480941535432</c:v>
                </c:pt>
                <c:pt idx="48">
                  <c:v>103.95507458450734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2010</c:v>
                  </c:pt>
                  <c:pt idx="8">
                    <c:v>2011</c:v>
                  </c:pt>
                  <c:pt idx="20">
                    <c:v>2012</c:v>
                  </c:pt>
                  <c:pt idx="32">
                    <c:v>2013</c:v>
                  </c:pt>
                  <c:pt idx="44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98.321512331137413</c:v>
                </c:pt>
                <c:pt idx="1">
                  <c:v>98.49508899020158</c:v>
                </c:pt>
                <c:pt idx="2">
                  <c:v>98.689830314089448</c:v>
                </c:pt>
                <c:pt idx="3">
                  <c:v>99.117424066803167</c:v>
                </c:pt>
                <c:pt idx="4">
                  <c:v>99.615765986772956</c:v>
                </c:pt>
                <c:pt idx="5">
                  <c:v>100.14624960383469</c:v>
                </c:pt>
                <c:pt idx="6">
                  <c:v>100.73302525508772</c:v>
                </c:pt>
                <c:pt idx="7">
                  <c:v>101.29494429170049</c:v>
                </c:pt>
                <c:pt idx="8">
                  <c:v>101.72513102289737</c:v>
                </c:pt>
                <c:pt idx="9">
                  <c:v>102.00675327615258</c:v>
                </c:pt>
                <c:pt idx="10">
                  <c:v>102.24311813296291</c:v>
                </c:pt>
                <c:pt idx="11">
                  <c:v>102.47342837053915</c:v>
                </c:pt>
                <c:pt idx="12">
                  <c:v>102.72021048552257</c:v>
                </c:pt>
                <c:pt idx="13">
                  <c:v>102.95012422346197</c:v>
                </c:pt>
                <c:pt idx="14">
                  <c:v>103.05424601459674</c:v>
                </c:pt>
                <c:pt idx="15">
                  <c:v>102.9116091834983</c:v>
                </c:pt>
                <c:pt idx="16">
                  <c:v>102.63061227182691</c:v>
                </c:pt>
                <c:pt idx="17">
                  <c:v>102.40987773601228</c:v>
                </c:pt>
                <c:pt idx="18">
                  <c:v>102.14722681050807</c:v>
                </c:pt>
                <c:pt idx="19">
                  <c:v>101.84416840936792</c:v>
                </c:pt>
                <c:pt idx="20">
                  <c:v>101.57346769103914</c:v>
                </c:pt>
                <c:pt idx="21">
                  <c:v>101.32212004688901</c:v>
                </c:pt>
                <c:pt idx="22">
                  <c:v>101.15900812246808</c:v>
                </c:pt>
                <c:pt idx="23">
                  <c:v>101.02292907283895</c:v>
                </c:pt>
                <c:pt idx="24">
                  <c:v>100.88431189601435</c:v>
                </c:pt>
                <c:pt idx="25">
                  <c:v>100.77341063391488</c:v>
                </c:pt>
                <c:pt idx="26">
                  <c:v>100.7446972604933</c:v>
                </c:pt>
                <c:pt idx="27">
                  <c:v>100.95299415698366</c:v>
                </c:pt>
                <c:pt idx="28">
                  <c:v>101.24483547002158</c:v>
                </c:pt>
                <c:pt idx="29">
                  <c:v>101.40624291499279</c:v>
                </c:pt>
                <c:pt idx="30">
                  <c:v>101.57143447003077</c:v>
                </c:pt>
                <c:pt idx="31">
                  <c:v>101.82509011004113</c:v>
                </c:pt>
                <c:pt idx="32">
                  <c:v>102.11942387689804</c:v>
                </c:pt>
                <c:pt idx="33">
                  <c:v>102.43949318510161</c:v>
                </c:pt>
                <c:pt idx="34">
                  <c:v>102.83490254379315</c:v>
                </c:pt>
                <c:pt idx="35">
                  <c:v>103.26117855384015</c:v>
                </c:pt>
                <c:pt idx="36">
                  <c:v>103.5595768659481</c:v>
                </c:pt>
                <c:pt idx="37">
                  <c:v>103.81958291566031</c:v>
                </c:pt>
                <c:pt idx="38">
                  <c:v>104.03218470456468</c:v>
                </c:pt>
                <c:pt idx="39">
                  <c:v>104.06118966912906</c:v>
                </c:pt>
                <c:pt idx="40">
                  <c:v>104.05343717418808</c:v>
                </c:pt>
                <c:pt idx="41">
                  <c:v>104.14444582713077</c:v>
                </c:pt>
                <c:pt idx="42">
                  <c:v>104.3010321682471</c:v>
                </c:pt>
                <c:pt idx="43">
                  <c:v>104.45682129018498</c:v>
                </c:pt>
                <c:pt idx="44">
                  <c:v>104.61492651048025</c:v>
                </c:pt>
                <c:pt idx="45">
                  <c:v>104.75392768028622</c:v>
                </c:pt>
                <c:pt idx="46">
                  <c:v>104.84695240387443</c:v>
                </c:pt>
                <c:pt idx="47">
                  <c:v>104.99441734618816</c:v>
                </c:pt>
                <c:pt idx="48">
                  <c:v>105.23554321159223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8787864"/>
        <c:axId val="118708448"/>
      </c:lineChart>
      <c:catAx>
        <c:axId val="1187878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8708448"/>
        <c:crosses val="autoZero"/>
        <c:auto val="1"/>
        <c:lblAlgn val="ctr"/>
        <c:lblOffset val="100"/>
        <c:noMultiLvlLbl val="0"/>
      </c:catAx>
      <c:valAx>
        <c:axId val="11870844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187878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0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zaMaj2014!$A$2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zaMaj2014!$B$1:$N$1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zaMaj2014!$B$2:$N$2</c:f>
              <c:numCache>
                <c:formatCode>General</c:formatCode>
                <c:ptCount val="13"/>
                <c:pt idx="0">
                  <c:v>380770</c:v>
                </c:pt>
                <c:pt idx="1">
                  <c:v>317176</c:v>
                </c:pt>
                <c:pt idx="2">
                  <c:v>400481</c:v>
                </c:pt>
                <c:pt idx="3">
                  <c:v>385911</c:v>
                </c:pt>
                <c:pt idx="4">
                  <c:v>390579</c:v>
                </c:pt>
                <c:pt idx="5">
                  <c:v>454480</c:v>
                </c:pt>
                <c:pt idx="6">
                  <c:v>424992</c:v>
                </c:pt>
                <c:pt idx="7">
                  <c:v>391993</c:v>
                </c:pt>
                <c:pt idx="8">
                  <c:v>251909</c:v>
                </c:pt>
                <c:pt idx="9">
                  <c:v>427058</c:v>
                </c:pt>
                <c:pt idx="10">
                  <c:v>422482</c:v>
                </c:pt>
                <c:pt idx="11">
                  <c:v>348984</c:v>
                </c:pt>
                <c:pt idx="12">
                  <c:v>430863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zaMaj2014!$A$3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zaMaj2014!$B$1:$N$1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zaMaj2014!$B$3:$N$3</c:f>
              <c:numCache>
                <c:formatCode>General</c:formatCode>
                <c:ptCount val="13"/>
                <c:pt idx="0">
                  <c:v>220764</c:v>
                </c:pt>
                <c:pt idx="1">
                  <c:v>220173</c:v>
                </c:pt>
                <c:pt idx="2">
                  <c:v>242098</c:v>
                </c:pt>
                <c:pt idx="3">
                  <c:v>199427</c:v>
                </c:pt>
                <c:pt idx="4">
                  <c:v>230912</c:v>
                </c:pt>
                <c:pt idx="5">
                  <c:v>221870</c:v>
                </c:pt>
                <c:pt idx="6">
                  <c:v>231500</c:v>
                </c:pt>
                <c:pt idx="7">
                  <c:v>222497</c:v>
                </c:pt>
                <c:pt idx="8">
                  <c:v>196950</c:v>
                </c:pt>
                <c:pt idx="9">
                  <c:v>211217</c:v>
                </c:pt>
                <c:pt idx="10">
                  <c:v>231116</c:v>
                </c:pt>
                <c:pt idx="11">
                  <c:v>219673</c:v>
                </c:pt>
                <c:pt idx="12">
                  <c:v>204790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640280"/>
        <c:axId val="119640664"/>
      </c:lineChart>
      <c:catAx>
        <c:axId val="119640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19640664"/>
        <c:crosses val="autoZero"/>
        <c:auto val="1"/>
        <c:lblAlgn val="ctr"/>
        <c:lblOffset val="100"/>
        <c:noMultiLvlLbl val="0"/>
      </c:catAx>
      <c:valAx>
        <c:axId val="119640664"/>
        <c:scaling>
          <c:orientation val="minMax"/>
        </c:scaling>
        <c:delete val="0"/>
        <c:axPos val="l"/>
        <c:majorGridlines/>
        <c:numFmt formatCode="###,###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19640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921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0.89482</cdr:x>
      <cdr:y>0.34985</cdr:y>
    </cdr:from>
    <cdr:to>
      <cdr:x>0.99934</cdr:x>
      <cdr:y>0.43344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61899" y="898498"/>
          <a:ext cx="497785" cy="21468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0.89649</cdr:x>
      <cdr:y>0.43344</cdr:y>
    </cdr:from>
    <cdr:to>
      <cdr:x>0.99934</cdr:x>
      <cdr:y>0.52749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269850" y="1113183"/>
          <a:ext cx="489834" cy="241546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2C83-D75E-435E-8403-37FC2F34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7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13501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145</cp:revision>
  <cp:lastPrinted>2014-03-24T11:51:00Z</cp:lastPrinted>
  <dcterms:created xsi:type="dcterms:W3CDTF">2014-03-14T12:01:00Z</dcterms:created>
  <dcterms:modified xsi:type="dcterms:W3CDTF">2014-06-24T08:24:00Z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