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A67F84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6E3A7F">
              <w:rPr>
                <w:rFonts w:ascii="Arial Narrow" w:hAnsi="Arial Narrow" w:cs="Tahoma"/>
                <w:color w:val="1F497D" w:themeColor="text2"/>
                <w:sz w:val="18"/>
              </w:rPr>
              <w:t>22</w:t>
            </w:r>
            <w:r w:rsidR="006E3A7F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 xml:space="preserve">nd </w:t>
            </w:r>
            <w:r w:rsidR="006E3A7F">
              <w:rPr>
                <w:rFonts w:ascii="Tahoma" w:hAnsi="Tahoma" w:cs="Tahoma"/>
                <w:color w:val="1F497D" w:themeColor="text2"/>
                <w:sz w:val="18"/>
              </w:rPr>
              <w:t>July 2014</w:t>
            </w:r>
            <w:r w:rsidR="00A975F3" w:rsidRPr="00DB5870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 </w:t>
            </w:r>
            <w:r w:rsidR="009C3434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7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6E3A7F" w:rsidRDefault="006E3A7F" w:rsidP="009C34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July 2014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6E3A7F" w:rsidRDefault="006E3A7F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9C3434" w:rsidRDefault="009C3434" w:rsidP="002B046A">
      <w:pPr>
        <w:jc w:val="both"/>
        <w:rPr>
          <w:rFonts w:ascii="Arial Narrow" w:hAnsi="Arial Narrow" w:cs="Tahoma"/>
          <w:color w:val="FF0000"/>
          <w:sz w:val="30"/>
          <w:szCs w:val="30"/>
          <w:lang w:val="sr-Latn-CS"/>
        </w:rPr>
      </w:pPr>
    </w:p>
    <w:p w:rsidR="00EB32A1" w:rsidRPr="00930D8F" w:rsidRDefault="00C15E3B" w:rsidP="00EB32A1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Real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growth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rate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of</w:t>
      </w:r>
      <w:proofErr w:type="spellEnd"/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930D8F">
        <w:rPr>
          <w:rFonts w:ascii="Arial Narrow" w:hAnsi="Arial Narrow" w:cs="Tahoma"/>
          <w:b/>
          <w:sz w:val="30"/>
          <w:szCs w:val="30"/>
          <w:lang w:val="sr-Latn-CS"/>
        </w:rPr>
        <w:t>GDP</w:t>
      </w:r>
      <w:r w:rsidR="00A0052B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="00A0052B" w:rsidRPr="00930D8F">
        <w:rPr>
          <w:rFonts w:ascii="Arial Narrow" w:hAnsi="Arial Narrow" w:cs="Tahoma"/>
          <w:b/>
          <w:sz w:val="30"/>
          <w:szCs w:val="30"/>
          <w:lang w:val="sr-Latn-CS"/>
        </w:rPr>
        <w:t>for</w:t>
      </w:r>
      <w:proofErr w:type="spellEnd"/>
      <w:r w:rsidR="00A0052B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2013</w:t>
      </w:r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="00A0052B" w:rsidRPr="00930D8F">
        <w:rPr>
          <w:rFonts w:ascii="Arial Narrow" w:hAnsi="Arial Narrow" w:cs="Tahoma"/>
          <w:b/>
          <w:sz w:val="30"/>
          <w:szCs w:val="30"/>
          <w:lang w:val="sr-Latn-CS"/>
        </w:rPr>
        <w:t>was</w:t>
      </w:r>
      <w:proofErr w:type="spellEnd"/>
      <w:r w:rsidR="00A0052B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1.</w:t>
      </w:r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>9% (</w:t>
      </w:r>
      <w:proofErr w:type="spellStart"/>
      <w:r w:rsidR="00A0052B" w:rsidRPr="00930D8F">
        <w:rPr>
          <w:rFonts w:ascii="Arial Narrow" w:hAnsi="Arial Narrow" w:cs="Tahoma"/>
          <w:b/>
          <w:sz w:val="30"/>
          <w:szCs w:val="30"/>
          <w:lang w:val="sr-Latn-CS"/>
        </w:rPr>
        <w:t>preliminary</w:t>
      </w:r>
      <w:proofErr w:type="spellEnd"/>
      <w:r w:rsidR="00A0052B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data</w:t>
      </w:r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>)</w:t>
      </w:r>
    </w:p>
    <w:p w:rsidR="00EB32A1" w:rsidRPr="003F0ED8" w:rsidRDefault="001F07F2" w:rsidP="00EB32A1">
      <w:pPr>
        <w:jc w:val="both"/>
        <w:rPr>
          <w:rFonts w:ascii="Arial Narrow" w:hAnsi="Arial Narrow" w:cs="Tahoma"/>
          <w:b/>
          <w:sz w:val="24"/>
          <w:szCs w:val="24"/>
          <w:lang w:val="sr-Latn-CS"/>
        </w:rPr>
      </w:pPr>
      <w:proofErr w:type="spellStart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>Compared</w:t>
      </w:r>
      <w:proofErr w:type="spellEnd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 to 2012</w:t>
      </w:r>
      <w:r w:rsidR="00EB32A1"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, </w:t>
      </w:r>
      <w:r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GDP </w:t>
      </w:r>
      <w:proofErr w:type="spellStart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>was</w:t>
      </w:r>
      <w:proofErr w:type="spellEnd"/>
      <w:r w:rsidR="00EB32A1"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 </w:t>
      </w:r>
      <w:proofErr w:type="spellStart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>nominally</w:t>
      </w:r>
      <w:proofErr w:type="spellEnd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 2.</w:t>
      </w:r>
      <w:r w:rsidR="00EB32A1"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0% </w:t>
      </w:r>
      <w:proofErr w:type="spellStart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>higher</w:t>
      </w:r>
      <w:proofErr w:type="spellEnd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 </w:t>
      </w:r>
      <w:r w:rsidR="00EB32A1" w:rsidRPr="003F0ED8">
        <w:rPr>
          <w:rFonts w:ascii="Arial Narrow" w:hAnsi="Arial Narrow" w:cs="Tahoma"/>
          <w:b/>
          <w:sz w:val="24"/>
          <w:szCs w:val="24"/>
          <w:lang w:val="sr-Latn-CS"/>
        </w:rPr>
        <w:t>(</w:t>
      </w:r>
      <w:proofErr w:type="spellStart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>preliminary</w:t>
      </w:r>
      <w:proofErr w:type="spellEnd"/>
      <w:r w:rsidRPr="003F0ED8">
        <w:rPr>
          <w:rFonts w:ascii="Arial Narrow" w:hAnsi="Arial Narrow" w:cs="Tahoma"/>
          <w:b/>
          <w:sz w:val="24"/>
          <w:szCs w:val="24"/>
          <w:lang w:val="sr-Latn-CS"/>
        </w:rPr>
        <w:t xml:space="preserve"> data</w:t>
      </w:r>
      <w:r w:rsidR="00EB32A1" w:rsidRPr="003F0ED8">
        <w:rPr>
          <w:rFonts w:ascii="Arial Narrow" w:hAnsi="Arial Narrow" w:cs="Tahoma"/>
          <w:b/>
          <w:sz w:val="24"/>
          <w:szCs w:val="24"/>
          <w:lang w:val="sr-Latn-CS"/>
        </w:rPr>
        <w:t>)</w:t>
      </w:r>
    </w:p>
    <w:p w:rsidR="00EB32A1" w:rsidRPr="0037455A" w:rsidRDefault="00EB32A1" w:rsidP="00EB32A1">
      <w:pPr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4F3199" w:rsidRPr="004F3199" w:rsidRDefault="004F3199" w:rsidP="00EB32A1">
      <w:pPr>
        <w:jc w:val="both"/>
        <w:rPr>
          <w:rFonts w:ascii="Arial Narrow" w:hAnsi="Arial Narrow" w:cs="Tahoma"/>
          <w:sz w:val="22"/>
          <w:szCs w:val="22"/>
        </w:rPr>
      </w:pPr>
      <w:r w:rsidRPr="004F3199">
        <w:rPr>
          <w:rFonts w:ascii="Arial Narrow" w:hAnsi="Arial Narrow" w:cs="Tahoma"/>
          <w:sz w:val="22"/>
          <w:szCs w:val="22"/>
        </w:rPr>
        <w:t xml:space="preserve">Gross domestic product for 2013, calculated by </w:t>
      </w:r>
      <w:r w:rsidR="002919A1">
        <w:rPr>
          <w:rFonts w:ascii="Arial Narrow" w:hAnsi="Arial Narrow" w:cs="Tahoma"/>
          <w:sz w:val="22"/>
          <w:szCs w:val="22"/>
        </w:rPr>
        <w:t>“production approach”, presented at current price</w:t>
      </w:r>
      <w:r w:rsidR="00A56572">
        <w:rPr>
          <w:rFonts w:ascii="Arial Narrow" w:hAnsi="Arial Narrow" w:cs="Tahoma"/>
          <w:sz w:val="22"/>
          <w:szCs w:val="22"/>
        </w:rPr>
        <w:t>s as a preliminary data, amounted</w:t>
      </w:r>
      <w:r w:rsidR="002919A1">
        <w:rPr>
          <w:rFonts w:ascii="Arial Narrow" w:hAnsi="Arial Narrow" w:cs="Tahoma"/>
          <w:sz w:val="22"/>
          <w:szCs w:val="22"/>
        </w:rPr>
        <w:t xml:space="preserve"> to 8 billion and 761 million KM, i.e. 6,146 KM per capita. Compared to 2012, Gross domestic product was nominally 2.0% higher and really 1.9% higher. </w:t>
      </w:r>
    </w:p>
    <w:p w:rsidR="004F3199" w:rsidRPr="0037455A" w:rsidRDefault="004F3199" w:rsidP="00EB32A1">
      <w:pPr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BD382A" w:rsidRDefault="00BD382A" w:rsidP="00EB32A1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By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Classification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Economic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activities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most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significant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share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i</w:t>
      </w:r>
      <w:bookmarkStart w:id="0" w:name="_GoBack"/>
      <w:bookmarkEnd w:id="0"/>
      <w:r>
        <w:rPr>
          <w:rFonts w:ascii="Arial Narrow" w:hAnsi="Arial Narrow" w:cs="Tahoma"/>
          <w:sz w:val="22"/>
          <w:szCs w:val="22"/>
          <w:lang w:val="sr-Latn-CS"/>
        </w:rPr>
        <w:t xml:space="preserve">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structure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Gross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domestic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product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was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that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Trade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12.1%,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followed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by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Agriculture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forestry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fishing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10.4%,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Public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administration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defense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compulsory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social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security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9.9%,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Manufacturing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8.7%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Information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communication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5.2%. </w:t>
      </w:r>
    </w:p>
    <w:p w:rsidR="00BD382A" w:rsidRDefault="00BD382A" w:rsidP="00EB32A1">
      <w:pPr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BD382A" w:rsidRDefault="00BD382A" w:rsidP="00EB32A1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When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analysing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GDP,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practice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is to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observe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Mining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quarrying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Manufacturing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Electricity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gas,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steam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air-conditioning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supply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Water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supply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sewerage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waste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management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remediation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activities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together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If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observed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together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share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these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sections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in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GDP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Republika Srpska in 2013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was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16.6%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it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increased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by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1.3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percentage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points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667217">
        <w:rPr>
          <w:rFonts w:ascii="Arial Narrow" w:hAnsi="Arial Narrow" w:cs="Tahoma"/>
          <w:sz w:val="22"/>
          <w:szCs w:val="22"/>
          <w:lang w:val="sr-Latn-CS"/>
        </w:rPr>
        <w:t>compared</w:t>
      </w:r>
      <w:proofErr w:type="spellEnd"/>
      <w:r w:rsidR="00667217">
        <w:rPr>
          <w:rFonts w:ascii="Arial Narrow" w:hAnsi="Arial Narrow" w:cs="Tahoma"/>
          <w:sz w:val="22"/>
          <w:szCs w:val="22"/>
          <w:lang w:val="sr-Latn-CS"/>
        </w:rPr>
        <w:t xml:space="preserve"> to 2012.</w:t>
      </w:r>
    </w:p>
    <w:p w:rsidR="004F3199" w:rsidRPr="004F3199" w:rsidRDefault="004F3199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4F3199" w:rsidRDefault="005A0518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real growth rate was recorded in the following sections of activity: </w:t>
      </w:r>
      <w:r w:rsidRPr="00CB3B0B">
        <w:rPr>
          <w:rFonts w:ascii="Arial Narrow" w:hAnsi="Arial Narrow" w:cs="Tahoma"/>
          <w:i/>
          <w:sz w:val="22"/>
          <w:szCs w:val="22"/>
        </w:rPr>
        <w:t>Agriculture, forestry and fishing</w:t>
      </w:r>
      <w:r>
        <w:rPr>
          <w:rFonts w:ascii="Arial Narrow" w:hAnsi="Arial Narrow" w:cs="Tahoma"/>
          <w:sz w:val="22"/>
          <w:szCs w:val="22"/>
        </w:rPr>
        <w:t xml:space="preserve"> 10.8%, </w:t>
      </w:r>
      <w:r w:rsidRPr="00CB3B0B">
        <w:rPr>
          <w:rFonts w:ascii="Arial Narrow" w:hAnsi="Arial Narrow" w:cs="Tahoma"/>
          <w:i/>
          <w:sz w:val="22"/>
          <w:szCs w:val="22"/>
        </w:rPr>
        <w:t>Ar</w:t>
      </w:r>
      <w:r w:rsidR="00CB3B0B" w:rsidRPr="00CB3B0B">
        <w:rPr>
          <w:rFonts w:ascii="Arial Narrow" w:hAnsi="Arial Narrow" w:cs="Tahoma"/>
          <w:i/>
          <w:sz w:val="22"/>
          <w:szCs w:val="22"/>
        </w:rPr>
        <w:t>t, entertainment and recreation</w:t>
      </w:r>
      <w:r w:rsidR="00CB3B0B">
        <w:rPr>
          <w:rFonts w:ascii="Arial Narrow" w:hAnsi="Arial Narrow" w:cs="Tahoma"/>
          <w:sz w:val="22"/>
          <w:szCs w:val="22"/>
        </w:rPr>
        <w:t xml:space="preserve"> 6.9%, </w:t>
      </w:r>
      <w:r w:rsidR="00CB3B0B" w:rsidRPr="00CB3B0B">
        <w:rPr>
          <w:rFonts w:ascii="Arial Narrow" w:hAnsi="Arial Narrow" w:cs="Tahoma"/>
          <w:i/>
          <w:sz w:val="22"/>
          <w:szCs w:val="22"/>
        </w:rPr>
        <w:t>Manufacturing</w:t>
      </w:r>
      <w:r w:rsidR="00CB3B0B">
        <w:rPr>
          <w:rFonts w:ascii="Arial Narrow" w:hAnsi="Arial Narrow" w:cs="Tahoma"/>
          <w:sz w:val="22"/>
          <w:szCs w:val="22"/>
        </w:rPr>
        <w:t xml:space="preserve"> 6.5%, </w:t>
      </w:r>
      <w:r w:rsidR="00CB3B0B" w:rsidRPr="00CB3B0B">
        <w:rPr>
          <w:rFonts w:ascii="Arial Narrow" w:hAnsi="Arial Narrow" w:cs="Tahoma"/>
          <w:i/>
          <w:sz w:val="22"/>
          <w:szCs w:val="22"/>
        </w:rPr>
        <w:t>Transport</w:t>
      </w:r>
      <w:r w:rsidR="00CB3B0B">
        <w:rPr>
          <w:rFonts w:ascii="Arial Narrow" w:hAnsi="Arial Narrow" w:cs="Tahoma"/>
          <w:sz w:val="22"/>
          <w:szCs w:val="22"/>
        </w:rPr>
        <w:t xml:space="preserve"> and </w:t>
      </w:r>
      <w:proofErr w:type="spellStart"/>
      <w:r w:rsidR="00CB3B0B" w:rsidRPr="00CB3B0B">
        <w:rPr>
          <w:rFonts w:ascii="Arial Narrow" w:hAnsi="Arial Narrow" w:cs="Tahoma"/>
          <w:i/>
          <w:sz w:val="22"/>
          <w:szCs w:val="22"/>
        </w:rPr>
        <w:t>Accomodation</w:t>
      </w:r>
      <w:proofErr w:type="spellEnd"/>
      <w:r w:rsidR="00CB3B0B">
        <w:rPr>
          <w:rFonts w:ascii="Arial Narrow" w:hAnsi="Arial Narrow" w:cs="Tahoma"/>
          <w:sz w:val="22"/>
          <w:szCs w:val="22"/>
        </w:rPr>
        <w:t xml:space="preserve"> both 4.3%. </w:t>
      </w:r>
      <w:r w:rsidR="00892F7B">
        <w:rPr>
          <w:rFonts w:ascii="Arial Narrow" w:hAnsi="Arial Narrow" w:cs="Tahoma"/>
          <w:sz w:val="22"/>
          <w:szCs w:val="22"/>
        </w:rPr>
        <w:t>The biggest real decrease</w:t>
      </w:r>
      <w:r w:rsidR="00C11075">
        <w:rPr>
          <w:rFonts w:ascii="Arial Narrow" w:hAnsi="Arial Narrow" w:cs="Tahoma"/>
          <w:sz w:val="22"/>
          <w:szCs w:val="22"/>
        </w:rPr>
        <w:t xml:space="preserve"> was recorded in the following sections: </w:t>
      </w:r>
      <w:r w:rsidR="00C11075" w:rsidRPr="00C11075"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 w:rsidR="00C11075">
        <w:rPr>
          <w:rFonts w:ascii="Arial Narrow" w:hAnsi="Arial Narrow" w:cs="Tahoma"/>
          <w:sz w:val="22"/>
          <w:szCs w:val="22"/>
        </w:rPr>
        <w:t xml:space="preserve"> -14.9%, </w:t>
      </w:r>
      <w:r w:rsidR="00C11075" w:rsidRPr="00C11075">
        <w:rPr>
          <w:rFonts w:ascii="Arial Narrow" w:hAnsi="Arial Narrow" w:cs="Tahoma"/>
          <w:i/>
          <w:sz w:val="22"/>
          <w:szCs w:val="22"/>
        </w:rPr>
        <w:t>Water supply, sewerage, waste management and remediation activities</w:t>
      </w:r>
      <w:r w:rsidR="00C11075">
        <w:rPr>
          <w:rFonts w:ascii="Arial Narrow" w:hAnsi="Arial Narrow" w:cs="Tahoma"/>
          <w:sz w:val="22"/>
          <w:szCs w:val="22"/>
        </w:rPr>
        <w:t xml:space="preserve"> -10.1%, </w:t>
      </w:r>
      <w:proofErr w:type="gramStart"/>
      <w:r w:rsidR="00C11075" w:rsidRPr="00C11075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="00C11075" w:rsidRPr="00C11075">
        <w:rPr>
          <w:rFonts w:ascii="Arial Narrow" w:hAnsi="Arial Narrow" w:cs="Tahoma"/>
          <w:i/>
          <w:sz w:val="22"/>
          <w:szCs w:val="22"/>
        </w:rPr>
        <w:t xml:space="preserve"> service activities</w:t>
      </w:r>
      <w:r w:rsidR="00C11075">
        <w:rPr>
          <w:rFonts w:ascii="Arial Narrow" w:hAnsi="Arial Narrow" w:cs="Tahoma"/>
          <w:sz w:val="22"/>
          <w:szCs w:val="22"/>
        </w:rPr>
        <w:t xml:space="preserve"> -7.5% and </w:t>
      </w:r>
      <w:r w:rsidR="00C11075" w:rsidRPr="00C11075">
        <w:rPr>
          <w:rFonts w:ascii="Arial Narrow" w:hAnsi="Arial Narrow" w:cs="Tahoma"/>
          <w:i/>
          <w:sz w:val="22"/>
          <w:szCs w:val="22"/>
        </w:rPr>
        <w:t>Real estate activities</w:t>
      </w:r>
      <w:r w:rsidR="00C11075">
        <w:rPr>
          <w:rFonts w:ascii="Arial Narrow" w:hAnsi="Arial Narrow" w:cs="Tahoma"/>
          <w:sz w:val="22"/>
          <w:szCs w:val="22"/>
        </w:rPr>
        <w:t xml:space="preserve"> -2.2%. </w:t>
      </w:r>
      <w:r w:rsidR="00892F7B">
        <w:rPr>
          <w:rFonts w:ascii="Arial Narrow" w:hAnsi="Arial Narrow" w:cs="Tahoma"/>
          <w:sz w:val="22"/>
          <w:szCs w:val="22"/>
        </w:rPr>
        <w:t xml:space="preserve"> </w:t>
      </w:r>
    </w:p>
    <w:p w:rsidR="00892F7B" w:rsidRPr="005A0518" w:rsidRDefault="00892F7B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4F3199" w:rsidRPr="00C11075" w:rsidRDefault="00C11075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Out of the 19 sections of the Classification of Economic Activities, a positive growth rate of Gross domestic product was recorded in 13 sections, while in six sections a negative growth rate of GDP was recorded. </w:t>
      </w:r>
    </w:p>
    <w:p w:rsidR="00257B7F" w:rsidRDefault="00257B7F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C11075" w:rsidRPr="00C11075" w:rsidRDefault="00027BD1" w:rsidP="00EB32A1">
      <w:pPr>
        <w:jc w:val="both"/>
        <w:rPr>
          <w:rFonts w:ascii="Arial Narrow" w:hAnsi="Arial Narrow" w:cs="Tahoma"/>
          <w:i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By “income approach”, </w:t>
      </w:r>
      <w:r w:rsidR="00156C74">
        <w:rPr>
          <w:rFonts w:ascii="Arial Narrow" w:hAnsi="Arial Narrow" w:cs="Tahoma"/>
          <w:sz w:val="22"/>
          <w:szCs w:val="22"/>
        </w:rPr>
        <w:t>in the stru</w:t>
      </w:r>
      <w:r w:rsidR="00F1224D">
        <w:rPr>
          <w:rFonts w:ascii="Arial Narrow" w:hAnsi="Arial Narrow" w:cs="Tahoma"/>
          <w:sz w:val="22"/>
          <w:szCs w:val="22"/>
        </w:rPr>
        <w:t>cture of Gross domestic product</w:t>
      </w:r>
      <w:r w:rsidR="00156C74">
        <w:rPr>
          <w:rFonts w:ascii="Arial Narrow" w:hAnsi="Arial Narrow" w:cs="Tahoma"/>
          <w:sz w:val="22"/>
          <w:szCs w:val="22"/>
        </w:rPr>
        <w:t xml:space="preserve"> 48.9% referred to compensation </w:t>
      </w:r>
      <w:r w:rsidR="003E7A4A">
        <w:rPr>
          <w:rFonts w:ascii="Arial Narrow" w:hAnsi="Arial Narrow" w:cs="Tahoma"/>
          <w:sz w:val="22"/>
          <w:szCs w:val="22"/>
        </w:rPr>
        <w:t xml:space="preserve">of employees, 14.6% to </w:t>
      </w:r>
      <w:r w:rsidR="00F1224D">
        <w:rPr>
          <w:rFonts w:ascii="Arial Narrow" w:hAnsi="Arial Narrow" w:cs="Tahoma"/>
          <w:sz w:val="22"/>
          <w:szCs w:val="22"/>
        </w:rPr>
        <w:t xml:space="preserve">consumption of fixed capital and 0.2% to net taxes on production and 19.5%, while 19.5% remained for net operating surplus and net mixed income. </w:t>
      </w:r>
    </w:p>
    <w:p w:rsidR="004F3199" w:rsidRDefault="004F3199" w:rsidP="00EB32A1">
      <w:pPr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F1224D" w:rsidRPr="0037455A" w:rsidRDefault="00F1224D" w:rsidP="00EB32A1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>
        <w:rPr>
          <w:rFonts w:ascii="Arial Narrow" w:hAnsi="Arial Narrow" w:cs="Tahoma"/>
          <w:sz w:val="22"/>
          <w:szCs w:val="22"/>
          <w:lang w:val="sr-Latn-CS"/>
        </w:rPr>
        <w:t xml:space="preserve">In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comparison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with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neighbouring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countries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, GDP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Serbia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was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2.5%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higher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Croatia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0.8%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higher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while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GDP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Slovenia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was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really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 1.1% </w:t>
      </w:r>
      <w:proofErr w:type="spellStart"/>
      <w:r w:rsidR="001604FD">
        <w:rPr>
          <w:rFonts w:ascii="Arial Narrow" w:hAnsi="Arial Narrow" w:cs="Tahoma"/>
          <w:sz w:val="22"/>
          <w:szCs w:val="22"/>
          <w:lang w:val="sr-Latn-CS"/>
        </w:rPr>
        <w:t>lower</w:t>
      </w:r>
      <w:proofErr w:type="spellEnd"/>
      <w:r w:rsidR="001604FD">
        <w:rPr>
          <w:rFonts w:ascii="Arial Narrow" w:hAnsi="Arial Narrow" w:cs="Tahoma"/>
          <w:sz w:val="22"/>
          <w:szCs w:val="22"/>
          <w:lang w:val="sr-Latn-CS"/>
        </w:rPr>
        <w:t xml:space="preserve">. </w:t>
      </w:r>
    </w:p>
    <w:p w:rsidR="00F338AF" w:rsidRPr="00AE7F03" w:rsidRDefault="00F338AF" w:rsidP="00F338AF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EB32A1" w:rsidRPr="00930D8F" w:rsidRDefault="001F07F2" w:rsidP="00EB32A1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30"/>
          <w:szCs w:val="30"/>
          <w:lang w:eastAsia="sr-Latn-BA"/>
        </w:rPr>
      </w:pPr>
      <w:r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>Real growth of quarterly Gross domestic product</w:t>
      </w:r>
      <w:r w:rsidR="00EB32A1"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>0.</w:t>
      </w:r>
      <w:r w:rsidR="00EB32A1"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5% </w:t>
      </w:r>
      <w:r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>for the period</w:t>
      </w:r>
      <w:r w:rsidR="00EB32A1"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930D8F">
        <w:rPr>
          <w:rFonts w:ascii="Arial Narrow" w:hAnsi="Arial Narrow" w:cs="Tahoma"/>
          <w:b/>
          <w:bCs/>
          <w:sz w:val="30"/>
          <w:szCs w:val="30"/>
          <w:vertAlign w:val="superscript"/>
          <w:lang w:eastAsia="sr-Latn-BA"/>
        </w:rPr>
        <w:t>st</w:t>
      </w:r>
      <w:r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quarter</w:t>
      </w:r>
      <w:r w:rsidR="00EB32A1"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2014 /</w:t>
      </w:r>
      <w:r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930D8F">
        <w:rPr>
          <w:rFonts w:ascii="Arial Narrow" w:hAnsi="Arial Narrow" w:cs="Tahoma"/>
          <w:b/>
          <w:bCs/>
          <w:sz w:val="30"/>
          <w:szCs w:val="30"/>
          <w:vertAlign w:val="superscript"/>
          <w:lang w:eastAsia="sr-Latn-BA"/>
        </w:rPr>
        <w:t>st</w:t>
      </w:r>
      <w:r w:rsidRPr="00930D8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quarter 2013</w:t>
      </w:r>
    </w:p>
    <w:p w:rsidR="00EB32A1" w:rsidRPr="0037455A" w:rsidRDefault="00EB32A1" w:rsidP="00EB32A1">
      <w:pPr>
        <w:jc w:val="both"/>
        <w:rPr>
          <w:rFonts w:ascii="Arial Narrow" w:hAnsi="Arial Narrow" w:cs="Tahoma"/>
          <w:sz w:val="16"/>
          <w:szCs w:val="16"/>
        </w:rPr>
      </w:pPr>
    </w:p>
    <w:p w:rsidR="001210E2" w:rsidRDefault="001210E2" w:rsidP="00EB32A1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Latn-BA" w:eastAsia="sr-Latn-BA"/>
        </w:rPr>
      </w:pPr>
      <w:r>
        <w:rPr>
          <w:rFonts w:ascii="Arial Narrow" w:hAnsi="Arial Narrow" w:cs="Tahoma"/>
          <w:sz w:val="22"/>
          <w:szCs w:val="24"/>
          <w:lang w:val="sr-Latn-BA" w:eastAsia="sr-Latn-BA"/>
        </w:rPr>
        <w:t>Quarterly Gross domestic product in the first quarter of 2014 was really 0.5% higher compared to the first quarter of 2013.</w:t>
      </w:r>
    </w:p>
    <w:p w:rsidR="004F3199" w:rsidRDefault="004F3199" w:rsidP="00EB32A1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Latn-BA" w:eastAsia="sr-Latn-BA"/>
        </w:rPr>
      </w:pPr>
    </w:p>
    <w:p w:rsidR="001210E2" w:rsidRDefault="001210E2" w:rsidP="001210E2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Latn-BA" w:eastAsia="sr-Latn-BA"/>
        </w:rPr>
      </w:pPr>
      <w:r>
        <w:rPr>
          <w:rFonts w:ascii="Arial Narrow" w:hAnsi="Arial Narrow" w:cs="Tahoma"/>
          <w:sz w:val="22"/>
          <w:szCs w:val="24"/>
          <w:lang w:val="sr-Latn-BA" w:eastAsia="sr-Latn-BA"/>
        </w:rPr>
        <w:t xml:space="preserve">By sections of the Classification of Economic Activities grouped at the A10 level, in the first quarter of 2014, Gross value added was really higher in the sections </w:t>
      </w:r>
      <w:r w:rsidRPr="001210E2">
        <w:rPr>
          <w:rFonts w:ascii="Arial Narrow" w:hAnsi="Arial Narrow" w:cs="Tahoma"/>
          <w:i/>
          <w:sz w:val="22"/>
          <w:szCs w:val="24"/>
          <w:lang w:val="sr-Latn-BA" w:eastAsia="sr-Latn-BA"/>
        </w:rPr>
        <w:t>Financial and insurance activities</w:t>
      </w:r>
      <w:r>
        <w:rPr>
          <w:rFonts w:ascii="Arial Narrow" w:hAnsi="Arial Narrow" w:cs="Tahoma"/>
          <w:sz w:val="22"/>
          <w:szCs w:val="24"/>
          <w:lang w:val="sr-Latn-BA" w:eastAsia="sr-Latn-BA"/>
        </w:rPr>
        <w:t xml:space="preserve"> (K) by 3.4%, and </w:t>
      </w:r>
      <w:r w:rsidRPr="001210E2">
        <w:rPr>
          <w:rFonts w:ascii="Arial Narrow" w:hAnsi="Arial Narrow" w:cs="Tahoma"/>
          <w:i/>
          <w:sz w:val="22"/>
          <w:szCs w:val="24"/>
          <w:lang w:val="sr-Latn-BA" w:eastAsia="sr-Latn-BA"/>
        </w:rPr>
        <w:t>Mining and quarrying</w:t>
      </w:r>
      <w:r>
        <w:rPr>
          <w:rFonts w:ascii="Arial Narrow" w:hAnsi="Arial Narrow" w:cs="Tahoma"/>
          <w:sz w:val="22"/>
          <w:szCs w:val="24"/>
          <w:lang w:val="sr-Latn-BA" w:eastAsia="sr-Latn-BA"/>
        </w:rPr>
        <w:t xml:space="preserve">; </w:t>
      </w:r>
      <w:r w:rsidRPr="001210E2">
        <w:rPr>
          <w:rFonts w:ascii="Arial Narrow" w:hAnsi="Arial Narrow" w:cs="Tahoma"/>
          <w:i/>
          <w:sz w:val="22"/>
          <w:szCs w:val="24"/>
          <w:lang w:val="sr-Latn-BA" w:eastAsia="sr-Latn-BA"/>
        </w:rPr>
        <w:t>Manufacturing</w:t>
      </w:r>
      <w:r>
        <w:rPr>
          <w:rFonts w:ascii="Arial Narrow" w:hAnsi="Arial Narrow" w:cs="Tahoma"/>
          <w:sz w:val="22"/>
          <w:szCs w:val="24"/>
          <w:lang w:val="sr-Latn-BA" w:eastAsia="sr-Latn-BA"/>
        </w:rPr>
        <w:t xml:space="preserve">; </w:t>
      </w:r>
      <w:r w:rsidRPr="001210E2">
        <w:rPr>
          <w:rFonts w:ascii="Arial Narrow" w:hAnsi="Arial Narrow" w:cs="Tahoma"/>
          <w:i/>
          <w:sz w:val="22"/>
          <w:szCs w:val="24"/>
          <w:lang w:val="sr-Latn-BA" w:eastAsia="sr-Latn-BA"/>
        </w:rPr>
        <w:t>Electricity, gas, steam and air-conditioning supply</w:t>
      </w:r>
      <w:r>
        <w:rPr>
          <w:rFonts w:ascii="Arial Narrow" w:hAnsi="Arial Narrow" w:cs="Tahoma"/>
          <w:sz w:val="22"/>
          <w:szCs w:val="24"/>
          <w:lang w:val="sr-Latn-BA" w:eastAsia="sr-Latn-BA"/>
        </w:rPr>
        <w:t xml:space="preserve">; </w:t>
      </w:r>
      <w:r w:rsidRPr="001210E2">
        <w:rPr>
          <w:rFonts w:ascii="Arial Narrow" w:hAnsi="Arial Narrow" w:cs="Tahoma"/>
          <w:i/>
          <w:sz w:val="22"/>
          <w:szCs w:val="24"/>
          <w:lang w:val="sr-Latn-BA" w:eastAsia="sr-Latn-BA"/>
        </w:rPr>
        <w:t>Water supply, sewerage, waste management and remediation activities</w:t>
      </w:r>
      <w:r>
        <w:rPr>
          <w:rFonts w:ascii="Arial Narrow" w:hAnsi="Arial Narrow" w:cs="Tahoma"/>
          <w:sz w:val="22"/>
          <w:szCs w:val="24"/>
          <w:lang w:val="sr-Latn-BA" w:eastAsia="sr-Latn-BA"/>
        </w:rPr>
        <w:t xml:space="preserve"> (B, C, D and E) by 3.0%, </w:t>
      </w:r>
      <w:r w:rsidR="00917DBB">
        <w:rPr>
          <w:rFonts w:ascii="Arial Narrow" w:hAnsi="Arial Narrow" w:cs="Tahoma"/>
          <w:sz w:val="22"/>
          <w:szCs w:val="24"/>
          <w:lang w:val="sr-Latn-BA" w:eastAsia="sr-Latn-BA"/>
        </w:rPr>
        <w:t xml:space="preserve">while it was really lower in the sections </w:t>
      </w:r>
      <w:r w:rsidR="00917DBB" w:rsidRPr="00917DBB">
        <w:rPr>
          <w:rFonts w:ascii="Arial Narrow" w:hAnsi="Arial Narrow" w:cs="Tahoma"/>
          <w:i/>
          <w:sz w:val="22"/>
          <w:szCs w:val="24"/>
          <w:lang w:val="sr-Latn-BA" w:eastAsia="sr-Latn-BA"/>
        </w:rPr>
        <w:t>Professional, scientific and technical activities</w:t>
      </w:r>
      <w:r w:rsidR="00917DBB">
        <w:rPr>
          <w:rFonts w:ascii="Arial Narrow" w:hAnsi="Arial Narrow" w:cs="Tahoma"/>
          <w:sz w:val="22"/>
          <w:szCs w:val="24"/>
          <w:lang w:val="sr-Latn-BA" w:eastAsia="sr-Latn-BA"/>
        </w:rPr>
        <w:t xml:space="preserve">; </w:t>
      </w:r>
      <w:r w:rsidR="00917DBB" w:rsidRPr="00917DBB">
        <w:rPr>
          <w:rFonts w:ascii="Arial Narrow" w:hAnsi="Arial Narrow" w:cs="Tahoma"/>
          <w:i/>
          <w:sz w:val="22"/>
          <w:szCs w:val="24"/>
          <w:lang w:val="sr-Latn-BA" w:eastAsia="sr-Latn-BA"/>
        </w:rPr>
        <w:t>Administrative and support service activities</w:t>
      </w:r>
      <w:r w:rsidR="00917DBB">
        <w:rPr>
          <w:rFonts w:ascii="Arial Narrow" w:hAnsi="Arial Narrow" w:cs="Tahoma"/>
          <w:sz w:val="22"/>
          <w:szCs w:val="24"/>
          <w:lang w:val="sr-Latn-BA" w:eastAsia="sr-Latn-BA"/>
        </w:rPr>
        <w:t xml:space="preserve"> (M, N) by 5.2% and </w:t>
      </w:r>
      <w:r w:rsidR="00917DBB" w:rsidRPr="00917DBB">
        <w:rPr>
          <w:rFonts w:ascii="Arial Narrow" w:hAnsi="Arial Narrow" w:cs="Tahoma"/>
          <w:i/>
          <w:sz w:val="22"/>
          <w:szCs w:val="24"/>
          <w:lang w:val="sr-Latn-BA" w:eastAsia="sr-Latn-BA"/>
        </w:rPr>
        <w:t>Agriculture, forestry and fishing</w:t>
      </w:r>
      <w:r w:rsidR="00917DBB">
        <w:rPr>
          <w:rFonts w:ascii="Arial Narrow" w:hAnsi="Arial Narrow" w:cs="Tahoma"/>
          <w:sz w:val="22"/>
          <w:szCs w:val="24"/>
          <w:lang w:val="sr-Latn-BA" w:eastAsia="sr-Latn-BA"/>
        </w:rPr>
        <w:t xml:space="preserve"> (A) by 2.1%.</w:t>
      </w:r>
    </w:p>
    <w:p w:rsidR="00C41C95" w:rsidRDefault="00C41C95" w:rsidP="001210E2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Latn-BA" w:eastAsia="sr-Latn-BA"/>
        </w:rPr>
      </w:pPr>
    </w:p>
    <w:p w:rsidR="00C41C95" w:rsidRDefault="00C41C95" w:rsidP="001210E2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eastAsia="sr-Latn-BA"/>
        </w:rPr>
      </w:pPr>
      <w:r>
        <w:rPr>
          <w:rFonts w:ascii="Arial Narrow" w:hAnsi="Arial Narrow" w:cs="Tahoma"/>
          <w:sz w:val="22"/>
          <w:szCs w:val="24"/>
          <w:lang w:val="sr-Latn-BA" w:eastAsia="sr-Latn-BA"/>
        </w:rPr>
        <w:t>In the neighbouring countries, real growth rates of Gross domestic product for the first quarter of 2014, compared to the same quarter of 2013, were as follows: Slovenia 1.9%, Serbia 0.1% and Croatia -0.6%.</w:t>
      </w:r>
    </w:p>
    <w:p w:rsidR="004F3199" w:rsidRPr="004F3199" w:rsidRDefault="004F3199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F84A4D" w:rsidRPr="00B47B27" w:rsidRDefault="00C41C95" w:rsidP="00B47B27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eastAsia="sr-Latn-BA"/>
        </w:rPr>
      </w:pPr>
      <w:r>
        <w:rPr>
          <w:rFonts w:ascii="Arial Narrow" w:hAnsi="Arial Narrow" w:cs="Tahoma"/>
          <w:sz w:val="22"/>
          <w:szCs w:val="22"/>
          <w:lang w:val="sr-Latn-BA" w:eastAsia="sr-Latn-BA"/>
        </w:rPr>
        <w:t xml:space="preserve">Quarterly Gross domestic product at constant prices (2010=100) in the first quarter of 2014 amounted to </w:t>
      </w:r>
      <w:r w:rsidR="00A56572">
        <w:rPr>
          <w:rFonts w:ascii="Arial Narrow" w:hAnsi="Arial Narrow" w:cs="Tahoma"/>
          <w:sz w:val="22"/>
          <w:szCs w:val="22"/>
          <w:lang w:val="sr-Latn-BA" w:eastAsia="sr-Latn-BA"/>
        </w:rPr>
        <w:t xml:space="preserve">1 billion and 976 million KM, and compared to 1 billion and 968 million KM from the first quarter of 2013, it increased by 8.2 million KM. </w:t>
      </w:r>
    </w:p>
    <w:p w:rsidR="00F84A4D" w:rsidRPr="00AE7F03" w:rsidRDefault="00F84A4D" w:rsidP="00F338AF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F84A4D" w:rsidRPr="00AE7F03" w:rsidRDefault="00F84A4D" w:rsidP="00F338AF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F84A4D" w:rsidRPr="00AE7F03" w:rsidRDefault="00F84A4D" w:rsidP="00F84A4D">
      <w:pPr>
        <w:jc w:val="center"/>
        <w:rPr>
          <w:rFonts w:ascii="Arial Narrow" w:hAnsi="Arial Narrow" w:cs="Tahoma"/>
          <w:sz w:val="22"/>
          <w:szCs w:val="18"/>
          <w:lang w:val="sr-Latn-CS"/>
        </w:rPr>
      </w:pPr>
      <w:r w:rsidRPr="00AE7F03">
        <w:rPr>
          <w:rFonts w:ascii="Arial Narrow" w:hAnsi="Arial Narrow" w:cs="Tahoma"/>
          <w:noProof/>
          <w:sz w:val="22"/>
          <w:szCs w:val="18"/>
        </w:rPr>
        <w:drawing>
          <wp:inline distT="0" distB="0" distL="0" distR="0">
            <wp:extent cx="4572000" cy="30480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4A4D" w:rsidRPr="00AE7F03" w:rsidRDefault="00F84A4D" w:rsidP="00F338AF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F84A4D" w:rsidRPr="00930D8F" w:rsidRDefault="004A3CA6" w:rsidP="00F84A4D">
      <w:pPr>
        <w:autoSpaceDE w:val="0"/>
        <w:autoSpaceDN w:val="0"/>
        <w:adjustRightInd w:val="0"/>
        <w:jc w:val="center"/>
        <w:rPr>
          <w:rFonts w:ascii="Arial Narrow" w:hAnsi="Arial Narrow" w:cs="Tahoma"/>
          <w:sz w:val="22"/>
          <w:szCs w:val="22"/>
          <w:lang w:eastAsia="sr-Latn-BA"/>
        </w:rPr>
      </w:pPr>
      <w:r w:rsidRPr="00930D8F">
        <w:rPr>
          <w:rFonts w:ascii="Arial Narrow" w:hAnsi="Arial Narrow" w:cs="Tahoma"/>
          <w:sz w:val="22"/>
          <w:szCs w:val="22"/>
          <w:lang w:eastAsia="sr-Latn-BA"/>
        </w:rPr>
        <w:t>Graph</w:t>
      </w:r>
      <w:r w:rsidR="00F84A4D" w:rsidRPr="00930D8F">
        <w:rPr>
          <w:rFonts w:ascii="Arial Narrow" w:hAnsi="Arial Narrow" w:cs="Tahoma"/>
          <w:sz w:val="22"/>
          <w:szCs w:val="22"/>
          <w:lang w:val="sr-Cyrl-CS" w:eastAsia="sr-Latn-BA"/>
        </w:rPr>
        <w:t xml:space="preserve"> 1</w:t>
      </w:r>
      <w:r w:rsidR="00F84A4D" w:rsidRPr="00930D8F">
        <w:rPr>
          <w:rFonts w:ascii="Arial Narrow" w:hAnsi="Arial Narrow" w:cs="Tahoma"/>
          <w:sz w:val="22"/>
          <w:szCs w:val="22"/>
          <w:lang w:val="sr-Cyrl-BA" w:eastAsia="sr-Latn-BA"/>
        </w:rPr>
        <w:t xml:space="preserve">. </w:t>
      </w:r>
      <w:r w:rsidRPr="00930D8F">
        <w:rPr>
          <w:rFonts w:ascii="Arial Narrow" w:hAnsi="Arial Narrow" w:cs="Tahoma"/>
          <w:sz w:val="22"/>
          <w:szCs w:val="22"/>
          <w:lang w:eastAsia="sr-Latn-BA"/>
        </w:rPr>
        <w:t>Real growth rates of quarterly</w:t>
      </w:r>
      <w:r w:rsidR="00F84A4D" w:rsidRPr="00930D8F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r w:rsidRPr="00930D8F">
        <w:rPr>
          <w:rFonts w:ascii="Arial Narrow" w:hAnsi="Arial Narrow" w:cs="Tahoma"/>
          <w:sz w:val="22"/>
          <w:szCs w:val="22"/>
          <w:lang w:eastAsia="sr-Latn-BA"/>
        </w:rPr>
        <w:t>Gross domestic product</w:t>
      </w:r>
      <w:r w:rsidR="00F84A4D" w:rsidRPr="00930D8F">
        <w:rPr>
          <w:rFonts w:ascii="Arial Narrow" w:hAnsi="Arial Narrow" w:cs="Tahoma"/>
          <w:sz w:val="22"/>
          <w:szCs w:val="22"/>
          <w:lang w:eastAsia="sr-Latn-BA"/>
        </w:rPr>
        <w:t>,</w:t>
      </w:r>
      <w:r w:rsidR="00F84A4D" w:rsidRPr="00930D8F">
        <w:rPr>
          <w:rFonts w:ascii="Arial Narrow" w:hAnsi="Arial Narrow" w:cs="Tahoma"/>
          <w:sz w:val="22"/>
          <w:szCs w:val="22"/>
          <w:lang w:val="sr-Cyrl-CS" w:eastAsia="sr-Latn-BA"/>
        </w:rPr>
        <w:t xml:space="preserve"> </w:t>
      </w:r>
      <w:r w:rsidRPr="00930D8F">
        <w:rPr>
          <w:rFonts w:ascii="Arial Narrow" w:hAnsi="Arial Narrow" w:cs="Tahoma"/>
          <w:sz w:val="22"/>
          <w:szCs w:val="22"/>
          <w:lang w:eastAsia="sr-Latn-BA"/>
        </w:rPr>
        <w:t>changes compared to the same quarter of the previous year</w:t>
      </w:r>
    </w:p>
    <w:p w:rsidR="00F84A4D" w:rsidRPr="00AE7F03" w:rsidRDefault="00F84A4D" w:rsidP="00F338AF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EA77CA" w:rsidRPr="00AE7F03" w:rsidRDefault="00EA77CA" w:rsidP="00F338AF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EB32A1" w:rsidRPr="00930D8F" w:rsidRDefault="00550649" w:rsidP="00EB32A1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Gross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fixed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capital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formation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for</w:t>
      </w:r>
      <w:proofErr w:type="spellEnd"/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2013</w:t>
      </w:r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amounted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to 1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billion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and</w:t>
      </w:r>
      <w:proofErr w:type="spellEnd"/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54</w:t>
      </w:r>
      <w:r w:rsidR="00EB32A1" w:rsidRPr="00930D8F">
        <w:rPr>
          <w:rFonts w:ascii="Arial Narrow" w:hAnsi="Arial Narrow" w:cs="Tahoma"/>
          <w:b/>
          <w:sz w:val="30"/>
          <w:szCs w:val="30"/>
          <w:lang w:val="sr-Cyrl-CS"/>
        </w:rPr>
        <w:t xml:space="preserve">6 </w:t>
      </w:r>
      <w:r w:rsidRPr="00930D8F">
        <w:rPr>
          <w:rFonts w:ascii="Arial Narrow" w:hAnsi="Arial Narrow" w:cs="Tahoma"/>
          <w:b/>
          <w:sz w:val="30"/>
          <w:szCs w:val="30"/>
        </w:rPr>
        <w:t>million</w:t>
      </w:r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КМ (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preliminary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data</w:t>
      </w:r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>)</w:t>
      </w:r>
    </w:p>
    <w:p w:rsidR="00EB32A1" w:rsidRPr="0037455A" w:rsidRDefault="00EB32A1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B47B27" w:rsidRDefault="00B47B27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Gross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fixed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capital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formation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business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entities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(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preliminary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data)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headquarters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in Republika Srpska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amounted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to 1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billion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546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million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KM in 2013.</w:t>
      </w:r>
    </w:p>
    <w:p w:rsidR="004F3199" w:rsidRDefault="004F3199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B47B27" w:rsidRPr="0037455A" w:rsidRDefault="00B47B27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  <w:r>
        <w:rPr>
          <w:rFonts w:ascii="Arial Narrow" w:hAnsi="Arial Narrow" w:cs="Tahoma"/>
          <w:sz w:val="22"/>
          <w:szCs w:val="30"/>
          <w:lang w:val="sr-Latn-CS"/>
        </w:rPr>
        <w:t xml:space="preserve">In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structure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gross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fixed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capital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formation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new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fixed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assets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on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territory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Republika Srpska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by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purpose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highest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share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was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that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Construction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22.0%,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followed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by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Electricity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, gas,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steam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air-conditioning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supply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19.8%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Manufacturing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16.2%.</w:t>
      </w:r>
    </w:p>
    <w:p w:rsidR="004F3199" w:rsidRDefault="004F3199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B47B27" w:rsidRPr="0037455A" w:rsidRDefault="00B47B27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  <w:r>
        <w:rPr>
          <w:rFonts w:ascii="Arial Narrow" w:hAnsi="Arial Narrow" w:cs="Tahoma"/>
          <w:sz w:val="22"/>
          <w:szCs w:val="30"/>
          <w:lang w:val="sr-Latn-CS"/>
        </w:rPr>
        <w:t xml:space="preserve">In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structure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gross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fixed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capital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formation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by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acitivity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investor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highest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share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was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that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Public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administration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defense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;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compulsory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social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security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21.2%,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followed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by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Manufacturing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16.7%,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Mining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quarrying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11.4%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Electricity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, gas,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steam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air-conditioning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supply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with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10.7%. </w:t>
      </w:r>
    </w:p>
    <w:p w:rsidR="004F3199" w:rsidRDefault="004F3199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B47B27" w:rsidRPr="001B7F97" w:rsidRDefault="00B47B27" w:rsidP="00EB32A1">
      <w:pPr>
        <w:jc w:val="both"/>
        <w:rPr>
          <w:rFonts w:ascii="Arial Narrow" w:hAnsi="Arial Narrow" w:cs="Tahoma"/>
          <w:sz w:val="22"/>
          <w:szCs w:val="30"/>
        </w:rPr>
      </w:pP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Gross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fixed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capital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formation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new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fixed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assets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business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entities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registered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on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territory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Republika Srpska,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by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purpose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gross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fixed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capital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formation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,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amounted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to 1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billion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381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million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KM</w:t>
      </w:r>
      <w:r w:rsidR="001B7F97" w:rsidRP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in 2013. On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territory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Republika Srpska, 1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billion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360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million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KM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or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98.5%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were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invested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,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while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20.5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million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KM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or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1.5% 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were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invested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on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territory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the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Federation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BH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and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Brčko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District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proofErr w:type="spellStart"/>
      <w:r w:rsidR="001B7F97">
        <w:rPr>
          <w:rFonts w:ascii="Arial Narrow" w:hAnsi="Arial Narrow" w:cs="Tahoma"/>
          <w:sz w:val="22"/>
          <w:szCs w:val="30"/>
          <w:lang w:val="sr-Latn-CS"/>
        </w:rPr>
        <w:t>of</w:t>
      </w:r>
      <w:proofErr w:type="spellEnd"/>
      <w:r w:rsidR="001B7F97">
        <w:rPr>
          <w:rFonts w:ascii="Arial Narrow" w:hAnsi="Arial Narrow" w:cs="Tahoma"/>
          <w:sz w:val="22"/>
          <w:szCs w:val="30"/>
          <w:lang w:val="sr-Latn-CS"/>
        </w:rPr>
        <w:t xml:space="preserve"> BH. </w:t>
      </w:r>
    </w:p>
    <w:p w:rsidR="00EB32A1" w:rsidRPr="0037455A" w:rsidRDefault="00EB32A1" w:rsidP="00EB32A1"/>
    <w:p w:rsidR="00EB32A1" w:rsidRPr="00930D8F" w:rsidRDefault="00153438" w:rsidP="00EB32A1">
      <w:pPr>
        <w:jc w:val="both"/>
        <w:outlineLvl w:val="0"/>
        <w:rPr>
          <w:rFonts w:ascii="Arial Narrow" w:hAnsi="Arial Narrow" w:cs="Tahoma"/>
          <w:b/>
          <w:sz w:val="30"/>
          <w:szCs w:val="30"/>
          <w:lang w:val="sr-Cyrl-CS"/>
        </w:rPr>
      </w:pP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Indicators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of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labour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force</w:t>
      </w:r>
      <w:proofErr w:type="spellEnd"/>
      <w:r w:rsidR="00EB32A1"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according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to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the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Labour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Force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Survey</w:t>
      </w:r>
      <w:proofErr w:type="spellEnd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proofErr w:type="spellStart"/>
      <w:r w:rsidRPr="00930D8F">
        <w:rPr>
          <w:rFonts w:ascii="Arial Narrow" w:hAnsi="Arial Narrow" w:cs="Tahoma"/>
          <w:b/>
          <w:sz w:val="30"/>
          <w:szCs w:val="30"/>
          <w:lang w:val="sr-Latn-CS"/>
        </w:rPr>
        <w:t>results</w:t>
      </w:r>
      <w:proofErr w:type="spellEnd"/>
    </w:p>
    <w:p w:rsidR="00EB32A1" w:rsidRPr="0037455A" w:rsidRDefault="00EB32A1" w:rsidP="00EB32A1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1B7F97" w:rsidRDefault="001B7F97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According the </w:t>
      </w:r>
      <w:proofErr w:type="spellStart"/>
      <w:r>
        <w:rPr>
          <w:rFonts w:ascii="Arial Narrow" w:hAnsi="Arial Narrow" w:cs="Tahoma"/>
          <w:sz w:val="22"/>
          <w:szCs w:val="22"/>
        </w:rPr>
        <w:t>the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preliminary results of the </w:t>
      </w:r>
      <w:proofErr w:type="spellStart"/>
      <w:r>
        <w:rPr>
          <w:rFonts w:ascii="Arial Narrow" w:hAnsi="Arial Narrow" w:cs="Tahoma"/>
          <w:sz w:val="22"/>
          <w:szCs w:val="22"/>
        </w:rPr>
        <w:t>Labour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Force Survey, </w:t>
      </w:r>
      <w:r w:rsidR="00853EA5">
        <w:rPr>
          <w:rFonts w:ascii="Arial Narrow" w:hAnsi="Arial Narrow" w:cs="Tahoma"/>
          <w:sz w:val="22"/>
          <w:szCs w:val="22"/>
        </w:rPr>
        <w:t xml:space="preserve">the </w:t>
      </w:r>
      <w:r>
        <w:rPr>
          <w:rFonts w:ascii="Arial Narrow" w:hAnsi="Arial Narrow" w:cs="Tahoma"/>
          <w:sz w:val="22"/>
          <w:szCs w:val="22"/>
        </w:rPr>
        <w:t>activity rate, which indicates the ratio between active and working age population</w:t>
      </w:r>
      <w:r w:rsidR="00853EA5">
        <w:rPr>
          <w:rFonts w:ascii="Arial Narrow" w:hAnsi="Arial Narrow" w:cs="Tahoma"/>
          <w:sz w:val="22"/>
          <w:szCs w:val="22"/>
        </w:rPr>
        <w:t>,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853EA5">
        <w:rPr>
          <w:rFonts w:ascii="Arial Narrow" w:hAnsi="Arial Narrow" w:cs="Tahoma"/>
          <w:sz w:val="22"/>
          <w:szCs w:val="22"/>
        </w:rPr>
        <w:t>is 47.0%</w:t>
      </w:r>
      <w:r w:rsidR="000D742E" w:rsidRPr="000D742E">
        <w:rPr>
          <w:rFonts w:ascii="Arial Narrow" w:hAnsi="Arial Narrow" w:cs="Tahoma"/>
          <w:sz w:val="22"/>
          <w:szCs w:val="22"/>
        </w:rPr>
        <w:t xml:space="preserve"> </w:t>
      </w:r>
      <w:r w:rsidR="000D742E">
        <w:rPr>
          <w:rFonts w:ascii="Arial Narrow" w:hAnsi="Arial Narrow" w:cs="Tahoma"/>
          <w:sz w:val="22"/>
          <w:szCs w:val="22"/>
        </w:rPr>
        <w:t xml:space="preserve">in </w:t>
      </w:r>
      <w:proofErr w:type="spellStart"/>
      <w:r w:rsidR="000D742E">
        <w:rPr>
          <w:rFonts w:ascii="Arial Narrow" w:hAnsi="Arial Narrow" w:cs="Tahoma"/>
          <w:sz w:val="22"/>
          <w:szCs w:val="22"/>
        </w:rPr>
        <w:t>Republika</w:t>
      </w:r>
      <w:proofErr w:type="spellEnd"/>
      <w:r w:rsidR="000D742E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="000D742E">
        <w:rPr>
          <w:rFonts w:ascii="Arial Narrow" w:hAnsi="Arial Narrow" w:cs="Tahoma"/>
          <w:sz w:val="22"/>
          <w:szCs w:val="22"/>
        </w:rPr>
        <w:t>Srpska</w:t>
      </w:r>
      <w:proofErr w:type="spellEnd"/>
      <w:r w:rsidR="00853EA5">
        <w:rPr>
          <w:rFonts w:ascii="Arial Narrow" w:hAnsi="Arial Narrow" w:cs="Tahoma"/>
          <w:sz w:val="22"/>
          <w:szCs w:val="22"/>
        </w:rPr>
        <w:t xml:space="preserve"> in 2014. 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:rsidR="004F3199" w:rsidRPr="004F3199" w:rsidRDefault="004F3199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0D742E" w:rsidRDefault="000D742E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Employment rate as a ratio between employed persons and working age population is 34.9%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and it is 0.3% higher compared to 2013, while employment rate for the age group between 15 and 64 years of age amounts is 43.6%. </w:t>
      </w:r>
    </w:p>
    <w:p w:rsidR="004F3199" w:rsidRPr="004F3199" w:rsidRDefault="004F3199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0D742E" w:rsidRDefault="000D742E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Unemployment rate measured by the ratio between unemployed persons and active population is 25.7%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and it is 1.3% lower compared to 2013, while for the age group between 15 and 24 years of age it amounts to 56.5%.</w:t>
      </w:r>
    </w:p>
    <w:p w:rsidR="004F3199" w:rsidRPr="004F3199" w:rsidRDefault="004F3199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A9734D" w:rsidRPr="00A9734D" w:rsidRDefault="00A9734D" w:rsidP="00EB32A1">
      <w:pPr>
        <w:jc w:val="both"/>
        <w:rPr>
          <w:rFonts w:ascii="Arial Narrow" w:hAnsi="Arial Narrow" w:cs="Tahoma"/>
          <w:sz w:val="22"/>
          <w:szCs w:val="22"/>
        </w:rPr>
      </w:pPr>
      <w:proofErr w:type="spellStart"/>
      <w:r w:rsidRPr="00A9734D">
        <w:rPr>
          <w:rFonts w:ascii="Arial Narrow" w:hAnsi="Arial Narrow" w:cs="Tahoma"/>
          <w:sz w:val="22"/>
          <w:szCs w:val="22"/>
        </w:rPr>
        <w:lastRenderedPageBreak/>
        <w:t>Labour</w:t>
      </w:r>
      <w:proofErr w:type="spellEnd"/>
      <w:r w:rsidRPr="00A9734D">
        <w:rPr>
          <w:rFonts w:ascii="Arial Narrow" w:hAnsi="Arial Narrow" w:cs="Tahoma"/>
          <w:sz w:val="22"/>
          <w:szCs w:val="22"/>
        </w:rPr>
        <w:t xml:space="preserve"> Force Survey in </w:t>
      </w:r>
      <w:proofErr w:type="spellStart"/>
      <w:r w:rsidRPr="00A9734D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A9734D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A9734D">
        <w:rPr>
          <w:rFonts w:ascii="Arial Narrow" w:hAnsi="Arial Narrow" w:cs="Tahoma"/>
          <w:sz w:val="22"/>
          <w:szCs w:val="22"/>
        </w:rPr>
        <w:t>Srpska</w:t>
      </w:r>
      <w:proofErr w:type="spellEnd"/>
      <w:r w:rsidRPr="00A9734D">
        <w:rPr>
          <w:rFonts w:ascii="Arial Narrow" w:hAnsi="Arial Narrow" w:cs="Tahoma"/>
          <w:sz w:val="22"/>
          <w:szCs w:val="22"/>
        </w:rPr>
        <w:t xml:space="preserve"> covers 3,565 randomly selected households and it was carried out in the period between 14</w:t>
      </w:r>
      <w:r w:rsidRPr="00A9734D">
        <w:rPr>
          <w:rFonts w:ascii="Arial Narrow" w:hAnsi="Arial Narrow" w:cs="Tahoma"/>
          <w:sz w:val="22"/>
          <w:szCs w:val="22"/>
          <w:vertAlign w:val="superscript"/>
        </w:rPr>
        <w:t>th</w:t>
      </w:r>
      <w:r>
        <w:rPr>
          <w:rFonts w:ascii="Arial Narrow" w:hAnsi="Arial Narrow" w:cs="Tahoma"/>
          <w:sz w:val="22"/>
          <w:szCs w:val="22"/>
        </w:rPr>
        <w:t xml:space="preserve"> and 27</w:t>
      </w:r>
      <w:r w:rsidRPr="00A9734D">
        <w:rPr>
          <w:rFonts w:ascii="Arial Narrow" w:hAnsi="Arial Narrow" w:cs="Tahoma"/>
          <w:sz w:val="22"/>
          <w:szCs w:val="22"/>
          <w:vertAlign w:val="superscript"/>
        </w:rPr>
        <w:t>th</w:t>
      </w:r>
      <w:r>
        <w:rPr>
          <w:rFonts w:ascii="Arial Narrow" w:hAnsi="Arial Narrow" w:cs="Tahoma"/>
          <w:sz w:val="22"/>
          <w:szCs w:val="22"/>
        </w:rPr>
        <w:t xml:space="preserve"> April 2014. The reference week covered the period between 7</w:t>
      </w:r>
      <w:r w:rsidRPr="00A9734D">
        <w:rPr>
          <w:rFonts w:ascii="Arial Narrow" w:hAnsi="Arial Narrow" w:cs="Tahoma"/>
          <w:sz w:val="22"/>
          <w:szCs w:val="22"/>
          <w:vertAlign w:val="superscript"/>
        </w:rPr>
        <w:t>th</w:t>
      </w:r>
      <w:r>
        <w:rPr>
          <w:rFonts w:ascii="Arial Narrow" w:hAnsi="Arial Narrow" w:cs="Tahoma"/>
          <w:sz w:val="22"/>
          <w:szCs w:val="22"/>
        </w:rPr>
        <w:t xml:space="preserve"> and 13</w:t>
      </w:r>
      <w:r w:rsidRPr="00A9734D">
        <w:rPr>
          <w:rFonts w:ascii="Arial Narrow" w:hAnsi="Arial Narrow" w:cs="Tahoma"/>
          <w:sz w:val="22"/>
          <w:szCs w:val="22"/>
          <w:vertAlign w:val="superscript"/>
        </w:rPr>
        <w:t>th</w:t>
      </w:r>
      <w:r>
        <w:rPr>
          <w:rFonts w:ascii="Arial Narrow" w:hAnsi="Arial Narrow" w:cs="Tahoma"/>
          <w:sz w:val="22"/>
          <w:szCs w:val="22"/>
        </w:rPr>
        <w:t xml:space="preserve"> April 2014. </w:t>
      </w:r>
    </w:p>
    <w:p w:rsidR="004F3199" w:rsidRPr="0037455A" w:rsidRDefault="004F3199" w:rsidP="00EB32A1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A9734D" w:rsidRDefault="00A9734D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Methodological principles of the </w:t>
      </w:r>
      <w:proofErr w:type="spellStart"/>
      <w:r>
        <w:rPr>
          <w:rFonts w:ascii="Arial Narrow" w:hAnsi="Arial Narrow" w:cs="Tahoma"/>
          <w:sz w:val="22"/>
          <w:szCs w:val="22"/>
        </w:rPr>
        <w:t>Labour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Force Survey are based on recommendations and definitions of the International </w:t>
      </w:r>
      <w:proofErr w:type="spellStart"/>
      <w:r>
        <w:rPr>
          <w:rFonts w:ascii="Arial Narrow" w:hAnsi="Arial Narrow" w:cs="Tahoma"/>
          <w:sz w:val="22"/>
          <w:szCs w:val="22"/>
        </w:rPr>
        <w:t>Labour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Organisation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and requirements of the Statistical Office of the EU, which ensures international comparability of data in the field of </w:t>
      </w:r>
      <w:proofErr w:type="spellStart"/>
      <w:r>
        <w:rPr>
          <w:rFonts w:ascii="Arial Narrow" w:hAnsi="Arial Narrow" w:cs="Tahoma"/>
          <w:sz w:val="22"/>
          <w:szCs w:val="22"/>
        </w:rPr>
        <w:t>labour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statistics. </w:t>
      </w:r>
    </w:p>
    <w:p w:rsidR="00451451" w:rsidRPr="00FB3E49" w:rsidRDefault="00451451" w:rsidP="002B046A">
      <w:pPr>
        <w:jc w:val="both"/>
        <w:rPr>
          <w:rFonts w:ascii="Arial Narrow" w:hAnsi="Arial Narrow" w:cs="Tahoma"/>
          <w:sz w:val="22"/>
          <w:szCs w:val="22"/>
        </w:rPr>
      </w:pPr>
    </w:p>
    <w:p w:rsidR="00451451" w:rsidRPr="00EB32A1" w:rsidRDefault="00451451" w:rsidP="002B046A">
      <w:pPr>
        <w:jc w:val="both"/>
        <w:rPr>
          <w:rFonts w:ascii="Arial Narrow" w:hAnsi="Arial Narrow" w:cs="Tahoma"/>
          <w:sz w:val="30"/>
          <w:szCs w:val="30"/>
        </w:rPr>
      </w:pPr>
    </w:p>
    <w:p w:rsidR="002B046A" w:rsidRPr="00930D8F" w:rsidRDefault="00F85FE6" w:rsidP="002B046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930D8F">
        <w:rPr>
          <w:rFonts w:ascii="Arial Narrow" w:hAnsi="Arial Narrow" w:cs="Tahoma"/>
          <w:b/>
          <w:sz w:val="30"/>
          <w:szCs w:val="30"/>
        </w:rPr>
        <w:t>Average net wage in June</w:t>
      </w:r>
      <w:r w:rsidR="002B046A" w:rsidRPr="00930D8F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2B046A" w:rsidRPr="00930D8F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861FFC" w:rsidRPr="00930D8F">
        <w:rPr>
          <w:rFonts w:ascii="Arial Narrow" w:hAnsi="Arial Narrow" w:cs="Tahoma"/>
          <w:b/>
          <w:sz w:val="30"/>
          <w:szCs w:val="30"/>
          <w:lang w:val="sr-Cyrl-CS"/>
        </w:rPr>
        <w:t>37</w:t>
      </w:r>
      <w:r w:rsidR="002B046A" w:rsidRPr="00930D8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2B046A" w:rsidRPr="00930D8F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2B046A" w:rsidRPr="00930D8F" w:rsidRDefault="00F85FE6" w:rsidP="002B046A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930D8F">
        <w:rPr>
          <w:rFonts w:ascii="Arial Narrow" w:hAnsi="Arial Narrow" w:cs="Tahoma"/>
          <w:b/>
          <w:sz w:val="28"/>
          <w:szCs w:val="28"/>
          <w:lang w:val="ru-RU"/>
        </w:rPr>
        <w:t xml:space="preserve">The highest average net wage was that in the section </w:t>
      </w:r>
      <w:r w:rsidRPr="00930D8F">
        <w:rPr>
          <w:rFonts w:ascii="Arial Narrow" w:hAnsi="Arial Narrow" w:cs="Tahoma"/>
          <w:b/>
          <w:i/>
          <w:sz w:val="28"/>
          <w:szCs w:val="28"/>
        </w:rPr>
        <w:t>Information and communication</w:t>
      </w:r>
      <w:r w:rsidR="002B046A" w:rsidRPr="00930D8F">
        <w:rPr>
          <w:rFonts w:ascii="Arial Narrow" w:hAnsi="Arial Narrow" w:cs="Tahoma"/>
          <w:b/>
          <w:sz w:val="28"/>
          <w:szCs w:val="28"/>
          <w:lang w:val="ru-RU"/>
        </w:rPr>
        <w:t xml:space="preserve"> 1</w:t>
      </w:r>
      <w:r w:rsidRPr="00930D8F">
        <w:rPr>
          <w:rFonts w:ascii="Arial Narrow" w:hAnsi="Arial Narrow" w:cs="Tahoma"/>
          <w:b/>
          <w:sz w:val="28"/>
          <w:szCs w:val="28"/>
        </w:rPr>
        <w:t>,</w:t>
      </w:r>
      <w:r w:rsidR="002B046A" w:rsidRPr="00930D8F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861FFC" w:rsidRPr="00930D8F">
        <w:rPr>
          <w:rFonts w:ascii="Arial Narrow" w:hAnsi="Arial Narrow" w:cs="Tahoma"/>
          <w:b/>
          <w:sz w:val="28"/>
          <w:szCs w:val="28"/>
          <w:lang w:val="ru-RU"/>
        </w:rPr>
        <w:t>51</w:t>
      </w:r>
      <w:r w:rsidR="002B046A" w:rsidRPr="00930D8F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2B046A" w:rsidRPr="00930D8F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930D8F">
        <w:rPr>
          <w:rFonts w:ascii="Arial Narrow" w:hAnsi="Arial Narrow" w:cs="Tahoma"/>
          <w:b/>
          <w:sz w:val="28"/>
          <w:szCs w:val="28"/>
          <w:lang w:val="ru-RU"/>
        </w:rPr>
        <w:t xml:space="preserve">while the lowest one was that in the section </w:t>
      </w:r>
      <w:r w:rsidRPr="00930D8F">
        <w:rPr>
          <w:rFonts w:ascii="Arial Narrow" w:hAnsi="Arial Narrow" w:cs="Tahoma"/>
          <w:b/>
          <w:i/>
          <w:sz w:val="28"/>
          <w:szCs w:val="28"/>
          <w:lang w:val="ru-RU"/>
        </w:rPr>
        <w:t>Administrative and support service activities</w:t>
      </w:r>
      <w:r w:rsidRPr="00930D8F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 w:rsidR="00040BF1" w:rsidRPr="00930D8F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861FFC" w:rsidRPr="00930D8F">
        <w:rPr>
          <w:rFonts w:ascii="Arial Narrow" w:hAnsi="Arial Narrow" w:cs="Tahoma"/>
          <w:b/>
          <w:sz w:val="28"/>
          <w:szCs w:val="28"/>
          <w:lang w:val="sr-Cyrl-BA"/>
        </w:rPr>
        <w:t>22</w:t>
      </w:r>
      <w:r w:rsidR="002B046A" w:rsidRPr="00930D8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2B046A" w:rsidRPr="00AE7F03" w:rsidRDefault="002B046A" w:rsidP="002B046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F85FE6" w:rsidRPr="001A5D64" w:rsidRDefault="00F85FE6" w:rsidP="00F85FE6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proofErr w:type="spellStart"/>
      <w:r w:rsidRPr="001A5D64">
        <w:rPr>
          <w:rFonts w:ascii="Arial Narrow" w:hAnsi="Arial Narrow" w:cs="Tahoma"/>
          <w:sz w:val="22"/>
          <w:lang w:val="sr-Cyrl-CS"/>
        </w:rPr>
        <w:t>Average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monthly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net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wage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of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employed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persons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in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Republika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Srpska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paid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in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June</w:t>
      </w:r>
      <w:r w:rsidRPr="001A5D64">
        <w:rPr>
          <w:rFonts w:ascii="Arial Narrow" w:hAnsi="Arial Narrow" w:cs="Tahoma"/>
          <w:sz w:val="22"/>
          <w:lang w:val="sr-Cyrl-CS"/>
        </w:rPr>
        <w:t xml:space="preserve"> 2014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was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837</w:t>
      </w:r>
      <w:r w:rsidRPr="001A5D64">
        <w:rPr>
          <w:rFonts w:ascii="Arial Narrow" w:hAnsi="Arial Narrow" w:cs="Tahoma"/>
          <w:sz w:val="22"/>
          <w:lang w:val="sr-Cyrl-CS"/>
        </w:rPr>
        <w:t xml:space="preserve"> КМ,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while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average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monthly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gross</w:t>
      </w:r>
      <w:proofErr w:type="spellEnd"/>
      <w:r w:rsidRPr="001A5D64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1A5D64">
        <w:rPr>
          <w:rFonts w:ascii="Arial Narrow" w:hAnsi="Arial Narrow" w:cs="Tahoma"/>
          <w:sz w:val="22"/>
          <w:lang w:val="sr-Cyrl-CS"/>
        </w:rPr>
        <w:t>wage</w:t>
      </w:r>
      <w:proofErr w:type="spellEnd"/>
      <w:r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Cyrl-CS"/>
        </w:rPr>
        <w:t>was</w:t>
      </w:r>
      <w:proofErr w:type="spellEnd"/>
      <w:r>
        <w:rPr>
          <w:rFonts w:ascii="Arial Narrow" w:hAnsi="Arial Narrow" w:cs="Tahoma"/>
          <w:sz w:val="22"/>
          <w:lang w:val="sr-Cyrl-CS"/>
        </w:rPr>
        <w:t xml:space="preserve"> 1,3</w:t>
      </w:r>
      <w:r>
        <w:rPr>
          <w:rFonts w:ascii="Arial Narrow" w:hAnsi="Arial Narrow" w:cs="Tahoma"/>
          <w:sz w:val="22"/>
        </w:rPr>
        <w:t>47</w:t>
      </w:r>
      <w:r w:rsidRPr="001A5D64">
        <w:rPr>
          <w:rFonts w:ascii="Arial Narrow" w:hAnsi="Arial Narrow" w:cs="Tahoma"/>
          <w:sz w:val="22"/>
          <w:lang w:val="sr-Cyrl-CS"/>
        </w:rPr>
        <w:t xml:space="preserve"> КМ.</w:t>
      </w:r>
    </w:p>
    <w:p w:rsidR="00F85FE6" w:rsidRDefault="00F85FE6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B046A" w:rsidRPr="00FA54DE" w:rsidRDefault="00FA54DE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Compared to May 2014, average net wage paid in June 2014 was really 2.6% higher, while compared to June 2013 it was really 4.6% higher.</w:t>
      </w:r>
    </w:p>
    <w:p w:rsidR="00646708" w:rsidRPr="00AE7F03" w:rsidRDefault="00646708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257630" w:rsidRDefault="00257630" w:rsidP="00EB32A1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proofErr w:type="spellStart"/>
      <w:r>
        <w:rPr>
          <w:rFonts w:ascii="Arial Narrow" w:hAnsi="Arial Narrow" w:cs="Tahoma"/>
          <w:sz w:val="22"/>
          <w:lang w:val="sr-Latn-CS"/>
        </w:rPr>
        <w:t>An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increase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lang w:val="sr-Latn-CS"/>
        </w:rPr>
        <w:t>wage</w:t>
      </w:r>
      <w:r w:rsidR="00127AA5">
        <w:rPr>
          <w:rFonts w:ascii="Arial Narrow" w:hAnsi="Arial Narrow" w:cs="Tahoma"/>
          <w:sz w:val="22"/>
          <w:lang w:val="sr-Latn-CS"/>
        </w:rPr>
        <w:t>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paid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June 2014 </w:t>
      </w:r>
      <w:proofErr w:type="spellStart"/>
      <w:r>
        <w:rPr>
          <w:rFonts w:ascii="Arial Narrow" w:hAnsi="Arial Narrow" w:cs="Tahoma"/>
          <w:sz w:val="22"/>
          <w:lang w:val="sr-Latn-CS"/>
        </w:rPr>
        <w:t>compared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to </w:t>
      </w:r>
      <w:proofErr w:type="spellStart"/>
      <w:r>
        <w:rPr>
          <w:rFonts w:ascii="Arial Narrow" w:hAnsi="Arial Narrow" w:cs="Tahoma"/>
          <w:sz w:val="22"/>
          <w:lang w:val="sr-Latn-CS"/>
        </w:rPr>
        <w:t>May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2014 </w:t>
      </w:r>
      <w:proofErr w:type="spellStart"/>
      <w:r>
        <w:rPr>
          <w:rFonts w:ascii="Arial Narrow" w:hAnsi="Arial Narrow" w:cs="Tahoma"/>
          <w:sz w:val="22"/>
          <w:lang w:val="sr-Latn-CS"/>
        </w:rPr>
        <w:t>occurred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mainly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due to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application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of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new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wage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coefficients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Public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administration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and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defense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because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of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a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higher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number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of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paid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over</w:t>
      </w:r>
      <w:r>
        <w:rPr>
          <w:rFonts w:ascii="Arial Narrow" w:hAnsi="Arial Narrow" w:cs="Tahoma"/>
          <w:sz w:val="22"/>
          <w:lang w:val="sr-Latn-CS"/>
        </w:rPr>
        <w:t>time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workin</w:t>
      </w:r>
      <w:r w:rsidR="00127AA5">
        <w:rPr>
          <w:rFonts w:ascii="Arial Narrow" w:hAnsi="Arial Narrow" w:cs="Tahoma"/>
          <w:sz w:val="22"/>
          <w:lang w:val="sr-Latn-CS"/>
        </w:rPr>
        <w:t>g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hours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and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hours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worked</w:t>
      </w:r>
      <w:proofErr w:type="spellEnd"/>
      <w:r w:rsidR="00127AA5">
        <w:rPr>
          <w:rFonts w:ascii="Arial Narrow" w:hAnsi="Arial Narrow" w:cs="Tahoma"/>
          <w:sz w:val="22"/>
          <w:lang w:val="sr-Latn-CS"/>
        </w:rPr>
        <w:t xml:space="preserve"> on </w:t>
      </w:r>
      <w:proofErr w:type="spellStart"/>
      <w:r w:rsidR="00127AA5">
        <w:rPr>
          <w:rFonts w:ascii="Arial Narrow" w:hAnsi="Arial Narrow" w:cs="Tahoma"/>
          <w:sz w:val="22"/>
          <w:lang w:val="sr-Latn-CS"/>
        </w:rPr>
        <w:t>publ</w:t>
      </w:r>
      <w:r>
        <w:rPr>
          <w:rFonts w:ascii="Arial Narrow" w:hAnsi="Arial Narrow" w:cs="Tahoma"/>
          <w:sz w:val="22"/>
          <w:lang w:val="sr-Latn-CS"/>
        </w:rPr>
        <w:t>ic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holidays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sections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Information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and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communication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,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Mining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and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quarrying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Electricity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, gas,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steam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and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air-conditioning</w:t>
      </w:r>
      <w:proofErr w:type="spellEnd"/>
      <w:r w:rsidRPr="00127AA5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127AA5">
        <w:rPr>
          <w:rFonts w:ascii="Arial Narrow" w:hAnsi="Arial Narrow" w:cs="Tahoma"/>
          <w:i/>
          <w:sz w:val="22"/>
          <w:lang w:val="sr-Latn-CS"/>
        </w:rPr>
        <w:t>supply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. </w:t>
      </w:r>
    </w:p>
    <w:p w:rsidR="00257B7F" w:rsidRDefault="00257B7F" w:rsidP="00EB32A1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DB55A9" w:rsidRDefault="00DB55A9" w:rsidP="00EB32A1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  <w:proofErr w:type="spellStart"/>
      <w:r>
        <w:rPr>
          <w:rFonts w:ascii="Arial Narrow" w:hAnsi="Arial Narrow" w:cs="Tahoma"/>
          <w:sz w:val="22"/>
          <w:lang w:val="sr-Latn-CS"/>
        </w:rPr>
        <w:t>After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73 </w:t>
      </w:r>
      <w:proofErr w:type="spellStart"/>
      <w:r>
        <w:rPr>
          <w:rFonts w:ascii="Arial Narrow" w:hAnsi="Arial Narrow" w:cs="Tahoma"/>
          <w:sz w:val="22"/>
          <w:lang w:val="sr-Latn-CS"/>
        </w:rPr>
        <w:t>months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lang w:val="sr-Latn-CS"/>
        </w:rPr>
        <w:t>which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highest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average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net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wage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was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one </w:t>
      </w:r>
      <w:proofErr w:type="spellStart"/>
      <w:r>
        <w:rPr>
          <w:rFonts w:ascii="Arial Narrow" w:hAnsi="Arial Narrow" w:cs="Tahoma"/>
          <w:sz w:val="22"/>
          <w:lang w:val="sr-Latn-CS"/>
        </w:rPr>
        <w:t>paid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Financial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and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insurance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activities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, in June 2014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highest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average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net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wage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was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one </w:t>
      </w:r>
      <w:proofErr w:type="spellStart"/>
      <w:r>
        <w:rPr>
          <w:rFonts w:ascii="Arial Narrow" w:hAnsi="Arial Narrow" w:cs="Tahoma"/>
          <w:sz w:val="22"/>
          <w:lang w:val="sr-Latn-CS"/>
        </w:rPr>
        <w:t>paid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Information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and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communication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and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it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amounted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to 1,251 KM. On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the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other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hand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,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lowest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wage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paid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in June 2014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was</w:t>
      </w:r>
      <w:proofErr w:type="spellEnd"/>
      <w:r w:rsidR="00A70DD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70DDB">
        <w:rPr>
          <w:rFonts w:ascii="Arial Narrow" w:hAnsi="Arial Narrow" w:cs="Tahoma"/>
          <w:sz w:val="22"/>
          <w:lang w:val="sr-Latn-CS"/>
        </w:rPr>
        <w:t>that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Administrative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and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support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service</w:t>
      </w:r>
      <w:proofErr w:type="spellEnd"/>
      <w:r w:rsidRPr="00DB55A9">
        <w:rPr>
          <w:rFonts w:ascii="Arial Narrow" w:hAnsi="Arial Narrow" w:cs="Tahoma"/>
          <w:i/>
          <w:sz w:val="22"/>
          <w:lang w:val="sr-Latn-CS"/>
        </w:rPr>
        <w:t xml:space="preserve"> </w:t>
      </w:r>
      <w:proofErr w:type="spellStart"/>
      <w:r w:rsidRPr="00DB55A9">
        <w:rPr>
          <w:rFonts w:ascii="Arial Narrow" w:hAnsi="Arial Narrow" w:cs="Tahoma"/>
          <w:i/>
          <w:sz w:val="22"/>
          <w:lang w:val="sr-Latn-CS"/>
        </w:rPr>
        <w:t>activities</w:t>
      </w:r>
      <w:proofErr w:type="spellEnd"/>
      <w:r>
        <w:rPr>
          <w:rFonts w:ascii="Arial Narrow" w:hAnsi="Arial Narrow" w:cs="Tahoma"/>
          <w:sz w:val="22"/>
          <w:lang w:val="sr-Latn-CS"/>
        </w:rPr>
        <w:t xml:space="preserve">, 422 KM. </w:t>
      </w:r>
    </w:p>
    <w:p w:rsidR="00EB32A1" w:rsidRPr="0037455A" w:rsidRDefault="00EB32A1" w:rsidP="00EB32A1">
      <w:pPr>
        <w:jc w:val="both"/>
        <w:rPr>
          <w:rFonts w:ascii="Arial Narrow" w:hAnsi="Arial Narrow" w:cs="Tahoma"/>
          <w:sz w:val="22"/>
          <w:lang w:val="sr-Latn-CS"/>
        </w:rPr>
      </w:pPr>
    </w:p>
    <w:p w:rsidR="00DB55A9" w:rsidRDefault="00DB55A9" w:rsidP="00EB32A1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June 2014, compared to May 2014, the highest increase in nominal net wages was recorded in the section </w:t>
      </w:r>
      <w:r w:rsidRPr="00DB55A9">
        <w:rPr>
          <w:rFonts w:ascii="Arial Narrow" w:hAnsi="Arial Narrow" w:cs="Tahoma"/>
          <w:i/>
          <w:sz w:val="22"/>
        </w:rPr>
        <w:t xml:space="preserve">Professional, scientific and technical activities </w:t>
      </w:r>
      <w:r>
        <w:rPr>
          <w:rFonts w:ascii="Arial Narrow" w:hAnsi="Arial Narrow" w:cs="Tahoma"/>
          <w:sz w:val="22"/>
        </w:rPr>
        <w:t xml:space="preserve">13.3%, followed by </w:t>
      </w:r>
      <w:r w:rsidRPr="00DB55A9">
        <w:rPr>
          <w:rFonts w:ascii="Arial Narrow" w:hAnsi="Arial Narrow" w:cs="Tahoma"/>
          <w:i/>
          <w:sz w:val="22"/>
        </w:rPr>
        <w:t>Art, entertainment and recreation</w:t>
      </w:r>
      <w:r>
        <w:rPr>
          <w:rFonts w:ascii="Arial Narrow" w:hAnsi="Arial Narrow" w:cs="Tahoma"/>
          <w:sz w:val="22"/>
        </w:rPr>
        <w:t xml:space="preserve"> 6.6% and </w:t>
      </w:r>
      <w:r w:rsidRPr="00DB55A9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6.0%. </w:t>
      </w:r>
    </w:p>
    <w:p w:rsidR="00EB32A1" w:rsidRPr="0037455A" w:rsidRDefault="00EB32A1" w:rsidP="00EB32A1">
      <w:pPr>
        <w:jc w:val="both"/>
        <w:rPr>
          <w:rFonts w:ascii="Arial Narrow" w:hAnsi="Arial Narrow" w:cs="Tahoma"/>
          <w:sz w:val="22"/>
          <w:lang w:val="sr-Cyrl-BA"/>
        </w:rPr>
      </w:pPr>
    </w:p>
    <w:p w:rsidR="00502F6A" w:rsidRDefault="00502F6A" w:rsidP="00EB32A1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A decrease in nominal wages was recorded in the sections</w:t>
      </w:r>
      <w:r w:rsidR="00482DCA">
        <w:rPr>
          <w:rFonts w:ascii="Arial Narrow" w:hAnsi="Arial Narrow" w:cs="Tahoma"/>
          <w:sz w:val="22"/>
        </w:rPr>
        <w:t xml:space="preserve"> </w:t>
      </w:r>
      <w:r w:rsidR="00482DCA" w:rsidRPr="00482DCA">
        <w:rPr>
          <w:rFonts w:ascii="Arial Narrow" w:hAnsi="Arial Narrow" w:cs="Tahoma"/>
          <w:i/>
          <w:sz w:val="22"/>
        </w:rPr>
        <w:t>Administrative and support service activities</w:t>
      </w:r>
      <w:r w:rsidR="00482DCA">
        <w:rPr>
          <w:rFonts w:ascii="Arial Narrow" w:hAnsi="Arial Narrow" w:cs="Tahoma"/>
          <w:sz w:val="22"/>
        </w:rPr>
        <w:t xml:space="preserve"> 15.2%, </w:t>
      </w:r>
      <w:r w:rsidR="00482DCA" w:rsidRPr="00482DCA">
        <w:rPr>
          <w:rFonts w:ascii="Arial Narrow" w:hAnsi="Arial Narrow" w:cs="Tahoma"/>
          <w:i/>
          <w:sz w:val="22"/>
        </w:rPr>
        <w:t xml:space="preserve">Agriculture, forestry and fishing </w:t>
      </w:r>
      <w:r w:rsidR="00482DCA">
        <w:rPr>
          <w:rFonts w:ascii="Arial Narrow" w:hAnsi="Arial Narrow" w:cs="Tahoma"/>
          <w:sz w:val="22"/>
        </w:rPr>
        <w:t xml:space="preserve">3.2% and </w:t>
      </w:r>
      <w:r w:rsidR="00482DCA" w:rsidRPr="00482DCA">
        <w:rPr>
          <w:rFonts w:ascii="Arial Narrow" w:hAnsi="Arial Narrow" w:cs="Tahoma"/>
          <w:i/>
          <w:sz w:val="22"/>
        </w:rPr>
        <w:t>Financial and insurance activities</w:t>
      </w:r>
      <w:r w:rsidR="00482DCA">
        <w:rPr>
          <w:rFonts w:ascii="Arial Narrow" w:hAnsi="Arial Narrow" w:cs="Tahoma"/>
          <w:sz w:val="22"/>
        </w:rPr>
        <w:t xml:space="preserve"> 2.8%. </w:t>
      </w:r>
    </w:p>
    <w:p w:rsidR="00037786" w:rsidRPr="00AE7F03" w:rsidRDefault="00037786" w:rsidP="00ED4323">
      <w:pPr>
        <w:jc w:val="both"/>
        <w:rPr>
          <w:rFonts w:ascii="Tahoma" w:hAnsi="Tahoma" w:cs="Tahoma"/>
          <w:lang w:val="sr-Cyrl-BA"/>
        </w:rPr>
      </w:pPr>
    </w:p>
    <w:p w:rsidR="00037786" w:rsidRPr="003F0ED8" w:rsidRDefault="00037786" w:rsidP="00451451">
      <w:pPr>
        <w:jc w:val="both"/>
        <w:rPr>
          <w:rFonts w:ascii="Arial Narrow" w:hAnsi="Arial Narrow" w:cs="Tahoma"/>
          <w:sz w:val="22"/>
          <w:szCs w:val="22"/>
        </w:rPr>
      </w:pPr>
      <w:r w:rsidRPr="00AE7F03">
        <w:rPr>
          <w:rFonts w:ascii="Tahoma" w:hAnsi="Tahoma" w:cs="Tahoma"/>
          <w:i/>
          <w:sz w:val="14"/>
          <w:lang w:val="sr-Cyrl-CS"/>
        </w:rPr>
        <w:t xml:space="preserve"> </w:t>
      </w:r>
      <w:r w:rsidRPr="00AE7F03">
        <w:rPr>
          <w:rFonts w:ascii="Tahoma" w:hAnsi="Tahoma" w:cs="Tahoma"/>
          <w:sz w:val="14"/>
          <w:lang w:val="sr-Cyrl-CS"/>
        </w:rPr>
        <w:t xml:space="preserve">       </w:t>
      </w:r>
      <w:r w:rsidRPr="00AE7F03">
        <w:rPr>
          <w:rFonts w:ascii="Tahoma" w:hAnsi="Tahoma" w:cs="Tahoma"/>
          <w:sz w:val="14"/>
          <w:lang w:val="sr-Latn-CS"/>
        </w:rPr>
        <w:t xml:space="preserve"> </w:t>
      </w:r>
      <w:r w:rsidR="003D38C1" w:rsidRPr="00AE7F03">
        <w:rPr>
          <w:rFonts w:ascii="Tahoma" w:hAnsi="Tahoma" w:cs="Tahoma"/>
          <w:sz w:val="14"/>
          <w:lang w:val="sr-Latn-CS"/>
        </w:rPr>
        <w:tab/>
      </w:r>
      <w:r w:rsidR="003D38C1" w:rsidRPr="00AE7F03">
        <w:rPr>
          <w:rFonts w:ascii="Tahoma" w:hAnsi="Tahoma" w:cs="Tahoma"/>
          <w:sz w:val="14"/>
          <w:lang w:val="sr-Latn-CS"/>
        </w:rPr>
        <w:tab/>
        <w:t xml:space="preserve"> </w:t>
      </w:r>
      <w:r w:rsidR="000E4DB9" w:rsidRPr="00AE7F03">
        <w:rPr>
          <w:rFonts w:ascii="Tahoma" w:hAnsi="Tahoma" w:cs="Tahoma"/>
          <w:sz w:val="14"/>
          <w:lang w:val="sr-Latn-CS"/>
        </w:rPr>
        <w:t xml:space="preserve"> </w:t>
      </w:r>
      <w:r w:rsidR="003D38C1" w:rsidRPr="00AE7F03">
        <w:rPr>
          <w:rFonts w:ascii="Tahoma" w:hAnsi="Tahoma" w:cs="Tahoma"/>
          <w:sz w:val="14"/>
          <w:lang w:val="sr-Latn-CS"/>
        </w:rPr>
        <w:t xml:space="preserve"> </w:t>
      </w:r>
      <w:r w:rsidR="008809BE" w:rsidRPr="00AE7F03">
        <w:rPr>
          <w:rFonts w:ascii="Tahoma" w:hAnsi="Tahoma" w:cs="Tahoma"/>
          <w:sz w:val="14"/>
        </w:rPr>
        <w:t xml:space="preserve">  </w:t>
      </w:r>
      <w:r w:rsidR="00930D8F">
        <w:rPr>
          <w:rFonts w:ascii="Tahoma" w:hAnsi="Tahoma" w:cs="Tahoma"/>
          <w:sz w:val="14"/>
        </w:rPr>
        <w:t xml:space="preserve">             </w:t>
      </w:r>
      <w:r w:rsidR="00E144F4" w:rsidRPr="00AE7F03">
        <w:rPr>
          <w:rFonts w:ascii="Tahoma" w:hAnsi="Tahoma" w:cs="Tahoma"/>
          <w:sz w:val="14"/>
        </w:rPr>
        <w:t xml:space="preserve"> </w:t>
      </w:r>
      <w:r w:rsidRPr="003F0ED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037786" w:rsidRPr="00AE7F03" w:rsidRDefault="00E953A0" w:rsidP="00037786">
      <w:pPr>
        <w:jc w:val="center"/>
        <w:rPr>
          <w:rFonts w:ascii="Tahoma" w:hAnsi="Tahoma" w:cs="Tahoma"/>
        </w:rPr>
      </w:pPr>
      <w:r w:rsidRPr="00AE7F03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1820545</wp:posOffset>
            </wp:positionV>
            <wp:extent cx="4505242" cy="461175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861" w:rsidRPr="00AE7F03">
        <w:rPr>
          <w:rFonts w:ascii="Tahoma" w:hAnsi="Tahoma" w:cs="Tahoma"/>
          <w:noProof/>
          <w:szCs w:val="18"/>
        </w:rPr>
        <w:drawing>
          <wp:inline distT="0" distB="0" distL="0" distR="0">
            <wp:extent cx="4222750" cy="24638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40BF1" w:rsidRPr="00AE7F03">
        <w:rPr>
          <w:rFonts w:ascii="Tahoma" w:hAnsi="Tahoma" w:cs="Tahoma"/>
          <w:szCs w:val="18"/>
        </w:rPr>
        <w:t xml:space="preserve"> </w:t>
      </w:r>
      <w:r w:rsidR="00033820" w:rsidRPr="00AE7F03">
        <w:rPr>
          <w:rFonts w:ascii="Tahoma" w:hAnsi="Tahoma" w:cs="Tahoma"/>
          <w:szCs w:val="18"/>
        </w:rPr>
        <w:t xml:space="preserve"> </w:t>
      </w:r>
      <w:r w:rsidR="00673D83" w:rsidRPr="00AE7F03">
        <w:rPr>
          <w:rFonts w:ascii="Tahoma" w:hAnsi="Tahoma" w:cs="Tahoma"/>
          <w:szCs w:val="18"/>
        </w:rPr>
        <w:t xml:space="preserve"> </w:t>
      </w:r>
    </w:p>
    <w:p w:rsidR="00037786" w:rsidRPr="00AE7F03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37786" w:rsidRPr="00930D8F" w:rsidRDefault="00A10DB4" w:rsidP="00037786">
      <w:pPr>
        <w:jc w:val="center"/>
        <w:outlineLvl w:val="0"/>
        <w:rPr>
          <w:rFonts w:ascii="Arial Narrow" w:hAnsi="Arial Narrow" w:cs="Tahoma"/>
          <w:sz w:val="22"/>
          <w:szCs w:val="22"/>
        </w:rPr>
      </w:pPr>
      <w:r w:rsidRPr="00930D8F">
        <w:rPr>
          <w:rFonts w:ascii="Arial Narrow" w:hAnsi="Arial Narrow" w:cs="Tahoma"/>
          <w:sz w:val="22"/>
          <w:szCs w:val="22"/>
        </w:rPr>
        <w:t>Graph</w:t>
      </w:r>
      <w:r w:rsidR="00037786" w:rsidRPr="00930D8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51451" w:rsidRPr="00930D8F">
        <w:rPr>
          <w:rFonts w:ascii="Arial Narrow" w:hAnsi="Arial Narrow" w:cs="Tahoma"/>
          <w:sz w:val="22"/>
          <w:szCs w:val="22"/>
          <w:lang w:val="sr-Cyrl-CS"/>
        </w:rPr>
        <w:t>2</w:t>
      </w:r>
      <w:r w:rsidR="00D05B8A" w:rsidRPr="00930D8F">
        <w:rPr>
          <w:rFonts w:ascii="Arial Narrow" w:hAnsi="Arial Narrow" w:cs="Tahoma"/>
          <w:sz w:val="22"/>
          <w:szCs w:val="22"/>
          <w:lang w:val="sr-Cyrl-CS"/>
        </w:rPr>
        <w:t>.</w:t>
      </w:r>
      <w:r w:rsidR="00037786" w:rsidRPr="00930D8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930D8F">
        <w:rPr>
          <w:rFonts w:ascii="Arial Narrow" w:hAnsi="Arial Narrow" w:cs="Tahoma"/>
          <w:sz w:val="22"/>
          <w:szCs w:val="22"/>
        </w:rPr>
        <w:t>Average net wages of employees by month</w:t>
      </w:r>
    </w:p>
    <w:p w:rsidR="00BE051D" w:rsidRPr="00AE7F03" w:rsidRDefault="00BE051D">
      <w:pPr>
        <w:rPr>
          <w:rFonts w:ascii="Tahoma" w:hAnsi="Tahoma" w:cs="Tahoma"/>
          <w:lang w:val="sr-Cyrl-BA"/>
        </w:rPr>
      </w:pPr>
    </w:p>
    <w:p w:rsidR="00EB32A1" w:rsidRPr="00FE11DF" w:rsidRDefault="00FE11DF" w:rsidP="00EB32A1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 xml:space="preserve">Monthly inflation </w:t>
      </w:r>
      <w:r>
        <w:rPr>
          <w:rFonts w:ascii="Arial Narrow" w:hAnsi="Arial Narrow" w:cs="Tahoma"/>
          <w:b/>
          <w:sz w:val="30"/>
          <w:szCs w:val="30"/>
          <w:lang w:val="sr-Cyrl-BA"/>
        </w:rPr>
        <w:t>-0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EB32A1" w:rsidRPr="00AE7F03">
        <w:rPr>
          <w:rFonts w:ascii="Arial Narrow" w:hAnsi="Arial Narrow" w:cs="Tahoma"/>
          <w:b/>
          <w:sz w:val="30"/>
          <w:szCs w:val="30"/>
          <w:lang w:val="sr-Cyrl-BA"/>
        </w:rPr>
        <w:t>2%</w:t>
      </w:r>
      <w:r>
        <w:rPr>
          <w:rFonts w:ascii="Arial Narrow" w:hAnsi="Arial Narrow" w:cs="Tahoma"/>
          <w:b/>
          <w:sz w:val="30"/>
          <w:szCs w:val="30"/>
        </w:rPr>
        <w:t xml:space="preserve"> in June 2014</w:t>
      </w:r>
    </w:p>
    <w:p w:rsidR="00EB32A1" w:rsidRPr="00AE7F03" w:rsidRDefault="00FE11DF" w:rsidP="00EB32A1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EB32A1" w:rsidRPr="00AE7F03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CS"/>
        </w:rPr>
        <w:t>June</w:t>
      </w:r>
      <w:r w:rsidR="00EB32A1" w:rsidRPr="00AE7F03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>
        <w:rPr>
          <w:rFonts w:ascii="Arial Narrow" w:hAnsi="Arial Narrow" w:cs="Tahoma"/>
          <w:b/>
          <w:sz w:val="30"/>
          <w:szCs w:val="30"/>
          <w:lang w:val="sr-Latn-CS"/>
        </w:rPr>
        <w:t>June</w:t>
      </w:r>
      <w:r w:rsidR="00EB32A1" w:rsidRPr="00AE7F03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>
        <w:rPr>
          <w:rFonts w:ascii="Arial Narrow" w:hAnsi="Arial Narrow" w:cs="Tahoma"/>
          <w:b/>
          <w:sz w:val="30"/>
          <w:szCs w:val="30"/>
          <w:lang w:val="sr-Cyrl-BA"/>
        </w:rPr>
        <w:t>) -2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EB32A1" w:rsidRPr="00AE7F03">
        <w:rPr>
          <w:rFonts w:ascii="Arial Narrow" w:hAnsi="Arial Narrow" w:cs="Tahoma"/>
          <w:b/>
          <w:sz w:val="30"/>
          <w:szCs w:val="30"/>
          <w:lang w:val="sr-Cyrl-BA"/>
        </w:rPr>
        <w:t>0%</w:t>
      </w:r>
    </w:p>
    <w:p w:rsidR="00EB32A1" w:rsidRPr="00AE7F03" w:rsidRDefault="00EB32A1" w:rsidP="00EB32A1">
      <w:pPr>
        <w:spacing w:after="120"/>
        <w:jc w:val="both"/>
        <w:rPr>
          <w:rFonts w:ascii="Tahoma" w:hAnsi="Tahoma" w:cs="Tahoma"/>
          <w:lang w:val="sr-Cyrl-BA"/>
        </w:rPr>
      </w:pPr>
    </w:p>
    <w:p w:rsidR="00D73BB1" w:rsidRDefault="00D73BB1" w:rsidP="00EB32A1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For products and services for personal consumption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a slight deflation was recorded for third month in a row. Measured with the consumer price index, retail prices in June 2014, compared to May 2014, were on the average 0.2% lower.</w:t>
      </w:r>
    </w:p>
    <w:p w:rsidR="00D73BB1" w:rsidRDefault="00D73BB1" w:rsidP="00EB32A1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Out of the total 12 main divisions of consumption, an increase in prices was recorded only in the group </w:t>
      </w:r>
      <w:r w:rsidRPr="008C7595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>
        <w:rPr>
          <w:rFonts w:ascii="Arial Narrow" w:hAnsi="Arial Narrow" w:cs="Tahoma"/>
          <w:sz w:val="22"/>
          <w:szCs w:val="22"/>
        </w:rPr>
        <w:t xml:space="preserve">(0.3%), due to higher producer prices of cigarettes and higher purchase prices of alcoholic beverages, as well as because the period of </w:t>
      </w:r>
      <w:r w:rsidR="00B04B64">
        <w:rPr>
          <w:rFonts w:ascii="Arial Narrow" w:hAnsi="Arial Narrow" w:cs="Tahoma"/>
          <w:sz w:val="22"/>
          <w:szCs w:val="22"/>
        </w:rPr>
        <w:t>promotional prices</w:t>
      </w:r>
      <w:r w:rsidR="008C7595">
        <w:rPr>
          <w:rFonts w:ascii="Arial Narrow" w:hAnsi="Arial Narrow" w:cs="Tahoma"/>
          <w:sz w:val="22"/>
          <w:szCs w:val="22"/>
        </w:rPr>
        <w:t xml:space="preserve"> of alcoholic beverages ended. In other divisions prices decreased, while in three divisions retail prices remained the same. </w:t>
      </w:r>
    </w:p>
    <w:p w:rsidR="008C7595" w:rsidRDefault="008C7595" w:rsidP="00EB32A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lowest prices in June were recorded in the division </w:t>
      </w:r>
      <w:r w:rsidRPr="008C7595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(0.9%) and these are a result of seasonal sales of clothing and footwear, which are common in this period.</w:t>
      </w:r>
    </w:p>
    <w:p w:rsidR="008C7595" w:rsidRDefault="008C7595" w:rsidP="00EB32A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 </w:t>
      </w:r>
      <w:r w:rsidRPr="008C7595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, lower prices were recorded in the </w:t>
      </w:r>
      <w:proofErr w:type="gramStart"/>
      <w:r>
        <w:rPr>
          <w:rFonts w:ascii="Arial Narrow" w:hAnsi="Arial Narrow" w:cs="Tahoma"/>
          <w:sz w:val="22"/>
          <w:szCs w:val="22"/>
        </w:rPr>
        <w:t>groups</w:t>
      </w:r>
      <w:proofErr w:type="gramEnd"/>
      <w:r>
        <w:rPr>
          <w:rFonts w:ascii="Arial Narrow" w:hAnsi="Arial Narrow" w:cs="Tahoma"/>
          <w:sz w:val="22"/>
          <w:szCs w:val="22"/>
        </w:rPr>
        <w:t xml:space="preserve"> liquid (1.7%) and solid fuels (1.9%), due to lower demand in the current period, while in the division </w:t>
      </w:r>
      <w:r w:rsidR="00A7712C" w:rsidRPr="00B04B64">
        <w:rPr>
          <w:rFonts w:ascii="Arial Narrow" w:hAnsi="Arial Narrow" w:cs="Tahoma"/>
          <w:i/>
          <w:sz w:val="22"/>
          <w:szCs w:val="22"/>
        </w:rPr>
        <w:t>Furnishing and other equipment</w:t>
      </w:r>
      <w:r w:rsidR="00A7712C">
        <w:rPr>
          <w:rFonts w:ascii="Arial Narrow" w:hAnsi="Arial Narrow" w:cs="Tahoma"/>
          <w:sz w:val="22"/>
          <w:szCs w:val="22"/>
        </w:rPr>
        <w:t xml:space="preserve"> a decrease in prices referred to the group </w:t>
      </w:r>
      <w:r w:rsidR="00B04B64">
        <w:rPr>
          <w:rFonts w:ascii="Arial Narrow" w:hAnsi="Arial Narrow" w:cs="Tahoma"/>
          <w:sz w:val="22"/>
          <w:szCs w:val="22"/>
        </w:rPr>
        <w:t>routine maintenance of the house (0.7%).</w:t>
      </w:r>
    </w:p>
    <w:p w:rsidR="00B04B64" w:rsidRDefault="00B04B64" w:rsidP="00EB32A1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prices by 0.3% recorded in the division </w:t>
      </w:r>
      <w:proofErr w:type="gramStart"/>
      <w:r w:rsidRPr="00B04B64">
        <w:rPr>
          <w:rFonts w:ascii="Arial Narrow" w:hAnsi="Arial Narrow" w:cs="Tahoma"/>
          <w:i/>
          <w:sz w:val="22"/>
          <w:szCs w:val="22"/>
        </w:rPr>
        <w:t>Other</w:t>
      </w:r>
      <w:proofErr w:type="gramEnd"/>
      <w:r w:rsidRPr="00B04B64">
        <w:rPr>
          <w:rFonts w:ascii="Arial Narrow" w:hAnsi="Arial Narrow" w:cs="Tahoma"/>
          <w:i/>
          <w:sz w:val="22"/>
          <w:szCs w:val="22"/>
        </w:rPr>
        <w:t xml:space="preserve"> goods and services</w:t>
      </w:r>
      <w:r>
        <w:rPr>
          <w:rFonts w:ascii="Arial Narrow" w:hAnsi="Arial Narrow" w:cs="Tahoma"/>
          <w:sz w:val="22"/>
          <w:szCs w:val="22"/>
        </w:rPr>
        <w:t xml:space="preserve"> occurred due to lower prices in the group personal care products (0.7%) and seasonal sales of products in the group other personal articles (0.6%).</w:t>
      </w:r>
    </w:p>
    <w:p w:rsidR="00B04B64" w:rsidRDefault="00B04B64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 </w:t>
      </w:r>
      <w:r w:rsidRPr="00B04B64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a decrease by 0.3% was recorded, due to lower (seasonal) prices of vegetables (3.4%) and promotional prices of non-alcoholic beverages (0.5%), fish (1.0%), meat (0.2%) and other food products (0.5%).</w:t>
      </w:r>
    </w:p>
    <w:p w:rsidR="00EB32A1" w:rsidRDefault="00EB32A1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B04B64" w:rsidRDefault="00B04B64" w:rsidP="00EB32A1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 slight decrease in prices by 0.1% recorded in the division </w:t>
      </w:r>
      <w:r w:rsidRPr="00B04B64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 xml:space="preserve"> occurred due to lower prices of gasoline (0.2%).</w:t>
      </w:r>
    </w:p>
    <w:p w:rsidR="00B04B64" w:rsidRDefault="00B04B64" w:rsidP="00EB32A1">
      <w:pPr>
        <w:jc w:val="both"/>
        <w:rPr>
          <w:rFonts w:ascii="Arial Narrow" w:hAnsi="Arial Narrow" w:cs="Tahoma"/>
          <w:sz w:val="22"/>
          <w:szCs w:val="22"/>
        </w:rPr>
      </w:pPr>
    </w:p>
    <w:p w:rsidR="00B04B64" w:rsidRPr="00B04B64" w:rsidRDefault="00B04B64" w:rsidP="00EB32A1">
      <w:pPr>
        <w:jc w:val="both"/>
        <w:rPr>
          <w:rFonts w:ascii="Tahoma" w:hAnsi="Tahoma" w:cs="Tahoma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B04B64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B04B64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, and </w:t>
      </w:r>
      <w:r w:rsidRPr="00B04B64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prices remained on the average at the same level.</w:t>
      </w:r>
    </w:p>
    <w:p w:rsidR="00B04B64" w:rsidRDefault="00B04B64" w:rsidP="00EB32A1">
      <w:pPr>
        <w:spacing w:after="120"/>
        <w:jc w:val="both"/>
        <w:rPr>
          <w:rFonts w:ascii="Arial Narrow" w:hAnsi="Arial Narrow" w:cs="Tahoma"/>
          <w:sz w:val="22"/>
          <w:szCs w:val="22"/>
        </w:rPr>
      </w:pPr>
    </w:p>
    <w:p w:rsidR="00B04B64" w:rsidRDefault="00B04B64" w:rsidP="00EB32A1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Indices of products and services used for personal consumption in </w:t>
      </w:r>
      <w:proofErr w:type="spellStart"/>
      <w:r>
        <w:rPr>
          <w:rFonts w:ascii="Arial Narrow" w:hAnsi="Arial Narrow" w:cs="Tahoma"/>
          <w:sz w:val="22"/>
          <w:szCs w:val="22"/>
        </w:rPr>
        <w:t>Republika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Srpska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in June 2014, compared to the same month of 2013, were on the average 2.0% lower. </w:t>
      </w:r>
    </w:p>
    <w:p w:rsidR="005447EC" w:rsidRPr="00AE7F03" w:rsidRDefault="005447EC" w:rsidP="003D2E03">
      <w:pPr>
        <w:jc w:val="both"/>
        <w:rPr>
          <w:rFonts w:ascii="Arial Narrow" w:hAnsi="Arial Narrow" w:cs="Tahoma"/>
          <w:b/>
          <w:sz w:val="22"/>
          <w:szCs w:val="30"/>
          <w:lang w:val="sr-Cyrl-CS"/>
        </w:rPr>
      </w:pPr>
    </w:p>
    <w:p w:rsidR="00EB32A1" w:rsidRPr="009B7649" w:rsidRDefault="009B7649" w:rsidP="00EB32A1">
      <w:pPr>
        <w:jc w:val="both"/>
        <w:rPr>
          <w:rFonts w:ascii="Arial Narrow" w:hAnsi="Arial Narrow" w:cs="Tahoma"/>
          <w:b/>
          <w:sz w:val="30"/>
          <w:szCs w:val="30"/>
        </w:rPr>
      </w:pPr>
      <w:r w:rsidRPr="009B7649">
        <w:rPr>
          <w:rFonts w:ascii="Arial Narrow" w:hAnsi="Arial Narrow" w:cs="Tahoma"/>
          <w:b/>
          <w:sz w:val="30"/>
          <w:szCs w:val="30"/>
        </w:rPr>
        <w:t>Producer prices of industrial products on domestic market</w:t>
      </w:r>
      <w:r w:rsidRPr="009B764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B32A1" w:rsidRPr="0037161B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  <w:lang w:val="sr-Latn-CS"/>
        </w:rPr>
        <w:t>June</w:t>
      </w:r>
      <w:r w:rsidR="00EB32A1" w:rsidRPr="0037161B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proofErr w:type="spellStart"/>
      <w:r>
        <w:rPr>
          <w:rFonts w:ascii="Arial Narrow" w:hAnsi="Arial Narrow" w:cs="Tahoma"/>
          <w:b/>
          <w:sz w:val="30"/>
          <w:szCs w:val="30"/>
          <w:lang w:val="sr-Latn-CS"/>
        </w:rPr>
        <w:t>May</w:t>
      </w:r>
      <w:proofErr w:type="spellEnd"/>
      <w:r w:rsidR="00EB32A1" w:rsidRPr="0037161B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EB32A1" w:rsidRPr="0037161B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="00EB32A1" w:rsidRPr="0037161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 xml:space="preserve">on the average </w:t>
      </w:r>
      <w:r>
        <w:rPr>
          <w:rFonts w:ascii="Arial Narrow" w:hAnsi="Arial Narrow" w:cs="Tahoma"/>
          <w:b/>
          <w:sz w:val="30"/>
          <w:szCs w:val="30"/>
          <w:lang w:val="sr-Cyrl-CS"/>
        </w:rPr>
        <w:t>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EB32A1" w:rsidRPr="0037161B">
        <w:rPr>
          <w:rFonts w:ascii="Arial Narrow" w:hAnsi="Arial Narrow" w:cs="Tahoma"/>
          <w:b/>
          <w:sz w:val="30"/>
          <w:szCs w:val="30"/>
          <w:lang w:val="sr-Cyrl-CS"/>
        </w:rPr>
        <w:t>1%</w:t>
      </w:r>
      <w:r>
        <w:rPr>
          <w:rFonts w:ascii="Arial Narrow" w:hAnsi="Arial Narrow" w:cs="Tahoma"/>
          <w:b/>
          <w:sz w:val="30"/>
          <w:szCs w:val="30"/>
        </w:rPr>
        <w:t xml:space="preserve"> higher</w:t>
      </w:r>
    </w:p>
    <w:p w:rsidR="00EB32A1" w:rsidRPr="00AE7F03" w:rsidRDefault="00EB32A1" w:rsidP="00EB32A1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86099D" w:rsidRDefault="0086099D" w:rsidP="00EB32A1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CC2400">
        <w:rPr>
          <w:rFonts w:ascii="Arial Narrow" w:hAnsi="Arial Narrow" w:cs="Tahoma"/>
          <w:sz w:val="22"/>
          <w:szCs w:val="22"/>
        </w:rPr>
        <w:t xml:space="preserve">Producer prices of industrial products on domestic market in </w:t>
      </w:r>
      <w:r>
        <w:rPr>
          <w:rFonts w:ascii="Arial Narrow" w:hAnsi="Arial Narrow" w:cs="Tahoma"/>
          <w:sz w:val="22"/>
          <w:szCs w:val="22"/>
        </w:rPr>
        <w:t>June</w:t>
      </w:r>
      <w:r w:rsidRPr="00CC2400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May</w:t>
      </w:r>
      <w:r w:rsidRPr="00CC2400">
        <w:rPr>
          <w:rFonts w:ascii="Arial Narrow" w:hAnsi="Arial Narrow" w:cs="Tahoma"/>
          <w:sz w:val="22"/>
          <w:szCs w:val="22"/>
        </w:rPr>
        <w:t xml:space="preserve"> 2014, were on the average</w:t>
      </w:r>
      <w:r>
        <w:rPr>
          <w:rFonts w:ascii="Arial Narrow" w:hAnsi="Arial Narrow" w:cs="Tahoma"/>
          <w:sz w:val="22"/>
          <w:szCs w:val="22"/>
        </w:rPr>
        <w:t xml:space="preserve"> 0.1% higher. Compared to June 2013 they were on the average 0.8% lower and compared to December 2013 they were on the average 0.3% higher.</w:t>
      </w:r>
    </w:p>
    <w:p w:rsidR="0086099D" w:rsidRDefault="0086099D" w:rsidP="00EB32A1">
      <w:pPr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By purpose of consumption, in June 2014, compared to May 2014, prices of energy and prices of intermediate goods were on the average 0.1% higher, while prices of capital goods, prices of consumer durables and prices of consumer non-durables remained on the average at the same level. </w:t>
      </w:r>
    </w:p>
    <w:p w:rsidR="00EB32A1" w:rsidRDefault="00EB32A1" w:rsidP="00EB32A1">
      <w:pPr>
        <w:ind w:right="68"/>
        <w:jc w:val="both"/>
        <w:rPr>
          <w:rFonts w:ascii="Arial Narrow" w:hAnsi="Arial Narrow" w:cs="Tahoma"/>
          <w:sz w:val="22"/>
          <w:szCs w:val="22"/>
          <w:lang w:val="hr-HR"/>
        </w:rPr>
      </w:pPr>
    </w:p>
    <w:p w:rsidR="0086099D" w:rsidRPr="00AE7F03" w:rsidRDefault="00A7248E" w:rsidP="00EB32A1">
      <w:pPr>
        <w:ind w:right="68"/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szCs w:val="22"/>
          <w:lang w:val="hr-HR"/>
        </w:rPr>
        <w:t xml:space="preserve">Prices of consumer durables, by purpose of consumption, in June 2014, compared to June 2013, were on the average 0.6% higher, while prices of intermediate goods were on the average 2.3% lower, prices of capital goods 0.9% lower, prices of consumer non-durables 0.2% and prices of energy 0.1% </w:t>
      </w:r>
      <w:r w:rsidR="007257A2">
        <w:rPr>
          <w:rFonts w:ascii="Arial Narrow" w:hAnsi="Arial Narrow" w:cs="Tahoma"/>
          <w:sz w:val="22"/>
          <w:szCs w:val="22"/>
          <w:lang w:val="hr-HR"/>
        </w:rPr>
        <w:t xml:space="preserve">were </w:t>
      </w:r>
      <w:r>
        <w:rPr>
          <w:rFonts w:ascii="Arial Narrow" w:hAnsi="Arial Narrow" w:cs="Tahoma"/>
          <w:sz w:val="22"/>
          <w:szCs w:val="22"/>
          <w:lang w:val="hr-HR"/>
        </w:rPr>
        <w:t>lower.</w:t>
      </w:r>
    </w:p>
    <w:p w:rsidR="00EB32A1" w:rsidRPr="00AE7F03" w:rsidRDefault="00EB32A1" w:rsidP="00EB32A1">
      <w:pPr>
        <w:ind w:firstLine="720"/>
        <w:jc w:val="both"/>
        <w:rPr>
          <w:rFonts w:ascii="Tahoma" w:hAnsi="Tahoma" w:cs="Tahoma"/>
          <w:lang w:val="hr-HR"/>
        </w:rPr>
      </w:pPr>
    </w:p>
    <w:p w:rsidR="007257A2" w:rsidRDefault="007257A2" w:rsidP="00EB32A1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By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section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industrial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production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(PRODCOM), in </w:t>
      </w:r>
      <w:r>
        <w:rPr>
          <w:rFonts w:ascii="Arial Narrow" w:hAnsi="Arial Narrow" w:cs="Tahoma"/>
          <w:sz w:val="22"/>
          <w:szCs w:val="22"/>
          <w:lang w:val="sr-Latn-CS"/>
        </w:rPr>
        <w:t>June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2014,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compared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to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May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2014,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prices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(B)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Mining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quarrying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were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on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average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0.6%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higher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prices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(C)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Manufacturing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were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on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average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0.1%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higher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while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prices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in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section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(D)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Energy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, gas,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steam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and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air-conditioning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supply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remained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on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average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at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 same </w:t>
      </w:r>
      <w:proofErr w:type="spellStart"/>
      <w:r>
        <w:rPr>
          <w:rFonts w:ascii="Arial Narrow" w:hAnsi="Arial Narrow" w:cs="Tahoma"/>
          <w:sz w:val="22"/>
          <w:szCs w:val="22"/>
          <w:lang w:val="sr-Latn-CS"/>
        </w:rPr>
        <w:t>level</w:t>
      </w:r>
      <w:proofErr w:type="spellEnd"/>
      <w:r>
        <w:rPr>
          <w:rFonts w:ascii="Arial Narrow" w:hAnsi="Arial Narrow" w:cs="Tahoma"/>
          <w:sz w:val="22"/>
          <w:szCs w:val="22"/>
          <w:lang w:val="sr-Latn-CS"/>
        </w:rPr>
        <w:t xml:space="preserve">. </w:t>
      </w:r>
    </w:p>
    <w:p w:rsidR="007257A2" w:rsidRDefault="007257A2" w:rsidP="00EB32A1">
      <w:pPr>
        <w:jc w:val="both"/>
        <w:rPr>
          <w:rFonts w:ascii="Arial Narrow" w:hAnsi="Arial Narrow" w:cs="Tahoma"/>
          <w:sz w:val="22"/>
          <w:szCs w:val="22"/>
          <w:lang w:val="hr-HR"/>
        </w:rPr>
      </w:pPr>
    </w:p>
    <w:p w:rsidR="00554840" w:rsidRPr="00031E8B" w:rsidRDefault="00554840" w:rsidP="00554840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>
        <w:rPr>
          <w:rFonts w:ascii="Arial Narrow" w:hAnsi="Arial Narrow" w:cs="Tahoma"/>
          <w:sz w:val="22"/>
          <w:szCs w:val="22"/>
          <w:lang w:val="hr-HR"/>
        </w:rPr>
        <w:t xml:space="preserve">In June 2014, compared to June 2013, prices in the section </w:t>
      </w:r>
      <w:r w:rsidRPr="00554840">
        <w:rPr>
          <w:rFonts w:ascii="Arial Narrow" w:hAnsi="Arial Narrow" w:cs="Tahoma"/>
          <w:i/>
          <w:sz w:val="22"/>
          <w:szCs w:val="22"/>
          <w:lang w:val="hr-HR"/>
        </w:rPr>
        <w:t>Manufacturing</w:t>
      </w:r>
      <w:r>
        <w:rPr>
          <w:rFonts w:ascii="Arial Narrow" w:hAnsi="Arial Narrow" w:cs="Tahoma"/>
          <w:sz w:val="22"/>
          <w:szCs w:val="22"/>
          <w:lang w:val="hr-HR"/>
        </w:rPr>
        <w:t xml:space="preserve"> decreased by 1.4% and prices in the section </w:t>
      </w:r>
      <w:r w:rsidRPr="00554840">
        <w:rPr>
          <w:rFonts w:ascii="Arial Narrow" w:hAnsi="Arial Narrow" w:cs="Tahoma"/>
          <w:i/>
          <w:sz w:val="22"/>
          <w:szCs w:val="22"/>
          <w:lang w:val="hr-HR"/>
        </w:rPr>
        <w:t>Mining and quarrying</w:t>
      </w:r>
      <w:r>
        <w:rPr>
          <w:rFonts w:ascii="Arial Narrow" w:hAnsi="Arial Narrow" w:cs="Tahoma"/>
          <w:sz w:val="22"/>
          <w:szCs w:val="22"/>
          <w:lang w:val="hr-HR"/>
        </w:rPr>
        <w:t xml:space="preserve"> decreased by 0.1%, while prices in the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section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>Electricity</w:t>
      </w:r>
      <w:proofErr w:type="spellEnd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 xml:space="preserve">, gas, </w:t>
      </w:r>
      <w:proofErr w:type="spellStart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>steam</w:t>
      </w:r>
      <w:proofErr w:type="spellEnd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 xml:space="preserve"> </w:t>
      </w:r>
      <w:proofErr w:type="spellStart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>and</w:t>
      </w:r>
      <w:proofErr w:type="spellEnd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 xml:space="preserve"> </w:t>
      </w:r>
      <w:proofErr w:type="spellStart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>air-conditioning</w:t>
      </w:r>
      <w:proofErr w:type="spellEnd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 xml:space="preserve"> </w:t>
      </w:r>
      <w:proofErr w:type="spellStart"/>
      <w:r w:rsidRPr="00554840">
        <w:rPr>
          <w:rFonts w:ascii="Arial Narrow" w:hAnsi="Arial Narrow" w:cs="Tahoma"/>
          <w:i/>
          <w:sz w:val="22"/>
          <w:szCs w:val="22"/>
          <w:lang w:val="sr-Latn-CS"/>
        </w:rPr>
        <w:t>supply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remained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on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average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at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the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same </w:t>
      </w:r>
      <w:proofErr w:type="spellStart"/>
      <w:r w:rsidRPr="00031E8B">
        <w:rPr>
          <w:rFonts w:ascii="Arial Narrow" w:hAnsi="Arial Narrow" w:cs="Tahoma"/>
          <w:sz w:val="22"/>
          <w:szCs w:val="22"/>
          <w:lang w:val="sr-Latn-CS"/>
        </w:rPr>
        <w:t>level</w:t>
      </w:r>
      <w:proofErr w:type="spellEnd"/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. </w:t>
      </w:r>
    </w:p>
    <w:p w:rsidR="00EB32A1" w:rsidRPr="00AE7F03" w:rsidRDefault="00EB32A1" w:rsidP="00EB32A1">
      <w:pPr>
        <w:jc w:val="both"/>
        <w:rPr>
          <w:rFonts w:ascii="Arial Narrow" w:hAnsi="Arial Narrow" w:cs="Tahoma"/>
          <w:sz w:val="22"/>
          <w:shd w:val="clear" w:color="auto" w:fill="FFFFFF"/>
        </w:rPr>
      </w:pPr>
    </w:p>
    <w:p w:rsidR="00EB32A1" w:rsidRPr="007A3DB8" w:rsidRDefault="007A3DB8" w:rsidP="00EB32A1">
      <w:pPr>
        <w:jc w:val="both"/>
        <w:rPr>
          <w:rFonts w:ascii="Arial Narrow" w:hAnsi="Arial Narrow" w:cs="Tahoma"/>
          <w:b/>
          <w:sz w:val="30"/>
          <w:szCs w:val="30"/>
        </w:rPr>
      </w:pPr>
      <w:r w:rsidRPr="009B7649">
        <w:rPr>
          <w:rFonts w:ascii="Arial Narrow" w:hAnsi="Arial Narrow" w:cs="Tahoma"/>
          <w:b/>
          <w:sz w:val="30"/>
          <w:szCs w:val="30"/>
        </w:rPr>
        <w:t xml:space="preserve">Producer prices of industrial products on </w:t>
      </w:r>
      <w:r>
        <w:rPr>
          <w:rFonts w:ascii="Arial Narrow" w:hAnsi="Arial Narrow" w:cs="Tahoma"/>
          <w:b/>
          <w:sz w:val="30"/>
          <w:szCs w:val="30"/>
        </w:rPr>
        <w:t>non-</w:t>
      </w:r>
      <w:r w:rsidRPr="009B7649">
        <w:rPr>
          <w:rFonts w:ascii="Arial Narrow" w:hAnsi="Arial Narrow" w:cs="Tahoma"/>
          <w:b/>
          <w:sz w:val="30"/>
          <w:szCs w:val="30"/>
        </w:rPr>
        <w:t>domestic market</w:t>
      </w:r>
      <w:r w:rsidRPr="009B764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  <w:lang w:val="sr-Latn-CS"/>
        </w:rPr>
        <w:t>June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proofErr w:type="spellStart"/>
      <w:r>
        <w:rPr>
          <w:rFonts w:ascii="Arial Narrow" w:hAnsi="Arial Narrow" w:cs="Tahoma"/>
          <w:b/>
          <w:sz w:val="30"/>
          <w:szCs w:val="30"/>
          <w:lang w:val="sr-Latn-CS"/>
        </w:rPr>
        <w:t>May</w:t>
      </w:r>
      <w:proofErr w:type="spellEnd"/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="00EB32A1" w:rsidRPr="000A1309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у </w:t>
      </w:r>
      <w:r>
        <w:rPr>
          <w:rFonts w:ascii="Arial Narrow" w:hAnsi="Arial Narrow" w:cs="Tahoma"/>
          <w:b/>
          <w:sz w:val="30"/>
          <w:szCs w:val="30"/>
        </w:rPr>
        <w:t>on the average</w:t>
      </w:r>
      <w:r>
        <w:rPr>
          <w:rFonts w:ascii="Arial Narrow" w:hAnsi="Arial Narrow" w:cs="Tahoma"/>
          <w:b/>
          <w:sz w:val="30"/>
          <w:szCs w:val="30"/>
          <w:lang w:val="sr-Cyrl-CS"/>
        </w:rPr>
        <w:t xml:space="preserve"> 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>2%</w:t>
      </w:r>
      <w:r>
        <w:rPr>
          <w:rFonts w:ascii="Arial Narrow" w:hAnsi="Arial Narrow" w:cs="Tahoma"/>
          <w:b/>
          <w:sz w:val="30"/>
          <w:szCs w:val="30"/>
        </w:rPr>
        <w:t xml:space="preserve"> higher</w:t>
      </w:r>
    </w:p>
    <w:p w:rsidR="00EB32A1" w:rsidRPr="00AE7F03" w:rsidRDefault="00EB32A1" w:rsidP="00EB32A1">
      <w:pPr>
        <w:ind w:right="68"/>
        <w:jc w:val="both"/>
        <w:rPr>
          <w:rFonts w:ascii="Tahoma" w:hAnsi="Tahoma" w:cs="Tahoma"/>
          <w:lang w:val="sr-Latn-CS"/>
        </w:rPr>
      </w:pPr>
    </w:p>
    <w:p w:rsidR="00AD5574" w:rsidRDefault="00AD5574" w:rsidP="00EB32A1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3730F4">
        <w:rPr>
          <w:rFonts w:ascii="Arial Narrow" w:hAnsi="Arial Narrow" w:cs="Tahoma"/>
          <w:sz w:val="22"/>
          <w:szCs w:val="22"/>
        </w:rPr>
        <w:t xml:space="preserve">Producer prices of industrial products on non-domestic market in </w:t>
      </w:r>
      <w:r>
        <w:rPr>
          <w:rFonts w:ascii="Arial Narrow" w:hAnsi="Arial Narrow" w:cs="Tahoma"/>
          <w:sz w:val="22"/>
          <w:szCs w:val="22"/>
        </w:rPr>
        <w:t>June</w:t>
      </w:r>
      <w:r w:rsidRPr="003730F4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 xml:space="preserve">May 2014, were on the average 0.2% higher. Compared to June 2013 they were on the average 0.3% higher and compared to December 2013 they were 0.9% lower. </w:t>
      </w:r>
    </w:p>
    <w:p w:rsidR="00AD5574" w:rsidRDefault="00AD5574" w:rsidP="00EB32A1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3730F4">
        <w:rPr>
          <w:rFonts w:ascii="Arial Narrow" w:hAnsi="Arial Narrow" w:cs="Tahoma"/>
          <w:sz w:val="22"/>
          <w:szCs w:val="22"/>
        </w:rPr>
        <w:t xml:space="preserve">By purpose of consumption, in </w:t>
      </w:r>
      <w:r>
        <w:rPr>
          <w:rFonts w:ascii="Arial Narrow" w:hAnsi="Arial Narrow" w:cs="Tahoma"/>
          <w:sz w:val="22"/>
          <w:szCs w:val="22"/>
        </w:rPr>
        <w:t>June</w:t>
      </w:r>
      <w:r w:rsidRPr="003730F4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May</w:t>
      </w:r>
      <w:r w:rsidRPr="003730F4">
        <w:rPr>
          <w:rFonts w:ascii="Arial Narrow" w:hAnsi="Arial Narrow" w:cs="Tahoma"/>
          <w:sz w:val="22"/>
          <w:szCs w:val="22"/>
        </w:rPr>
        <w:t xml:space="preserve"> 2014, prices of </w:t>
      </w:r>
      <w:r>
        <w:rPr>
          <w:rFonts w:ascii="Arial Narrow" w:hAnsi="Arial Narrow" w:cs="Tahoma"/>
          <w:sz w:val="22"/>
          <w:szCs w:val="22"/>
        </w:rPr>
        <w:t>capital goods were on the average 0.5% higher, prices of energy were 0.2% higher and prices of intermediate goods and of consumer durables were 0.1% higher, while prices of consumer non-durables were on the average 1.1% lower.</w:t>
      </w:r>
    </w:p>
    <w:p w:rsidR="00AD5574" w:rsidRDefault="00AD5574" w:rsidP="00EB32A1">
      <w:pPr>
        <w:ind w:right="68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Prices of consumer durables, by purpose of consumption, in June 2014, compared to June 2013, were on the average 2.6% higher, prices of capital goods were 1.3% higher, prices of consumer non-durables were 1.1% higher and prices of intermediate goods </w:t>
      </w:r>
      <w:r w:rsidR="00BA6333">
        <w:rPr>
          <w:rFonts w:ascii="Arial Narrow" w:hAnsi="Arial Narrow" w:cs="Tahoma"/>
          <w:sz w:val="22"/>
        </w:rPr>
        <w:t xml:space="preserve">were 0.7% higher, while prices of energy were on the average 0.6% lower. </w:t>
      </w:r>
    </w:p>
    <w:p w:rsidR="00EB32A1" w:rsidRDefault="00EB32A1" w:rsidP="00EB32A1">
      <w:pPr>
        <w:jc w:val="both"/>
        <w:rPr>
          <w:rFonts w:ascii="Arial Narrow" w:hAnsi="Arial Narrow" w:cs="Tahoma"/>
          <w:sz w:val="22"/>
        </w:rPr>
      </w:pPr>
    </w:p>
    <w:p w:rsidR="00AD64BD" w:rsidRPr="00F8071C" w:rsidRDefault="00AD64BD" w:rsidP="00EB32A1">
      <w:pPr>
        <w:jc w:val="both"/>
        <w:rPr>
          <w:rFonts w:ascii="Tahoma" w:hAnsi="Tahoma" w:cs="Tahoma"/>
        </w:rPr>
      </w:pPr>
      <w:r>
        <w:rPr>
          <w:rFonts w:ascii="Arial Narrow" w:hAnsi="Arial Narrow" w:cs="Tahoma"/>
          <w:sz w:val="22"/>
          <w:szCs w:val="22"/>
        </w:rPr>
        <w:t>B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y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section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of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industrial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production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(PR</w:t>
      </w:r>
      <w:r>
        <w:rPr>
          <w:rFonts w:ascii="Arial Narrow" w:hAnsi="Arial Narrow" w:cs="Tahoma"/>
          <w:sz w:val="22"/>
          <w:szCs w:val="22"/>
          <w:lang w:val="sr-Cyrl-CS"/>
        </w:rPr>
        <w:t xml:space="preserve">ODCOM),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prices</w:t>
      </w:r>
      <w:proofErr w:type="spellEnd"/>
      <w:r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in</w:t>
      </w:r>
      <w:proofErr w:type="spellEnd"/>
      <w:r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section</w:t>
      </w:r>
      <w:proofErr w:type="spellEnd"/>
      <w:r>
        <w:rPr>
          <w:rFonts w:ascii="Arial Narrow" w:hAnsi="Arial Narrow" w:cs="Tahoma"/>
          <w:sz w:val="22"/>
          <w:szCs w:val="22"/>
          <w:lang w:val="sr-Cyrl-CS"/>
        </w:rPr>
        <w:t xml:space="preserve"> (</w:t>
      </w:r>
      <w:r>
        <w:rPr>
          <w:rFonts w:ascii="Arial Narrow" w:hAnsi="Arial Narrow" w:cs="Tahoma"/>
          <w:sz w:val="22"/>
          <w:szCs w:val="22"/>
        </w:rPr>
        <w:t>B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)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Mining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and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quarrying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in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8071C">
        <w:rPr>
          <w:rFonts w:ascii="Arial Narrow" w:hAnsi="Arial Narrow" w:cs="Tahoma"/>
          <w:sz w:val="22"/>
          <w:szCs w:val="22"/>
        </w:rPr>
        <w:t>June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2014,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compared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Pr="00436AA7">
        <w:rPr>
          <w:rFonts w:ascii="Arial Narrow" w:hAnsi="Arial Narrow" w:cs="Tahoma"/>
          <w:sz w:val="22"/>
          <w:szCs w:val="22"/>
          <w:lang w:val="sr-Cyrl-CS"/>
        </w:rPr>
        <w:t>to</w:t>
      </w:r>
      <w:proofErr w:type="spellEnd"/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8071C">
        <w:rPr>
          <w:rFonts w:ascii="Arial Narrow" w:hAnsi="Arial Narrow" w:cs="Tahoma"/>
          <w:sz w:val="22"/>
          <w:szCs w:val="22"/>
        </w:rPr>
        <w:t>May</w:t>
      </w:r>
      <w:r>
        <w:rPr>
          <w:rFonts w:ascii="Arial Narrow" w:hAnsi="Arial Narrow" w:cs="Tahoma"/>
          <w:sz w:val="22"/>
          <w:szCs w:val="22"/>
          <w:lang w:val="sr-Cyrl-CS"/>
        </w:rPr>
        <w:t xml:space="preserve"> 2014,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were</w:t>
      </w:r>
      <w:proofErr w:type="spellEnd"/>
      <w:r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on</w:t>
      </w:r>
      <w:proofErr w:type="spellEnd"/>
      <w:r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the</w:t>
      </w:r>
      <w:proofErr w:type="spellEnd"/>
      <w:r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  <w:lang w:val="sr-Cyrl-CS"/>
        </w:rPr>
        <w:t>average</w:t>
      </w:r>
      <w:proofErr w:type="spellEnd"/>
      <w:r w:rsidR="00F8071C">
        <w:rPr>
          <w:rFonts w:ascii="Arial Narrow" w:hAnsi="Arial Narrow" w:cs="Tahoma"/>
          <w:sz w:val="22"/>
          <w:szCs w:val="22"/>
        </w:rPr>
        <w:t xml:space="preserve"> 0.4% higher and prices in the section (C) Manufacturing were 0.1% higher, while prices in the section</w:t>
      </w:r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(D)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Electricity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gas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steam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and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air-conditioning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supply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remained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on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the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average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at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the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same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proofErr w:type="spellStart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level</w:t>
      </w:r>
      <w:proofErr w:type="spellEnd"/>
      <w:r w:rsidR="00F8071C" w:rsidRPr="00436AA7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F8071C" w:rsidRDefault="00F8071C" w:rsidP="00EB32A1">
      <w:pPr>
        <w:jc w:val="both"/>
        <w:rPr>
          <w:rFonts w:ascii="Arial Narrow" w:hAnsi="Arial Narrow" w:cs="Tahoma"/>
          <w:sz w:val="22"/>
          <w:szCs w:val="22"/>
          <w:lang w:val="hr-HR"/>
        </w:rPr>
      </w:pPr>
    </w:p>
    <w:p w:rsidR="00F8071C" w:rsidRDefault="00F8071C" w:rsidP="00EB32A1">
      <w:pPr>
        <w:jc w:val="both"/>
        <w:rPr>
          <w:rFonts w:ascii="Arial Narrow" w:hAnsi="Arial Narrow" w:cs="Tahoma"/>
          <w:sz w:val="22"/>
          <w:szCs w:val="22"/>
          <w:lang w:val="hr-HR"/>
        </w:rPr>
      </w:pPr>
      <w:r>
        <w:rPr>
          <w:rFonts w:ascii="Arial Narrow" w:hAnsi="Arial Narrow" w:cs="Tahoma"/>
          <w:sz w:val="22"/>
          <w:szCs w:val="22"/>
          <w:lang w:val="hr-HR"/>
        </w:rPr>
        <w:t xml:space="preserve">In June 2014, compared to June 2013, prices in the section </w:t>
      </w:r>
      <w:r w:rsidRPr="00F8071C">
        <w:rPr>
          <w:rFonts w:ascii="Arial Narrow" w:hAnsi="Arial Narrow" w:cs="Tahoma"/>
          <w:i/>
          <w:sz w:val="22"/>
          <w:szCs w:val="22"/>
          <w:lang w:val="hr-HR"/>
        </w:rPr>
        <w:t>Mining and quarrying</w:t>
      </w:r>
      <w:r>
        <w:rPr>
          <w:rFonts w:ascii="Arial Narrow" w:hAnsi="Arial Narrow" w:cs="Tahoma"/>
          <w:sz w:val="22"/>
          <w:szCs w:val="22"/>
          <w:lang w:val="hr-HR"/>
        </w:rPr>
        <w:t xml:space="preserve"> increased by 5.3% and prices in the section </w:t>
      </w:r>
      <w:r w:rsidRPr="00F8071C">
        <w:rPr>
          <w:rFonts w:ascii="Arial Narrow" w:hAnsi="Arial Narrow" w:cs="Tahoma"/>
          <w:i/>
          <w:sz w:val="22"/>
          <w:szCs w:val="22"/>
          <w:lang w:val="hr-HR"/>
        </w:rPr>
        <w:t>Manufacturing</w:t>
      </w:r>
      <w:r>
        <w:rPr>
          <w:rFonts w:ascii="Arial Narrow" w:hAnsi="Arial Narrow" w:cs="Tahoma"/>
          <w:sz w:val="22"/>
          <w:szCs w:val="22"/>
          <w:lang w:val="hr-HR"/>
        </w:rPr>
        <w:t xml:space="preserve"> by 1.0%. </w:t>
      </w:r>
    </w:p>
    <w:p w:rsidR="00DF108E" w:rsidRPr="00AE7F03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EB32A1" w:rsidRPr="000A1309" w:rsidRDefault="00AE7D55" w:rsidP="00EB32A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>
        <w:rPr>
          <w:rFonts w:ascii="Arial Narrow" w:hAnsi="Arial Narrow" w:cs="Tahoma"/>
          <w:b/>
          <w:sz w:val="30"/>
          <w:szCs w:val="30"/>
        </w:rPr>
        <w:t>Seasonally adjusted industrial production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June</w:t>
      </w:r>
      <w:r w:rsidR="00EB32A1" w:rsidRPr="000A130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EB32A1" w:rsidRPr="000A1309">
        <w:rPr>
          <w:rFonts w:ascii="Arial Narrow" w:hAnsi="Arial Narrow" w:cs="Tahoma"/>
          <w:b/>
          <w:sz w:val="30"/>
          <w:szCs w:val="30"/>
        </w:rPr>
        <w:t>4</w:t>
      </w:r>
      <w:r w:rsidR="00EB32A1" w:rsidRPr="000A1309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</w:rPr>
        <w:t>May</w:t>
      </w:r>
      <w:r w:rsidR="00EB32A1"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EB32A1" w:rsidRPr="000A130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</w:rPr>
        <w:t>4</w:t>
      </w:r>
      <w:r w:rsidR="00EB32A1" w:rsidRPr="000A130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EB32A1"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EB32A1"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EB32A1" w:rsidRPr="000A1309">
        <w:rPr>
          <w:rFonts w:ascii="Arial Narrow" w:hAnsi="Arial Narrow" w:cs="Tahoma"/>
          <w:b/>
          <w:bCs/>
          <w:sz w:val="30"/>
          <w:szCs w:val="30"/>
        </w:rPr>
        <w:t>0</w:t>
      </w:r>
      <w:r>
        <w:rPr>
          <w:rFonts w:ascii="Arial Narrow" w:hAnsi="Arial Narrow" w:cs="Tahoma"/>
          <w:b/>
          <w:bCs/>
          <w:sz w:val="30"/>
          <w:szCs w:val="30"/>
        </w:rPr>
        <w:t>.</w:t>
      </w:r>
      <w:r w:rsidR="00EB32A1" w:rsidRPr="000A1309">
        <w:rPr>
          <w:rFonts w:ascii="Arial Narrow" w:hAnsi="Arial Narrow" w:cs="Tahoma"/>
          <w:b/>
          <w:bCs/>
          <w:sz w:val="30"/>
          <w:szCs w:val="30"/>
        </w:rPr>
        <w:t>9</w:t>
      </w:r>
      <w:r w:rsidR="00EB32A1"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EB32A1" w:rsidRPr="000A1309" w:rsidRDefault="00AE7D55" w:rsidP="00EB32A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EB32A1" w:rsidRPr="000A1309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June</w:t>
      </w:r>
      <w:r w:rsidR="00EB32A1" w:rsidRPr="000A1309">
        <w:rPr>
          <w:rFonts w:ascii="Arial Narrow" w:hAnsi="Arial Narrow" w:cs="Tahoma"/>
          <w:b/>
          <w:sz w:val="28"/>
          <w:lang w:val="ru-RU"/>
        </w:rPr>
        <w:t xml:space="preserve"> 2014/</w:t>
      </w:r>
      <w:r>
        <w:rPr>
          <w:rFonts w:ascii="Arial Narrow" w:hAnsi="Arial Narrow" w:cs="Tahoma"/>
          <w:b/>
          <w:sz w:val="28"/>
        </w:rPr>
        <w:t>June</w:t>
      </w:r>
      <w:r>
        <w:rPr>
          <w:rFonts w:ascii="Arial Narrow" w:hAnsi="Arial Narrow" w:cs="Tahoma"/>
          <w:b/>
          <w:sz w:val="28"/>
          <w:lang w:val="ru-RU"/>
        </w:rPr>
        <w:t xml:space="preserve"> 2013</w:t>
      </w:r>
      <w:r w:rsidR="00EB32A1" w:rsidRPr="000A1309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>
        <w:rPr>
          <w:rFonts w:ascii="Arial Narrow" w:hAnsi="Arial Narrow" w:cs="Tahoma"/>
          <w:b/>
          <w:sz w:val="28"/>
          <w:lang w:val="ru-RU"/>
        </w:rPr>
        <w:t xml:space="preserve"> 1</w:t>
      </w:r>
      <w:r>
        <w:rPr>
          <w:rFonts w:ascii="Arial Narrow" w:hAnsi="Arial Narrow" w:cs="Tahoma"/>
          <w:b/>
          <w:sz w:val="28"/>
        </w:rPr>
        <w:t>.</w:t>
      </w:r>
      <w:r w:rsidR="00EB32A1" w:rsidRPr="000A1309">
        <w:rPr>
          <w:rFonts w:ascii="Arial Narrow" w:hAnsi="Arial Narrow" w:cs="Tahoma"/>
          <w:b/>
          <w:sz w:val="28"/>
        </w:rPr>
        <w:t>6</w:t>
      </w:r>
      <w:r w:rsidR="00EB32A1" w:rsidRPr="000A1309">
        <w:rPr>
          <w:rFonts w:ascii="Arial Narrow" w:hAnsi="Arial Narrow" w:cs="Tahoma"/>
          <w:b/>
          <w:sz w:val="28"/>
          <w:lang w:val="ru-RU"/>
        </w:rPr>
        <w:t>%</w:t>
      </w:r>
    </w:p>
    <w:p w:rsidR="00EB32A1" w:rsidRPr="00AE7F03" w:rsidRDefault="00EB32A1" w:rsidP="00EB32A1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851844" w:rsidRDefault="00851844" w:rsidP="00EB32A1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b/>
          <w:sz w:val="22"/>
        </w:rPr>
        <w:t>Seasonally adjusted industrial production</w:t>
      </w:r>
      <w:r w:rsidR="00EB32A1" w:rsidRPr="00AE7F03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in June 2014 compared to May 2014</w:t>
      </w:r>
      <w:r w:rsidR="00F733CE">
        <w:rPr>
          <w:rFonts w:ascii="Arial Narrow" w:hAnsi="Arial Narrow" w:cs="Tahoma"/>
          <w:sz w:val="22"/>
        </w:rPr>
        <w:t xml:space="preserve"> increased by 0.9%. In the section </w:t>
      </w:r>
      <w:r w:rsidR="00F733CE" w:rsidRPr="00F733CE">
        <w:rPr>
          <w:rFonts w:ascii="Arial Narrow" w:hAnsi="Arial Narrow" w:cs="Tahoma"/>
          <w:i/>
          <w:sz w:val="22"/>
        </w:rPr>
        <w:t>Mining and quarrying</w:t>
      </w:r>
      <w:r w:rsidR="00F733CE">
        <w:rPr>
          <w:rFonts w:ascii="Arial Narrow" w:hAnsi="Arial Narrow" w:cs="Tahoma"/>
          <w:sz w:val="22"/>
        </w:rPr>
        <w:t xml:space="preserve"> an increase by 9.0% was recorded and in the section </w:t>
      </w:r>
      <w:r w:rsidR="00F733CE" w:rsidRPr="00F733CE">
        <w:rPr>
          <w:rFonts w:ascii="Arial Narrow" w:hAnsi="Arial Narrow" w:cs="Tahoma"/>
          <w:i/>
          <w:sz w:val="22"/>
        </w:rPr>
        <w:t>Manufacturing</w:t>
      </w:r>
      <w:r w:rsidR="00F733CE">
        <w:rPr>
          <w:rFonts w:ascii="Arial Narrow" w:hAnsi="Arial Narrow" w:cs="Tahoma"/>
          <w:sz w:val="22"/>
        </w:rPr>
        <w:t xml:space="preserve"> an increase by 2.4%, while in the section </w:t>
      </w:r>
      <w:proofErr w:type="spellStart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>Electricity</w:t>
      </w:r>
      <w:proofErr w:type="spellEnd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 xml:space="preserve">, </w:t>
      </w:r>
      <w:proofErr w:type="spellStart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>gas</w:t>
      </w:r>
      <w:proofErr w:type="spellEnd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 xml:space="preserve">, </w:t>
      </w:r>
      <w:proofErr w:type="spellStart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>steam</w:t>
      </w:r>
      <w:proofErr w:type="spellEnd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proofErr w:type="spellStart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>and</w:t>
      </w:r>
      <w:proofErr w:type="spellEnd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proofErr w:type="spellStart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>air-conditioning</w:t>
      </w:r>
      <w:proofErr w:type="spellEnd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proofErr w:type="spellStart"/>
      <w:r w:rsidR="00F733CE" w:rsidRPr="00B23575">
        <w:rPr>
          <w:rFonts w:ascii="Arial Narrow" w:hAnsi="Arial Narrow" w:cs="Tahoma"/>
          <w:i/>
          <w:sz w:val="22"/>
          <w:szCs w:val="22"/>
          <w:lang w:val="sr-Cyrl-CS"/>
        </w:rPr>
        <w:t>supply</w:t>
      </w:r>
      <w:proofErr w:type="spellEnd"/>
      <w:r w:rsidR="00F733CE">
        <w:rPr>
          <w:rFonts w:ascii="Arial Narrow" w:hAnsi="Arial Narrow" w:cs="Tahoma"/>
          <w:sz w:val="22"/>
          <w:szCs w:val="22"/>
        </w:rPr>
        <w:t xml:space="preserve"> a decrease by 4.1% was recorded. </w:t>
      </w:r>
      <w:r w:rsidR="00887492">
        <w:rPr>
          <w:rFonts w:ascii="Arial Narrow" w:hAnsi="Arial Narrow" w:cs="Tahoma"/>
          <w:sz w:val="22"/>
          <w:szCs w:val="22"/>
        </w:rPr>
        <w:t xml:space="preserve">By main industrial group, based on economic purpose of products, seasonally adjusted industrial production of intermediate goods in June 2014, compared to May 2014, was 12.5% higher, production of consumer durables was 3.8% higher and production of consumer non-durables was 1.0% higher, while production of capital goods was 5.5% lower and production of energy was 6.0% lower. </w:t>
      </w:r>
    </w:p>
    <w:p w:rsidR="00F733CE" w:rsidRDefault="00F733CE" w:rsidP="00EB32A1">
      <w:pPr>
        <w:jc w:val="both"/>
        <w:rPr>
          <w:rFonts w:ascii="Arial Narrow" w:hAnsi="Arial Narrow" w:cs="Tahoma"/>
          <w:sz w:val="22"/>
        </w:rPr>
      </w:pPr>
    </w:p>
    <w:p w:rsidR="00887492" w:rsidRDefault="00D84BC5" w:rsidP="00EB32A1">
      <w:pPr>
        <w:jc w:val="both"/>
        <w:rPr>
          <w:rFonts w:ascii="Arial Narrow" w:hAnsi="Arial Narrow" w:cs="Tahoma"/>
          <w:sz w:val="22"/>
        </w:rPr>
      </w:pPr>
      <w:r w:rsidRPr="00D84BC5">
        <w:rPr>
          <w:rFonts w:ascii="Arial Narrow" w:hAnsi="Arial Narrow" w:cs="Tahoma"/>
          <w:b/>
          <w:sz w:val="22"/>
        </w:rPr>
        <w:t>Number of employees in industry</w:t>
      </w:r>
      <w:r>
        <w:rPr>
          <w:rFonts w:ascii="Arial Narrow" w:hAnsi="Arial Narrow" w:cs="Tahoma"/>
          <w:sz w:val="22"/>
        </w:rPr>
        <w:t xml:space="preserve"> in June 2014</w:t>
      </w:r>
      <w:r w:rsidR="0070113F">
        <w:rPr>
          <w:rFonts w:ascii="Arial Narrow" w:hAnsi="Arial Narrow" w:cs="Tahoma"/>
          <w:sz w:val="22"/>
        </w:rPr>
        <w:t xml:space="preserve">, compared to the average number of employees in 2013, was 1.8% higher. Compared to the same month of the previous year it was 1.6% higher and compared to May 2014 it was 0.4% higher. </w:t>
      </w:r>
      <w:r w:rsidR="00B93664">
        <w:rPr>
          <w:rFonts w:ascii="Arial Narrow" w:hAnsi="Arial Narrow" w:cs="Tahoma"/>
          <w:sz w:val="22"/>
        </w:rPr>
        <w:t xml:space="preserve">Number of employees in industry in the period January – June 2014, compared to the same period of the previous year, increased by 1.9%. During the same period, in the section </w:t>
      </w:r>
      <w:r w:rsidR="00B93664" w:rsidRPr="006664CA">
        <w:rPr>
          <w:rFonts w:ascii="Arial Narrow" w:hAnsi="Arial Narrow" w:cs="Tahoma"/>
          <w:i/>
          <w:spacing w:val="-2"/>
          <w:sz w:val="22"/>
        </w:rPr>
        <w:t>Mining and quarrying</w:t>
      </w:r>
      <w:r w:rsidR="00B93664">
        <w:rPr>
          <w:rFonts w:ascii="Arial Narrow" w:hAnsi="Arial Narrow" w:cs="Tahoma"/>
          <w:spacing w:val="-2"/>
          <w:sz w:val="22"/>
        </w:rPr>
        <w:t xml:space="preserve"> an increase by 5.2</w:t>
      </w:r>
      <w:r w:rsidR="00B93664" w:rsidRPr="006664CA">
        <w:rPr>
          <w:rFonts w:ascii="Arial Narrow" w:hAnsi="Arial Narrow" w:cs="Tahoma"/>
          <w:spacing w:val="-2"/>
          <w:sz w:val="22"/>
        </w:rPr>
        <w:t xml:space="preserve">% was </w:t>
      </w:r>
      <w:proofErr w:type="spellStart"/>
      <w:r w:rsidR="00B93664" w:rsidRPr="006664CA">
        <w:rPr>
          <w:rFonts w:ascii="Arial Narrow" w:hAnsi="Arial Narrow" w:cs="Tahoma"/>
          <w:spacing w:val="-2"/>
          <w:sz w:val="22"/>
        </w:rPr>
        <w:t>realised</w:t>
      </w:r>
      <w:proofErr w:type="spellEnd"/>
      <w:r w:rsidR="00B93664">
        <w:rPr>
          <w:rFonts w:ascii="Arial Narrow" w:hAnsi="Arial Narrow" w:cs="Tahoma"/>
          <w:spacing w:val="-2"/>
          <w:sz w:val="22"/>
        </w:rPr>
        <w:t xml:space="preserve">, in the section </w:t>
      </w:r>
      <w:r w:rsidR="00B93664" w:rsidRPr="006664CA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 w:rsidR="00B93664">
        <w:rPr>
          <w:rFonts w:ascii="Arial Narrow" w:hAnsi="Arial Narrow" w:cs="Tahoma"/>
          <w:spacing w:val="-2"/>
          <w:sz w:val="22"/>
        </w:rPr>
        <w:t xml:space="preserve"> an increase by 1.7% and in the section </w:t>
      </w:r>
      <w:r w:rsidR="00B93664" w:rsidRPr="006664CA">
        <w:rPr>
          <w:rFonts w:ascii="Arial Narrow" w:hAnsi="Arial Narrow" w:cs="Tahoma"/>
          <w:i/>
          <w:spacing w:val="-2"/>
          <w:sz w:val="22"/>
        </w:rPr>
        <w:t>Manufacturing</w:t>
      </w:r>
      <w:r w:rsidR="00B93664">
        <w:rPr>
          <w:rFonts w:ascii="Arial Narrow" w:hAnsi="Arial Narrow" w:cs="Tahoma"/>
          <w:spacing w:val="-2"/>
          <w:sz w:val="22"/>
        </w:rPr>
        <w:t xml:space="preserve"> an increase by 1.5% was recorded. </w:t>
      </w:r>
    </w:p>
    <w:p w:rsidR="00517795" w:rsidRPr="00AE7F03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AE7F03" w:rsidRDefault="004E0795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4E0795" w:rsidRPr="00AE7F03" w:rsidRDefault="00134456" w:rsidP="00A14198">
      <w:pPr>
        <w:jc w:val="center"/>
        <w:rPr>
          <w:rFonts w:ascii="Tahoma" w:hAnsi="Tahoma" w:cs="Tahoma"/>
          <w:lang w:val="sr-Latn-CS"/>
        </w:rPr>
      </w:pPr>
      <w:r w:rsidRPr="00AE7F03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309196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4198" w:rsidRPr="003F0ED8" w:rsidRDefault="00CC7510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proofErr w:type="spellStart"/>
      <w:r w:rsidRPr="003F0ED8">
        <w:rPr>
          <w:rFonts w:ascii="Arial Narrow" w:hAnsi="Arial Narrow" w:cs="Tahoma"/>
          <w:sz w:val="22"/>
          <w:szCs w:val="22"/>
          <w:lang w:val="sr-Latn-CS"/>
        </w:rPr>
        <w:t>Graph</w:t>
      </w:r>
      <w:proofErr w:type="spellEnd"/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54093B" w:rsidRPr="003F0ED8">
        <w:rPr>
          <w:rFonts w:ascii="Arial Narrow" w:hAnsi="Arial Narrow" w:cs="Tahoma"/>
          <w:sz w:val="22"/>
          <w:szCs w:val="22"/>
          <w:lang w:val="sr-Latn-CS"/>
        </w:rPr>
        <w:t>3</w:t>
      </w:r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proofErr w:type="spellStart"/>
      <w:r w:rsidRPr="003F0ED8">
        <w:rPr>
          <w:rFonts w:ascii="Arial Narrow" w:hAnsi="Arial Narrow" w:cs="Tahoma"/>
          <w:sz w:val="22"/>
          <w:szCs w:val="22"/>
          <w:lang w:val="sr-Latn-CS"/>
        </w:rPr>
        <w:t>Indices</w:t>
      </w:r>
      <w:proofErr w:type="spellEnd"/>
      <w:r w:rsidRPr="003F0ED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3F0ED8">
        <w:rPr>
          <w:rFonts w:ascii="Arial Narrow" w:hAnsi="Arial Narrow" w:cs="Tahoma"/>
          <w:sz w:val="22"/>
          <w:szCs w:val="22"/>
          <w:lang w:val="sr-Latn-CS"/>
        </w:rPr>
        <w:t>of</w:t>
      </w:r>
      <w:proofErr w:type="spellEnd"/>
      <w:r w:rsidRPr="003F0ED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3F0ED8">
        <w:rPr>
          <w:rFonts w:ascii="Arial Narrow" w:hAnsi="Arial Narrow" w:cs="Tahoma"/>
          <w:sz w:val="22"/>
          <w:szCs w:val="22"/>
          <w:lang w:val="sr-Latn-CS"/>
        </w:rPr>
        <w:t>industrial</w:t>
      </w:r>
      <w:proofErr w:type="spellEnd"/>
      <w:r w:rsidRPr="003F0ED8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3F0ED8">
        <w:rPr>
          <w:rFonts w:ascii="Arial Narrow" w:hAnsi="Arial Narrow" w:cs="Tahoma"/>
          <w:sz w:val="22"/>
          <w:szCs w:val="22"/>
          <w:lang w:val="sr-Latn-CS"/>
        </w:rPr>
        <w:t>production</w:t>
      </w:r>
      <w:proofErr w:type="spellEnd"/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 xml:space="preserve">,  </w:t>
      </w:r>
      <w:r w:rsidRPr="003F0ED8">
        <w:rPr>
          <w:rFonts w:ascii="Arial Narrow" w:hAnsi="Arial Narrow" w:cs="Tahoma"/>
          <w:sz w:val="22"/>
          <w:szCs w:val="22"/>
        </w:rPr>
        <w:t>June</w:t>
      </w:r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3F0ED8">
        <w:rPr>
          <w:rFonts w:ascii="Arial Narrow" w:hAnsi="Arial Narrow" w:cs="Tahoma"/>
          <w:sz w:val="22"/>
          <w:szCs w:val="22"/>
          <w:lang w:val="sr-Cyrl-CS"/>
        </w:rPr>
        <w:t>10</w:t>
      </w:r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 w:rsidRPr="003F0ED8">
        <w:rPr>
          <w:rFonts w:ascii="Arial Narrow" w:hAnsi="Arial Narrow" w:cs="Tahoma"/>
          <w:sz w:val="22"/>
          <w:szCs w:val="22"/>
        </w:rPr>
        <w:t>June</w:t>
      </w:r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3F0ED8">
        <w:rPr>
          <w:rFonts w:ascii="Arial Narrow" w:hAnsi="Arial Narrow" w:cs="Tahoma"/>
          <w:sz w:val="22"/>
          <w:szCs w:val="22"/>
          <w:lang w:val="sr-Cyrl-CS"/>
        </w:rPr>
        <w:t>4</w:t>
      </w:r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 xml:space="preserve">  (</w:t>
      </w:r>
      <w:r w:rsidR="00A14198" w:rsidRPr="003F0ED8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="00A14198" w:rsidRPr="003F0ED8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AE7F03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367C7" w:rsidRPr="00AE7F03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B32A1" w:rsidRPr="000A1309" w:rsidRDefault="00C15E3B" w:rsidP="00EB32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>
        <w:rPr>
          <w:rFonts w:ascii="Arial Narrow" w:hAnsi="Arial Narrow" w:cs="Tahoma"/>
          <w:b/>
          <w:sz w:val="30"/>
          <w:szCs w:val="30"/>
        </w:rPr>
        <w:t>Export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hr-HR"/>
        </w:rPr>
        <w:t>(January-June 2014/January-June 2013</w:t>
      </w:r>
      <w:r w:rsidR="00EB32A1" w:rsidRPr="000A1309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>
        <w:rPr>
          <w:rFonts w:ascii="Arial Narrow" w:hAnsi="Arial Narrow" w:cs="Tahoma"/>
          <w:b/>
          <w:sz w:val="30"/>
          <w:szCs w:val="30"/>
        </w:rPr>
        <w:t>increased by</w:t>
      </w:r>
      <w:r w:rsidR="00EB32A1" w:rsidRPr="000A1309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B32A1" w:rsidRPr="000A1309">
        <w:rPr>
          <w:rFonts w:ascii="Arial Narrow" w:hAnsi="Arial Narrow" w:cs="Tahoma"/>
          <w:b/>
          <w:sz w:val="30"/>
          <w:szCs w:val="30"/>
        </w:rPr>
        <w:t>5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EB32A1" w:rsidRPr="000A1309">
        <w:rPr>
          <w:rFonts w:ascii="Arial Narrow" w:hAnsi="Arial Narrow" w:cs="Tahoma"/>
          <w:b/>
          <w:sz w:val="30"/>
          <w:szCs w:val="30"/>
        </w:rPr>
        <w:t>5</w:t>
      </w:r>
      <w:r w:rsidR="00EB32A1" w:rsidRPr="000A1309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EB32A1" w:rsidRPr="000A1309" w:rsidRDefault="00C15E3B" w:rsidP="00EB32A1">
      <w:pPr>
        <w:rPr>
          <w:rFonts w:ascii="Arial Narrow" w:hAnsi="Arial Narrow" w:cs="Tahoma"/>
          <w:b/>
          <w:sz w:val="28"/>
          <w:szCs w:val="26"/>
          <w:lang w:val="sr-Cyrl-CS"/>
        </w:rPr>
      </w:pPr>
      <w:r>
        <w:rPr>
          <w:rFonts w:ascii="Arial Narrow" w:hAnsi="Arial Narrow" w:cs="Tahoma"/>
          <w:b/>
          <w:sz w:val="28"/>
          <w:szCs w:val="26"/>
        </w:rPr>
        <w:t>Coverage of import with export</w:t>
      </w:r>
      <w:r w:rsidR="00EB32A1" w:rsidRPr="000A1309">
        <w:rPr>
          <w:rFonts w:ascii="Arial Narrow" w:hAnsi="Arial Narrow" w:cs="Tahoma"/>
          <w:b/>
          <w:sz w:val="28"/>
          <w:szCs w:val="26"/>
          <w:lang w:val="sr-Cyrl-BA"/>
        </w:rPr>
        <w:t xml:space="preserve"> (</w:t>
      </w:r>
      <w:r>
        <w:rPr>
          <w:rFonts w:ascii="Arial Narrow" w:hAnsi="Arial Narrow" w:cs="Tahoma"/>
          <w:b/>
          <w:sz w:val="28"/>
          <w:szCs w:val="26"/>
        </w:rPr>
        <w:t>in the period January</w:t>
      </w:r>
      <w:r w:rsidR="00EB32A1" w:rsidRPr="000A1309">
        <w:rPr>
          <w:rFonts w:ascii="Arial Narrow" w:hAnsi="Arial Narrow" w:cs="Tahoma"/>
          <w:b/>
          <w:sz w:val="28"/>
          <w:szCs w:val="26"/>
          <w:lang w:val="sr-Cyrl-BA"/>
        </w:rPr>
        <w:t>-</w:t>
      </w:r>
      <w:r>
        <w:rPr>
          <w:rFonts w:ascii="Arial Narrow" w:hAnsi="Arial Narrow" w:cs="Tahoma"/>
          <w:b/>
          <w:sz w:val="28"/>
          <w:szCs w:val="26"/>
        </w:rPr>
        <w:t>June</w:t>
      </w:r>
      <w:r w:rsidR="00EB32A1" w:rsidRPr="000A1309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EB32A1" w:rsidRPr="000A1309">
        <w:rPr>
          <w:rFonts w:ascii="Arial Narrow" w:hAnsi="Arial Narrow" w:cs="Tahoma"/>
          <w:b/>
          <w:sz w:val="28"/>
          <w:szCs w:val="26"/>
          <w:lang w:val="ru-RU"/>
        </w:rPr>
        <w:t>201</w:t>
      </w:r>
      <w:r>
        <w:rPr>
          <w:rFonts w:ascii="Arial Narrow" w:hAnsi="Arial Narrow" w:cs="Tahoma"/>
          <w:b/>
          <w:sz w:val="28"/>
          <w:szCs w:val="26"/>
        </w:rPr>
        <w:t>4</w:t>
      </w:r>
      <w:r w:rsidR="00EB32A1" w:rsidRPr="000A1309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="00EB32A1" w:rsidRPr="000A1309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EB32A1" w:rsidRPr="000A1309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="00EB32A1" w:rsidRPr="000A1309">
        <w:rPr>
          <w:rFonts w:ascii="Arial Narrow" w:hAnsi="Arial Narrow" w:cs="Tahoma"/>
          <w:b/>
          <w:sz w:val="28"/>
          <w:szCs w:val="26"/>
        </w:rPr>
        <w:t>6</w:t>
      </w:r>
      <w:r>
        <w:rPr>
          <w:rFonts w:ascii="Arial Narrow" w:hAnsi="Arial Narrow" w:cs="Tahoma"/>
          <w:b/>
          <w:sz w:val="28"/>
          <w:szCs w:val="26"/>
        </w:rPr>
        <w:t>.</w:t>
      </w:r>
      <w:r w:rsidR="00EB32A1" w:rsidRPr="000A1309">
        <w:rPr>
          <w:rFonts w:ascii="Arial Narrow" w:hAnsi="Arial Narrow" w:cs="Tahoma"/>
          <w:b/>
          <w:sz w:val="28"/>
          <w:szCs w:val="26"/>
        </w:rPr>
        <w:t>9</w:t>
      </w:r>
      <w:r w:rsidR="00EB32A1" w:rsidRPr="000A1309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EB32A1" w:rsidRPr="00AE7F03" w:rsidRDefault="00EB32A1" w:rsidP="00EB32A1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C17E3" w:rsidRDefault="007C17E3" w:rsidP="00EB32A1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June 2014, the value of export amounted to 244 million KM and the value of import was 415 million KM.</w:t>
      </w:r>
    </w:p>
    <w:p w:rsidR="00EB32A1" w:rsidRPr="00AE7F03" w:rsidRDefault="00EB32A1" w:rsidP="00EB32A1">
      <w:pPr>
        <w:jc w:val="both"/>
        <w:rPr>
          <w:rFonts w:ascii="Arial Narrow" w:hAnsi="Arial Narrow" w:cs="Tahoma"/>
          <w:sz w:val="22"/>
        </w:rPr>
      </w:pPr>
    </w:p>
    <w:p w:rsidR="007C17E3" w:rsidRDefault="007C17E3" w:rsidP="00EB32A1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June 2014, the value of export was 1 billion and 308 million KM, which represented an increase by 5.5% compared to the same period of the previous year. </w:t>
      </w:r>
      <w:r w:rsidR="00A0490C">
        <w:rPr>
          <w:rFonts w:ascii="Arial Narrow" w:hAnsi="Arial Narrow" w:cs="Tahoma"/>
          <w:sz w:val="22"/>
        </w:rPr>
        <w:t xml:space="preserve">During the same period, the value of import was 2 billion and 297 KM, which represented an increase by 9.2% compared to the same period of the previous year. The percentage of coverage of import with export in the first six months of the current year was 56.9%. </w:t>
      </w:r>
    </w:p>
    <w:p w:rsidR="00EB32A1" w:rsidRDefault="00EB32A1" w:rsidP="00EB32A1">
      <w:pPr>
        <w:jc w:val="both"/>
        <w:rPr>
          <w:rFonts w:ascii="Arial Narrow" w:hAnsi="Arial Narrow" w:cs="Tahoma"/>
          <w:sz w:val="22"/>
        </w:rPr>
      </w:pPr>
    </w:p>
    <w:p w:rsidR="00A0490C" w:rsidRPr="00A0490C" w:rsidRDefault="00A0490C" w:rsidP="00EB32A1">
      <w:pPr>
        <w:jc w:val="both"/>
        <w:rPr>
          <w:rFonts w:ascii="Arial Narrow" w:hAnsi="Arial Narrow" w:cs="Tahoma"/>
          <w:sz w:val="22"/>
        </w:rPr>
      </w:pPr>
      <w:r w:rsidRPr="007A6714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A6714">
        <w:rPr>
          <w:rFonts w:ascii="Arial Narrow" w:hAnsi="Arial Narrow" w:cs="Tahoma"/>
          <w:sz w:val="22"/>
        </w:rPr>
        <w:t>Republika</w:t>
      </w:r>
      <w:proofErr w:type="spellEnd"/>
      <w:r w:rsidRPr="007A6714">
        <w:rPr>
          <w:rFonts w:ascii="Arial Narrow" w:hAnsi="Arial Narrow" w:cs="Tahoma"/>
          <w:sz w:val="22"/>
        </w:rPr>
        <w:t xml:space="preserve"> </w:t>
      </w:r>
      <w:proofErr w:type="spellStart"/>
      <w:r w:rsidRPr="007A6714">
        <w:rPr>
          <w:rFonts w:ascii="Arial Narrow" w:hAnsi="Arial Narrow" w:cs="Tahoma"/>
          <w:sz w:val="22"/>
        </w:rPr>
        <w:t>Srpska</w:t>
      </w:r>
      <w:proofErr w:type="spellEnd"/>
      <w:r w:rsidRPr="007A6714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June</w:t>
      </w:r>
      <w:r w:rsidRPr="007A6714">
        <w:rPr>
          <w:rFonts w:ascii="Arial Narrow" w:hAnsi="Arial Narrow" w:cs="Tahoma"/>
          <w:sz w:val="22"/>
        </w:rPr>
        <w:t xml:space="preserve"> 2014, the highest value of export was that of export to Italy, with</w:t>
      </w:r>
      <w:r>
        <w:rPr>
          <w:rFonts w:ascii="Arial Narrow" w:hAnsi="Arial Narrow" w:cs="Tahoma"/>
          <w:sz w:val="22"/>
        </w:rPr>
        <w:t xml:space="preserve"> 245 million KM, followed by Serbia with 186 million KM or 14.3%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export. </w:t>
      </w:r>
    </w:p>
    <w:p w:rsidR="00EB32A1" w:rsidRDefault="00EB32A1" w:rsidP="00EB32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644ABB" w:rsidRPr="00644ABB" w:rsidRDefault="00644ABB" w:rsidP="00EB32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During the same period, the highest value of import was that of import from Russia, with 535 million KM or 23.3%, followed by Serbia with 358 million KM or 15.6%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import. </w:t>
      </w:r>
    </w:p>
    <w:p w:rsidR="00EB32A1" w:rsidRDefault="00EB32A1" w:rsidP="00EB32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644ABB" w:rsidRPr="00644ABB" w:rsidRDefault="00644ABB" w:rsidP="00EB32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By group of products, in the period January – June 2014, the highest </w:t>
      </w:r>
      <w:r w:rsidRPr="007A6714">
        <w:rPr>
          <w:rFonts w:ascii="Arial Narrow" w:hAnsi="Arial Narrow" w:cs="Tahoma"/>
          <w:sz w:val="22"/>
        </w:rPr>
        <w:t xml:space="preserve">share in export was that of </w:t>
      </w:r>
      <w:r w:rsidRPr="007A6714">
        <w:rPr>
          <w:rFonts w:ascii="Arial Narrow" w:hAnsi="Arial Narrow" w:cs="Tahoma"/>
          <w:bCs/>
          <w:sz w:val="22"/>
        </w:rPr>
        <w:t>petroleum oils and oils obtained from bituminous minerals (except raw) with the total value of</w:t>
      </w:r>
      <w:r w:rsidR="00585C03">
        <w:rPr>
          <w:rFonts w:ascii="Arial Narrow" w:hAnsi="Arial Narrow" w:cs="Tahoma"/>
          <w:bCs/>
          <w:sz w:val="22"/>
        </w:rPr>
        <w:t xml:space="preserve"> 122 million KM, which was 9.4% </w:t>
      </w:r>
      <w:r w:rsidR="00585C03" w:rsidRPr="007A6714">
        <w:rPr>
          <w:rFonts w:ascii="Arial Narrow" w:hAnsi="Arial Narrow" w:cs="Tahoma"/>
          <w:bCs/>
          <w:sz w:val="22"/>
        </w:rPr>
        <w:t xml:space="preserve">of the total export, while the highest share in import was that of </w:t>
      </w:r>
      <w:r w:rsidR="00585C03" w:rsidRPr="007A6714">
        <w:rPr>
          <w:rFonts w:ascii="Arial Narrow" w:hAnsi="Arial Narrow" w:cs="Tahoma"/>
          <w:sz w:val="22"/>
        </w:rPr>
        <w:t>petroleum and oils obtained from bituminous minerals (raw), with the total value of</w:t>
      </w:r>
      <w:r w:rsidR="00B80348">
        <w:rPr>
          <w:rFonts w:ascii="Arial Narrow" w:hAnsi="Arial Narrow" w:cs="Tahoma"/>
          <w:sz w:val="22"/>
        </w:rPr>
        <w:t xml:space="preserve"> 524 million KM, which was 22.8% of the total import. </w:t>
      </w:r>
    </w:p>
    <w:p w:rsidR="00115CDB" w:rsidRPr="00AE7F03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3F0ED8" w:rsidRPr="00B80348" w:rsidRDefault="003F0ED8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451451" w:rsidRPr="00EB32A1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451451" w:rsidRPr="00AE7F03" w:rsidRDefault="00A67F8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A9734D" w:rsidRPr="003A2A46" w:rsidRDefault="00A9734D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8"/>
                      <w:lang w:val="sr-Latn-BA"/>
                    </w:rPr>
                    <w:t>thous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451451" w:rsidRPr="00AE7F03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51451" w:rsidRPr="00AE7F03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115CDB" w:rsidRPr="00AE7F03" w:rsidRDefault="00210C0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AE7F03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176299" cy="2568271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43E2" w:rsidRPr="00AE7F03" w:rsidRDefault="00A67F84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A9734D" w:rsidRPr="003A2A46" w:rsidRDefault="00A9734D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5.05pt;margin-top:-.2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A9734D" w:rsidRPr="003A2A46" w:rsidRDefault="00A9734D" w:rsidP="00115CDB">
                  <w:pPr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4A1822" w:rsidRPr="00AE7F03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3F0ED8" w:rsidRDefault="00C35467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sr-Latn-BA"/>
        </w:rPr>
      </w:pPr>
      <w:r w:rsidRPr="003F0ED8">
        <w:rPr>
          <w:rFonts w:ascii="Arial Narrow" w:hAnsi="Arial Narrow" w:cs="Tahoma"/>
          <w:sz w:val="22"/>
          <w:szCs w:val="22"/>
          <w:lang w:val="sr-Latn-BA"/>
        </w:rPr>
        <w:t>Graph</w:t>
      </w:r>
      <w:r w:rsidR="00777348" w:rsidRPr="003F0ED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25A93" w:rsidRPr="003F0ED8">
        <w:rPr>
          <w:rFonts w:ascii="Arial Narrow" w:hAnsi="Arial Narrow" w:cs="Tahoma"/>
          <w:sz w:val="22"/>
          <w:szCs w:val="22"/>
          <w:lang w:val="sr-Cyrl-CS"/>
        </w:rPr>
        <w:t>4</w:t>
      </w:r>
      <w:r w:rsidR="00777348" w:rsidRPr="003F0ED8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3F0ED8">
        <w:rPr>
          <w:rFonts w:ascii="Arial Narrow" w:hAnsi="Arial Narrow" w:cs="Tahoma"/>
          <w:iCs/>
          <w:sz w:val="22"/>
          <w:szCs w:val="22"/>
          <w:lang w:val="sr-Latn-BA"/>
        </w:rPr>
        <w:t>Export and import by month</w:t>
      </w:r>
    </w:p>
    <w:p w:rsidR="00115CD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F0ED8" w:rsidRPr="00AE7F03" w:rsidRDefault="003F0ED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AE7F03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AE7F03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AE7F03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0C3A1D" w:rsidRDefault="00F04A4B" w:rsidP="00115CDB">
      <w:pPr>
        <w:rPr>
          <w:rFonts w:ascii="Tahoma" w:hAnsi="Tahoma" w:cs="Tahoma"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2D53F7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DB587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A91B02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91B02" w:rsidRPr="002D53F7" w:rsidRDefault="002D53F7" w:rsidP="00A91B02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  <w:t>National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  <w:t>accounts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  <w:t>statistics</w:t>
            </w:r>
            <w:proofErr w:type="spellEnd"/>
          </w:p>
          <w:p w:rsidR="00A91B02" w:rsidRPr="002D53F7" w:rsidRDefault="002D53F7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Jadranka Luburić</w:t>
            </w:r>
          </w:p>
          <w:p w:rsidR="00A91B02" w:rsidRPr="002D53F7" w:rsidRDefault="002D53F7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Žana Alagić</w:t>
            </w:r>
          </w:p>
          <w:p w:rsidR="00A91B02" w:rsidRPr="00A91B02" w:rsidRDefault="00A67F84" w:rsidP="00A91B02">
            <w:pPr>
              <w:jc w:val="both"/>
              <w:rPr>
                <w:lang w:val="sr-Cyrl-CS"/>
              </w:rPr>
            </w:pPr>
            <w:hyperlink r:id="rId14" w:history="1">
              <w:r w:rsidR="00A91B02" w:rsidRPr="00A91B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zana.alagic@rzs.rs.ba</w:t>
              </w:r>
            </w:hyperlink>
          </w:p>
          <w:p w:rsidR="00A91B02" w:rsidRPr="002D53F7" w:rsidRDefault="002D53F7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Dijana Maleš</w:t>
            </w:r>
          </w:p>
          <w:p w:rsidR="00A91B02" w:rsidRPr="00A91B02" w:rsidRDefault="00A67F84" w:rsidP="00A91B02">
            <w:pPr>
              <w:jc w:val="both"/>
              <w:rPr>
                <w:lang w:val="sr-Cyrl-CS"/>
              </w:rPr>
            </w:pPr>
            <w:hyperlink r:id="rId15" w:history="1">
              <w:r w:rsidR="00A91B02" w:rsidRPr="00A91B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dijana.males@rzs.rs.ba</w:t>
              </w:r>
            </w:hyperlink>
          </w:p>
          <w:p w:rsidR="00A91B02" w:rsidRDefault="00A91B0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2D53F7" w:rsidRDefault="002D53F7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Labour statistics</w:t>
            </w:r>
          </w:p>
          <w:p w:rsidR="00A44E14" w:rsidRPr="002D53F7" w:rsidRDefault="002D53F7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Biljana Glušac</w:t>
            </w:r>
          </w:p>
          <w:p w:rsidR="009E2A9A" w:rsidRDefault="00A67F84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7B6AC0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B587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A91B02" w:rsidRPr="002D53F7" w:rsidRDefault="002D53F7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Vladimir Koprivica</w:t>
            </w:r>
          </w:p>
          <w:p w:rsidR="009E2A9A" w:rsidRDefault="00A67F84" w:rsidP="00A91B02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7" w:history="1">
              <w:r w:rsidR="00A91B02" w:rsidRPr="00A91B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vladimir.koprivica@rzs.rs.ba</w:t>
              </w:r>
            </w:hyperlink>
            <w:r w:rsidR="00A91B02" w:rsidRPr="00A91B0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5C3831" w:rsidRDefault="005C3831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Prices statistics</w:t>
            </w:r>
          </w:p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Biljana Tešić</w:t>
            </w:r>
          </w:p>
          <w:p w:rsidR="009E2A9A" w:rsidRPr="00DB5870" w:rsidRDefault="00A67F84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8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Jasminka Milić</w:t>
            </w:r>
          </w:p>
          <w:p w:rsidR="009E2A9A" w:rsidRPr="00DB5870" w:rsidRDefault="00A67F84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9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  <w:proofErr w:type="spellEnd"/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Industry and mining statistics</w:t>
            </w:r>
          </w:p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Mirjana Bandur</w:t>
            </w:r>
          </w:p>
          <w:p w:rsidR="009E2A9A" w:rsidRPr="00DB5870" w:rsidRDefault="00A67F84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20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  <w:t>External trade statistics</w:t>
            </w:r>
          </w:p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A62FE1" w:rsidRPr="00DB5870" w:rsidRDefault="00A67F84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21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2D53F7" w:rsidRDefault="002D53F7" w:rsidP="009E2A9A">
            <w:pPr>
              <w:jc w:val="both"/>
              <w:rPr>
                <w:rFonts w:ascii="Arial Narrow" w:hAnsi="Arial Narrow" w:cs="Tahoma"/>
                <w:b/>
                <w:sz w:val="22"/>
                <w:lang w:val="sr-Latn-BA"/>
              </w:rPr>
            </w:pPr>
            <w:r>
              <w:rPr>
                <w:rFonts w:ascii="Arial Narrow" w:hAnsi="Arial Narrow" w:cs="Tahoma"/>
                <w:b/>
                <w:sz w:val="22"/>
                <w:lang w:val="sr-Latn-BA"/>
              </w:rPr>
              <w:t>SYMBOLS: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D53F7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BA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2D53F7">
              <w:rPr>
                <w:rFonts w:ascii="Arial Narrow" w:hAnsi="Arial Narrow" w:cs="Tahoma"/>
                <w:bCs/>
                <w:sz w:val="18"/>
                <w:szCs w:val="16"/>
                <w:lang w:val="sr-Latn-BA"/>
              </w:rPr>
              <w:t>average</w:t>
            </w:r>
          </w:p>
          <w:p w:rsidR="00D61322" w:rsidRDefault="00D61322" w:rsidP="00D61322">
            <w:pPr>
              <w:rPr>
                <w:rFonts w:ascii="Arial Narrow" w:hAnsi="Arial Narrow" w:cs="Tahoma"/>
                <w:sz w:val="18"/>
                <w:szCs w:val="16"/>
                <w:lang w:val="sr-Latn-CS" w:eastAsia="sr-Latn-BA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2D53F7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76768F" w:rsidRPr="002D53F7" w:rsidRDefault="002D53F7" w:rsidP="00E64BAA">
            <w:pPr>
              <w:rPr>
                <w:rFonts w:ascii="Tahoma" w:hAnsi="Tahoma" w:cs="Tahoma"/>
                <w:bCs/>
                <w:sz w:val="16"/>
                <w:szCs w:val="16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6"/>
                <w:lang w:val="sr-Latn-BA" w:eastAsia="sr-Latn-BA"/>
              </w:rPr>
              <w:t>preliminary data</w:t>
            </w:r>
            <w:r w:rsidR="00CC2C1E">
              <w:rPr>
                <w:rFonts w:ascii="Arial Narrow" w:hAnsi="Arial Narrow" w:cs="Tahoma"/>
                <w:sz w:val="18"/>
                <w:szCs w:val="16"/>
                <w:lang w:val="sr-Cyrl-CS" w:eastAsia="sr-Latn-BA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16"/>
                <w:lang w:val="sr-Cyrl-CS" w:eastAsia="sr-Latn-BA"/>
              </w:rPr>
              <w:t>–</w:t>
            </w:r>
            <w:r w:rsidR="00CC2C1E">
              <w:rPr>
                <w:rFonts w:ascii="Arial Narrow" w:hAnsi="Arial Narrow" w:cs="Tahoma"/>
                <w:sz w:val="18"/>
                <w:szCs w:val="16"/>
                <w:lang w:val="sr-Cyrl-CS" w:eastAsia="sr-Latn-BA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16"/>
                <w:lang w:val="sr-Latn-BA" w:eastAsia="sr-Latn-BA"/>
              </w:rPr>
              <w:t>calculated and published before final data</w:t>
            </w:r>
            <w:r w:rsidR="00CC2C1E">
              <w:rPr>
                <w:rFonts w:ascii="Arial Narrow" w:hAnsi="Arial Narrow" w:cs="Tahoma"/>
                <w:sz w:val="18"/>
                <w:szCs w:val="16"/>
                <w:lang w:val="sr-Cyrl-CS" w:eastAsia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6"/>
                <w:lang w:val="sr-Latn-BA" w:eastAsia="sr-Latn-BA"/>
              </w:rPr>
              <w:t>calculations are prone to corrections and improvement</w:t>
            </w: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F0ED8" w:rsidRDefault="003F0ED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F0ED8" w:rsidRDefault="003F0ED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F0ED8" w:rsidRDefault="003F0ED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F0ED8" w:rsidRDefault="003F0ED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F0ED8" w:rsidRDefault="003F0ED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F0ED8" w:rsidRDefault="003F0ED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F0ED8" w:rsidRDefault="003F0ED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A67F8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proofErr w:type="spellStart"/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 w:rsidRPr="00DB5870"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Др Радмила 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Чичковић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22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A67F84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23"/>
      <w:footerReference w:type="default" r:id="rId24"/>
      <w:footerReference w:type="first" r:id="rId25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4D" w:rsidRDefault="00A9734D">
      <w:r>
        <w:separator/>
      </w:r>
    </w:p>
  </w:endnote>
  <w:endnote w:type="continuationSeparator" w:id="0">
    <w:p w:rsidR="00A9734D" w:rsidRDefault="00A9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4D" w:rsidRDefault="00A67F84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A9734D" w:rsidRPr="00175687" w:rsidRDefault="00A9734D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67F84">
                    <w:rPr>
                      <w:rFonts w:ascii="Tahoma" w:hAnsi="Tahoma" w:cs="Tahoma"/>
                      <w:noProof/>
                      <w:color w:val="FFFFFF"/>
                    </w:rPr>
                    <w:t>8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4D" w:rsidRDefault="00A67F84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A9734D" w:rsidRPr="00175687" w:rsidRDefault="00A9734D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67F84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4D" w:rsidRDefault="00A9734D">
      <w:r>
        <w:separator/>
      </w:r>
    </w:p>
  </w:footnote>
  <w:footnote w:type="continuationSeparator" w:id="0">
    <w:p w:rsidR="00A9734D" w:rsidRDefault="00A9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A9734D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9734D" w:rsidRPr="006E3A7F" w:rsidRDefault="00A9734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A9734D" w:rsidRPr="006E3A7F" w:rsidRDefault="00A9734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9734D" w:rsidRPr="005D5311" w:rsidRDefault="00A9734D" w:rsidP="006E3A7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</w:t>
          </w:r>
          <w:r>
            <w:rPr>
              <w:rFonts w:ascii="Arial Narrow" w:hAnsi="Arial Narrow" w:cs="Tahoma"/>
              <w:color w:val="0070C0"/>
              <w:sz w:val="18"/>
            </w:rPr>
            <w:t>22</w:t>
          </w:r>
          <w:r w:rsidRPr="006E3A7F">
            <w:rPr>
              <w:rFonts w:ascii="Arial Narrow" w:hAnsi="Arial Narrow" w:cs="Tahoma"/>
              <w:color w:val="0070C0"/>
              <w:sz w:val="18"/>
              <w:vertAlign w:val="superscript"/>
            </w:rPr>
            <w:t>nd</w:t>
          </w:r>
          <w:r>
            <w:rPr>
              <w:rFonts w:ascii="Arial Narrow" w:hAnsi="Arial Narrow" w:cs="Tahoma"/>
              <w:color w:val="0070C0"/>
              <w:sz w:val="18"/>
            </w:rPr>
            <w:t xml:space="preserve"> July 2014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Latn-CS"/>
            </w:rPr>
            <w:t>7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9734D" w:rsidRDefault="00A67F8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0CC1"/>
    <w:rsid w:val="000110A0"/>
    <w:rsid w:val="000122E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27BD1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A1D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2E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0E2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AA5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438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C74"/>
    <w:rsid w:val="0015710C"/>
    <w:rsid w:val="0015782C"/>
    <w:rsid w:val="00157D59"/>
    <w:rsid w:val="00157F8F"/>
    <w:rsid w:val="0016007E"/>
    <w:rsid w:val="001604FD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2D8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F97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7F2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36F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630"/>
    <w:rsid w:val="00257884"/>
    <w:rsid w:val="00257B7F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9A1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7E6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3F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E7A4A"/>
    <w:rsid w:val="003F02D9"/>
    <w:rsid w:val="003F0BB4"/>
    <w:rsid w:val="003F0CE8"/>
    <w:rsid w:val="003F0D72"/>
    <w:rsid w:val="003F0E9A"/>
    <w:rsid w:val="003F0ED8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D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CA6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19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2F6A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C9A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1B9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0649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840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0AF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7A8"/>
    <w:rsid w:val="00585C01"/>
    <w:rsid w:val="00585C03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18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CF"/>
    <w:rsid w:val="005B12F7"/>
    <w:rsid w:val="005B17F5"/>
    <w:rsid w:val="005B18B5"/>
    <w:rsid w:val="005B1A41"/>
    <w:rsid w:val="005B1C29"/>
    <w:rsid w:val="005B1D6F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BB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217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669E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01A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A7F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66A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13F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7A2"/>
    <w:rsid w:val="0072580D"/>
    <w:rsid w:val="00725AED"/>
    <w:rsid w:val="00726088"/>
    <w:rsid w:val="00726943"/>
    <w:rsid w:val="00726D0C"/>
    <w:rsid w:val="00727ACB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3DB8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7E3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844"/>
    <w:rsid w:val="00851B45"/>
    <w:rsid w:val="00851D78"/>
    <w:rsid w:val="00851DC8"/>
    <w:rsid w:val="00851FE4"/>
    <w:rsid w:val="00852B85"/>
    <w:rsid w:val="00853DB5"/>
    <w:rsid w:val="00853EA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99D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87492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8B0"/>
    <w:rsid w:val="00892F7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B1E"/>
    <w:rsid w:val="00896E81"/>
    <w:rsid w:val="00896E8D"/>
    <w:rsid w:val="008978C3"/>
    <w:rsid w:val="00897C18"/>
    <w:rsid w:val="00897EDC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5E44"/>
    <w:rsid w:val="008A5F37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59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17D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0D8F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649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2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0C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DB4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572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F84"/>
    <w:rsid w:val="00A70DDB"/>
    <w:rsid w:val="00A71D6E"/>
    <w:rsid w:val="00A72473"/>
    <w:rsid w:val="00A7248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12C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14AF"/>
    <w:rsid w:val="00A81BC4"/>
    <w:rsid w:val="00A81C19"/>
    <w:rsid w:val="00A81EFB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34D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574"/>
    <w:rsid w:val="00AD578E"/>
    <w:rsid w:val="00AD5807"/>
    <w:rsid w:val="00AD5EBF"/>
    <w:rsid w:val="00AD64BD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D55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BEA"/>
    <w:rsid w:val="00B040ED"/>
    <w:rsid w:val="00B0417C"/>
    <w:rsid w:val="00B04534"/>
    <w:rsid w:val="00B048D3"/>
    <w:rsid w:val="00B04B64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B27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A8D"/>
    <w:rsid w:val="00B60E23"/>
    <w:rsid w:val="00B61163"/>
    <w:rsid w:val="00B613A8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348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664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333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82A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53A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075"/>
    <w:rsid w:val="00C114EB"/>
    <w:rsid w:val="00C115A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5E3B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7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1C95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B0B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10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3BB1"/>
    <w:rsid w:val="00D73E18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BC5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5A9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881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32A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24D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3CE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071C"/>
    <w:rsid w:val="00F817E4"/>
    <w:rsid w:val="00F818C3"/>
    <w:rsid w:val="00F81A71"/>
    <w:rsid w:val="00F8285E"/>
    <w:rsid w:val="00F833BA"/>
    <w:rsid w:val="00F84123"/>
    <w:rsid w:val="00F84987"/>
    <w:rsid w:val="00F84A4D"/>
    <w:rsid w:val="00F84B15"/>
    <w:rsid w:val="00F8521F"/>
    <w:rsid w:val="00F85FC5"/>
    <w:rsid w:val="00F85FE6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4DE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3E49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1DF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7EE9E0DD-760A-4647-BAED-771EA91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Biljana.tesic@rzs.rs.b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koprivica@rzs.rs.b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iljana.glusac@rzs.rs.ba" TargetMode="External"/><Relationship Id="rId20" Type="http://schemas.openxmlformats.org/officeDocument/2006/relationships/hyperlink" Target="mailto:mirjana.bandur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ijana.males@rzs.rs.ba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mailto:jasminka.mi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ana.alagic@rzs.rs.ba" TargetMode="External"/><Relationship Id="rId22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Jun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jun%202014\za%20Graf%20I-V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Sheet1!$A$1:$E$1</c:f>
              <c:strCache>
                <c:ptCount val="5"/>
                <c:pt idx="0">
                  <c:v>I 2013</c:v>
                </c:pt>
                <c:pt idx="1">
                  <c:v>II 2013</c:v>
                </c:pt>
                <c:pt idx="2">
                  <c:v>III 2013</c:v>
                </c:pt>
                <c:pt idx="3">
                  <c:v>IV 2013</c:v>
                </c:pt>
                <c:pt idx="4">
                  <c:v>I 2014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1.9</c:v>
                </c:pt>
                <c:pt idx="1">
                  <c:v>2.2000000000000002</c:v>
                </c:pt>
                <c:pt idx="2">
                  <c:v>1.7000000000000008</c:v>
                </c:pt>
                <c:pt idx="3">
                  <c:v>1.8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840736"/>
        <c:axId val="123841120"/>
      </c:barChart>
      <c:catAx>
        <c:axId val="123840736"/>
        <c:scaling>
          <c:orientation val="minMax"/>
        </c:scaling>
        <c:delete val="0"/>
        <c:axPos val="b"/>
        <c:majorGridlines>
          <c:spPr>
            <a:ln w="3175"/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23841120"/>
        <c:crosses val="autoZero"/>
        <c:auto val="1"/>
        <c:lblAlgn val="ctr"/>
        <c:lblOffset val="100"/>
        <c:noMultiLvlLbl val="0"/>
      </c:catAx>
      <c:valAx>
        <c:axId val="12384112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23840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2013</c:v>
                  </c:pt>
                  <c:pt idx="7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816</c:v>
                </c:pt>
                <c:pt idx="1">
                  <c:v>803</c:v>
                </c:pt>
                <c:pt idx="2">
                  <c:v>811</c:v>
                </c:pt>
                <c:pt idx="3">
                  <c:v>813</c:v>
                </c:pt>
                <c:pt idx="4">
                  <c:v>808</c:v>
                </c:pt>
                <c:pt idx="5">
                  <c:v>811</c:v>
                </c:pt>
                <c:pt idx="6">
                  <c:v>820</c:v>
                </c:pt>
                <c:pt idx="7">
                  <c:v>810</c:v>
                </c:pt>
                <c:pt idx="8">
                  <c:v>822</c:v>
                </c:pt>
                <c:pt idx="9">
                  <c:v>815</c:v>
                </c:pt>
                <c:pt idx="10">
                  <c:v>821</c:v>
                </c:pt>
                <c:pt idx="11">
                  <c:v>818</c:v>
                </c:pt>
                <c:pt idx="12">
                  <c:v>837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867576"/>
        <c:axId val="99870016"/>
      </c:lineChart>
      <c:catAx>
        <c:axId val="99867576"/>
        <c:scaling>
          <c:orientation val="minMax"/>
        </c:scaling>
        <c:delete val="0"/>
        <c:axPos val="b"/>
        <c:majorGridlines>
          <c:spPr>
            <a:ln w="3175"/>
          </c:spPr>
        </c:majorGridlines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9870016"/>
        <c:crosses val="autoZero"/>
        <c:auto val="1"/>
        <c:lblAlgn val="ctr"/>
        <c:lblOffset val="100"/>
        <c:noMultiLvlLbl val="0"/>
      </c:catAx>
      <c:valAx>
        <c:axId val="9987001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99867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2010</c:v>
                  </c:pt>
                  <c:pt idx="7">
                    <c:v>2011</c:v>
                  </c:pt>
                  <c:pt idx="19">
                    <c:v>2012</c:v>
                  </c:pt>
                  <c:pt idx="31">
                    <c:v>2013</c:v>
                  </c:pt>
                  <c:pt idx="43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97.678006511514084</c:v>
                </c:pt>
                <c:pt idx="1">
                  <c:v>91.433123897929335</c:v>
                </c:pt>
                <c:pt idx="2">
                  <c:v>98.183882691388789</c:v>
                </c:pt>
                <c:pt idx="3">
                  <c:v>98.704207087095597</c:v>
                </c:pt>
                <c:pt idx="4">
                  <c:v>98.181397757092668</c:v>
                </c:pt>
                <c:pt idx="5">
                  <c:v>101.99606216525754</c:v>
                </c:pt>
                <c:pt idx="6">
                  <c:v>104.14220735965525</c:v>
                </c:pt>
                <c:pt idx="7">
                  <c:v>107.23785573022582</c:v>
                </c:pt>
                <c:pt idx="8">
                  <c:v>101.67991365306675</c:v>
                </c:pt>
                <c:pt idx="9">
                  <c:v>103.49685433216048</c:v>
                </c:pt>
                <c:pt idx="10">
                  <c:v>100.86143874671095</c:v>
                </c:pt>
                <c:pt idx="11">
                  <c:v>103.67818197437808</c:v>
                </c:pt>
                <c:pt idx="12">
                  <c:v>105.75268560569984</c:v>
                </c:pt>
                <c:pt idx="13">
                  <c:v>110.37074392732639</c:v>
                </c:pt>
                <c:pt idx="14">
                  <c:v>107.46426432125145</c:v>
                </c:pt>
                <c:pt idx="15">
                  <c:v>99.405315760655114</c:v>
                </c:pt>
                <c:pt idx="16">
                  <c:v>104.44504998539352</c:v>
                </c:pt>
                <c:pt idx="17">
                  <c:v>103.46088208821169</c:v>
                </c:pt>
                <c:pt idx="18">
                  <c:v>100.01198347569601</c:v>
                </c:pt>
                <c:pt idx="19">
                  <c:v>102.44918265183237</c:v>
                </c:pt>
                <c:pt idx="20">
                  <c:v>97.696588441007293</c:v>
                </c:pt>
                <c:pt idx="21">
                  <c:v>101.22952258773847</c:v>
                </c:pt>
                <c:pt idx="22">
                  <c:v>101.25327252442574</c:v>
                </c:pt>
                <c:pt idx="23">
                  <c:v>99.736652454147858</c:v>
                </c:pt>
                <c:pt idx="24">
                  <c:v>99.83036694314363</c:v>
                </c:pt>
                <c:pt idx="25">
                  <c:v>93.466079746145624</c:v>
                </c:pt>
                <c:pt idx="26">
                  <c:v>98.791088985529839</c:v>
                </c:pt>
                <c:pt idx="27">
                  <c:v>106.245573268893</c:v>
                </c:pt>
                <c:pt idx="28">
                  <c:v>100.92754863521338</c:v>
                </c:pt>
                <c:pt idx="29">
                  <c:v>99.060419577320161</c:v>
                </c:pt>
                <c:pt idx="30">
                  <c:v>101.37650204283592</c:v>
                </c:pt>
                <c:pt idx="31">
                  <c:v>101.05014709421388</c:v>
                </c:pt>
                <c:pt idx="32">
                  <c:v>101.43186963491951</c:v>
                </c:pt>
                <c:pt idx="33">
                  <c:v>100.49931144326192</c:v>
                </c:pt>
                <c:pt idx="34">
                  <c:v>109.01985941649644</c:v>
                </c:pt>
                <c:pt idx="35">
                  <c:v>103.6605012301452</c:v>
                </c:pt>
                <c:pt idx="36">
                  <c:v>105.03033432342723</c:v>
                </c:pt>
                <c:pt idx="37">
                  <c:v>110.48493485700671</c:v>
                </c:pt>
                <c:pt idx="38">
                  <c:v>104.67266694802125</c:v>
                </c:pt>
                <c:pt idx="39">
                  <c:v>101.44498495610999</c:v>
                </c:pt>
                <c:pt idx="40">
                  <c:v>102.39994710948254</c:v>
                </c:pt>
                <c:pt idx="41">
                  <c:v>104.63688521380531</c:v>
                </c:pt>
                <c:pt idx="42">
                  <c:v>104.70866006239599</c:v>
                </c:pt>
                <c:pt idx="43">
                  <c:v>104.75963859961691</c:v>
                </c:pt>
                <c:pt idx="44">
                  <c:v>107.16734232740646</c:v>
                </c:pt>
                <c:pt idx="45">
                  <c:v>102.83334945885805</c:v>
                </c:pt>
                <c:pt idx="46">
                  <c:v>102.8746116880463</c:v>
                </c:pt>
                <c:pt idx="47">
                  <c:v>103.93990317189183</c:v>
                </c:pt>
                <c:pt idx="48">
                  <c:v>104.92283893925348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2010</c:v>
                  </c:pt>
                  <c:pt idx="7">
                    <c:v>2011</c:v>
                  </c:pt>
                  <c:pt idx="19">
                    <c:v>2012</c:v>
                  </c:pt>
                  <c:pt idx="31">
                    <c:v>2013</c:v>
                  </c:pt>
                  <c:pt idx="43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98.499343532120449</c:v>
                </c:pt>
                <c:pt idx="1">
                  <c:v>98.694241253589084</c:v>
                </c:pt>
                <c:pt idx="2">
                  <c:v>99.121762159613453</c:v>
                </c:pt>
                <c:pt idx="3">
                  <c:v>99.62001871939394</c:v>
                </c:pt>
                <c:pt idx="4">
                  <c:v>100.15041982083247</c:v>
                </c:pt>
                <c:pt idx="5">
                  <c:v>100.73700416902552</c:v>
                </c:pt>
                <c:pt idx="6">
                  <c:v>101.29887040261707</c:v>
                </c:pt>
                <c:pt idx="7">
                  <c:v>101.72926415951802</c:v>
                </c:pt>
                <c:pt idx="8">
                  <c:v>102.0111754499716</c:v>
                </c:pt>
                <c:pt idx="9">
                  <c:v>102.24800200279375</c:v>
                </c:pt>
                <c:pt idx="10">
                  <c:v>102.47893470763088</c:v>
                </c:pt>
                <c:pt idx="11">
                  <c:v>102.72630252191971</c:v>
                </c:pt>
                <c:pt idx="12">
                  <c:v>102.95681637814951</c:v>
                </c:pt>
                <c:pt idx="13">
                  <c:v>103.06117083062001</c:v>
                </c:pt>
                <c:pt idx="14">
                  <c:v>102.91825033638958</c:v>
                </c:pt>
                <c:pt idx="15">
                  <c:v>102.63707473360584</c:v>
                </c:pt>
                <c:pt idx="16">
                  <c:v>102.41631692527905</c:v>
                </c:pt>
                <c:pt idx="17">
                  <c:v>102.15352788200595</c:v>
                </c:pt>
                <c:pt idx="18">
                  <c:v>101.85034582544412</c:v>
                </c:pt>
                <c:pt idx="19">
                  <c:v>101.57966725197741</c:v>
                </c:pt>
                <c:pt idx="20">
                  <c:v>101.32849639643007</c:v>
                </c:pt>
                <c:pt idx="21">
                  <c:v>101.16583309820975</c:v>
                </c:pt>
                <c:pt idx="22">
                  <c:v>101.03031618881739</c:v>
                </c:pt>
                <c:pt idx="23">
                  <c:v>100.89239354156885</c:v>
                </c:pt>
                <c:pt idx="24">
                  <c:v>100.78224743661308</c:v>
                </c:pt>
                <c:pt idx="25">
                  <c:v>100.75340633567635</c:v>
                </c:pt>
                <c:pt idx="26">
                  <c:v>100.96093305448665</c:v>
                </c:pt>
                <c:pt idx="27">
                  <c:v>101.2520407223022</c:v>
                </c:pt>
                <c:pt idx="28">
                  <c:v>101.41259148518748</c:v>
                </c:pt>
                <c:pt idx="29">
                  <c:v>101.57705290397513</c:v>
                </c:pt>
                <c:pt idx="30">
                  <c:v>101.83010279478508</c:v>
                </c:pt>
                <c:pt idx="31">
                  <c:v>102.12378535938393</c:v>
                </c:pt>
                <c:pt idx="32">
                  <c:v>102.44337359401813</c:v>
                </c:pt>
                <c:pt idx="33">
                  <c:v>102.83857908130059</c:v>
                </c:pt>
                <c:pt idx="34">
                  <c:v>103.26467716610198</c:v>
                </c:pt>
                <c:pt idx="35">
                  <c:v>103.56348335761965</c:v>
                </c:pt>
                <c:pt idx="36">
                  <c:v>103.82381694777131</c:v>
                </c:pt>
                <c:pt idx="37">
                  <c:v>104.03437973797863</c:v>
                </c:pt>
                <c:pt idx="38">
                  <c:v>104.05965187608733</c:v>
                </c:pt>
                <c:pt idx="39">
                  <c:v>104.04775252445275</c:v>
                </c:pt>
                <c:pt idx="40">
                  <c:v>104.13417250249518</c:v>
                </c:pt>
                <c:pt idx="41">
                  <c:v>104.28572169934755</c:v>
                </c:pt>
                <c:pt idx="42">
                  <c:v>104.43583021361147</c:v>
                </c:pt>
                <c:pt idx="43">
                  <c:v>104.58755521500062</c:v>
                </c:pt>
                <c:pt idx="44">
                  <c:v>104.71938923215431</c:v>
                </c:pt>
                <c:pt idx="45">
                  <c:v>104.80411338397982</c:v>
                </c:pt>
                <c:pt idx="46">
                  <c:v>104.9424164266475</c:v>
                </c:pt>
                <c:pt idx="47">
                  <c:v>105.17278435961286</c:v>
                </c:pt>
                <c:pt idx="48">
                  <c:v>105.45395550571754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3907560"/>
        <c:axId val="123907944"/>
      </c:lineChart>
      <c:catAx>
        <c:axId val="12390756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3907944"/>
        <c:crosses val="autoZero"/>
        <c:auto val="1"/>
        <c:lblAlgn val="ctr"/>
        <c:lblOffset val="100"/>
        <c:noMultiLvlLbl val="0"/>
      </c:catAx>
      <c:valAx>
        <c:axId val="123907944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390756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59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zaJun2014!$B$1:$N$1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zaJun2014!$B$2:$N$2</c:f>
              <c:numCache>
                <c:formatCode>General</c:formatCode>
                <c:ptCount val="13"/>
                <c:pt idx="0">
                  <c:v>317176</c:v>
                </c:pt>
                <c:pt idx="1">
                  <c:v>400481</c:v>
                </c:pt>
                <c:pt idx="2">
                  <c:v>385911</c:v>
                </c:pt>
                <c:pt idx="3">
                  <c:v>390579</c:v>
                </c:pt>
                <c:pt idx="4">
                  <c:v>454480</c:v>
                </c:pt>
                <c:pt idx="5">
                  <c:v>424992</c:v>
                </c:pt>
                <c:pt idx="6">
                  <c:v>391993</c:v>
                </c:pt>
                <c:pt idx="7">
                  <c:v>251909</c:v>
                </c:pt>
                <c:pt idx="8">
                  <c:v>427058</c:v>
                </c:pt>
                <c:pt idx="9">
                  <c:v>422482</c:v>
                </c:pt>
                <c:pt idx="10">
                  <c:v>348984</c:v>
                </c:pt>
                <c:pt idx="11">
                  <c:v>431234</c:v>
                </c:pt>
                <c:pt idx="12">
                  <c:v>415372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zaJun2014!$A$3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zaJun2014!$B$1:$N$1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zaJun2014!$B$3:$N$3</c:f>
              <c:numCache>
                <c:formatCode>General</c:formatCode>
                <c:ptCount val="13"/>
                <c:pt idx="0">
                  <c:v>220173</c:v>
                </c:pt>
                <c:pt idx="1">
                  <c:v>242098</c:v>
                </c:pt>
                <c:pt idx="2">
                  <c:v>199427</c:v>
                </c:pt>
                <c:pt idx="3">
                  <c:v>230912</c:v>
                </c:pt>
                <c:pt idx="4">
                  <c:v>221870</c:v>
                </c:pt>
                <c:pt idx="5">
                  <c:v>231500</c:v>
                </c:pt>
                <c:pt idx="6">
                  <c:v>222497</c:v>
                </c:pt>
                <c:pt idx="7">
                  <c:v>196950</c:v>
                </c:pt>
                <c:pt idx="8">
                  <c:v>211260</c:v>
                </c:pt>
                <c:pt idx="9">
                  <c:v>231286</c:v>
                </c:pt>
                <c:pt idx="10">
                  <c:v>219816</c:v>
                </c:pt>
                <c:pt idx="11">
                  <c:v>204515</c:v>
                </c:pt>
                <c:pt idx="12">
                  <c:v>244235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149904"/>
        <c:axId val="122994896"/>
      </c:lineChart>
      <c:catAx>
        <c:axId val="124149904"/>
        <c:scaling>
          <c:orientation val="minMax"/>
        </c:scaling>
        <c:delete val="0"/>
        <c:axPos val="b"/>
        <c:majorGridlines>
          <c:spPr>
            <a:ln w="3175"/>
          </c:spPr>
        </c:majorGridlines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22994896"/>
        <c:crosses val="autoZero"/>
        <c:auto val="1"/>
        <c:lblAlgn val="ctr"/>
        <c:lblOffset val="100"/>
        <c:noMultiLvlLbl val="0"/>
      </c:catAx>
      <c:valAx>
        <c:axId val="12299489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24149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77"/>
          <c:y val="0.34220861281228737"/>
          <c:w val="0.162301801315931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0.89492</cdr:x>
      <cdr:y>0.34596</cdr:y>
    </cdr:from>
    <cdr:to>
      <cdr:x>0.99109</cdr:x>
      <cdr:y>0.42955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32385" y="888521"/>
          <a:ext cx="497812" cy="21468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0.89492</cdr:x>
      <cdr:y>0.44337</cdr:y>
    </cdr:from>
    <cdr:to>
      <cdr:x>0.98956</cdr:x>
      <cdr:y>0.54413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632385" y="1138687"/>
          <a:ext cx="489858" cy="25879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7A2D-6F6A-4C1E-94A1-487C4D28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8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18882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229</cp:revision>
  <cp:lastPrinted>2014-07-21T09:04:00Z</cp:lastPrinted>
  <dcterms:created xsi:type="dcterms:W3CDTF">2014-03-14T12:01:00Z</dcterms:created>
  <dcterms:modified xsi:type="dcterms:W3CDTF">2014-07-22T07:44:00Z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