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4551B9" w:rsidP="00B86D1C">
            <w:pPr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5D4629">
              <w:rPr>
                <w:rFonts w:ascii="Tahoma" w:hAnsi="Tahoma" w:cs="Tahoma"/>
                <w:color w:val="4F81BD" w:themeColor="accent1"/>
                <w:sz w:val="16"/>
              </w:rPr>
              <w:t>2</w:t>
            </w:r>
            <w:r w:rsidR="005D4629" w:rsidRPr="005D4629">
              <w:rPr>
                <w:rFonts w:ascii="Tahoma" w:hAnsi="Tahoma" w:cs="Tahoma"/>
                <w:color w:val="4F81BD" w:themeColor="accent1"/>
                <w:sz w:val="16"/>
                <w:vertAlign w:val="superscript"/>
              </w:rPr>
              <w:t>nd</w:t>
            </w:r>
            <w:r w:rsidR="005D4629">
              <w:rPr>
                <w:rFonts w:ascii="Tahoma" w:hAnsi="Tahoma" w:cs="Tahoma"/>
                <w:color w:val="4F81BD" w:themeColor="accent1"/>
                <w:sz w:val="16"/>
              </w:rPr>
              <w:t xml:space="preserve"> December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5D4629">
              <w:rPr>
                <w:rFonts w:ascii="Tahoma" w:hAnsi="Tahoma" w:cs="Tahoma"/>
                <w:color w:val="4F81BD" w:themeColor="accent1"/>
                <w:sz w:val="16"/>
              </w:rPr>
              <w:t xml:space="preserve">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 </w:t>
            </w:r>
            <w:r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1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5D4629">
              <w:rPr>
                <w:rFonts w:ascii="Tahoma" w:hAnsi="Tahoma" w:cs="Tahoma"/>
                <w:b/>
                <w:color w:val="4F81BD" w:themeColor="accent1"/>
                <w:sz w:val="32"/>
                <w:szCs w:val="32"/>
              </w:rPr>
              <w:t>4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5D4629" w:rsidRDefault="005D4629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January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4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5D4629" w:rsidRDefault="005D4629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PRESS RELEASE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CA3512" w:rsidRPr="00F7219A" w:rsidRDefault="00F7219A" w:rsidP="00CA351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eastAsia="sr-Latn-BA"/>
        </w:rPr>
      </w:pP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Real growth of quarterly Gross domestic product</w:t>
      </w:r>
      <w:r w:rsidR="00CA3512"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  <w:r w:rsidR="00CA3512" w:rsidRPr="004C20B5">
        <w:rPr>
          <w:rFonts w:ascii="Tahoma" w:hAnsi="Tahoma" w:cs="Tahoma"/>
          <w:b/>
          <w:bCs/>
          <w:sz w:val="28"/>
          <w:szCs w:val="28"/>
          <w:lang w:val="sr-Cyrl-BA" w:eastAsia="sr-Latn-BA"/>
        </w:rPr>
        <w:t>1</w:t>
      </w:r>
      <w:r>
        <w:rPr>
          <w:rFonts w:ascii="Tahoma" w:hAnsi="Tahoma" w:cs="Tahoma"/>
          <w:b/>
          <w:bCs/>
          <w:sz w:val="28"/>
          <w:szCs w:val="28"/>
          <w:lang w:val="sr-Latn-BA" w:eastAsia="sr-Latn-BA"/>
        </w:rPr>
        <w:t>.</w:t>
      </w:r>
      <w:r w:rsidR="00CA3512" w:rsidRPr="004C20B5">
        <w:rPr>
          <w:rFonts w:ascii="Tahoma" w:hAnsi="Tahoma" w:cs="Tahoma"/>
          <w:b/>
          <w:bCs/>
          <w:sz w:val="28"/>
          <w:szCs w:val="28"/>
          <w:lang w:val="sr-Cyrl-BA" w:eastAsia="sr-Latn-BA"/>
        </w:rPr>
        <w:t>7</w:t>
      </w:r>
      <w:r w:rsidR="00CA3512"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% </w:t>
      </w:r>
      <w:r>
        <w:rPr>
          <w:rFonts w:ascii="Tahoma" w:hAnsi="Tahoma" w:cs="Tahoma"/>
          <w:b/>
          <w:bCs/>
          <w:sz w:val="28"/>
          <w:szCs w:val="28"/>
          <w:lang w:eastAsia="sr-Latn-BA"/>
        </w:rPr>
        <w:t>for the period</w:t>
      </w:r>
    </w:p>
    <w:p w:rsidR="00CA3512" w:rsidRPr="004C20B5" w:rsidRDefault="00CA3512" w:rsidP="00CA3512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r-Cyrl-CS" w:eastAsia="sr-Latn-BA"/>
        </w:rPr>
      </w:pP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>(</w:t>
      </w:r>
      <w:r w:rsidR="00F7219A" w:rsidRPr="00F7219A">
        <w:rPr>
          <w:rFonts w:ascii="Tahoma" w:hAnsi="Tahoma" w:cs="Tahoma"/>
          <w:b/>
          <w:bCs/>
          <w:sz w:val="28"/>
          <w:szCs w:val="28"/>
          <w:lang w:eastAsia="sr-Latn-BA"/>
        </w:rPr>
        <w:t>3</w:t>
      </w:r>
      <w:r w:rsidR="00F7219A" w:rsidRPr="00F7219A">
        <w:rPr>
          <w:rFonts w:ascii="Tahoma" w:hAnsi="Tahoma" w:cs="Tahoma"/>
          <w:b/>
          <w:bCs/>
          <w:sz w:val="28"/>
          <w:szCs w:val="28"/>
          <w:vertAlign w:val="superscript"/>
          <w:lang w:eastAsia="sr-Latn-BA"/>
        </w:rPr>
        <w:t>rd</w:t>
      </w:r>
      <w:r w:rsidR="00F7219A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quarter</w:t>
      </w:r>
      <w:r w:rsidRPr="00F7219A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2013/</w:t>
      </w:r>
      <w:r w:rsidR="00F7219A" w:rsidRPr="00F7219A">
        <w:rPr>
          <w:rFonts w:ascii="Tahoma" w:hAnsi="Tahoma" w:cs="Tahoma"/>
          <w:b/>
          <w:bCs/>
          <w:sz w:val="28"/>
          <w:szCs w:val="28"/>
          <w:lang w:eastAsia="sr-Latn-BA"/>
        </w:rPr>
        <w:t>3</w:t>
      </w:r>
      <w:r w:rsidR="00F7219A" w:rsidRPr="00F7219A">
        <w:rPr>
          <w:rFonts w:ascii="Tahoma" w:hAnsi="Tahoma" w:cs="Tahoma"/>
          <w:b/>
          <w:bCs/>
          <w:sz w:val="28"/>
          <w:szCs w:val="28"/>
          <w:vertAlign w:val="superscript"/>
          <w:lang w:eastAsia="sr-Latn-BA"/>
        </w:rPr>
        <w:t>rd</w:t>
      </w:r>
      <w:r w:rsidR="00F7219A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quarter</w:t>
      </w:r>
      <w:r w:rsidR="00F7219A" w:rsidRPr="00F7219A">
        <w:rPr>
          <w:rFonts w:ascii="Tahoma" w:hAnsi="Tahoma" w:cs="Tahoma"/>
          <w:b/>
          <w:bCs/>
          <w:sz w:val="28"/>
          <w:szCs w:val="28"/>
          <w:lang w:eastAsia="sr-Latn-BA"/>
        </w:rPr>
        <w:t xml:space="preserve"> </w:t>
      </w:r>
      <w:r w:rsidRPr="00F7219A">
        <w:rPr>
          <w:rFonts w:ascii="Tahoma" w:hAnsi="Tahoma" w:cs="Tahoma"/>
          <w:b/>
          <w:bCs/>
          <w:sz w:val="28"/>
          <w:szCs w:val="28"/>
          <w:lang w:eastAsia="sr-Latn-BA"/>
        </w:rPr>
        <w:t>2012)</w:t>
      </w:r>
      <w:r w:rsidRPr="004C20B5">
        <w:rPr>
          <w:rFonts w:ascii="Tahoma" w:hAnsi="Tahoma" w:cs="Tahoma"/>
          <w:b/>
          <w:bCs/>
          <w:sz w:val="28"/>
          <w:szCs w:val="28"/>
          <w:lang w:val="sr-Latn-BA" w:eastAsia="sr-Latn-BA"/>
        </w:rPr>
        <w:t xml:space="preserve"> </w:t>
      </w:r>
    </w:p>
    <w:p w:rsidR="00CA3512" w:rsidRPr="004C20B5" w:rsidRDefault="00CA3512" w:rsidP="00CA3512">
      <w:pPr>
        <w:jc w:val="both"/>
        <w:rPr>
          <w:rFonts w:ascii="Tahoma" w:hAnsi="Tahoma" w:cs="Tahoma"/>
          <w:sz w:val="16"/>
          <w:szCs w:val="16"/>
        </w:rPr>
      </w:pPr>
    </w:p>
    <w:p w:rsidR="0010772A" w:rsidRDefault="0010772A" w:rsidP="00CA3512">
      <w:pPr>
        <w:autoSpaceDE w:val="0"/>
        <w:autoSpaceDN w:val="0"/>
        <w:adjustRightInd w:val="0"/>
        <w:jc w:val="both"/>
        <w:rPr>
          <w:rFonts w:ascii="Tahoma" w:hAnsi="Tahoma" w:cs="Tahoma"/>
          <w:lang w:val="sr-Latn-BA" w:eastAsia="sr-Latn-BA"/>
        </w:rPr>
      </w:pPr>
      <w:r>
        <w:rPr>
          <w:rFonts w:ascii="Tahoma" w:hAnsi="Tahoma" w:cs="Tahoma"/>
          <w:lang w:val="sr-Latn-BA" w:eastAsia="sr-Latn-BA"/>
        </w:rPr>
        <w:t>Quarterly Gross domestic product in the third quarter of 2013 was really 1.7% higher compared to the third quarter of 2012.</w:t>
      </w:r>
    </w:p>
    <w:p w:rsidR="00CA3512" w:rsidRDefault="00CA3512" w:rsidP="00CA3512">
      <w:pPr>
        <w:jc w:val="both"/>
        <w:rPr>
          <w:rFonts w:ascii="Tahoma" w:hAnsi="Tahoma" w:cs="Tahoma"/>
          <w:lang w:val="sr-Latn-BA" w:eastAsia="sr-Latn-BA"/>
        </w:rPr>
      </w:pPr>
    </w:p>
    <w:p w:rsidR="0064787B" w:rsidRDefault="0064787B" w:rsidP="00CA3512">
      <w:pPr>
        <w:jc w:val="both"/>
        <w:rPr>
          <w:rFonts w:ascii="Tahoma" w:hAnsi="Tahoma" w:cs="Tahoma"/>
        </w:rPr>
      </w:pPr>
      <w:r w:rsidRPr="0064787B">
        <w:rPr>
          <w:rFonts w:ascii="Tahoma" w:hAnsi="Tahoma" w:cs="Tahoma"/>
        </w:rPr>
        <w:t>By section of the Classification of Economic Activities aggregated at the level A10 in the third quarter of 2013 Gross value added in</w:t>
      </w:r>
      <w:r w:rsidRPr="0064787B">
        <w:rPr>
          <w:rFonts w:ascii="Tahoma" w:hAnsi="Tahoma" w:cs="Tahoma"/>
          <w:lang w:val="sr-Cyrl-CS"/>
        </w:rPr>
        <w:t>creased in real terms</w:t>
      </w:r>
      <w:r w:rsidRPr="0064787B">
        <w:rPr>
          <w:rFonts w:ascii="Tahoma" w:hAnsi="Tahoma" w:cs="Tahoma"/>
        </w:rPr>
        <w:t xml:space="preserve"> in</w:t>
      </w:r>
      <w:r w:rsidRPr="0064787B">
        <w:rPr>
          <w:rFonts w:ascii="Tahoma" w:hAnsi="Tahoma" w:cs="Tahoma"/>
          <w:lang w:val="sr-Cyrl-CS"/>
        </w:rPr>
        <w:t xml:space="preserve"> </w:t>
      </w:r>
      <w:r w:rsidRPr="0064787B">
        <w:rPr>
          <w:rFonts w:ascii="Tahoma" w:hAnsi="Tahoma" w:cs="Tahoma"/>
        </w:rPr>
        <w:t>the following sections</w:t>
      </w:r>
      <w:r w:rsidRPr="0064787B">
        <w:rPr>
          <w:rFonts w:ascii="Tahoma" w:hAnsi="Tahoma" w:cs="Tahoma"/>
          <w:lang w:val="sr-Cyrl-CS"/>
        </w:rPr>
        <w:t>:</w:t>
      </w:r>
      <w:r w:rsidRPr="0064787B">
        <w:rPr>
          <w:rFonts w:ascii="Tahoma" w:hAnsi="Tahoma" w:cs="Tahoma"/>
        </w:rPr>
        <w:t xml:space="preserve"> </w:t>
      </w:r>
      <w:r w:rsidRPr="00B20A55">
        <w:rPr>
          <w:rFonts w:ascii="Tahoma" w:hAnsi="Tahoma" w:cs="Tahoma"/>
          <w:i/>
        </w:rPr>
        <w:t>Agriculture, forestry and fishing</w:t>
      </w:r>
      <w:r w:rsidRPr="0064787B">
        <w:rPr>
          <w:rFonts w:ascii="Tahoma" w:hAnsi="Tahoma" w:cs="Tahoma"/>
        </w:rPr>
        <w:t xml:space="preserve"> (A) by 8.5%, </w:t>
      </w:r>
      <w:r w:rsidRPr="00B20A55">
        <w:rPr>
          <w:rFonts w:ascii="Tahoma" w:hAnsi="Tahoma" w:cs="Tahoma"/>
          <w:i/>
          <w:iCs/>
          <w:lang w:val="bs-Latn-BA"/>
        </w:rPr>
        <w:t>Mining and quarrying; manufacturing; electricity, gas, steam and air-conditioning production and supply; water supply, sewerage, waste management and remediation activities</w:t>
      </w:r>
      <w:r w:rsidRPr="0064787B">
        <w:rPr>
          <w:rFonts w:ascii="Tahoma" w:hAnsi="Tahoma" w:cs="Tahoma"/>
          <w:iCs/>
          <w:lang w:val="bs-Latn-BA"/>
        </w:rPr>
        <w:t xml:space="preserve"> </w:t>
      </w:r>
      <w:r w:rsidRPr="0064787B">
        <w:rPr>
          <w:rFonts w:ascii="Tahoma" w:hAnsi="Tahoma" w:cs="Tahoma"/>
          <w:lang w:val="sr-Cyrl-BA"/>
        </w:rPr>
        <w:t>(</w:t>
      </w:r>
      <w:r w:rsidRPr="0064787B">
        <w:rPr>
          <w:rFonts w:ascii="Tahoma" w:hAnsi="Tahoma" w:cs="Tahoma"/>
        </w:rPr>
        <w:t xml:space="preserve">B,C,D,E) by 3.8%, </w:t>
      </w:r>
      <w:r w:rsidRPr="00B20A55">
        <w:rPr>
          <w:rFonts w:ascii="Tahoma" w:hAnsi="Tahoma" w:cs="Tahoma"/>
          <w:i/>
          <w:iCs/>
          <w:lang w:val="bs-Latn-BA"/>
        </w:rPr>
        <w:t xml:space="preserve">Arts, entertainment and recreation; other service activities </w:t>
      </w:r>
      <w:r w:rsidRPr="0064787B">
        <w:rPr>
          <w:rFonts w:ascii="Tahoma" w:hAnsi="Tahoma" w:cs="Tahoma"/>
          <w:lang w:val="bs-Latn-BA"/>
        </w:rPr>
        <w:t>(R,S)</w:t>
      </w:r>
      <w:r w:rsidRPr="0064787B">
        <w:rPr>
          <w:rFonts w:ascii="Tahoma" w:hAnsi="Tahoma" w:cs="Tahoma"/>
          <w:lang w:val="sr-Cyrl-BA"/>
        </w:rPr>
        <w:t xml:space="preserve"> </w:t>
      </w:r>
      <w:r w:rsidRPr="0064787B">
        <w:rPr>
          <w:rFonts w:ascii="Tahoma" w:hAnsi="Tahoma" w:cs="Tahoma"/>
        </w:rPr>
        <w:t xml:space="preserve">by 3.6%, while decrease in real terms was recorded in the following sections: </w:t>
      </w:r>
      <w:r w:rsidRPr="00B20A55">
        <w:rPr>
          <w:rFonts w:ascii="Tahoma" w:hAnsi="Tahoma" w:cs="Tahoma"/>
          <w:i/>
        </w:rPr>
        <w:t>Construction</w:t>
      </w:r>
      <w:r w:rsidRPr="0064787B">
        <w:rPr>
          <w:rFonts w:ascii="Tahoma" w:hAnsi="Tahoma" w:cs="Tahoma"/>
        </w:rPr>
        <w:t xml:space="preserve"> (F) by 3.4%, </w:t>
      </w:r>
      <w:r w:rsidRPr="00B20A55">
        <w:rPr>
          <w:rFonts w:ascii="Tahoma" w:hAnsi="Tahoma" w:cs="Tahoma"/>
          <w:i/>
        </w:rPr>
        <w:t>Wholesale and retail trade, repair of motor vehicles, motorcycles; transport and storage; accommodation and food services activities</w:t>
      </w:r>
      <w:r w:rsidRPr="0064787B">
        <w:rPr>
          <w:rFonts w:ascii="Tahoma" w:hAnsi="Tahoma" w:cs="Tahoma"/>
          <w:lang w:val="bs-Latn-BA"/>
        </w:rPr>
        <w:t xml:space="preserve"> </w:t>
      </w:r>
      <w:r w:rsidRPr="0064787B">
        <w:rPr>
          <w:rFonts w:ascii="Tahoma" w:hAnsi="Tahoma" w:cs="Tahoma"/>
        </w:rPr>
        <w:t xml:space="preserve">(G,H,I) by 1.2%, and </w:t>
      </w:r>
      <w:r w:rsidRPr="00B20A55">
        <w:rPr>
          <w:rFonts w:ascii="Tahoma" w:hAnsi="Tahoma" w:cs="Tahoma"/>
          <w:i/>
          <w:lang w:val="bs-Latn-BA"/>
        </w:rPr>
        <w:t>Real estate activities</w:t>
      </w:r>
      <w:r w:rsidRPr="0064787B">
        <w:rPr>
          <w:rFonts w:ascii="Tahoma" w:hAnsi="Tahoma" w:cs="Tahoma"/>
          <w:lang w:val="bs-Latn-BA"/>
        </w:rPr>
        <w:t xml:space="preserve"> </w:t>
      </w:r>
      <w:r w:rsidRPr="0064787B">
        <w:rPr>
          <w:rFonts w:ascii="Tahoma" w:hAnsi="Tahoma" w:cs="Tahoma"/>
        </w:rPr>
        <w:t>(L) by 0.8%.</w:t>
      </w:r>
    </w:p>
    <w:p w:rsidR="00CA3512" w:rsidRDefault="00CA3512" w:rsidP="00CA3512">
      <w:pPr>
        <w:jc w:val="both"/>
        <w:rPr>
          <w:rFonts w:ascii="Tahoma" w:hAnsi="Tahoma" w:cs="Tahoma"/>
        </w:rPr>
      </w:pPr>
    </w:p>
    <w:p w:rsidR="00443839" w:rsidRPr="00443839" w:rsidRDefault="00443839" w:rsidP="004F698F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neighbouring countries, the real growth rates of Gross domestic product for the third quarter of 2013 in comparison with the same quarter of 2012 were recorded as follows: Serbia 3.7%, FYR Macedonia 3.3%, Croatia (-0.6%) and Slovenia (-0.6%). </w:t>
      </w:r>
    </w:p>
    <w:p w:rsidR="00CA3512" w:rsidRDefault="00CA3512" w:rsidP="00CA3512">
      <w:pPr>
        <w:autoSpaceDE w:val="0"/>
        <w:autoSpaceDN w:val="0"/>
        <w:adjustRightInd w:val="0"/>
        <w:jc w:val="both"/>
        <w:rPr>
          <w:rFonts w:ascii="Tahoma" w:hAnsi="Tahoma" w:cs="Tahoma"/>
          <w:lang w:eastAsia="sr-Latn-BA"/>
        </w:rPr>
      </w:pPr>
    </w:p>
    <w:p w:rsidR="00CA3512" w:rsidRPr="00CA3512" w:rsidRDefault="00CA3512" w:rsidP="00CA3512">
      <w:pPr>
        <w:autoSpaceDE w:val="0"/>
        <w:autoSpaceDN w:val="0"/>
        <w:adjustRightInd w:val="0"/>
        <w:jc w:val="both"/>
        <w:rPr>
          <w:rFonts w:ascii="Tahoma" w:hAnsi="Tahoma" w:cs="Tahoma"/>
          <w:lang w:eastAsia="sr-Latn-BA"/>
        </w:rPr>
      </w:pP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Default="00CA3512" w:rsidP="00CA3512">
      <w:pPr>
        <w:jc w:val="center"/>
        <w:rPr>
          <w:rFonts w:ascii="Tahoma" w:hAnsi="Tahoma" w:cs="Tahoma"/>
          <w:b/>
          <w:sz w:val="28"/>
          <w:szCs w:val="28"/>
        </w:rPr>
      </w:pPr>
      <w:r w:rsidRPr="00CA3512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5270500" cy="2794000"/>
            <wp:effectExtent l="0" t="0" r="0" b="0"/>
            <wp:docPr id="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Pr="00C604C9" w:rsidRDefault="00C604C9" w:rsidP="00CA3512">
      <w:pPr>
        <w:autoSpaceDE w:val="0"/>
        <w:autoSpaceDN w:val="0"/>
        <w:adjustRightInd w:val="0"/>
        <w:jc w:val="center"/>
        <w:rPr>
          <w:rFonts w:ascii="Tahoma" w:hAnsi="Tahoma" w:cs="Tahoma"/>
          <w:lang w:eastAsia="sr-Latn-BA"/>
        </w:rPr>
      </w:pPr>
      <w:r>
        <w:rPr>
          <w:rFonts w:ascii="Tahoma" w:hAnsi="Tahoma" w:cs="Tahoma"/>
          <w:lang w:eastAsia="sr-Latn-BA"/>
        </w:rPr>
        <w:t>Graph</w:t>
      </w:r>
      <w:r w:rsidR="00CA3512" w:rsidRPr="004C20B5">
        <w:rPr>
          <w:rFonts w:ascii="Tahoma" w:hAnsi="Tahoma" w:cs="Tahoma"/>
          <w:lang w:val="sr-Cyrl-CS" w:eastAsia="sr-Latn-BA"/>
        </w:rPr>
        <w:t xml:space="preserve"> 1</w:t>
      </w:r>
      <w:r w:rsidR="00CA3512" w:rsidRPr="004C20B5">
        <w:rPr>
          <w:rFonts w:ascii="Tahoma" w:hAnsi="Tahoma" w:cs="Tahoma"/>
          <w:lang w:val="sr-Cyrl-BA" w:eastAsia="sr-Latn-BA"/>
        </w:rPr>
        <w:t xml:space="preserve">. </w:t>
      </w:r>
      <w:r>
        <w:rPr>
          <w:rFonts w:ascii="Tahoma" w:hAnsi="Tahoma" w:cs="Tahoma"/>
          <w:lang w:eastAsia="sr-Latn-BA"/>
        </w:rPr>
        <w:t>Real growth rates</w:t>
      </w:r>
      <w:r w:rsidR="00CA3512" w:rsidRPr="004C20B5">
        <w:rPr>
          <w:rFonts w:ascii="Tahoma" w:hAnsi="Tahoma" w:cs="Tahoma"/>
          <w:lang w:eastAsia="sr-Latn-BA"/>
        </w:rPr>
        <w:t xml:space="preserve"> </w:t>
      </w:r>
      <w:r>
        <w:rPr>
          <w:rFonts w:ascii="Tahoma" w:hAnsi="Tahoma" w:cs="Tahoma"/>
          <w:lang w:eastAsia="sr-Latn-BA"/>
        </w:rPr>
        <w:t>of quarterly Gross domestic product</w:t>
      </w:r>
      <w:r w:rsidR="00CA3512" w:rsidRPr="004C20B5">
        <w:rPr>
          <w:rFonts w:ascii="Tahoma" w:hAnsi="Tahoma" w:cs="Tahoma"/>
          <w:lang w:eastAsia="sr-Latn-BA"/>
        </w:rPr>
        <w:t>,</w:t>
      </w:r>
      <w:r w:rsidR="00CA3512" w:rsidRPr="004C20B5">
        <w:rPr>
          <w:rFonts w:ascii="Tahoma" w:hAnsi="Tahoma" w:cs="Tahoma"/>
          <w:lang w:val="sr-Cyrl-CS" w:eastAsia="sr-Latn-BA"/>
        </w:rPr>
        <w:t xml:space="preserve"> </w:t>
      </w:r>
      <w:r>
        <w:rPr>
          <w:rFonts w:ascii="Tahoma" w:hAnsi="Tahoma" w:cs="Tahoma"/>
          <w:lang w:eastAsia="sr-Latn-BA"/>
        </w:rPr>
        <w:t xml:space="preserve">changes </w:t>
      </w:r>
      <w:r w:rsidR="00285F00">
        <w:rPr>
          <w:rFonts w:ascii="Tahoma" w:hAnsi="Tahoma" w:cs="Tahoma"/>
          <w:lang w:eastAsia="sr-Latn-BA"/>
        </w:rPr>
        <w:t>in comparison with</w:t>
      </w:r>
      <w:r>
        <w:rPr>
          <w:rFonts w:ascii="Tahoma" w:hAnsi="Tahoma" w:cs="Tahoma"/>
          <w:lang w:eastAsia="sr-Latn-BA"/>
        </w:rPr>
        <w:t xml:space="preserve"> the same quarter of the previous year</w:t>
      </w: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CA3512" w:rsidRDefault="00CA3512" w:rsidP="00037786">
      <w:pPr>
        <w:jc w:val="both"/>
        <w:rPr>
          <w:rFonts w:ascii="Tahoma" w:hAnsi="Tahoma" w:cs="Tahoma"/>
          <w:b/>
          <w:sz w:val="28"/>
          <w:szCs w:val="28"/>
        </w:rPr>
      </w:pPr>
    </w:p>
    <w:p w:rsidR="00037786" w:rsidRPr="004A1E76" w:rsidRDefault="008864E8" w:rsidP="00037786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4A1E76">
        <w:rPr>
          <w:rFonts w:ascii="Tahoma" w:hAnsi="Tahoma" w:cs="Tahoma"/>
          <w:b/>
          <w:sz w:val="28"/>
          <w:szCs w:val="28"/>
        </w:rPr>
        <w:lastRenderedPageBreak/>
        <w:t>Average net wage in December</w:t>
      </w:r>
      <w:r w:rsidR="00037786" w:rsidRPr="004A1E76">
        <w:rPr>
          <w:rFonts w:ascii="Tahoma" w:hAnsi="Tahoma" w:cs="Tahoma"/>
          <w:b/>
          <w:sz w:val="28"/>
          <w:szCs w:val="28"/>
          <w:lang w:val="bs-Latn-BA"/>
        </w:rPr>
        <w:t xml:space="preserve"> </w:t>
      </w:r>
      <w:r w:rsidR="00037786" w:rsidRPr="004A1E76">
        <w:rPr>
          <w:rFonts w:ascii="Tahoma" w:hAnsi="Tahoma" w:cs="Tahoma"/>
          <w:b/>
          <w:sz w:val="28"/>
          <w:szCs w:val="28"/>
          <w:lang w:val="sr-Cyrl-CS"/>
        </w:rPr>
        <w:t>8</w:t>
      </w:r>
      <w:r w:rsidR="00B41EF1" w:rsidRPr="004A1E76">
        <w:rPr>
          <w:rFonts w:ascii="Tahoma" w:hAnsi="Tahoma" w:cs="Tahoma"/>
          <w:b/>
          <w:sz w:val="28"/>
          <w:szCs w:val="28"/>
          <w:lang w:val="sr-Cyrl-BA"/>
        </w:rPr>
        <w:t>20</w:t>
      </w:r>
      <w:r w:rsidR="00037786" w:rsidRPr="004A1E76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037786" w:rsidRPr="004A1E76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8864E8" w:rsidRPr="009379D1" w:rsidRDefault="008864E8" w:rsidP="008864E8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>
        <w:rPr>
          <w:rFonts w:ascii="Tahoma" w:hAnsi="Tahoma" w:cs="Tahoma"/>
          <w:sz w:val="26"/>
          <w:szCs w:val="26"/>
        </w:rPr>
        <w:t>The highest average net wage</w:t>
      </w:r>
      <w:r w:rsidRPr="009379D1">
        <w:rPr>
          <w:rFonts w:ascii="Tahoma" w:hAnsi="Tahoma" w:cs="Tahoma"/>
          <w:sz w:val="26"/>
          <w:szCs w:val="26"/>
          <w:lang w:val="ru-RU"/>
        </w:rPr>
        <w:t xml:space="preserve"> </w:t>
      </w:r>
      <w:r>
        <w:rPr>
          <w:rFonts w:ascii="Tahoma" w:hAnsi="Tahoma" w:cs="Tahoma"/>
          <w:sz w:val="26"/>
          <w:szCs w:val="26"/>
        </w:rPr>
        <w:t>was that in the section</w:t>
      </w:r>
      <w:r w:rsidRPr="009379D1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8F1E7E">
        <w:rPr>
          <w:rFonts w:ascii="Tahoma" w:hAnsi="Tahoma" w:cs="Tahoma"/>
          <w:i/>
          <w:sz w:val="26"/>
          <w:szCs w:val="26"/>
        </w:rPr>
        <w:t>Financial and insurance activities</w:t>
      </w:r>
      <w:r w:rsidRPr="008F1E7E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  <w:lang w:val="ru-RU"/>
        </w:rPr>
        <w:t>1</w:t>
      </w:r>
      <w:r>
        <w:rPr>
          <w:rFonts w:ascii="Tahoma" w:hAnsi="Tahoma" w:cs="Tahoma"/>
          <w:sz w:val="26"/>
          <w:szCs w:val="26"/>
        </w:rPr>
        <w:t>,</w:t>
      </w:r>
      <w:r>
        <w:rPr>
          <w:rFonts w:ascii="Tahoma" w:hAnsi="Tahoma" w:cs="Tahoma"/>
          <w:sz w:val="26"/>
          <w:szCs w:val="26"/>
          <w:lang w:val="sr-Latn-BA"/>
        </w:rPr>
        <w:t>319</w:t>
      </w:r>
      <w:r w:rsidRPr="009379D1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9379D1">
        <w:rPr>
          <w:rFonts w:ascii="Tahoma" w:hAnsi="Tahoma" w:cs="Tahoma"/>
          <w:sz w:val="26"/>
          <w:szCs w:val="26"/>
          <w:lang w:val="sr-Cyrl-CS"/>
        </w:rPr>
        <w:t xml:space="preserve">, </w:t>
      </w:r>
      <w:r>
        <w:rPr>
          <w:rFonts w:ascii="Tahoma" w:hAnsi="Tahoma" w:cs="Tahoma"/>
          <w:sz w:val="26"/>
          <w:szCs w:val="26"/>
        </w:rPr>
        <w:t>while the lowest one was that in the section</w:t>
      </w:r>
      <w:r w:rsidRPr="009379D1">
        <w:rPr>
          <w:rFonts w:ascii="Tahoma" w:hAnsi="Tahoma" w:cs="Tahoma"/>
          <w:sz w:val="26"/>
          <w:szCs w:val="26"/>
          <w:lang w:val="sr-Cyrl-CS"/>
        </w:rPr>
        <w:t xml:space="preserve"> </w:t>
      </w:r>
      <w:r>
        <w:rPr>
          <w:rFonts w:ascii="Tahoma" w:hAnsi="Tahoma" w:cs="Tahoma"/>
          <w:i/>
          <w:sz w:val="26"/>
          <w:szCs w:val="26"/>
        </w:rPr>
        <w:t>Accommodation and food service activities</w:t>
      </w:r>
      <w:r w:rsidRPr="009379D1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9379D1">
        <w:rPr>
          <w:rFonts w:ascii="Tahoma" w:hAnsi="Tahoma" w:cs="Tahoma"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  <w:lang w:val="sr-Cyrl-BA"/>
        </w:rPr>
        <w:t>3</w:t>
      </w:r>
      <w:r>
        <w:rPr>
          <w:rFonts w:ascii="Tahoma" w:hAnsi="Tahoma" w:cs="Tahoma"/>
          <w:sz w:val="26"/>
          <w:szCs w:val="26"/>
          <w:lang w:val="sr-Latn-BA"/>
        </w:rPr>
        <w:t>3</w:t>
      </w:r>
      <w:r w:rsidRPr="009379D1">
        <w:rPr>
          <w:rFonts w:ascii="Tahoma" w:hAnsi="Tahoma" w:cs="Tahoma"/>
          <w:sz w:val="26"/>
          <w:szCs w:val="26"/>
          <w:lang w:val="sr-Cyrl-BA"/>
        </w:rPr>
        <w:t xml:space="preserve"> КМ</w:t>
      </w:r>
    </w:p>
    <w:p w:rsidR="008864E8" w:rsidRDefault="008864E8" w:rsidP="00037786">
      <w:pPr>
        <w:tabs>
          <w:tab w:val="left" w:pos="4343"/>
        </w:tabs>
        <w:jc w:val="both"/>
        <w:rPr>
          <w:rFonts w:ascii="Tahoma" w:hAnsi="Tahoma" w:cs="Tahoma"/>
          <w:color w:val="FF0000"/>
          <w:sz w:val="26"/>
          <w:szCs w:val="26"/>
        </w:rPr>
      </w:pPr>
    </w:p>
    <w:p w:rsidR="007A164F" w:rsidRPr="005977A8" w:rsidRDefault="007A164F" w:rsidP="007A164F">
      <w:pPr>
        <w:tabs>
          <w:tab w:val="left" w:pos="1134"/>
        </w:tabs>
        <w:jc w:val="both"/>
        <w:rPr>
          <w:rFonts w:ascii="Tahoma" w:hAnsi="Tahoma" w:cs="Tahoma"/>
        </w:rPr>
      </w:pPr>
      <w:r w:rsidRPr="008F1E7E">
        <w:rPr>
          <w:rFonts w:ascii="Tahoma" w:hAnsi="Tahoma" w:cs="Tahoma"/>
        </w:rPr>
        <w:t xml:space="preserve">Average monthly net wage of employed persons in Republika Srpska paid in </w:t>
      </w:r>
      <w:r>
        <w:rPr>
          <w:rFonts w:ascii="Tahoma" w:hAnsi="Tahoma" w:cs="Tahoma"/>
        </w:rPr>
        <w:t xml:space="preserve">December </w:t>
      </w:r>
      <w:r>
        <w:rPr>
          <w:rFonts w:ascii="Tahoma" w:hAnsi="Tahoma" w:cs="Tahoma"/>
          <w:lang w:val="sr-Cyrl-CS"/>
        </w:rPr>
        <w:t>2013</w:t>
      </w:r>
      <w:r w:rsidRPr="009379D1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was</w:t>
      </w:r>
      <w:r w:rsidRPr="009379D1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8</w:t>
      </w:r>
      <w:r>
        <w:rPr>
          <w:rFonts w:ascii="Tahoma" w:hAnsi="Tahoma" w:cs="Tahoma"/>
          <w:lang w:val="sr-Latn-BA"/>
        </w:rPr>
        <w:t>20</w:t>
      </w:r>
      <w:r w:rsidRPr="009379D1">
        <w:rPr>
          <w:rFonts w:ascii="Tahoma" w:hAnsi="Tahoma" w:cs="Tahoma"/>
          <w:lang w:val="sr-Cyrl-CS"/>
        </w:rPr>
        <w:t xml:space="preserve"> КМ</w:t>
      </w:r>
      <w:r w:rsidRPr="009379D1">
        <w:rPr>
          <w:rFonts w:ascii="Tahoma" w:hAnsi="Tahoma" w:cs="Tahoma"/>
          <w:lang w:val="hr-HR"/>
        </w:rPr>
        <w:t>,</w:t>
      </w:r>
      <w:r w:rsidRPr="009379D1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 xml:space="preserve">while </w:t>
      </w:r>
      <w:r w:rsidRPr="005977A8">
        <w:rPr>
          <w:rFonts w:ascii="Tahoma" w:hAnsi="Tahoma" w:cs="Tahoma"/>
        </w:rPr>
        <w:t>average monthly gross wage was 1,</w:t>
      </w:r>
      <w:r>
        <w:rPr>
          <w:rFonts w:ascii="Tahoma" w:hAnsi="Tahoma" w:cs="Tahoma"/>
        </w:rPr>
        <w:t xml:space="preserve">351 </w:t>
      </w:r>
      <w:r w:rsidRPr="005977A8">
        <w:rPr>
          <w:rFonts w:ascii="Tahoma" w:hAnsi="Tahoma" w:cs="Tahoma"/>
        </w:rPr>
        <w:t>КМ.</w:t>
      </w:r>
    </w:p>
    <w:p w:rsidR="00037786" w:rsidRPr="00224D3B" w:rsidRDefault="00037786" w:rsidP="00037786">
      <w:pPr>
        <w:tabs>
          <w:tab w:val="left" w:pos="4343"/>
        </w:tabs>
        <w:jc w:val="both"/>
        <w:rPr>
          <w:rFonts w:ascii="Tahoma" w:hAnsi="Tahoma" w:cs="Tahoma"/>
          <w:b/>
          <w:color w:val="FF0000"/>
          <w:lang w:val="sr-Cyrl-CS"/>
        </w:rPr>
      </w:pPr>
    </w:p>
    <w:p w:rsidR="00037786" w:rsidRPr="00224D3B" w:rsidRDefault="004A1E76" w:rsidP="00037786">
      <w:pPr>
        <w:tabs>
          <w:tab w:val="left" w:pos="1134"/>
        </w:tabs>
        <w:jc w:val="both"/>
        <w:rPr>
          <w:rFonts w:ascii="Tahoma" w:hAnsi="Tahoma" w:cs="Tahoma"/>
          <w:color w:val="FF0000"/>
          <w:lang w:val="sr-Cyrl-CS"/>
        </w:rPr>
      </w:pPr>
      <w:r w:rsidRPr="005977A8">
        <w:rPr>
          <w:rFonts w:ascii="Tahoma" w:hAnsi="Tahoma" w:cs="Tahoma"/>
        </w:rPr>
        <w:t xml:space="preserve">Compared to </w:t>
      </w:r>
      <w:r>
        <w:rPr>
          <w:rFonts w:ascii="Tahoma" w:hAnsi="Tahoma" w:cs="Tahoma"/>
        </w:rPr>
        <w:t>November</w:t>
      </w:r>
      <w:r w:rsidRPr="005977A8">
        <w:rPr>
          <w:rFonts w:ascii="Tahoma" w:hAnsi="Tahoma" w:cs="Tahoma"/>
        </w:rPr>
        <w:t xml:space="preserve"> 2013, average net wage paid in </w:t>
      </w:r>
      <w:r>
        <w:rPr>
          <w:rFonts w:ascii="Tahoma" w:hAnsi="Tahoma" w:cs="Tahoma"/>
        </w:rPr>
        <w:t>December</w:t>
      </w:r>
      <w:r w:rsidRPr="005977A8">
        <w:rPr>
          <w:rFonts w:ascii="Tahoma" w:hAnsi="Tahoma" w:cs="Tahoma"/>
        </w:rPr>
        <w:t xml:space="preserve"> 2013 </w:t>
      </w:r>
      <w:r>
        <w:rPr>
          <w:rFonts w:ascii="Tahoma" w:hAnsi="Tahoma" w:cs="Tahoma"/>
        </w:rPr>
        <w:t>was really 1.3% higher.</w:t>
      </w:r>
    </w:p>
    <w:p w:rsidR="003D38C1" w:rsidRPr="00224D3B" w:rsidRDefault="003D38C1" w:rsidP="00037786">
      <w:pPr>
        <w:tabs>
          <w:tab w:val="left" w:pos="4343"/>
        </w:tabs>
        <w:jc w:val="both"/>
        <w:rPr>
          <w:rFonts w:ascii="Tahoma" w:hAnsi="Tahoma" w:cs="Tahoma"/>
          <w:color w:val="FF0000"/>
          <w:lang w:val="sr-Latn-CS"/>
        </w:rPr>
      </w:pPr>
    </w:p>
    <w:p w:rsidR="00117BD6" w:rsidRPr="005977A8" w:rsidRDefault="00117BD6" w:rsidP="00117BD6">
      <w:pPr>
        <w:tabs>
          <w:tab w:val="left" w:pos="4343"/>
        </w:tabs>
        <w:jc w:val="both"/>
        <w:rPr>
          <w:rFonts w:ascii="Tahoma" w:hAnsi="Tahoma" w:cs="Tahoma"/>
        </w:rPr>
      </w:pPr>
      <w:r w:rsidRPr="005977A8">
        <w:rPr>
          <w:rFonts w:ascii="Tahoma" w:hAnsi="Tahoma" w:cs="Tahoma"/>
        </w:rPr>
        <w:t xml:space="preserve">The highest average net wage in </w:t>
      </w:r>
      <w:r>
        <w:rPr>
          <w:rFonts w:ascii="Tahoma" w:hAnsi="Tahoma" w:cs="Tahoma"/>
        </w:rPr>
        <w:t>December</w:t>
      </w:r>
      <w:r w:rsidRPr="005977A8">
        <w:rPr>
          <w:rFonts w:ascii="Tahoma" w:hAnsi="Tahoma" w:cs="Tahoma"/>
        </w:rPr>
        <w:t xml:space="preserve"> 2013, by section of activities, was paid in the section </w:t>
      </w:r>
      <w:r w:rsidRPr="005977A8">
        <w:rPr>
          <w:rFonts w:ascii="Tahoma" w:hAnsi="Tahoma" w:cs="Tahoma"/>
          <w:i/>
        </w:rPr>
        <w:t>Financial and insurance activities</w:t>
      </w:r>
      <w:r>
        <w:rPr>
          <w:rFonts w:ascii="Tahoma" w:hAnsi="Tahoma" w:cs="Tahoma"/>
        </w:rPr>
        <w:t>, and it amounted to 1,319</w:t>
      </w:r>
      <w:r w:rsidRPr="005977A8">
        <w:rPr>
          <w:rFonts w:ascii="Tahoma" w:hAnsi="Tahoma" w:cs="Tahoma"/>
        </w:rPr>
        <w:t xml:space="preserve"> KM, while the lowest one was paid in the section </w:t>
      </w:r>
      <w:r>
        <w:rPr>
          <w:rFonts w:ascii="Tahoma" w:hAnsi="Tahoma" w:cs="Tahoma"/>
          <w:i/>
        </w:rPr>
        <w:t>Accommodation and food service activities</w:t>
      </w:r>
      <w:r w:rsidRPr="005977A8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533</w:t>
      </w:r>
      <w:r w:rsidRPr="005977A8">
        <w:rPr>
          <w:rFonts w:ascii="Tahoma" w:hAnsi="Tahoma" w:cs="Tahoma"/>
        </w:rPr>
        <w:t xml:space="preserve"> KM. </w:t>
      </w:r>
    </w:p>
    <w:p w:rsidR="00117BD6" w:rsidRDefault="00117BD6" w:rsidP="00037786">
      <w:pPr>
        <w:tabs>
          <w:tab w:val="left" w:pos="4343"/>
        </w:tabs>
        <w:jc w:val="both"/>
        <w:rPr>
          <w:rFonts w:ascii="Tahoma" w:hAnsi="Tahoma" w:cs="Tahoma"/>
          <w:color w:val="FF0000"/>
        </w:rPr>
      </w:pPr>
    </w:p>
    <w:p w:rsidR="00037786" w:rsidRDefault="00453160" w:rsidP="00037786">
      <w:pPr>
        <w:jc w:val="both"/>
        <w:rPr>
          <w:rFonts w:ascii="Tahoma" w:hAnsi="Tahoma" w:cs="Tahoma"/>
          <w:i/>
        </w:rPr>
      </w:pPr>
      <w:r w:rsidRPr="005977A8">
        <w:rPr>
          <w:rFonts w:ascii="Tahoma" w:hAnsi="Tahoma" w:cs="Tahoma"/>
        </w:rPr>
        <w:t xml:space="preserve">In </w:t>
      </w:r>
      <w:r>
        <w:rPr>
          <w:rFonts w:ascii="Tahoma" w:hAnsi="Tahoma" w:cs="Tahoma"/>
        </w:rPr>
        <w:t>December</w:t>
      </w:r>
      <w:r w:rsidRPr="005977A8">
        <w:rPr>
          <w:rFonts w:ascii="Tahoma" w:hAnsi="Tahoma" w:cs="Tahoma"/>
        </w:rPr>
        <w:t xml:space="preserve"> 2013, compared to </w:t>
      </w:r>
      <w:r>
        <w:rPr>
          <w:rFonts w:ascii="Tahoma" w:hAnsi="Tahoma" w:cs="Tahoma"/>
        </w:rPr>
        <w:t>November</w:t>
      </w:r>
      <w:r w:rsidRPr="005977A8">
        <w:rPr>
          <w:rFonts w:ascii="Tahoma" w:hAnsi="Tahoma" w:cs="Tahoma"/>
        </w:rPr>
        <w:t xml:space="preserve"> 2013, an increase in net wages was recorded in the sections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 xml:space="preserve">Mining and quarrying </w:t>
      </w:r>
      <w:r w:rsidRPr="00453160">
        <w:rPr>
          <w:rFonts w:ascii="Tahoma" w:hAnsi="Tahoma" w:cs="Tahoma"/>
        </w:rPr>
        <w:t>6.5%,</w:t>
      </w:r>
      <w:r>
        <w:rPr>
          <w:rFonts w:ascii="Tahoma" w:hAnsi="Tahoma" w:cs="Tahoma"/>
          <w:i/>
        </w:rPr>
        <w:t xml:space="preserve"> Electricity, gas, steam and air conditioning supply </w:t>
      </w:r>
      <w:r w:rsidRPr="00453160">
        <w:rPr>
          <w:rFonts w:ascii="Tahoma" w:hAnsi="Tahoma" w:cs="Tahoma"/>
        </w:rPr>
        <w:t>2.7%,</w:t>
      </w:r>
      <w:r>
        <w:rPr>
          <w:rFonts w:ascii="Tahoma" w:hAnsi="Tahoma" w:cs="Tahoma"/>
          <w:i/>
        </w:rPr>
        <w:t xml:space="preserve"> Professional, scientific and technical activities </w:t>
      </w:r>
      <w:r w:rsidRPr="00453160">
        <w:rPr>
          <w:rFonts w:ascii="Tahoma" w:hAnsi="Tahoma" w:cs="Tahoma"/>
        </w:rPr>
        <w:t>2.7%,</w:t>
      </w:r>
      <w:r>
        <w:rPr>
          <w:rFonts w:ascii="Tahoma" w:hAnsi="Tahoma" w:cs="Tahoma"/>
          <w:i/>
        </w:rPr>
        <w:t xml:space="preserve"> Manufacturing </w:t>
      </w:r>
      <w:r w:rsidRPr="00453160">
        <w:rPr>
          <w:rFonts w:ascii="Tahoma" w:hAnsi="Tahoma" w:cs="Tahoma"/>
        </w:rPr>
        <w:t>1.9%,</w:t>
      </w:r>
      <w:r>
        <w:rPr>
          <w:rFonts w:ascii="Tahoma" w:hAnsi="Tahoma" w:cs="Tahoma"/>
          <w:i/>
        </w:rPr>
        <w:t xml:space="preserve"> Construction </w:t>
      </w:r>
      <w:r w:rsidRPr="00453160">
        <w:rPr>
          <w:rFonts w:ascii="Tahoma" w:hAnsi="Tahoma" w:cs="Tahoma"/>
        </w:rPr>
        <w:t>1.9%</w:t>
      </w:r>
      <w:r>
        <w:rPr>
          <w:rFonts w:ascii="Tahoma" w:hAnsi="Tahoma" w:cs="Tahoma"/>
          <w:i/>
        </w:rPr>
        <w:t xml:space="preserve">, </w:t>
      </w:r>
      <w:r w:rsidRPr="00453160">
        <w:rPr>
          <w:rFonts w:ascii="Tahoma" w:hAnsi="Tahoma" w:cs="Tahoma"/>
        </w:rPr>
        <w:t>and</w:t>
      </w:r>
      <w:r>
        <w:rPr>
          <w:rFonts w:ascii="Tahoma" w:hAnsi="Tahoma" w:cs="Tahoma"/>
          <w:i/>
        </w:rPr>
        <w:t xml:space="preserve"> Education </w:t>
      </w:r>
      <w:r w:rsidRPr="00453160">
        <w:rPr>
          <w:rFonts w:ascii="Tahoma" w:hAnsi="Tahoma" w:cs="Tahoma"/>
        </w:rPr>
        <w:t>1.8%</w:t>
      </w:r>
      <w:r>
        <w:rPr>
          <w:rFonts w:ascii="Tahoma" w:hAnsi="Tahoma" w:cs="Tahoma"/>
          <w:i/>
        </w:rPr>
        <w:t xml:space="preserve">. </w:t>
      </w:r>
    </w:p>
    <w:p w:rsidR="00FC6400" w:rsidRDefault="00FC6400" w:rsidP="00037786">
      <w:pPr>
        <w:jc w:val="both"/>
        <w:rPr>
          <w:rFonts w:ascii="Tahoma" w:hAnsi="Tahoma" w:cs="Tahoma"/>
          <w:i/>
        </w:rPr>
      </w:pPr>
    </w:p>
    <w:p w:rsidR="00FC6400" w:rsidRPr="00967DE9" w:rsidRDefault="00FC6400" w:rsidP="00FC6400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Nominal wage decrease was recorded in the sections </w:t>
      </w:r>
      <w:r>
        <w:rPr>
          <w:rFonts w:ascii="Tahoma" w:hAnsi="Tahoma" w:cs="Tahoma"/>
          <w:i/>
        </w:rPr>
        <w:t xml:space="preserve">Real estate activities 0.9%, Other service activities 0.7%, Arts, entertainment and recreation 0.3%, and Agriculture, forestry and fishing 0.3%. </w:t>
      </w:r>
    </w:p>
    <w:p w:rsidR="00FC6400" w:rsidRPr="00224D3B" w:rsidRDefault="00FC6400" w:rsidP="00037786">
      <w:pPr>
        <w:jc w:val="both"/>
        <w:rPr>
          <w:rFonts w:ascii="Tahoma" w:hAnsi="Tahoma" w:cs="Tahoma"/>
          <w:color w:val="FF0000"/>
          <w:lang w:val="sr-Latn-CS"/>
        </w:rPr>
      </w:pPr>
    </w:p>
    <w:p w:rsidR="009E4F9C" w:rsidRPr="00224D3B" w:rsidRDefault="009E4F9C" w:rsidP="00037786">
      <w:pPr>
        <w:jc w:val="both"/>
        <w:rPr>
          <w:rFonts w:ascii="Tahoma" w:hAnsi="Tahoma" w:cs="Tahoma"/>
          <w:i/>
          <w:color w:val="FF0000"/>
          <w:lang w:val="sr-Cyrl-BA"/>
        </w:rPr>
      </w:pPr>
    </w:p>
    <w:p w:rsidR="00037786" w:rsidRPr="00224D3B" w:rsidRDefault="00037786" w:rsidP="00037786">
      <w:pPr>
        <w:jc w:val="both"/>
        <w:rPr>
          <w:rFonts w:ascii="Tahoma" w:hAnsi="Tahoma" w:cs="Tahoma"/>
          <w:color w:val="FF0000"/>
          <w:lang w:val="sr-Cyrl-BA"/>
        </w:rPr>
      </w:pPr>
    </w:p>
    <w:p w:rsidR="00037786" w:rsidRPr="00FC6400" w:rsidRDefault="00037786" w:rsidP="00037786">
      <w:pPr>
        <w:jc w:val="both"/>
        <w:rPr>
          <w:rFonts w:ascii="Tahoma" w:hAnsi="Tahoma" w:cs="Tahoma"/>
        </w:rPr>
      </w:pPr>
      <w:r w:rsidRPr="00224D3B">
        <w:rPr>
          <w:rFonts w:ascii="Tahoma" w:hAnsi="Tahoma" w:cs="Tahoma"/>
          <w:i/>
          <w:color w:val="FF0000"/>
          <w:lang w:val="sr-Cyrl-CS"/>
        </w:rPr>
        <w:t xml:space="preserve"> </w:t>
      </w:r>
      <w:r w:rsidRPr="00224D3B">
        <w:rPr>
          <w:rFonts w:ascii="Tahoma" w:hAnsi="Tahoma" w:cs="Tahoma"/>
          <w:color w:val="FF0000"/>
          <w:lang w:val="sr-Cyrl-CS"/>
        </w:rPr>
        <w:t xml:space="preserve">       </w:t>
      </w:r>
      <w:r w:rsidRPr="00224D3B">
        <w:rPr>
          <w:rFonts w:ascii="Tahoma" w:hAnsi="Tahoma" w:cs="Tahoma"/>
          <w:color w:val="FF0000"/>
          <w:lang w:val="sr-Latn-CS"/>
        </w:rPr>
        <w:t xml:space="preserve"> </w:t>
      </w:r>
      <w:r w:rsidR="003D38C1" w:rsidRPr="00224D3B">
        <w:rPr>
          <w:rFonts w:ascii="Tahoma" w:hAnsi="Tahoma" w:cs="Tahoma"/>
          <w:color w:val="FF0000"/>
          <w:lang w:val="sr-Latn-CS"/>
        </w:rPr>
        <w:tab/>
      </w:r>
      <w:r w:rsidR="003D38C1" w:rsidRPr="00224D3B">
        <w:rPr>
          <w:rFonts w:ascii="Tahoma" w:hAnsi="Tahoma" w:cs="Tahoma"/>
          <w:color w:val="FF0000"/>
          <w:lang w:val="sr-Latn-CS"/>
        </w:rPr>
        <w:tab/>
        <w:t xml:space="preserve">   </w:t>
      </w:r>
      <w:r w:rsidR="00A936F9">
        <w:rPr>
          <w:rFonts w:ascii="Tahoma" w:hAnsi="Tahoma" w:cs="Tahoma"/>
          <w:color w:val="FF0000"/>
          <w:lang w:val="sr-Latn-CS"/>
        </w:rPr>
        <w:t xml:space="preserve">        </w:t>
      </w:r>
      <w:r w:rsidRPr="00FC6400">
        <w:rPr>
          <w:rFonts w:ascii="Tahoma" w:hAnsi="Tahoma" w:cs="Tahoma"/>
          <w:lang w:val="sr-Cyrl-CS"/>
        </w:rPr>
        <w:t>км</w:t>
      </w:r>
    </w:p>
    <w:p w:rsidR="00037786" w:rsidRPr="00224D3B" w:rsidRDefault="00B41EF1" w:rsidP="00037786">
      <w:pPr>
        <w:jc w:val="center"/>
        <w:rPr>
          <w:rFonts w:ascii="Tahoma" w:hAnsi="Tahoma" w:cs="Tahoma"/>
          <w:color w:val="FF0000"/>
        </w:rPr>
      </w:pPr>
      <w:r w:rsidRPr="00224D3B">
        <w:rPr>
          <w:rFonts w:ascii="Tahoma" w:hAnsi="Tahoma" w:cs="Tahoma"/>
          <w:noProof/>
          <w:color w:val="FF0000"/>
        </w:rPr>
        <w:drawing>
          <wp:inline distT="0" distB="0" distL="0" distR="0">
            <wp:extent cx="4572000" cy="2743200"/>
            <wp:effectExtent l="0" t="0" r="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82DAD" w:rsidRPr="00224D3B">
        <w:rPr>
          <w:rFonts w:ascii="Tahoma" w:hAnsi="Tahoma" w:cs="Tahoma"/>
          <w:noProof/>
          <w:color w:val="FF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965559</wp:posOffset>
            </wp:positionH>
            <wp:positionV relativeFrom="paragraph">
              <wp:posOffset>1954834</wp:posOffset>
            </wp:positionV>
            <wp:extent cx="5267629" cy="461176"/>
            <wp:effectExtent l="19050" t="0" r="9221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629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786" w:rsidRPr="00224D3B" w:rsidRDefault="00037786" w:rsidP="00037786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037786" w:rsidRPr="00224D3B" w:rsidRDefault="00FC6400" w:rsidP="00037786">
      <w:pPr>
        <w:jc w:val="center"/>
        <w:outlineLvl w:val="0"/>
        <w:rPr>
          <w:rFonts w:ascii="Tahoma" w:hAnsi="Tahoma" w:cs="Tahoma"/>
          <w:color w:val="FF0000"/>
          <w:lang w:val="sr-Cyrl-CS"/>
        </w:rPr>
      </w:pPr>
      <w:r w:rsidRPr="00FC6400">
        <w:rPr>
          <w:rFonts w:ascii="Tahoma" w:hAnsi="Tahoma" w:cs="Tahoma"/>
        </w:rPr>
        <w:t>Graph</w:t>
      </w:r>
      <w:r w:rsidR="00CA3512">
        <w:rPr>
          <w:rFonts w:ascii="Tahoma" w:hAnsi="Tahoma" w:cs="Tahoma"/>
          <w:lang w:val="sr-Cyrl-BA"/>
        </w:rPr>
        <w:t xml:space="preserve"> </w:t>
      </w:r>
      <w:r w:rsidR="00CA3512">
        <w:rPr>
          <w:rFonts w:ascii="Tahoma" w:hAnsi="Tahoma" w:cs="Tahoma"/>
        </w:rPr>
        <w:t>2</w:t>
      </w:r>
      <w:r w:rsidR="00037786" w:rsidRPr="00FC6400">
        <w:rPr>
          <w:rFonts w:ascii="Tahoma" w:hAnsi="Tahoma" w:cs="Tahoma"/>
          <w:lang w:val="sr-Cyrl-BA"/>
        </w:rPr>
        <w:t xml:space="preserve">. </w:t>
      </w:r>
      <w:r w:rsidRPr="00FC6400">
        <w:rPr>
          <w:rFonts w:ascii="Tahoma" w:hAnsi="Tahoma" w:cs="Tahoma"/>
        </w:rPr>
        <w:t>Average</w:t>
      </w:r>
      <w:r>
        <w:rPr>
          <w:rFonts w:ascii="Tahoma" w:hAnsi="Tahoma" w:cs="Tahoma"/>
        </w:rPr>
        <w:t xml:space="preserve"> net wages of employed persons by month</w:t>
      </w:r>
    </w:p>
    <w:p w:rsidR="00037786" w:rsidRPr="003100EC" w:rsidRDefault="00037786" w:rsidP="00037786">
      <w:pPr>
        <w:jc w:val="both"/>
        <w:rPr>
          <w:rFonts w:ascii="Tahoma" w:hAnsi="Tahoma" w:cs="Tahoma"/>
          <w:lang w:val="sr-Cyrl-BA"/>
        </w:rPr>
      </w:pPr>
    </w:p>
    <w:p w:rsidR="00777348" w:rsidRPr="003100EC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806168" w:rsidRPr="003100EC" w:rsidRDefault="00806168" w:rsidP="00094E6E">
      <w:pPr>
        <w:jc w:val="both"/>
        <w:rPr>
          <w:rFonts w:ascii="Tahoma" w:hAnsi="Tahoma" w:cs="Tahoma"/>
          <w:lang w:val="sr-Cyrl-BA"/>
        </w:rPr>
      </w:pPr>
    </w:p>
    <w:p w:rsidR="009E4F9C" w:rsidRPr="003100EC" w:rsidRDefault="009E4F9C" w:rsidP="00094E6E">
      <w:pPr>
        <w:jc w:val="both"/>
        <w:rPr>
          <w:rFonts w:ascii="Tahoma" w:hAnsi="Tahoma" w:cs="Tahoma"/>
          <w:lang w:val="sr-Cyrl-BA"/>
        </w:rPr>
      </w:pPr>
    </w:p>
    <w:p w:rsidR="009E4F9C" w:rsidRDefault="009E4F9C" w:rsidP="00094E6E">
      <w:pPr>
        <w:jc w:val="both"/>
        <w:rPr>
          <w:rFonts w:ascii="Tahoma" w:hAnsi="Tahoma" w:cs="Tahoma"/>
        </w:rPr>
      </w:pPr>
    </w:p>
    <w:p w:rsidR="00CA3512" w:rsidRDefault="00CA3512" w:rsidP="00094E6E">
      <w:pPr>
        <w:jc w:val="both"/>
        <w:rPr>
          <w:rFonts w:ascii="Tahoma" w:hAnsi="Tahoma" w:cs="Tahoma"/>
        </w:rPr>
      </w:pPr>
    </w:p>
    <w:p w:rsidR="00CA3512" w:rsidRDefault="00CA3512" w:rsidP="00094E6E">
      <w:pPr>
        <w:jc w:val="both"/>
        <w:rPr>
          <w:rFonts w:ascii="Tahoma" w:hAnsi="Tahoma" w:cs="Tahoma"/>
        </w:rPr>
      </w:pPr>
    </w:p>
    <w:p w:rsidR="00CA3512" w:rsidRDefault="00CA3512" w:rsidP="00094E6E">
      <w:pPr>
        <w:jc w:val="both"/>
        <w:rPr>
          <w:rFonts w:ascii="Tahoma" w:hAnsi="Tahoma" w:cs="Tahoma"/>
        </w:rPr>
      </w:pPr>
    </w:p>
    <w:p w:rsidR="00CA3512" w:rsidRDefault="00CA3512" w:rsidP="00094E6E">
      <w:pPr>
        <w:jc w:val="both"/>
        <w:rPr>
          <w:rFonts w:ascii="Tahoma" w:hAnsi="Tahoma" w:cs="Tahoma"/>
        </w:rPr>
      </w:pPr>
    </w:p>
    <w:p w:rsidR="00CA3512" w:rsidRDefault="00CA3512" w:rsidP="00094E6E">
      <w:pPr>
        <w:jc w:val="both"/>
        <w:rPr>
          <w:rFonts w:ascii="Tahoma" w:hAnsi="Tahoma" w:cs="Tahoma"/>
        </w:rPr>
      </w:pPr>
    </w:p>
    <w:p w:rsidR="00CA3512" w:rsidRPr="00CA3512" w:rsidRDefault="00CA3512" w:rsidP="00094E6E">
      <w:pPr>
        <w:jc w:val="both"/>
        <w:rPr>
          <w:rFonts w:ascii="Tahoma" w:hAnsi="Tahoma" w:cs="Tahoma"/>
        </w:rPr>
      </w:pPr>
    </w:p>
    <w:p w:rsidR="00C208B9" w:rsidRPr="003100EC" w:rsidRDefault="00C208B9" w:rsidP="00C208B9">
      <w:pPr>
        <w:tabs>
          <w:tab w:val="left" w:pos="-426"/>
          <w:tab w:val="left" w:pos="1134"/>
        </w:tabs>
        <w:outlineLvl w:val="0"/>
        <w:rPr>
          <w:rFonts w:ascii="Tahoma" w:hAnsi="Tahoma" w:cs="Tahoma"/>
          <w:lang w:val="sr-Cyrl-BA"/>
        </w:rPr>
      </w:pPr>
    </w:p>
    <w:p w:rsidR="00321F2A" w:rsidRPr="003100EC" w:rsidRDefault="00321F2A" w:rsidP="00C208B9">
      <w:pPr>
        <w:rPr>
          <w:rFonts w:ascii="Tahoma" w:hAnsi="Tahoma" w:cs="Tahoma"/>
          <w:b/>
          <w:lang w:val="sr-Cyrl-CS"/>
        </w:rPr>
      </w:pPr>
    </w:p>
    <w:p w:rsidR="00761FF3" w:rsidRPr="008E26FD" w:rsidRDefault="00F31531" w:rsidP="00761FF3">
      <w:pPr>
        <w:jc w:val="both"/>
        <w:rPr>
          <w:rFonts w:ascii="Tahoma" w:hAnsi="Tahoma" w:cs="Tahoma"/>
          <w:b/>
          <w:sz w:val="28"/>
          <w:szCs w:val="28"/>
        </w:rPr>
      </w:pPr>
      <w:r w:rsidRPr="008E26FD">
        <w:rPr>
          <w:rFonts w:ascii="Tahoma" w:hAnsi="Tahoma" w:cs="Tahoma"/>
          <w:b/>
          <w:sz w:val="28"/>
          <w:szCs w:val="28"/>
        </w:rPr>
        <w:lastRenderedPageBreak/>
        <w:t>Monthly inflation</w:t>
      </w:r>
      <w:r w:rsidR="00761FF3" w:rsidRPr="008E26FD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 w:rsidRPr="008E26FD">
        <w:rPr>
          <w:rFonts w:ascii="Tahoma" w:hAnsi="Tahoma" w:cs="Tahoma"/>
          <w:b/>
          <w:sz w:val="28"/>
          <w:szCs w:val="28"/>
          <w:lang w:val="sr-Cyrl-BA"/>
        </w:rPr>
        <w:t>-0</w:t>
      </w:r>
      <w:r w:rsidRPr="008E26FD">
        <w:rPr>
          <w:rFonts w:ascii="Tahoma" w:hAnsi="Tahoma" w:cs="Tahoma"/>
          <w:b/>
          <w:sz w:val="28"/>
          <w:szCs w:val="28"/>
        </w:rPr>
        <w:t>.</w:t>
      </w:r>
      <w:r w:rsidRPr="008E26FD">
        <w:rPr>
          <w:rFonts w:ascii="Tahoma" w:hAnsi="Tahoma" w:cs="Tahoma"/>
          <w:b/>
          <w:sz w:val="28"/>
          <w:szCs w:val="28"/>
          <w:lang w:val="sr-Cyrl-BA"/>
        </w:rPr>
        <w:t>2%</w:t>
      </w:r>
      <w:r w:rsidRPr="008E26FD">
        <w:rPr>
          <w:rFonts w:ascii="Tahoma" w:hAnsi="Tahoma" w:cs="Tahoma"/>
          <w:b/>
          <w:sz w:val="28"/>
          <w:szCs w:val="28"/>
        </w:rPr>
        <w:t xml:space="preserve"> in December 2013</w:t>
      </w:r>
    </w:p>
    <w:p w:rsidR="00761FF3" w:rsidRPr="008E26FD" w:rsidRDefault="00F31531" w:rsidP="00761FF3">
      <w:pPr>
        <w:jc w:val="both"/>
        <w:rPr>
          <w:rFonts w:ascii="Tahoma" w:hAnsi="Tahoma" w:cs="Tahoma"/>
          <w:sz w:val="28"/>
          <w:szCs w:val="28"/>
          <w:lang w:val="sr-Cyrl-BA"/>
        </w:rPr>
      </w:pPr>
      <w:r w:rsidRPr="008E26FD">
        <w:rPr>
          <w:rFonts w:ascii="Tahoma" w:hAnsi="Tahoma" w:cs="Tahoma"/>
          <w:sz w:val="28"/>
          <w:szCs w:val="28"/>
        </w:rPr>
        <w:t>Annual inflation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 xml:space="preserve"> (</w:t>
      </w:r>
      <w:r w:rsidRPr="008E26FD">
        <w:rPr>
          <w:rFonts w:ascii="Tahoma" w:hAnsi="Tahoma" w:cs="Tahoma"/>
          <w:sz w:val="28"/>
          <w:szCs w:val="28"/>
        </w:rPr>
        <w:t>December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 xml:space="preserve"> 201</w:t>
      </w:r>
      <w:r w:rsidR="00761FF3" w:rsidRPr="008E26FD">
        <w:rPr>
          <w:rFonts w:ascii="Tahoma" w:hAnsi="Tahoma" w:cs="Tahoma"/>
          <w:sz w:val="28"/>
          <w:szCs w:val="28"/>
        </w:rPr>
        <w:t>3</w:t>
      </w:r>
      <w:r w:rsidRPr="008E26FD">
        <w:rPr>
          <w:rFonts w:ascii="Tahoma" w:hAnsi="Tahoma" w:cs="Tahoma"/>
          <w:sz w:val="28"/>
          <w:szCs w:val="28"/>
          <w:lang w:val="sr-Cyrl-BA"/>
        </w:rPr>
        <w:t>/</w:t>
      </w:r>
      <w:r w:rsidRPr="008E26FD">
        <w:rPr>
          <w:rFonts w:ascii="Tahoma" w:hAnsi="Tahoma" w:cs="Tahoma"/>
          <w:sz w:val="28"/>
          <w:szCs w:val="28"/>
        </w:rPr>
        <w:t>December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 xml:space="preserve"> 201</w:t>
      </w:r>
      <w:r w:rsidR="00761FF3" w:rsidRPr="008E26FD">
        <w:rPr>
          <w:rFonts w:ascii="Tahoma" w:hAnsi="Tahoma" w:cs="Tahoma"/>
          <w:sz w:val="28"/>
          <w:szCs w:val="28"/>
        </w:rPr>
        <w:t>2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 xml:space="preserve">) </w:t>
      </w:r>
      <w:r w:rsidR="00761FF3" w:rsidRPr="008E26FD">
        <w:rPr>
          <w:rFonts w:ascii="Tahoma" w:hAnsi="Tahoma" w:cs="Tahoma"/>
          <w:sz w:val="28"/>
          <w:szCs w:val="28"/>
        </w:rPr>
        <w:t>-1</w:t>
      </w:r>
      <w:r w:rsidRPr="008E26FD">
        <w:rPr>
          <w:rFonts w:ascii="Tahoma" w:hAnsi="Tahoma" w:cs="Tahoma"/>
          <w:sz w:val="28"/>
          <w:szCs w:val="28"/>
        </w:rPr>
        <w:t>.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>5%</w:t>
      </w:r>
    </w:p>
    <w:p w:rsidR="00761FF3" w:rsidRPr="008E26FD" w:rsidRDefault="00F31531" w:rsidP="00761FF3">
      <w:pPr>
        <w:spacing w:after="240"/>
        <w:jc w:val="both"/>
        <w:rPr>
          <w:rFonts w:ascii="Tahoma" w:hAnsi="Tahoma" w:cs="Tahoma"/>
          <w:sz w:val="28"/>
          <w:szCs w:val="28"/>
          <w:lang w:val="sr-Cyrl-BA"/>
        </w:rPr>
      </w:pPr>
      <w:r w:rsidRPr="008E26FD">
        <w:rPr>
          <w:rFonts w:ascii="Tahoma" w:hAnsi="Tahoma" w:cs="Tahoma"/>
          <w:sz w:val="28"/>
          <w:szCs w:val="28"/>
        </w:rPr>
        <w:t>Average annual increase</w:t>
      </w:r>
      <w:r w:rsidRPr="008E26FD">
        <w:rPr>
          <w:rFonts w:ascii="Tahoma" w:hAnsi="Tahoma" w:cs="Tahoma"/>
          <w:sz w:val="28"/>
          <w:szCs w:val="28"/>
          <w:lang w:val="sr-Cyrl-BA"/>
        </w:rPr>
        <w:t xml:space="preserve"> (</w:t>
      </w:r>
      <w:r w:rsidRPr="008E26FD">
        <w:rPr>
          <w:rFonts w:ascii="Tahoma" w:hAnsi="Tahoma" w:cs="Tahoma"/>
          <w:sz w:val="28"/>
          <w:szCs w:val="28"/>
        </w:rPr>
        <w:t xml:space="preserve">January – December </w:t>
      </w:r>
      <w:r w:rsidRPr="008E26FD">
        <w:rPr>
          <w:rFonts w:ascii="Tahoma" w:hAnsi="Tahoma" w:cs="Tahoma"/>
          <w:sz w:val="28"/>
          <w:szCs w:val="28"/>
          <w:lang w:val="sr-Cyrl-BA"/>
        </w:rPr>
        <w:t>2013/</w:t>
      </w:r>
      <w:r w:rsidRPr="008E26FD">
        <w:rPr>
          <w:rFonts w:ascii="Tahoma" w:hAnsi="Tahoma" w:cs="Tahoma"/>
          <w:sz w:val="28"/>
          <w:szCs w:val="28"/>
        </w:rPr>
        <w:t xml:space="preserve">January – December 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 xml:space="preserve">2012) </w:t>
      </w:r>
      <w:r w:rsidR="00761FF3" w:rsidRPr="008E26FD">
        <w:rPr>
          <w:rFonts w:ascii="Tahoma" w:hAnsi="Tahoma" w:cs="Tahoma"/>
          <w:sz w:val="28"/>
          <w:szCs w:val="28"/>
        </w:rPr>
        <w:t>0</w:t>
      </w:r>
      <w:r w:rsidRPr="008E26FD">
        <w:rPr>
          <w:rFonts w:ascii="Tahoma" w:hAnsi="Tahoma" w:cs="Tahoma"/>
          <w:sz w:val="28"/>
          <w:szCs w:val="28"/>
        </w:rPr>
        <w:t>.</w:t>
      </w:r>
      <w:r w:rsidR="00761FF3" w:rsidRPr="008E26FD">
        <w:rPr>
          <w:rFonts w:ascii="Tahoma" w:hAnsi="Tahoma" w:cs="Tahoma"/>
          <w:sz w:val="28"/>
          <w:szCs w:val="28"/>
          <w:lang w:val="sr-Cyrl-BA"/>
        </w:rPr>
        <w:t>0%</w:t>
      </w:r>
    </w:p>
    <w:p w:rsidR="008E26FD" w:rsidRDefault="008E26FD" w:rsidP="008E26F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Prices of products and services for personal consumption in Republika Srpska, measured with the consumer price index, in December 2013 were on the average 0.2% lower compared to November 2013. </w:t>
      </w:r>
    </w:p>
    <w:p w:rsidR="001561A7" w:rsidRPr="00761FF3" w:rsidRDefault="001561A7" w:rsidP="00094E6E">
      <w:pPr>
        <w:ind w:left="-142"/>
        <w:jc w:val="both"/>
        <w:outlineLvl w:val="0"/>
        <w:rPr>
          <w:rFonts w:ascii="Tahoma" w:hAnsi="Tahoma" w:cs="Tahoma"/>
          <w:color w:val="FF0000"/>
          <w:lang w:val="sr-Cyrl-CS"/>
        </w:rPr>
      </w:pPr>
    </w:p>
    <w:p w:rsidR="00761FF3" w:rsidRPr="008E26FD" w:rsidRDefault="008E26FD" w:rsidP="00761FF3">
      <w:pPr>
        <w:jc w:val="both"/>
        <w:rPr>
          <w:rFonts w:ascii="Tahoma" w:hAnsi="Tahoma" w:cs="Tahoma"/>
          <w:i/>
        </w:rPr>
      </w:pPr>
      <w:r w:rsidRPr="008E26FD">
        <w:rPr>
          <w:rFonts w:ascii="Tahoma" w:hAnsi="Tahoma" w:cs="Tahoma"/>
        </w:rPr>
        <w:t xml:space="preserve">An increase was recorded in 2 out of 12 divisions. </w:t>
      </w:r>
      <w:r>
        <w:rPr>
          <w:rFonts w:ascii="Tahoma" w:hAnsi="Tahoma" w:cs="Tahoma"/>
        </w:rPr>
        <w:t xml:space="preserve">An increase in prices in December was recorded in the divisions </w:t>
      </w:r>
      <w:r>
        <w:rPr>
          <w:rFonts w:ascii="Tahoma" w:hAnsi="Tahoma" w:cs="Tahoma"/>
          <w:i/>
        </w:rPr>
        <w:t xml:space="preserve">Food and non-alcoholic beverages </w:t>
      </w:r>
      <w:r>
        <w:rPr>
          <w:rFonts w:ascii="Tahoma" w:hAnsi="Tahoma" w:cs="Tahoma"/>
        </w:rPr>
        <w:t xml:space="preserve">and </w:t>
      </w:r>
      <w:r>
        <w:rPr>
          <w:rFonts w:ascii="Tahoma" w:hAnsi="Tahoma" w:cs="Tahoma"/>
          <w:i/>
        </w:rPr>
        <w:t xml:space="preserve">Health care. </w:t>
      </w:r>
    </w:p>
    <w:p w:rsidR="008E26FD" w:rsidRDefault="008E26FD" w:rsidP="00761FF3">
      <w:pPr>
        <w:jc w:val="both"/>
        <w:rPr>
          <w:rFonts w:ascii="Tahoma" w:hAnsi="Tahoma" w:cs="Tahoma"/>
          <w:color w:val="FF0000"/>
        </w:rPr>
      </w:pPr>
    </w:p>
    <w:p w:rsidR="00CF6CE6" w:rsidRDefault="00CF6CE6" w:rsidP="00761FF3">
      <w:pPr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Pn the division </w:t>
      </w:r>
      <w:r w:rsidRPr="008D4113">
        <w:rPr>
          <w:rFonts w:ascii="Tahoma" w:hAnsi="Tahoma" w:cs="Tahoma"/>
          <w:i/>
        </w:rPr>
        <w:t>Food and non-alcoholic beverages</w:t>
      </w:r>
      <w:r>
        <w:rPr>
          <w:rFonts w:ascii="Tahoma" w:hAnsi="Tahoma" w:cs="Tahoma"/>
        </w:rPr>
        <w:t xml:space="preserve">, in which prices were on the average 0.1% higher, an increase by 0.3% was recorded in the group </w:t>
      </w:r>
      <w:r w:rsidRPr="00CF6CE6">
        <w:rPr>
          <w:rFonts w:ascii="Tahoma" w:hAnsi="Tahoma" w:cs="Tahoma"/>
          <w:i/>
        </w:rPr>
        <w:t>Food</w:t>
      </w:r>
      <w:r>
        <w:rPr>
          <w:rFonts w:ascii="Tahoma" w:hAnsi="Tahoma" w:cs="Tahoma"/>
        </w:rPr>
        <w:t xml:space="preserve">, and this increase in prices in this month was recorded for vegetables 9.0%, beef 3.7%, butter 2.1%, food seasonings 2.0%, pasta 1.8%, </w:t>
      </w:r>
      <w:r w:rsidR="00375BF1">
        <w:rPr>
          <w:rFonts w:ascii="Tahoma" w:hAnsi="Tahoma" w:cs="Tahoma"/>
        </w:rPr>
        <w:t xml:space="preserve">baking powder 1.4%, vinegar 1.0%, fresh or frozen fish 0.8%, chicken eggs 0.6%, cured and smoked meat 0.5%, lamb 0.4%, sauces and spices 0.3%, veal 0.2%, salt 0.1%. In the group </w:t>
      </w:r>
      <w:r w:rsidR="00375BF1">
        <w:rPr>
          <w:rFonts w:ascii="Tahoma" w:eastAsia="Calibri" w:hAnsi="Tahoma" w:cs="Tahoma"/>
          <w:i/>
        </w:rPr>
        <w:t>Non-alcoholic beverages,</w:t>
      </w:r>
      <w:r w:rsidR="00375BF1" w:rsidRPr="00967DE9">
        <w:rPr>
          <w:rFonts w:ascii="Tahoma" w:eastAsia="Calibri" w:hAnsi="Tahoma" w:cs="Tahoma"/>
          <w:i/>
          <w:lang w:val="sr-Cyrl-BA"/>
        </w:rPr>
        <w:t xml:space="preserve"> </w:t>
      </w:r>
      <w:r w:rsidR="00375BF1">
        <w:rPr>
          <w:rFonts w:ascii="Tahoma" w:eastAsia="Calibri" w:hAnsi="Tahoma" w:cs="Tahoma"/>
        </w:rPr>
        <w:t>prices were on the average 1.0% lower, due to lower prices of coffee by 1.2% and of mineral water by 1.1%.</w:t>
      </w:r>
    </w:p>
    <w:p w:rsidR="00375BF1" w:rsidRDefault="00375BF1" w:rsidP="00761FF3">
      <w:pPr>
        <w:jc w:val="both"/>
        <w:rPr>
          <w:rFonts w:ascii="Tahoma" w:eastAsia="Calibri" w:hAnsi="Tahoma" w:cs="Tahoma"/>
        </w:rPr>
      </w:pPr>
    </w:p>
    <w:p w:rsidR="00375BF1" w:rsidRDefault="00375BF1" w:rsidP="00761FF3">
      <w:pPr>
        <w:jc w:val="both"/>
        <w:rPr>
          <w:rFonts w:ascii="Tahoma" w:hAnsi="Tahoma" w:cs="Tahoma"/>
          <w:color w:val="FF0000"/>
        </w:rPr>
      </w:pPr>
      <w:r>
        <w:rPr>
          <w:rFonts w:ascii="Tahoma" w:eastAsia="Calibri" w:hAnsi="Tahoma" w:cs="Tahoma"/>
        </w:rPr>
        <w:t xml:space="preserve">In the division Health care an increase in prices by 0.1% was recorded, due to higher prices of certain medicaments by 0.1% and of other medical products (bandages, syringes, </w:t>
      </w:r>
      <w:r w:rsidR="00053670">
        <w:rPr>
          <w:rFonts w:ascii="Tahoma" w:eastAsia="Calibri" w:hAnsi="Tahoma" w:cs="Tahoma"/>
        </w:rPr>
        <w:t>clinical</w:t>
      </w:r>
      <w:r>
        <w:rPr>
          <w:rFonts w:ascii="Tahoma" w:eastAsia="Calibri" w:hAnsi="Tahoma" w:cs="Tahoma"/>
        </w:rPr>
        <w:t xml:space="preserve"> thermometres) by 0.2%.</w:t>
      </w:r>
    </w:p>
    <w:p w:rsidR="00761FF3" w:rsidRPr="00761FF3" w:rsidRDefault="00761FF3" w:rsidP="00761FF3">
      <w:pPr>
        <w:spacing w:after="120"/>
        <w:jc w:val="both"/>
        <w:rPr>
          <w:rFonts w:ascii="Tahoma" w:hAnsi="Tahoma" w:cs="Tahoma"/>
          <w:color w:val="FF0000"/>
        </w:rPr>
      </w:pPr>
    </w:p>
    <w:p w:rsidR="00375BF1" w:rsidRPr="00375BF1" w:rsidRDefault="00375BF1" w:rsidP="00761FF3">
      <w:pPr>
        <w:spacing w:after="120"/>
        <w:jc w:val="both"/>
        <w:rPr>
          <w:rFonts w:ascii="Tahoma" w:hAnsi="Tahoma" w:cs="Tahoma"/>
          <w:i/>
        </w:rPr>
      </w:pPr>
      <w:r w:rsidRPr="00375BF1">
        <w:rPr>
          <w:rFonts w:ascii="Tahoma" w:hAnsi="Tahoma" w:cs="Tahoma"/>
        </w:rPr>
        <w:t xml:space="preserve">A decrease in prices was recorded in 7 out of 12 divisions. A decrease in prices in December was recorded in the following divisions: </w:t>
      </w:r>
      <w:r>
        <w:rPr>
          <w:rFonts w:ascii="Tahoma" w:hAnsi="Tahoma" w:cs="Tahoma"/>
          <w:i/>
        </w:rPr>
        <w:t>Housing, Transport, Recreation and culture, Other goods and services, Alcoholic beverages and tobacco, Furnish</w:t>
      </w:r>
      <w:r w:rsidR="00683A3C">
        <w:rPr>
          <w:rFonts w:ascii="Tahoma" w:hAnsi="Tahoma" w:cs="Tahoma"/>
          <w:i/>
        </w:rPr>
        <w:t xml:space="preserve">ing and housing equipment, </w:t>
      </w:r>
      <w:r w:rsidR="00683A3C" w:rsidRPr="00683A3C">
        <w:rPr>
          <w:rFonts w:ascii="Tahoma" w:hAnsi="Tahoma" w:cs="Tahoma"/>
        </w:rPr>
        <w:t>and</w:t>
      </w:r>
      <w:r w:rsidR="00683A3C">
        <w:rPr>
          <w:rFonts w:ascii="Tahoma" w:hAnsi="Tahoma" w:cs="Tahoma"/>
          <w:i/>
        </w:rPr>
        <w:t xml:space="preserve"> Clothing and footwear. </w:t>
      </w:r>
    </w:p>
    <w:p w:rsidR="00683A3C" w:rsidRPr="00711426" w:rsidRDefault="00711426" w:rsidP="00761FF3">
      <w:pPr>
        <w:jc w:val="both"/>
        <w:rPr>
          <w:rFonts w:ascii="Tahoma" w:hAnsi="Tahoma" w:cs="Tahoma"/>
        </w:rPr>
      </w:pPr>
      <w:r w:rsidRPr="00711426">
        <w:rPr>
          <w:rFonts w:ascii="Tahoma" w:hAnsi="Tahoma" w:cs="Tahoma"/>
        </w:rPr>
        <w:t xml:space="preserve">A decrease in prices by 0.1% recorded in the division </w:t>
      </w:r>
      <w:r w:rsidRPr="00711426">
        <w:rPr>
          <w:rFonts w:ascii="Tahoma" w:hAnsi="Tahoma" w:cs="Tahoma"/>
          <w:i/>
        </w:rPr>
        <w:t>Housing</w:t>
      </w:r>
      <w:r w:rsidRPr="00711426">
        <w:rPr>
          <w:rFonts w:ascii="Tahoma" w:hAnsi="Tahoma" w:cs="Tahoma"/>
        </w:rPr>
        <w:t xml:space="preserve"> occurred due to </w:t>
      </w:r>
      <w:r>
        <w:rPr>
          <w:rFonts w:ascii="Tahoma" w:hAnsi="Tahoma" w:cs="Tahoma"/>
        </w:rPr>
        <w:t xml:space="preserve">lower prices of fuel wood by 0.6%. In the division Transport a decrease in prices by 0.2% occurred due to lower prices of fuels and lubricants by 0.4%. </w:t>
      </w:r>
      <w:r w:rsidR="00C13E83">
        <w:rPr>
          <w:rFonts w:ascii="Tahoma" w:hAnsi="Tahoma" w:cs="Tahoma"/>
        </w:rPr>
        <w:t xml:space="preserve">In the division </w:t>
      </w:r>
      <w:r w:rsidR="00C13E83" w:rsidRPr="00C13E83">
        <w:rPr>
          <w:rFonts w:ascii="Tahoma" w:hAnsi="Tahoma" w:cs="Tahoma"/>
          <w:i/>
        </w:rPr>
        <w:t>Recreation and culture</w:t>
      </w:r>
      <w:r w:rsidR="00C13E83">
        <w:rPr>
          <w:rFonts w:ascii="Tahoma" w:hAnsi="Tahoma" w:cs="Tahoma"/>
        </w:rPr>
        <w:t xml:space="preserve"> a decrease in prices by 0.2% was recorded due to lower prices of books by 3.4%. A decrease in prices by 0.3% recorded in the division </w:t>
      </w:r>
      <w:r w:rsidR="00C13E83" w:rsidRPr="00A23193">
        <w:rPr>
          <w:rFonts w:ascii="Tahoma" w:hAnsi="Tahoma" w:cs="Tahoma"/>
          <w:i/>
        </w:rPr>
        <w:t>Other goods and services</w:t>
      </w:r>
      <w:r w:rsidR="00C13E83">
        <w:rPr>
          <w:rFonts w:ascii="Tahoma" w:hAnsi="Tahoma" w:cs="Tahoma"/>
        </w:rPr>
        <w:t xml:space="preserve"> occurred due to lower prices of personal care products by 0.6%. </w:t>
      </w:r>
      <w:r w:rsidR="005B425A">
        <w:rPr>
          <w:rFonts w:ascii="Tahoma" w:hAnsi="Tahoma" w:cs="Tahoma"/>
        </w:rPr>
        <w:t xml:space="preserve">In the division </w:t>
      </w:r>
      <w:r w:rsidR="005B425A" w:rsidRPr="00053670">
        <w:rPr>
          <w:rFonts w:ascii="Tahoma" w:hAnsi="Tahoma" w:cs="Tahoma"/>
          <w:i/>
        </w:rPr>
        <w:t>Alcoholic beverages and tobacco</w:t>
      </w:r>
      <w:r w:rsidR="005B425A">
        <w:rPr>
          <w:rFonts w:ascii="Tahoma" w:hAnsi="Tahoma" w:cs="Tahoma"/>
        </w:rPr>
        <w:t xml:space="preserve"> a decrease in prices by 0.4% occurred due to lower prices of wine by </w:t>
      </w:r>
      <w:r w:rsidR="00053670">
        <w:rPr>
          <w:rFonts w:ascii="Tahoma" w:hAnsi="Tahoma" w:cs="Tahoma"/>
        </w:rPr>
        <w:t xml:space="preserve">2.0%, of beer by 1.3%, and of spirits by 0.5%. A decrease in prices by 0.6% recorded in the division </w:t>
      </w:r>
      <w:r w:rsidR="00053670" w:rsidRPr="00053670">
        <w:rPr>
          <w:rFonts w:ascii="Tahoma" w:hAnsi="Tahoma" w:cs="Tahoma"/>
          <w:i/>
        </w:rPr>
        <w:t>Furnishing and housing equipment</w:t>
      </w:r>
      <w:r w:rsidR="00053670">
        <w:rPr>
          <w:rFonts w:ascii="Tahoma" w:hAnsi="Tahoma" w:cs="Tahoma"/>
        </w:rPr>
        <w:t xml:space="preserve"> occurred due to lower prices of </w:t>
      </w:r>
      <w:r w:rsidR="003F4D16">
        <w:rPr>
          <w:rFonts w:ascii="Tahoma" w:hAnsi="Tahoma" w:cs="Tahoma"/>
        </w:rPr>
        <w:t xml:space="preserve">house maintenance products by 1.3%. In the division Clothing and footwear prices were on the average 1.7% lower, due to lower prices of clothing and footwear at seasonal sales. </w:t>
      </w:r>
    </w:p>
    <w:p w:rsidR="00A23193" w:rsidRDefault="00A23193" w:rsidP="00761FF3">
      <w:pPr>
        <w:jc w:val="both"/>
        <w:rPr>
          <w:rFonts w:ascii="Tahoma" w:hAnsi="Tahoma" w:cs="Tahoma"/>
          <w:color w:val="FF0000"/>
        </w:rPr>
      </w:pPr>
    </w:p>
    <w:p w:rsidR="00761FF3" w:rsidRPr="003F4D16" w:rsidRDefault="003F4D16" w:rsidP="00761FF3">
      <w:pPr>
        <w:jc w:val="both"/>
        <w:rPr>
          <w:rFonts w:ascii="Tahoma" w:hAnsi="Tahoma" w:cs="Tahoma"/>
        </w:rPr>
      </w:pPr>
      <w:r w:rsidRPr="003F4D16">
        <w:rPr>
          <w:rFonts w:ascii="Tahoma" w:eastAsia="Calibri" w:hAnsi="Tahoma" w:cs="Tahoma"/>
        </w:rPr>
        <w:t xml:space="preserve">In the divisions </w:t>
      </w:r>
      <w:r w:rsidRPr="003F4D16">
        <w:rPr>
          <w:rFonts w:ascii="Tahoma" w:eastAsia="Calibri" w:hAnsi="Tahoma" w:cs="Tahoma"/>
          <w:i/>
        </w:rPr>
        <w:t>Communication</w:t>
      </w:r>
      <w:r w:rsidRPr="003F4D16">
        <w:rPr>
          <w:rFonts w:ascii="Tahoma" w:eastAsia="Calibri" w:hAnsi="Tahoma" w:cs="Tahoma"/>
        </w:rPr>
        <w:t xml:space="preserve">, </w:t>
      </w:r>
      <w:r w:rsidRPr="003F4D16">
        <w:rPr>
          <w:rFonts w:ascii="Tahoma" w:eastAsia="Calibri" w:hAnsi="Tahoma" w:cs="Tahoma"/>
          <w:i/>
        </w:rPr>
        <w:t>Education</w:t>
      </w:r>
      <w:r w:rsidRPr="003F4D16">
        <w:rPr>
          <w:rFonts w:ascii="Tahoma" w:eastAsia="Calibri" w:hAnsi="Tahoma" w:cs="Tahoma"/>
        </w:rPr>
        <w:t xml:space="preserve">, and </w:t>
      </w:r>
      <w:r w:rsidRPr="003F4D16">
        <w:rPr>
          <w:rFonts w:ascii="Tahoma" w:eastAsia="Calibri" w:hAnsi="Tahoma" w:cs="Tahoma"/>
          <w:i/>
        </w:rPr>
        <w:t>Hotels and Restaurants</w:t>
      </w:r>
      <w:r w:rsidRPr="003F4D16">
        <w:rPr>
          <w:rFonts w:ascii="Tahoma" w:eastAsia="Calibri" w:hAnsi="Tahoma" w:cs="Tahoma"/>
        </w:rPr>
        <w:t xml:space="preserve">, prices remained on the average at the same level. </w:t>
      </w:r>
    </w:p>
    <w:p w:rsidR="00761FF3" w:rsidRDefault="00761FF3" w:rsidP="001E5D2D">
      <w:pPr>
        <w:spacing w:after="120"/>
        <w:jc w:val="both"/>
        <w:rPr>
          <w:rFonts w:ascii="Tahoma" w:hAnsi="Tahoma" w:cs="Tahoma"/>
          <w:color w:val="FF0000"/>
        </w:rPr>
      </w:pPr>
    </w:p>
    <w:p w:rsidR="001F368B" w:rsidRPr="00C6545F" w:rsidRDefault="001F368B" w:rsidP="001F368B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Indices of products and services used for personal consumption in Republika Srpska in December 2013, compared to the same month of 2012, were on the average 1.5% lower. The greatest impact was that of the index of the division </w:t>
      </w:r>
      <w:r w:rsidRPr="001F368B">
        <w:rPr>
          <w:rFonts w:ascii="Tahoma" w:hAnsi="Tahoma" w:cs="Tahoma"/>
          <w:i/>
        </w:rPr>
        <w:t>Food and non-alcoholic beverages</w:t>
      </w:r>
      <w:r>
        <w:rPr>
          <w:rFonts w:ascii="Tahoma" w:hAnsi="Tahoma" w:cs="Tahoma"/>
        </w:rPr>
        <w:t xml:space="preserve">, which was 3.7% lower compared to December 2012. </w:t>
      </w:r>
    </w:p>
    <w:p w:rsidR="00AB7DEE" w:rsidRPr="006A2075" w:rsidRDefault="00AB7DEE" w:rsidP="001E5D2D">
      <w:pPr>
        <w:spacing w:after="120"/>
        <w:jc w:val="both"/>
        <w:rPr>
          <w:rFonts w:ascii="Tahoma" w:hAnsi="Tahoma" w:cs="Tahoma"/>
        </w:rPr>
      </w:pPr>
    </w:p>
    <w:p w:rsidR="00800457" w:rsidRPr="006A2075" w:rsidRDefault="006A2075" w:rsidP="00800457">
      <w:pPr>
        <w:rPr>
          <w:rFonts w:ascii="Tahoma" w:hAnsi="Tahoma" w:cs="Tahoma"/>
          <w:b/>
          <w:sz w:val="28"/>
          <w:szCs w:val="28"/>
        </w:rPr>
      </w:pPr>
      <w:r w:rsidRPr="006A2075">
        <w:rPr>
          <w:rFonts w:ascii="Tahoma" w:hAnsi="Tahoma" w:cs="Tahoma"/>
          <w:b/>
          <w:sz w:val="28"/>
          <w:szCs w:val="28"/>
        </w:rPr>
        <w:t>Producer prices of industrial products on domestic market</w:t>
      </w:r>
      <w:r w:rsidRPr="006A2075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00457" w:rsidRPr="006A2075">
        <w:rPr>
          <w:rFonts w:ascii="Tahoma" w:hAnsi="Tahoma" w:cs="Tahoma"/>
          <w:b/>
          <w:sz w:val="28"/>
          <w:szCs w:val="28"/>
          <w:lang w:val="sr-Cyrl-CS"/>
        </w:rPr>
        <w:t>(</w:t>
      </w:r>
      <w:r w:rsidRPr="006A2075">
        <w:rPr>
          <w:rFonts w:ascii="Tahoma" w:hAnsi="Tahoma" w:cs="Tahoma"/>
          <w:b/>
          <w:sz w:val="28"/>
          <w:szCs w:val="28"/>
          <w:lang w:val="sr-Latn-CS"/>
        </w:rPr>
        <w:t>December</w:t>
      </w:r>
      <w:r w:rsidR="00800457" w:rsidRPr="006A207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800457" w:rsidRPr="006A2075">
        <w:rPr>
          <w:rFonts w:ascii="Tahoma" w:hAnsi="Tahoma" w:cs="Tahoma"/>
          <w:b/>
          <w:sz w:val="28"/>
          <w:szCs w:val="28"/>
          <w:lang w:val="sr-Latn-CS"/>
        </w:rPr>
        <w:t>3</w:t>
      </w:r>
      <w:r w:rsidR="00800457" w:rsidRPr="006A2075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6A2075">
        <w:rPr>
          <w:rFonts w:ascii="Tahoma" w:hAnsi="Tahoma" w:cs="Tahoma"/>
          <w:b/>
          <w:sz w:val="28"/>
          <w:szCs w:val="28"/>
          <w:lang w:val="sr-Latn-CS"/>
        </w:rPr>
        <w:t>November</w:t>
      </w:r>
      <w:r w:rsidR="00800457" w:rsidRPr="006A2075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800457" w:rsidRPr="006A2075">
        <w:rPr>
          <w:rFonts w:ascii="Tahoma" w:hAnsi="Tahoma" w:cs="Tahoma"/>
          <w:b/>
          <w:sz w:val="28"/>
          <w:szCs w:val="28"/>
          <w:lang w:val="sr-Latn-CS"/>
        </w:rPr>
        <w:t>3</w:t>
      </w:r>
      <w:r w:rsidR="00800457" w:rsidRPr="006A2075">
        <w:rPr>
          <w:rFonts w:ascii="Tahoma" w:hAnsi="Tahoma" w:cs="Tahoma"/>
          <w:b/>
          <w:sz w:val="28"/>
          <w:szCs w:val="28"/>
          <w:lang w:val="sr-Cyrl-CS"/>
        </w:rPr>
        <w:t>)</w:t>
      </w:r>
      <w:r w:rsidR="00800457" w:rsidRPr="006A2075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6A2075">
        <w:rPr>
          <w:rFonts w:ascii="Tahoma" w:hAnsi="Tahoma" w:cs="Tahoma"/>
          <w:b/>
          <w:sz w:val="28"/>
          <w:szCs w:val="28"/>
        </w:rPr>
        <w:t>on the average</w:t>
      </w:r>
      <w:r w:rsidRPr="006A2075">
        <w:rPr>
          <w:rFonts w:ascii="Tahoma" w:hAnsi="Tahoma" w:cs="Tahoma"/>
          <w:b/>
          <w:sz w:val="28"/>
          <w:szCs w:val="28"/>
          <w:lang w:val="sr-Cyrl-CS"/>
        </w:rPr>
        <w:t xml:space="preserve"> 0</w:t>
      </w:r>
      <w:r w:rsidRPr="006A2075">
        <w:rPr>
          <w:rFonts w:ascii="Tahoma" w:hAnsi="Tahoma" w:cs="Tahoma"/>
          <w:b/>
          <w:sz w:val="28"/>
          <w:szCs w:val="28"/>
        </w:rPr>
        <w:t>.</w:t>
      </w:r>
      <w:r w:rsidR="00184BAE" w:rsidRPr="006A2075">
        <w:rPr>
          <w:rFonts w:ascii="Tahoma" w:hAnsi="Tahoma" w:cs="Tahoma"/>
          <w:b/>
          <w:sz w:val="28"/>
          <w:szCs w:val="28"/>
          <w:lang w:val="sr-Latn-CS"/>
        </w:rPr>
        <w:t>1</w:t>
      </w:r>
      <w:r w:rsidR="00800457" w:rsidRPr="006A2075">
        <w:rPr>
          <w:rFonts w:ascii="Tahoma" w:hAnsi="Tahoma" w:cs="Tahoma"/>
          <w:b/>
          <w:sz w:val="28"/>
          <w:szCs w:val="28"/>
          <w:lang w:val="sr-Cyrl-CS"/>
        </w:rPr>
        <w:t>%</w:t>
      </w:r>
      <w:r w:rsidRPr="006A2075">
        <w:rPr>
          <w:rFonts w:ascii="Tahoma" w:hAnsi="Tahoma" w:cs="Tahoma"/>
          <w:b/>
          <w:sz w:val="28"/>
          <w:szCs w:val="28"/>
        </w:rPr>
        <w:t xml:space="preserve"> lower</w:t>
      </w:r>
    </w:p>
    <w:p w:rsidR="00800457" w:rsidRPr="00DC0FE3" w:rsidRDefault="00800457" w:rsidP="00800457">
      <w:pPr>
        <w:ind w:right="68"/>
        <w:jc w:val="both"/>
        <w:rPr>
          <w:rFonts w:ascii="Tahoma" w:hAnsi="Tahoma" w:cs="Tahoma"/>
          <w:color w:val="FF0000"/>
          <w:lang w:val="sr-Latn-CS"/>
        </w:rPr>
      </w:pPr>
    </w:p>
    <w:p w:rsidR="00E81EF3" w:rsidRDefault="00E81EF3" w:rsidP="00E81EF3">
      <w:pPr>
        <w:spacing w:after="120"/>
        <w:ind w:right="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Producer prices of industrial products on domestic market in December 2013, compared to November 2013, were on the average 0.1% lower, and compared to December 2012 they were 1.5% lower.</w:t>
      </w:r>
    </w:p>
    <w:p w:rsidR="00E81EF3" w:rsidRDefault="00E81EF3" w:rsidP="00845A6D">
      <w:pPr>
        <w:spacing w:after="120"/>
        <w:ind w:right="68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lang w:val="hr-HR"/>
        </w:rPr>
        <w:t xml:space="preserve">By purpose of consumption, in December 2013, compared to November 2013, prices of consumer non-durables were on the average 0.6% higher, prices of energt were 0.1%, while prices of intermediate goods, prices of capital goods and prices of consumer durables remained on the average at the same level. </w:t>
      </w:r>
    </w:p>
    <w:p w:rsidR="00E81EF3" w:rsidRDefault="00E81EF3" w:rsidP="00800457">
      <w:pPr>
        <w:spacing w:after="120"/>
        <w:ind w:right="68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 xml:space="preserve">Prices of consumer durables, by purpose of consumption, in December 2013, compared to December 2012, were on the average 0.3% higher and prices of energy were 0.1% higher, while prices of intermediate goods were on the average 3.7% lower, prices of consumer non-durables were 1.7% lower and prices of capital goods were on the average 0.6% lower. </w:t>
      </w:r>
    </w:p>
    <w:p w:rsidR="009C58AB" w:rsidRDefault="009C58AB" w:rsidP="009C58AB">
      <w:pPr>
        <w:spacing w:after="120"/>
        <w:ind w:right="68"/>
        <w:jc w:val="both"/>
        <w:rPr>
          <w:rFonts w:ascii="Tahoma" w:hAnsi="Tahoma" w:cs="Tahoma"/>
          <w:lang w:val="hr-HR"/>
        </w:rPr>
      </w:pPr>
      <w:r w:rsidRPr="008F1E7E">
        <w:rPr>
          <w:rFonts w:ascii="Tahoma" w:hAnsi="Tahoma" w:cs="Tahoma"/>
        </w:rPr>
        <w:lastRenderedPageBreak/>
        <w:t>By section of industrial production (PRODCOM),</w:t>
      </w:r>
      <w:r>
        <w:rPr>
          <w:rFonts w:ascii="Tahoma" w:hAnsi="Tahoma" w:cs="Tahoma"/>
        </w:rPr>
        <w:t xml:space="preserve"> in December 2013, compared to November 2013, prices in the section </w:t>
      </w:r>
      <w:r w:rsidR="00DF5EAF">
        <w:rPr>
          <w:rFonts w:ascii="Tahoma" w:hAnsi="Tahoma" w:cs="Tahoma"/>
        </w:rPr>
        <w:t>(B) Mining and quarrying were on the average 0.6% lower, prices in the section (C) Manufacturing were 0.2% lower, while prices in the section (D) Electricity, gas, steam and air-conditioning supply prices remained on the average at the same level.</w:t>
      </w:r>
    </w:p>
    <w:p w:rsidR="00845A6D" w:rsidRPr="0085606F" w:rsidRDefault="00D53676" w:rsidP="00800457">
      <w:pPr>
        <w:jc w:val="both"/>
        <w:rPr>
          <w:rFonts w:ascii="Tahoma" w:hAnsi="Tahoma" w:cs="Tahoma"/>
          <w:lang w:val="sr-Latn-CS"/>
        </w:rPr>
      </w:pPr>
      <w:r w:rsidRPr="0085606F">
        <w:rPr>
          <w:rFonts w:ascii="Tahoma" w:hAnsi="Tahoma" w:cs="Tahoma"/>
          <w:lang w:val="sr-Latn-CS"/>
        </w:rPr>
        <w:t xml:space="preserve">In December 2013, compared to December 2012, prices in the section </w:t>
      </w:r>
      <w:r w:rsidRPr="0085606F">
        <w:rPr>
          <w:rFonts w:ascii="Tahoma" w:hAnsi="Tahoma" w:cs="Tahoma"/>
          <w:i/>
          <w:lang w:val="sr-Latn-CS"/>
        </w:rPr>
        <w:t>Mining and quarrying</w:t>
      </w:r>
      <w:r w:rsidRPr="0085606F">
        <w:rPr>
          <w:rFonts w:ascii="Tahoma" w:hAnsi="Tahoma" w:cs="Tahoma"/>
          <w:lang w:val="sr-Latn-CS"/>
        </w:rPr>
        <w:t xml:space="preserve"> increased by 1.2%,</w:t>
      </w:r>
      <w:r w:rsidR="0085606F">
        <w:rPr>
          <w:rFonts w:ascii="Tahoma" w:hAnsi="Tahoma" w:cs="Tahoma"/>
          <w:lang w:val="sr-Latn-CS"/>
        </w:rPr>
        <w:t xml:space="preserve"> while prices in the section </w:t>
      </w:r>
      <w:r w:rsidR="0085606F" w:rsidRPr="0085606F">
        <w:rPr>
          <w:rFonts w:ascii="Tahoma" w:hAnsi="Tahoma" w:cs="Tahoma"/>
          <w:i/>
          <w:lang w:val="sr-Latn-CS"/>
        </w:rPr>
        <w:t>Manufacturing</w:t>
      </w:r>
      <w:r w:rsidR="0085606F">
        <w:rPr>
          <w:rFonts w:ascii="Tahoma" w:hAnsi="Tahoma" w:cs="Tahoma"/>
          <w:lang w:val="sr-Latn-CS"/>
        </w:rPr>
        <w:t xml:space="preserve"> decreased by 2.7%, and prices in the section </w:t>
      </w:r>
      <w:r w:rsidR="0085606F" w:rsidRPr="00D2242D">
        <w:rPr>
          <w:rFonts w:ascii="Tahoma" w:hAnsi="Tahoma" w:cs="Tahoma"/>
          <w:i/>
          <w:lang w:val="hr-HR"/>
        </w:rPr>
        <w:t>Electricity, gas, steam and air-conditioning</w:t>
      </w:r>
      <w:r w:rsidR="0085606F">
        <w:rPr>
          <w:rFonts w:ascii="Tahoma" w:hAnsi="Tahoma" w:cs="Tahoma"/>
          <w:lang w:val="hr-HR"/>
        </w:rPr>
        <w:t xml:space="preserve"> </w:t>
      </w:r>
      <w:r w:rsidR="0085606F" w:rsidRPr="00D2242D">
        <w:rPr>
          <w:rFonts w:ascii="Tahoma" w:hAnsi="Tahoma" w:cs="Tahoma"/>
          <w:i/>
          <w:lang w:val="hr-HR"/>
        </w:rPr>
        <w:t>supply</w:t>
      </w:r>
      <w:r w:rsidR="0085606F">
        <w:rPr>
          <w:rFonts w:ascii="Tahoma" w:hAnsi="Tahoma" w:cs="Tahoma"/>
          <w:lang w:val="hr-HR"/>
        </w:rPr>
        <w:t xml:space="preserve"> remained on the average at the same level.</w:t>
      </w:r>
      <w:r w:rsidRPr="0085606F">
        <w:rPr>
          <w:rFonts w:ascii="Tahoma" w:hAnsi="Tahoma" w:cs="Tahoma"/>
          <w:lang w:val="sr-Latn-CS"/>
        </w:rPr>
        <w:t xml:space="preserve">  </w:t>
      </w:r>
    </w:p>
    <w:p w:rsidR="00D53676" w:rsidRPr="00845A6D" w:rsidRDefault="00D53676" w:rsidP="00800457">
      <w:pPr>
        <w:jc w:val="both"/>
        <w:rPr>
          <w:rFonts w:ascii="Tahoma" w:hAnsi="Tahoma" w:cs="Tahoma"/>
          <w:color w:val="FF0000"/>
          <w:lang w:val="sr-Cyrl-CS"/>
        </w:rPr>
      </w:pPr>
    </w:p>
    <w:p w:rsidR="009049DB" w:rsidRPr="005429C0" w:rsidRDefault="00FB2272" w:rsidP="009049DB">
      <w:pPr>
        <w:ind w:right="68"/>
        <w:jc w:val="both"/>
        <w:rPr>
          <w:rFonts w:ascii="Tahoma" w:hAnsi="Tahoma" w:cs="Tahoma"/>
          <w:b/>
          <w:color w:val="FF0000"/>
          <w:sz w:val="28"/>
          <w:szCs w:val="28"/>
          <w:lang w:val="sr-Latn-CS"/>
        </w:rPr>
      </w:pPr>
      <w:r w:rsidRPr="008F1E7E">
        <w:rPr>
          <w:rFonts w:ascii="Tahoma" w:hAnsi="Tahoma" w:cs="Tahoma"/>
          <w:b/>
          <w:sz w:val="28"/>
          <w:szCs w:val="28"/>
        </w:rPr>
        <w:t>Producer prices of industrial products on non-domestic market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9049DB" w:rsidRPr="00FB2272">
        <w:rPr>
          <w:rFonts w:ascii="Tahoma" w:hAnsi="Tahoma" w:cs="Tahoma"/>
          <w:b/>
          <w:sz w:val="28"/>
          <w:szCs w:val="28"/>
          <w:lang w:val="sr-Cyrl-CS"/>
        </w:rPr>
        <w:t>(</w:t>
      </w:r>
      <w:r w:rsidRPr="00FB2272">
        <w:rPr>
          <w:rFonts w:ascii="Tahoma" w:hAnsi="Tahoma" w:cs="Tahoma"/>
          <w:b/>
          <w:sz w:val="28"/>
          <w:szCs w:val="28"/>
          <w:lang w:val="sr-Latn-CS"/>
        </w:rPr>
        <w:t>December</w:t>
      </w:r>
      <w:r w:rsidR="009049DB" w:rsidRPr="00FB227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9049DB" w:rsidRPr="00FB2272">
        <w:rPr>
          <w:rFonts w:ascii="Tahoma" w:hAnsi="Tahoma" w:cs="Tahoma"/>
          <w:b/>
          <w:sz w:val="28"/>
          <w:szCs w:val="28"/>
          <w:lang w:val="sr-Latn-CS"/>
        </w:rPr>
        <w:t>3</w:t>
      </w:r>
      <w:r w:rsidR="009049DB" w:rsidRPr="00FB2272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FB2272">
        <w:rPr>
          <w:rFonts w:ascii="Tahoma" w:hAnsi="Tahoma" w:cs="Tahoma"/>
          <w:b/>
          <w:sz w:val="28"/>
          <w:szCs w:val="28"/>
          <w:lang w:val="sr-Latn-CS"/>
        </w:rPr>
        <w:t>November</w:t>
      </w:r>
      <w:r w:rsidR="009049DB" w:rsidRPr="00FB2272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="009049DB" w:rsidRPr="00FB2272">
        <w:rPr>
          <w:rFonts w:ascii="Tahoma" w:hAnsi="Tahoma" w:cs="Tahoma"/>
          <w:b/>
          <w:sz w:val="28"/>
          <w:szCs w:val="28"/>
          <w:lang w:val="sr-Latn-CS"/>
        </w:rPr>
        <w:t>3</w:t>
      </w:r>
      <w:r w:rsidR="009049DB" w:rsidRPr="00FB2272">
        <w:rPr>
          <w:rFonts w:ascii="Tahoma" w:hAnsi="Tahoma" w:cs="Tahoma"/>
          <w:b/>
          <w:sz w:val="28"/>
          <w:szCs w:val="28"/>
          <w:lang w:val="sr-Cyrl-CS"/>
        </w:rPr>
        <w:t>)</w:t>
      </w:r>
      <w:r w:rsidR="009049DB" w:rsidRPr="00FB2272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FB2272">
        <w:rPr>
          <w:rFonts w:ascii="Tahoma" w:hAnsi="Tahoma" w:cs="Tahoma"/>
          <w:b/>
          <w:sz w:val="28"/>
          <w:szCs w:val="28"/>
        </w:rPr>
        <w:t>remained</w:t>
      </w:r>
      <w:r>
        <w:rPr>
          <w:rFonts w:ascii="Tahoma" w:hAnsi="Tahoma" w:cs="Tahoma"/>
          <w:b/>
          <w:sz w:val="28"/>
          <w:szCs w:val="28"/>
        </w:rPr>
        <w:t xml:space="preserve"> on the average at the same level</w:t>
      </w:r>
    </w:p>
    <w:p w:rsidR="00DE7102" w:rsidRPr="003100EC" w:rsidRDefault="00DE7102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E22424" w:rsidRDefault="00E22424" w:rsidP="00E22424">
      <w:pPr>
        <w:spacing w:after="120"/>
        <w:ind w:right="68"/>
        <w:jc w:val="both"/>
        <w:rPr>
          <w:rFonts w:ascii="Tahoma" w:hAnsi="Tahoma" w:cs="Tahoma"/>
        </w:rPr>
      </w:pPr>
      <w:r w:rsidRPr="008F1E7E">
        <w:rPr>
          <w:rFonts w:ascii="Tahoma" w:hAnsi="Tahoma" w:cs="Tahoma"/>
        </w:rPr>
        <w:t>Producer prices of industrial products on non-domestic market in</w:t>
      </w:r>
      <w:r>
        <w:rPr>
          <w:rFonts w:ascii="Tahoma" w:hAnsi="Tahoma" w:cs="Tahoma"/>
        </w:rPr>
        <w:t xml:space="preserve"> </w:t>
      </w:r>
      <w:r w:rsidR="00213DFD">
        <w:rPr>
          <w:rFonts w:ascii="Tahoma" w:hAnsi="Tahoma" w:cs="Tahoma"/>
        </w:rPr>
        <w:t>December</w:t>
      </w:r>
      <w:r>
        <w:rPr>
          <w:rFonts w:ascii="Tahoma" w:hAnsi="Tahoma" w:cs="Tahoma"/>
        </w:rPr>
        <w:t xml:space="preserve"> 2013, compared to </w:t>
      </w:r>
      <w:r w:rsidR="00213DFD">
        <w:rPr>
          <w:rFonts w:ascii="Tahoma" w:hAnsi="Tahoma" w:cs="Tahoma"/>
        </w:rPr>
        <w:t>November</w:t>
      </w:r>
      <w:r>
        <w:rPr>
          <w:rFonts w:ascii="Tahoma" w:hAnsi="Tahoma" w:cs="Tahoma"/>
        </w:rPr>
        <w:t xml:space="preserve"> 2013, remained o</w:t>
      </w:r>
      <w:r w:rsidR="00213DFD">
        <w:rPr>
          <w:rFonts w:ascii="Tahoma" w:hAnsi="Tahoma" w:cs="Tahoma"/>
        </w:rPr>
        <w:t>n the average at the same level and</w:t>
      </w:r>
      <w:r>
        <w:rPr>
          <w:rFonts w:ascii="Tahoma" w:hAnsi="Tahoma" w:cs="Tahoma"/>
        </w:rPr>
        <w:t xml:space="preserve"> compared to </w:t>
      </w:r>
      <w:r w:rsidR="00213DFD">
        <w:rPr>
          <w:rFonts w:ascii="Tahoma" w:hAnsi="Tahoma" w:cs="Tahoma"/>
        </w:rPr>
        <w:t>December 2012 they were 2.5% higher.</w:t>
      </w:r>
    </w:p>
    <w:p w:rsidR="00E22424" w:rsidRDefault="00433AD9" w:rsidP="00DE7102">
      <w:pPr>
        <w:spacing w:after="120"/>
        <w:ind w:right="68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By purpose of consumption, in December 2013, compared to November 2013, prices of energy were on the average 4.4% higher, prices of capital goods were 1.3% higher, and prices of consumer non-durables were 0.2% higher, while prices of intermediate goods were on the average 0.4% lower and prices of consumer durables were 0.1% lower. </w:t>
      </w:r>
    </w:p>
    <w:p w:rsidR="00EF624F" w:rsidRPr="00EF624F" w:rsidRDefault="00433AD9" w:rsidP="00800457">
      <w:pPr>
        <w:jc w:val="both"/>
        <w:rPr>
          <w:rFonts w:ascii="Tahoma" w:hAnsi="Tahoma" w:cs="Tahoma"/>
          <w:color w:val="FF0000"/>
          <w:lang w:val="sr-Cyrl-CS"/>
        </w:rPr>
      </w:pPr>
      <w:r>
        <w:rPr>
          <w:rFonts w:ascii="Tahoma" w:hAnsi="Tahoma" w:cs="Tahoma"/>
        </w:rPr>
        <w:t xml:space="preserve">Prices of consumer non-durables, by purpose of consumption, in December 2013, compared to December 2012, were on the average 3.4% higher, prices of intermediate goods were 3.0% higher, prices of energy were 1.5% higher, prices of capital goods were 0.3% higher, while prices of consumer durables were on the average 1.3% lower. </w:t>
      </w:r>
    </w:p>
    <w:p w:rsidR="00356935" w:rsidRDefault="00356935" w:rsidP="00800457">
      <w:pPr>
        <w:jc w:val="both"/>
        <w:rPr>
          <w:rFonts w:ascii="Tahoma" w:hAnsi="Tahoma" w:cs="Tahoma"/>
          <w:color w:val="FF0000"/>
        </w:rPr>
      </w:pPr>
    </w:p>
    <w:p w:rsidR="00433AD9" w:rsidRDefault="00433AD9" w:rsidP="00800457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hr-HR"/>
        </w:rPr>
        <w:t>By section of industrial production (PRODCOM), prices in December 2013 compared to November 2013 in the section</w:t>
      </w:r>
      <w:r w:rsidR="00F90A40">
        <w:rPr>
          <w:rFonts w:ascii="Tahoma" w:hAnsi="Tahoma" w:cs="Tahoma"/>
          <w:lang w:val="hr-HR"/>
        </w:rPr>
        <w:t xml:space="preserve"> </w:t>
      </w:r>
      <w:r w:rsidR="00F90A40">
        <w:rPr>
          <w:rFonts w:ascii="Tahoma" w:hAnsi="Tahoma" w:cs="Tahoma"/>
        </w:rPr>
        <w:t xml:space="preserve">(C) Manufacturing remained on the average at the same level, while prices in the section (B) Mining and quarrying were on the average 0.3% lower. </w:t>
      </w:r>
    </w:p>
    <w:p w:rsidR="00F90A40" w:rsidRDefault="00F90A40" w:rsidP="00800457">
      <w:pPr>
        <w:jc w:val="both"/>
        <w:rPr>
          <w:rFonts w:ascii="Tahoma" w:hAnsi="Tahoma" w:cs="Tahoma"/>
        </w:rPr>
      </w:pPr>
    </w:p>
    <w:p w:rsidR="00632A09" w:rsidRPr="00632A09" w:rsidRDefault="00632A09" w:rsidP="0080045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December 2013, compared to December 2012, prices in the section </w:t>
      </w:r>
      <w:r w:rsidRPr="00D82372">
        <w:rPr>
          <w:rFonts w:ascii="Tahoma" w:hAnsi="Tahoma" w:cs="Tahoma"/>
          <w:i/>
          <w:lang w:val="hr-HR"/>
        </w:rPr>
        <w:t>Mining and quarrying</w:t>
      </w:r>
      <w:r>
        <w:rPr>
          <w:rFonts w:ascii="Tahoma" w:hAnsi="Tahoma" w:cs="Tahoma"/>
          <w:i/>
          <w:lang w:val="hr-HR"/>
        </w:rPr>
        <w:t xml:space="preserve"> </w:t>
      </w:r>
      <w:r w:rsidRPr="00632A09">
        <w:rPr>
          <w:rFonts w:ascii="Tahoma" w:hAnsi="Tahoma" w:cs="Tahoma"/>
          <w:lang w:val="hr-HR"/>
        </w:rPr>
        <w:t>increased</w:t>
      </w:r>
      <w:r>
        <w:rPr>
          <w:rFonts w:ascii="Tahoma" w:hAnsi="Tahoma" w:cs="Tahoma"/>
          <w:i/>
          <w:lang w:val="hr-HR"/>
        </w:rPr>
        <w:t xml:space="preserve"> </w:t>
      </w:r>
      <w:r>
        <w:rPr>
          <w:rFonts w:ascii="Tahoma" w:hAnsi="Tahoma" w:cs="Tahoma"/>
          <w:lang w:val="hr-HR"/>
        </w:rPr>
        <w:t xml:space="preserve">on the average by 2.9% and prices in the section </w:t>
      </w:r>
      <w:r w:rsidRPr="00D82372">
        <w:rPr>
          <w:rFonts w:ascii="Tahoma" w:hAnsi="Tahoma" w:cs="Tahoma"/>
          <w:i/>
          <w:lang w:val="hr-HR"/>
        </w:rPr>
        <w:t>Manufacturing</w:t>
      </w:r>
      <w:r>
        <w:rPr>
          <w:rFonts w:ascii="Tahoma" w:hAnsi="Tahoma" w:cs="Tahoma"/>
          <w:i/>
          <w:lang w:val="hr-HR"/>
        </w:rPr>
        <w:t xml:space="preserve"> </w:t>
      </w:r>
      <w:r>
        <w:rPr>
          <w:rFonts w:ascii="Tahoma" w:hAnsi="Tahoma" w:cs="Tahoma"/>
          <w:lang w:val="hr-HR"/>
        </w:rPr>
        <w:t xml:space="preserve">increased by 2.5%. </w:t>
      </w:r>
    </w:p>
    <w:p w:rsidR="00F04A4B" w:rsidRPr="003100E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100E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6A112E" w:rsidP="00CA3512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E23AF4">
        <w:rPr>
          <w:rFonts w:ascii="Tahoma" w:hAnsi="Tahoma" w:cs="Tahoma"/>
          <w:b/>
          <w:spacing w:val="-4"/>
          <w:sz w:val="28"/>
          <w:szCs w:val="28"/>
        </w:rPr>
        <w:t>Working-day adjusted industrial production</w:t>
      </w:r>
      <w:r w:rsidRPr="00E23AF4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 w:rsidR="00CA3512" w:rsidRPr="004C20B5">
        <w:rPr>
          <w:rFonts w:ascii="Tahoma" w:hAnsi="Tahoma" w:cs="Tahoma"/>
          <w:b/>
          <w:sz w:val="28"/>
          <w:szCs w:val="28"/>
          <w:lang w:val="sr-Latn-BA"/>
        </w:rPr>
        <w:t>(</w:t>
      </w:r>
      <w:r>
        <w:rPr>
          <w:rFonts w:ascii="Tahoma" w:hAnsi="Tahoma" w:cs="Tahoma"/>
          <w:b/>
          <w:sz w:val="28"/>
          <w:szCs w:val="28"/>
        </w:rPr>
        <w:t>December</w:t>
      </w:r>
      <w:r w:rsidR="00CA3512" w:rsidRPr="004C20B5">
        <w:rPr>
          <w:rFonts w:ascii="Tahoma" w:hAnsi="Tahoma" w:cs="Tahoma"/>
          <w:b/>
          <w:sz w:val="28"/>
          <w:szCs w:val="28"/>
          <w:lang w:val="sr-Latn-BA"/>
        </w:rPr>
        <w:t xml:space="preserve"> 20</w:t>
      </w:r>
      <w:r w:rsidR="00CA3512" w:rsidRPr="004C20B5">
        <w:rPr>
          <w:rFonts w:ascii="Tahoma" w:hAnsi="Tahoma" w:cs="Tahoma"/>
          <w:b/>
          <w:sz w:val="28"/>
          <w:szCs w:val="28"/>
          <w:lang w:val="sr-Cyrl-CS"/>
        </w:rPr>
        <w:t>13</w:t>
      </w:r>
      <w:r w:rsidR="00CA3512" w:rsidRPr="004C20B5">
        <w:rPr>
          <w:rFonts w:ascii="Tahoma" w:hAnsi="Tahoma" w:cs="Tahoma"/>
          <w:b/>
          <w:sz w:val="28"/>
          <w:szCs w:val="28"/>
          <w:lang w:val="sr-Latn-BA"/>
        </w:rPr>
        <w:t>/</w:t>
      </w:r>
      <w:r>
        <w:rPr>
          <w:rFonts w:ascii="Tahoma" w:hAnsi="Tahoma" w:cs="Tahoma"/>
          <w:b/>
          <w:sz w:val="28"/>
          <w:szCs w:val="28"/>
        </w:rPr>
        <w:t>December</w:t>
      </w:r>
      <w:r w:rsidR="00CA3512" w:rsidRPr="004C20B5">
        <w:rPr>
          <w:rFonts w:ascii="Tahoma" w:hAnsi="Tahoma" w:cs="Tahoma"/>
          <w:b/>
          <w:bCs/>
          <w:sz w:val="28"/>
          <w:szCs w:val="28"/>
          <w:lang w:val="sr-Cyrl-CS"/>
        </w:rPr>
        <w:t xml:space="preserve"> </w:t>
      </w:r>
      <w:r w:rsidR="00CA3512" w:rsidRPr="004C20B5">
        <w:rPr>
          <w:rFonts w:ascii="Tahoma" w:hAnsi="Tahoma" w:cs="Tahoma"/>
          <w:b/>
          <w:bCs/>
          <w:sz w:val="28"/>
          <w:szCs w:val="28"/>
          <w:lang w:val="ru-RU"/>
        </w:rPr>
        <w:t>201</w:t>
      </w:r>
      <w:r w:rsidR="00CA3512" w:rsidRPr="004C20B5">
        <w:rPr>
          <w:rFonts w:ascii="Tahoma" w:hAnsi="Tahoma" w:cs="Tahoma"/>
          <w:b/>
          <w:bCs/>
          <w:sz w:val="28"/>
          <w:szCs w:val="28"/>
        </w:rPr>
        <w:t>2</w:t>
      </w:r>
      <w:r w:rsidR="00CA3512" w:rsidRPr="004C20B5">
        <w:rPr>
          <w:rFonts w:ascii="Tahoma" w:hAnsi="Tahoma" w:cs="Tahoma"/>
          <w:b/>
          <w:bCs/>
          <w:sz w:val="28"/>
          <w:szCs w:val="28"/>
          <w:lang w:val="hr-HR"/>
        </w:rPr>
        <w:t>)</w:t>
      </w:r>
      <w:r w:rsidR="00CA3512" w:rsidRPr="004C20B5">
        <w:rPr>
          <w:rFonts w:ascii="Tahoma" w:hAnsi="Tahoma" w:cs="Tahoma"/>
          <w:b/>
          <w:sz w:val="28"/>
          <w:szCs w:val="28"/>
          <w:lang w:val="sr-Latn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Latn-CS"/>
        </w:rPr>
        <w:t>increased by</w:t>
      </w:r>
      <w:r w:rsidR="00CA3512" w:rsidRPr="004C20B5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CA3512" w:rsidRPr="004C20B5">
        <w:rPr>
          <w:rFonts w:ascii="Tahoma" w:hAnsi="Tahoma" w:cs="Tahoma"/>
          <w:b/>
          <w:sz w:val="28"/>
          <w:szCs w:val="28"/>
          <w:lang w:val="sr-Cyrl-CS"/>
        </w:rPr>
        <w:t>3</w:t>
      </w:r>
      <w:r>
        <w:rPr>
          <w:rFonts w:ascii="Tahoma" w:hAnsi="Tahoma" w:cs="Tahoma"/>
          <w:b/>
          <w:sz w:val="28"/>
          <w:szCs w:val="28"/>
        </w:rPr>
        <w:t>.</w:t>
      </w:r>
      <w:r w:rsidR="00CA3512" w:rsidRPr="004C20B5">
        <w:rPr>
          <w:rFonts w:ascii="Tahoma" w:hAnsi="Tahoma" w:cs="Tahoma"/>
          <w:b/>
          <w:sz w:val="28"/>
          <w:szCs w:val="28"/>
          <w:lang w:val="sr-Cyrl-BA"/>
        </w:rPr>
        <w:t>4</w:t>
      </w:r>
      <w:r w:rsidR="00CA3512" w:rsidRPr="004C20B5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CA3512" w:rsidRPr="004C20B5" w:rsidRDefault="006A112E" w:rsidP="00CA3512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6"/>
          <w:szCs w:val="26"/>
          <w:lang w:val="sr-Cyrl-CS"/>
        </w:rPr>
      </w:pPr>
      <w:r w:rsidRPr="00E23AF4">
        <w:rPr>
          <w:rFonts w:ascii="Tahoma" w:hAnsi="Tahoma" w:cs="Tahoma"/>
          <w:spacing w:val="-4"/>
          <w:sz w:val="26"/>
          <w:szCs w:val="26"/>
        </w:rPr>
        <w:t>Seasonally adjusted industrial production</w:t>
      </w:r>
      <w:r w:rsidRPr="00E23AF4">
        <w:rPr>
          <w:rFonts w:ascii="Tahoma" w:hAnsi="Tahoma" w:cs="Tahoma"/>
          <w:spacing w:val="-4"/>
          <w:sz w:val="26"/>
          <w:szCs w:val="26"/>
          <w:lang w:val="ru-RU"/>
        </w:rPr>
        <w:t xml:space="preserve"> </w:t>
      </w:r>
      <w:r w:rsidR="00CA3512" w:rsidRPr="004C20B5">
        <w:rPr>
          <w:rFonts w:ascii="Tahoma" w:hAnsi="Tahoma" w:cs="Tahoma"/>
          <w:spacing w:val="-4"/>
          <w:sz w:val="26"/>
          <w:szCs w:val="26"/>
          <w:lang w:val="hr-HR"/>
        </w:rPr>
        <w:t>(</w:t>
      </w:r>
      <w:r>
        <w:rPr>
          <w:rFonts w:ascii="Tahoma" w:hAnsi="Tahoma" w:cs="Tahoma"/>
          <w:spacing w:val="-4"/>
          <w:sz w:val="26"/>
          <w:szCs w:val="26"/>
          <w:lang w:val="hr-HR"/>
        </w:rPr>
        <w:t>December</w:t>
      </w:r>
      <w:r w:rsidR="00CA3512" w:rsidRPr="004C20B5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="00CA3512" w:rsidRPr="004C20B5">
        <w:rPr>
          <w:rFonts w:ascii="Tahoma" w:hAnsi="Tahoma" w:cs="Tahoma"/>
          <w:spacing w:val="-4"/>
          <w:sz w:val="26"/>
          <w:szCs w:val="26"/>
          <w:lang w:val="hr-HR"/>
        </w:rPr>
        <w:t>201</w:t>
      </w:r>
      <w:r w:rsidR="00CA3512" w:rsidRPr="004C20B5">
        <w:rPr>
          <w:rFonts w:ascii="Tahoma" w:hAnsi="Tahoma" w:cs="Tahoma"/>
          <w:spacing w:val="-4"/>
          <w:sz w:val="26"/>
          <w:szCs w:val="26"/>
          <w:lang w:val="sr-Cyrl-CS"/>
        </w:rPr>
        <w:t>3</w:t>
      </w:r>
      <w:r w:rsidR="00CA3512" w:rsidRPr="004C20B5">
        <w:rPr>
          <w:rFonts w:ascii="Tahoma" w:hAnsi="Tahoma" w:cs="Tahoma"/>
          <w:spacing w:val="-4"/>
          <w:sz w:val="26"/>
          <w:szCs w:val="26"/>
          <w:lang w:val="hr-HR"/>
        </w:rPr>
        <w:t>/</w:t>
      </w:r>
      <w:r>
        <w:rPr>
          <w:rFonts w:ascii="Tahoma" w:hAnsi="Tahoma" w:cs="Tahoma"/>
          <w:spacing w:val="-4"/>
          <w:sz w:val="26"/>
          <w:szCs w:val="26"/>
          <w:lang w:val="hr-HR"/>
        </w:rPr>
        <w:t>November</w:t>
      </w:r>
      <w:r w:rsidR="00CA3512" w:rsidRPr="004C20B5">
        <w:rPr>
          <w:rFonts w:ascii="Tahoma" w:hAnsi="Tahoma" w:cs="Tahoma"/>
          <w:spacing w:val="-4"/>
          <w:sz w:val="26"/>
          <w:szCs w:val="26"/>
          <w:lang w:val="sr-Cyrl-CS"/>
        </w:rPr>
        <w:t xml:space="preserve"> </w:t>
      </w:r>
      <w:r w:rsidR="00CA3512" w:rsidRPr="004C20B5">
        <w:rPr>
          <w:rFonts w:ascii="Tahoma" w:hAnsi="Tahoma" w:cs="Tahoma"/>
          <w:bCs/>
          <w:spacing w:val="-4"/>
          <w:sz w:val="26"/>
          <w:szCs w:val="26"/>
          <w:lang w:val="ru-RU"/>
        </w:rPr>
        <w:t>20</w:t>
      </w:r>
      <w:r w:rsidR="00CA3512" w:rsidRPr="004C20B5">
        <w:rPr>
          <w:rFonts w:ascii="Tahoma" w:hAnsi="Tahoma" w:cs="Tahoma"/>
          <w:bCs/>
          <w:spacing w:val="-4"/>
          <w:sz w:val="26"/>
          <w:szCs w:val="26"/>
          <w:lang w:val="sr-Cyrl-CS"/>
        </w:rPr>
        <w:t>13</w:t>
      </w:r>
      <w:r w:rsidR="00CA3512" w:rsidRPr="004C20B5">
        <w:rPr>
          <w:rFonts w:ascii="Tahoma" w:hAnsi="Tahoma" w:cs="Tahoma"/>
          <w:bCs/>
          <w:spacing w:val="-4"/>
          <w:sz w:val="26"/>
          <w:szCs w:val="26"/>
          <w:lang w:val="hr-HR"/>
        </w:rPr>
        <w:t xml:space="preserve">) </w:t>
      </w:r>
      <w:r>
        <w:rPr>
          <w:rFonts w:ascii="Tahoma" w:hAnsi="Tahoma" w:cs="Tahoma"/>
          <w:bCs/>
          <w:spacing w:val="-4"/>
          <w:sz w:val="26"/>
          <w:szCs w:val="26"/>
        </w:rPr>
        <w:t>increased by</w:t>
      </w:r>
      <w:r w:rsidR="00CA3512" w:rsidRPr="004C20B5">
        <w:rPr>
          <w:rFonts w:ascii="Tahoma" w:hAnsi="Tahoma" w:cs="Tahoma"/>
          <w:bCs/>
          <w:spacing w:val="-4"/>
          <w:sz w:val="26"/>
          <w:szCs w:val="26"/>
          <w:lang w:val="sr-Cyrl-BA"/>
        </w:rPr>
        <w:t xml:space="preserve"> </w:t>
      </w:r>
      <w:r w:rsidR="00CA3512" w:rsidRPr="004C20B5">
        <w:rPr>
          <w:rFonts w:ascii="Tahoma" w:hAnsi="Tahoma" w:cs="Tahoma"/>
          <w:bCs/>
          <w:spacing w:val="-4"/>
          <w:sz w:val="26"/>
          <w:szCs w:val="26"/>
          <w:lang w:val="sr-Cyrl-CS"/>
        </w:rPr>
        <w:t>0</w:t>
      </w:r>
      <w:r>
        <w:rPr>
          <w:rFonts w:ascii="Tahoma" w:hAnsi="Tahoma" w:cs="Tahoma"/>
          <w:bCs/>
          <w:spacing w:val="-4"/>
          <w:sz w:val="26"/>
          <w:szCs w:val="26"/>
        </w:rPr>
        <w:t>.</w:t>
      </w:r>
      <w:r w:rsidR="00CA3512" w:rsidRPr="004C20B5">
        <w:rPr>
          <w:rFonts w:ascii="Tahoma" w:hAnsi="Tahoma" w:cs="Tahoma"/>
          <w:bCs/>
          <w:spacing w:val="-4"/>
          <w:sz w:val="26"/>
          <w:szCs w:val="26"/>
          <w:lang w:val="sr-Cyrl-BA"/>
        </w:rPr>
        <w:t>2</w:t>
      </w:r>
      <w:r w:rsidR="00CA3512" w:rsidRPr="004C20B5">
        <w:rPr>
          <w:rFonts w:ascii="Tahoma" w:hAnsi="Tahoma" w:cs="Tahoma"/>
          <w:spacing w:val="-4"/>
          <w:sz w:val="26"/>
          <w:szCs w:val="26"/>
          <w:lang w:val="ru-RU"/>
        </w:rPr>
        <w:t>%</w:t>
      </w:r>
    </w:p>
    <w:p w:rsidR="00CA3512" w:rsidRDefault="00CA3512" w:rsidP="00CA3512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</w:rPr>
      </w:pPr>
    </w:p>
    <w:p w:rsidR="00F62F92" w:rsidRPr="00F62F92" w:rsidRDefault="00F62F92" w:rsidP="00CA3512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</w:rPr>
      </w:pPr>
      <w:r w:rsidRPr="008F1E7E">
        <w:rPr>
          <w:rFonts w:ascii="Tahoma" w:hAnsi="Tahoma" w:cs="Tahoma"/>
          <w:b/>
          <w:spacing w:val="-4"/>
        </w:rPr>
        <w:t>Working-day adjusted industrial production</w:t>
      </w:r>
      <w:r w:rsidRPr="008F1E7E">
        <w:rPr>
          <w:rFonts w:ascii="Tahoma" w:hAnsi="Tahoma" w:cs="Tahoma"/>
          <w:spacing w:val="-4"/>
        </w:rPr>
        <w:t xml:space="preserve"> in</w:t>
      </w:r>
      <w:r>
        <w:rPr>
          <w:rFonts w:ascii="Tahoma" w:hAnsi="Tahoma" w:cs="Tahoma"/>
          <w:spacing w:val="-4"/>
        </w:rPr>
        <w:t xml:space="preserve"> December 2013, compared to December 2012, increased by 3.4%. In the section </w:t>
      </w:r>
      <w:r w:rsidRPr="00F62F92">
        <w:rPr>
          <w:rFonts w:ascii="Tahoma" w:hAnsi="Tahoma" w:cs="Tahoma"/>
          <w:i/>
          <w:spacing w:val="-4"/>
        </w:rPr>
        <w:t>Mining and quarrying</w:t>
      </w:r>
      <w:r>
        <w:rPr>
          <w:rFonts w:ascii="Tahoma" w:hAnsi="Tahoma" w:cs="Tahoma"/>
          <w:spacing w:val="-4"/>
        </w:rPr>
        <w:t xml:space="preserve"> an increase by 40.4% was recorded and an increase by 2.6% in the section </w:t>
      </w:r>
      <w:r w:rsidRPr="0056682A">
        <w:rPr>
          <w:rFonts w:ascii="Tahoma" w:hAnsi="Tahoma" w:cs="Tahoma"/>
          <w:i/>
          <w:spacing w:val="-4"/>
        </w:rPr>
        <w:t>Manufacturing</w:t>
      </w:r>
      <w:r>
        <w:rPr>
          <w:rFonts w:ascii="Tahoma" w:hAnsi="Tahoma" w:cs="Tahoma"/>
          <w:i/>
          <w:spacing w:val="-4"/>
        </w:rPr>
        <w:t xml:space="preserve">, </w:t>
      </w:r>
      <w:r>
        <w:rPr>
          <w:rFonts w:ascii="Tahoma" w:hAnsi="Tahoma" w:cs="Tahoma"/>
          <w:spacing w:val="-4"/>
        </w:rPr>
        <w:t xml:space="preserve">while in the section </w:t>
      </w:r>
      <w:r w:rsidRPr="008F1E7E">
        <w:rPr>
          <w:rFonts w:ascii="Tahoma" w:hAnsi="Tahoma" w:cs="Tahoma"/>
          <w:i/>
        </w:rPr>
        <w:t>Electricity, gas, steam and air-conditioning supply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a decrease by 9.1% was recorded. Working-day adjusted industrial production of consumer durables in December 2013, compared to December 2012, was 37.9% higher, production of intermediate goods was 14.5% higher, production of energy was 7.0% higher, and production of consumer non-durables was 4.4% higher, while production of capital goods was 29.1% lower. </w:t>
      </w:r>
    </w:p>
    <w:p w:rsidR="00F62F92" w:rsidRPr="00F62F92" w:rsidRDefault="00F62F92" w:rsidP="00CA3512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</w:rPr>
      </w:pPr>
    </w:p>
    <w:p w:rsidR="00CA3512" w:rsidRPr="008810AA" w:rsidRDefault="008810AA" w:rsidP="00CA351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Seasonally adjusted industrial production</w:t>
      </w:r>
      <w:r w:rsidRPr="009379D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December 2013 compared to November 2013 increased by 0.2%. In the section </w:t>
      </w:r>
      <w:r w:rsidRPr="008F1E7E">
        <w:rPr>
          <w:rFonts w:ascii="Tahoma" w:hAnsi="Tahoma" w:cs="Tahoma"/>
          <w:i/>
        </w:rPr>
        <w:t>Electricity, gas, steam and air-conditioning supply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a decrease by 1.9% was recorded and a decrease by 3.8% in</w:t>
      </w:r>
      <w:r w:rsidRPr="008810AA">
        <w:rPr>
          <w:rFonts w:ascii="Tahoma" w:hAnsi="Tahoma" w:cs="Tahoma"/>
          <w:i/>
        </w:rPr>
        <w:t xml:space="preserve"> </w:t>
      </w:r>
      <w:r w:rsidRPr="003549F4">
        <w:rPr>
          <w:rFonts w:ascii="Tahoma" w:hAnsi="Tahoma" w:cs="Tahoma"/>
          <w:i/>
        </w:rPr>
        <w:t>Manufacturing</w:t>
      </w:r>
      <w:r>
        <w:rPr>
          <w:rFonts w:ascii="Tahoma" w:hAnsi="Tahoma" w:cs="Tahoma"/>
        </w:rPr>
        <w:t xml:space="preserve">, while in the section </w:t>
      </w:r>
      <w:r w:rsidRPr="003549F4">
        <w:rPr>
          <w:rFonts w:ascii="Tahoma" w:hAnsi="Tahoma" w:cs="Tahoma"/>
          <w:i/>
        </w:rPr>
        <w:t>Mining and quarrying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an increase by 27.2% was recorded. By main industrial group, based on economic purpose of products, seasonally adjusted production of intermediate goods in December 2013, compared to November 2013, was 7.2% higher, production of energy was 4.7% higher and production of consumer durables was 1.7% higher, while production of capital goods was 1.4% lower and production of consumer non-durables was 10.5% lower. </w:t>
      </w:r>
    </w:p>
    <w:p w:rsidR="008810AA" w:rsidRPr="004C20B5" w:rsidRDefault="008810AA" w:rsidP="00CA3512">
      <w:pPr>
        <w:jc w:val="both"/>
        <w:rPr>
          <w:rFonts w:ascii="Tahoma" w:hAnsi="Tahoma" w:cs="Tahoma"/>
          <w:lang w:val="sr-Cyrl-CS"/>
        </w:rPr>
      </w:pPr>
    </w:p>
    <w:p w:rsidR="00CA3512" w:rsidRPr="004C20B5" w:rsidRDefault="00AD5A5A" w:rsidP="00CA3512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b/>
          <w:spacing w:val="-4"/>
        </w:rPr>
        <w:t xml:space="preserve">Number of employees in industry </w:t>
      </w:r>
      <w:r>
        <w:rPr>
          <w:rFonts w:ascii="Tahoma" w:hAnsi="Tahoma" w:cs="Tahoma"/>
          <w:spacing w:val="-4"/>
        </w:rPr>
        <w:t xml:space="preserve">in December 2013, compared to the average number of employees in 2012, was 0.2% lower, compared to November 2013 it was 0.8% lower, while compared to the same month of the previous year it was 0.2% higher. </w:t>
      </w:r>
      <w:r w:rsidR="0059030C">
        <w:rPr>
          <w:rFonts w:ascii="Tahoma" w:hAnsi="Tahoma" w:cs="Tahoma"/>
          <w:spacing w:val="-4"/>
        </w:rPr>
        <w:t xml:space="preserve">In the period January – December 2013, compared to the same period of the previous year, in the </w:t>
      </w:r>
      <w:r w:rsidR="0059030C">
        <w:rPr>
          <w:rFonts w:ascii="Tahoma" w:hAnsi="Tahoma" w:cs="Tahoma"/>
          <w:spacing w:val="-4"/>
        </w:rPr>
        <w:lastRenderedPageBreak/>
        <w:t xml:space="preserve">section </w:t>
      </w:r>
      <w:r w:rsidR="0059030C" w:rsidRPr="008F1E7E">
        <w:rPr>
          <w:rFonts w:ascii="Tahoma" w:hAnsi="Tahoma" w:cs="Tahoma"/>
          <w:i/>
        </w:rPr>
        <w:t>Electricity, gas, steam and air-conditioning supply</w:t>
      </w:r>
      <w:r w:rsidR="0059030C">
        <w:rPr>
          <w:rFonts w:ascii="Tahoma" w:hAnsi="Tahoma" w:cs="Tahoma"/>
          <w:i/>
        </w:rPr>
        <w:t xml:space="preserve"> </w:t>
      </w:r>
      <w:r w:rsidR="0059030C">
        <w:rPr>
          <w:rFonts w:ascii="Tahoma" w:hAnsi="Tahoma" w:cs="Tahoma"/>
        </w:rPr>
        <w:t xml:space="preserve">an increase by 1.4% was realised, in the section </w:t>
      </w:r>
      <w:r w:rsidR="0059030C" w:rsidRPr="0059030C">
        <w:rPr>
          <w:rFonts w:ascii="Tahoma" w:hAnsi="Tahoma" w:cs="Tahoma"/>
          <w:i/>
        </w:rPr>
        <w:t>Mining and quarrying</w:t>
      </w:r>
      <w:r w:rsidR="0059030C">
        <w:rPr>
          <w:rFonts w:ascii="Tahoma" w:hAnsi="Tahoma" w:cs="Tahoma"/>
        </w:rPr>
        <w:t xml:space="preserve"> an increase by 0.7% was recorded, while in the section </w:t>
      </w:r>
      <w:r w:rsidR="0059030C" w:rsidRPr="0059030C">
        <w:rPr>
          <w:rFonts w:ascii="Tahoma" w:hAnsi="Tahoma" w:cs="Tahoma"/>
          <w:i/>
        </w:rPr>
        <w:t>Manufacturing</w:t>
      </w:r>
      <w:r w:rsidR="0059030C">
        <w:rPr>
          <w:rFonts w:ascii="Tahoma" w:hAnsi="Tahoma" w:cs="Tahoma"/>
        </w:rPr>
        <w:t xml:space="preserve"> the number of employees decreased by 0.5%.</w:t>
      </w:r>
    </w:p>
    <w:p w:rsidR="00F04A4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CA3512" w:rsidRPr="003100EC" w:rsidRDefault="00CA3512" w:rsidP="00115CDB">
      <w:pPr>
        <w:rPr>
          <w:rFonts w:ascii="Tahoma" w:hAnsi="Tahoma" w:cs="Tahoma"/>
          <w:bCs/>
          <w:sz w:val="18"/>
          <w:szCs w:val="18"/>
        </w:rPr>
      </w:pPr>
      <w:r w:rsidRPr="00CA3512">
        <w:rPr>
          <w:rFonts w:ascii="Tahoma" w:hAnsi="Tahoma" w:cs="Tahoma"/>
          <w:bCs/>
          <w:noProof/>
          <w:sz w:val="18"/>
          <w:szCs w:val="18"/>
        </w:rPr>
        <w:drawing>
          <wp:inline distT="0" distB="0" distL="0" distR="0">
            <wp:extent cx="6480810" cy="3042518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4A4B" w:rsidRPr="003100E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100E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100EC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A5483C" w:rsidP="00CA3512">
      <w:pPr>
        <w:jc w:val="center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>Graph</w:t>
      </w:r>
      <w:r w:rsidR="00CA3512" w:rsidRPr="004C20B5">
        <w:rPr>
          <w:rFonts w:ascii="Tahoma" w:hAnsi="Tahoma" w:cs="Tahoma"/>
          <w:lang w:val="sr-Latn-CS"/>
        </w:rPr>
        <w:t xml:space="preserve"> </w:t>
      </w:r>
      <w:r w:rsidR="00CA3512" w:rsidRPr="004C20B5">
        <w:rPr>
          <w:rFonts w:ascii="Tahoma" w:hAnsi="Tahoma" w:cs="Tahoma"/>
        </w:rPr>
        <w:t>3</w:t>
      </w:r>
      <w:r w:rsidR="00CA3512" w:rsidRPr="004C20B5">
        <w:rPr>
          <w:rFonts w:ascii="Tahoma" w:hAnsi="Tahoma" w:cs="Tahoma"/>
          <w:lang w:val="sr-Latn-CS"/>
        </w:rPr>
        <w:t xml:space="preserve">. </w:t>
      </w:r>
      <w:r>
        <w:rPr>
          <w:rFonts w:ascii="Tahoma" w:hAnsi="Tahoma" w:cs="Tahoma"/>
          <w:lang w:val="sr-Latn-CS"/>
        </w:rPr>
        <w:t>Indices of industrial production</w:t>
      </w:r>
      <w:r w:rsidR="00CA3512" w:rsidRPr="004C20B5">
        <w:rPr>
          <w:rFonts w:ascii="Tahoma" w:hAnsi="Tahoma" w:cs="Tahoma"/>
          <w:lang w:val="sr-Latn-CS"/>
        </w:rPr>
        <w:t xml:space="preserve">,  </w:t>
      </w:r>
      <w:r>
        <w:rPr>
          <w:rFonts w:ascii="Tahoma" w:hAnsi="Tahoma" w:cs="Tahoma"/>
        </w:rPr>
        <w:t>December</w:t>
      </w:r>
      <w:r w:rsidR="00CA3512" w:rsidRPr="004C20B5">
        <w:rPr>
          <w:rFonts w:ascii="Tahoma" w:hAnsi="Tahoma" w:cs="Tahoma"/>
          <w:lang w:val="sr-Latn-CS"/>
        </w:rPr>
        <w:t xml:space="preserve"> 2009 – </w:t>
      </w:r>
      <w:r>
        <w:rPr>
          <w:rFonts w:ascii="Tahoma" w:hAnsi="Tahoma" w:cs="Tahoma"/>
        </w:rPr>
        <w:t>December</w:t>
      </w:r>
      <w:r>
        <w:rPr>
          <w:rFonts w:ascii="Tahoma" w:hAnsi="Tahoma" w:cs="Tahoma"/>
          <w:lang w:val="sr-Latn-CS"/>
        </w:rPr>
        <w:t xml:space="preserve"> 2013</w:t>
      </w:r>
      <w:r w:rsidR="00CA3512" w:rsidRPr="004C20B5">
        <w:rPr>
          <w:rFonts w:ascii="Tahoma" w:hAnsi="Tahoma" w:cs="Tahoma"/>
          <w:lang w:val="sr-Latn-CS"/>
        </w:rPr>
        <w:t xml:space="preserve">  (</w:t>
      </w:r>
      <w:r w:rsidR="00CA3512" w:rsidRPr="004C20B5">
        <w:rPr>
          <w:rFonts w:ascii="Tahoma" w:hAnsi="Tahoma" w:cs="Tahoma"/>
          <w:lang w:val="sr-Latn-CS"/>
        </w:rPr>
        <w:sym w:font="Symbol" w:char="F0C6"/>
      </w:r>
      <w:r w:rsidR="00CA3512" w:rsidRPr="004C20B5">
        <w:rPr>
          <w:rFonts w:ascii="Tahoma" w:hAnsi="Tahoma" w:cs="Tahoma"/>
          <w:lang w:val="sr-Latn-CS"/>
        </w:rPr>
        <w:t>2010=100)</w:t>
      </w: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A3512" w:rsidRPr="004C20B5" w:rsidRDefault="00815C4F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</w:rPr>
        <w:t>Export</w:t>
      </w:r>
      <w:r w:rsidRPr="00967DE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hr-HR"/>
        </w:rPr>
        <w:t>(January</w:t>
      </w:r>
      <w:r w:rsidR="00CA3512" w:rsidRPr="004C20B5">
        <w:rPr>
          <w:rFonts w:ascii="Tahoma" w:hAnsi="Tahoma" w:cs="Tahoma"/>
          <w:b/>
          <w:sz w:val="28"/>
          <w:szCs w:val="28"/>
          <w:lang w:val="hr-HR"/>
        </w:rPr>
        <w:t>-</w:t>
      </w:r>
      <w:r>
        <w:rPr>
          <w:rFonts w:ascii="Tahoma" w:hAnsi="Tahoma" w:cs="Tahoma"/>
          <w:b/>
          <w:sz w:val="28"/>
          <w:szCs w:val="28"/>
          <w:lang w:val="hr-HR"/>
        </w:rPr>
        <w:t>December</w:t>
      </w:r>
      <w:r w:rsidR="00CA3512" w:rsidRPr="004C20B5">
        <w:rPr>
          <w:rFonts w:ascii="Tahoma" w:hAnsi="Tahoma" w:cs="Tahoma"/>
          <w:b/>
          <w:sz w:val="28"/>
          <w:szCs w:val="28"/>
          <w:lang w:val="hr-HR"/>
        </w:rPr>
        <w:t xml:space="preserve"> 2013/</w:t>
      </w:r>
      <w:r w:rsidRPr="00815C4F">
        <w:rPr>
          <w:rFonts w:ascii="Tahoma" w:hAnsi="Tahoma" w:cs="Tahoma"/>
          <w:b/>
          <w:sz w:val="28"/>
          <w:szCs w:val="28"/>
          <w:lang w:val="hr-HR"/>
        </w:rPr>
        <w:t xml:space="preserve"> </w:t>
      </w:r>
      <w:r>
        <w:rPr>
          <w:rFonts w:ascii="Tahoma" w:hAnsi="Tahoma" w:cs="Tahoma"/>
          <w:b/>
          <w:sz w:val="28"/>
          <w:szCs w:val="28"/>
          <w:lang w:val="hr-HR"/>
        </w:rPr>
        <w:t>January</w:t>
      </w:r>
      <w:r w:rsidRPr="004C20B5">
        <w:rPr>
          <w:rFonts w:ascii="Tahoma" w:hAnsi="Tahoma" w:cs="Tahoma"/>
          <w:b/>
          <w:sz w:val="28"/>
          <w:szCs w:val="28"/>
          <w:lang w:val="hr-HR"/>
        </w:rPr>
        <w:t xml:space="preserve"> </w:t>
      </w:r>
      <w:r w:rsidR="00CA3512" w:rsidRPr="004C20B5">
        <w:rPr>
          <w:rFonts w:ascii="Tahoma" w:hAnsi="Tahoma" w:cs="Tahoma"/>
          <w:b/>
          <w:sz w:val="28"/>
          <w:szCs w:val="28"/>
          <w:lang w:val="hr-HR"/>
        </w:rPr>
        <w:t>-</w:t>
      </w:r>
      <w:r w:rsidRPr="00815C4F">
        <w:rPr>
          <w:rFonts w:ascii="Tahoma" w:hAnsi="Tahoma" w:cs="Tahoma"/>
          <w:b/>
          <w:sz w:val="28"/>
          <w:szCs w:val="28"/>
          <w:lang w:val="hr-HR"/>
        </w:rPr>
        <w:t xml:space="preserve"> </w:t>
      </w:r>
      <w:r>
        <w:rPr>
          <w:rFonts w:ascii="Tahoma" w:hAnsi="Tahoma" w:cs="Tahoma"/>
          <w:b/>
          <w:sz w:val="28"/>
          <w:szCs w:val="28"/>
          <w:lang w:val="hr-HR"/>
        </w:rPr>
        <w:t>December</w:t>
      </w:r>
      <w:r w:rsidRPr="004C20B5">
        <w:rPr>
          <w:rFonts w:ascii="Tahoma" w:hAnsi="Tahoma" w:cs="Tahoma"/>
          <w:b/>
          <w:sz w:val="28"/>
          <w:szCs w:val="28"/>
          <w:lang w:val="hr-HR"/>
        </w:rPr>
        <w:t xml:space="preserve"> </w:t>
      </w:r>
      <w:r w:rsidR="00CA3512" w:rsidRPr="004C20B5">
        <w:rPr>
          <w:rFonts w:ascii="Tahoma" w:hAnsi="Tahoma" w:cs="Tahoma"/>
          <w:b/>
          <w:sz w:val="28"/>
          <w:szCs w:val="28"/>
          <w:lang w:val="hr-HR"/>
        </w:rPr>
        <w:t xml:space="preserve">2012) </w:t>
      </w:r>
      <w:r>
        <w:rPr>
          <w:rFonts w:ascii="Tahoma" w:hAnsi="Tahoma" w:cs="Tahoma"/>
          <w:b/>
          <w:sz w:val="28"/>
          <w:szCs w:val="28"/>
        </w:rPr>
        <w:t xml:space="preserve">increased by </w:t>
      </w:r>
      <w:r w:rsidR="00CA3512" w:rsidRPr="004C20B5">
        <w:rPr>
          <w:rFonts w:ascii="Tahoma" w:hAnsi="Tahoma" w:cs="Tahoma"/>
          <w:b/>
          <w:sz w:val="28"/>
          <w:szCs w:val="28"/>
        </w:rPr>
        <w:t>9</w:t>
      </w:r>
      <w:r>
        <w:rPr>
          <w:rFonts w:ascii="Tahoma" w:hAnsi="Tahoma" w:cs="Tahoma"/>
          <w:b/>
          <w:sz w:val="28"/>
          <w:szCs w:val="28"/>
        </w:rPr>
        <w:t>.</w:t>
      </w:r>
      <w:r w:rsidR="00CA3512" w:rsidRPr="004C20B5">
        <w:rPr>
          <w:rFonts w:ascii="Tahoma" w:hAnsi="Tahoma" w:cs="Tahoma"/>
          <w:b/>
          <w:sz w:val="28"/>
          <w:szCs w:val="28"/>
        </w:rPr>
        <w:t>0</w:t>
      </w:r>
      <w:r w:rsidR="00CA3512" w:rsidRPr="004C20B5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CA3512" w:rsidRPr="004C20B5" w:rsidRDefault="00815C4F" w:rsidP="00CA3512">
      <w:pPr>
        <w:rPr>
          <w:rFonts w:ascii="Tahoma" w:hAnsi="Tahoma" w:cs="Tahoma"/>
          <w:sz w:val="26"/>
          <w:szCs w:val="26"/>
          <w:lang w:val="sr-Cyrl-CS"/>
        </w:rPr>
      </w:pPr>
      <w:r w:rsidRPr="00E23AF4">
        <w:rPr>
          <w:rFonts w:ascii="Tahoma" w:hAnsi="Tahoma" w:cs="Tahoma"/>
          <w:sz w:val="26"/>
          <w:szCs w:val="26"/>
        </w:rPr>
        <w:t>Coverage of import with export</w:t>
      </w:r>
      <w:r w:rsidRPr="00E23AF4">
        <w:rPr>
          <w:rFonts w:ascii="Tahoma" w:hAnsi="Tahoma" w:cs="Tahoma"/>
          <w:sz w:val="26"/>
          <w:szCs w:val="26"/>
          <w:lang w:val="sr-Cyrl-BA"/>
        </w:rPr>
        <w:t xml:space="preserve"> (</w:t>
      </w:r>
      <w:r w:rsidRPr="00E23AF4">
        <w:rPr>
          <w:rFonts w:ascii="Tahoma" w:hAnsi="Tahoma" w:cs="Tahoma"/>
          <w:sz w:val="26"/>
          <w:szCs w:val="26"/>
        </w:rPr>
        <w:t>in the period</w:t>
      </w:r>
      <w:r w:rsidRPr="00E23AF4">
        <w:rPr>
          <w:rFonts w:ascii="Tahoma" w:hAnsi="Tahoma" w:cs="Tahoma"/>
          <w:sz w:val="26"/>
          <w:szCs w:val="26"/>
          <w:lang w:val="sr-Cyrl-BA"/>
        </w:rPr>
        <w:t xml:space="preserve"> </w:t>
      </w:r>
      <w:r w:rsidRPr="00E23AF4">
        <w:rPr>
          <w:rFonts w:ascii="Tahoma" w:hAnsi="Tahoma" w:cs="Tahoma"/>
          <w:sz w:val="26"/>
          <w:szCs w:val="26"/>
          <w:lang w:val="sr-Latn-CS"/>
        </w:rPr>
        <w:t>January -</w:t>
      </w:r>
      <w:r>
        <w:rPr>
          <w:rFonts w:ascii="Tahoma" w:hAnsi="Tahoma" w:cs="Tahoma"/>
          <w:sz w:val="26"/>
          <w:szCs w:val="26"/>
          <w:lang w:val="sr-Latn-CS"/>
        </w:rPr>
        <w:t>December</w:t>
      </w:r>
      <w:r w:rsidRPr="00E23AF4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E23AF4">
        <w:rPr>
          <w:rFonts w:ascii="Tahoma" w:hAnsi="Tahoma" w:cs="Tahoma"/>
          <w:sz w:val="26"/>
          <w:szCs w:val="26"/>
          <w:lang w:val="ru-RU"/>
        </w:rPr>
        <w:t>201</w:t>
      </w:r>
      <w:r w:rsidRPr="00E23AF4">
        <w:rPr>
          <w:rFonts w:ascii="Tahoma" w:hAnsi="Tahoma" w:cs="Tahoma"/>
          <w:sz w:val="26"/>
          <w:szCs w:val="26"/>
        </w:rPr>
        <w:t>3</w:t>
      </w:r>
      <w:r w:rsidRPr="00E23AF4">
        <w:rPr>
          <w:rFonts w:ascii="Tahoma" w:hAnsi="Tahoma" w:cs="Tahoma"/>
          <w:sz w:val="26"/>
          <w:szCs w:val="26"/>
          <w:lang w:val="sr-Cyrl-BA"/>
        </w:rPr>
        <w:t>)</w:t>
      </w:r>
      <w:r w:rsidRPr="00E23AF4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E23AF4">
        <w:rPr>
          <w:rFonts w:ascii="Tahoma" w:hAnsi="Tahoma" w:cs="Tahoma"/>
          <w:sz w:val="26"/>
          <w:szCs w:val="26"/>
        </w:rPr>
        <w:t xml:space="preserve">was </w:t>
      </w:r>
      <w:r w:rsidR="00CA3512" w:rsidRPr="004C20B5">
        <w:rPr>
          <w:rFonts w:ascii="Tahoma" w:hAnsi="Tahoma" w:cs="Tahoma"/>
          <w:sz w:val="26"/>
          <w:szCs w:val="26"/>
          <w:lang w:val="hr-HR"/>
        </w:rPr>
        <w:t>56</w:t>
      </w:r>
      <w:r>
        <w:rPr>
          <w:rFonts w:ascii="Tahoma" w:hAnsi="Tahoma" w:cs="Tahoma"/>
          <w:sz w:val="26"/>
          <w:szCs w:val="26"/>
        </w:rPr>
        <w:t>.</w:t>
      </w:r>
      <w:r w:rsidR="00CA3512" w:rsidRPr="004C20B5">
        <w:rPr>
          <w:rFonts w:ascii="Tahoma" w:hAnsi="Tahoma" w:cs="Tahoma"/>
          <w:sz w:val="26"/>
          <w:szCs w:val="26"/>
        </w:rPr>
        <w:t>9</w:t>
      </w:r>
      <w:r w:rsidR="00CA3512" w:rsidRPr="004C20B5">
        <w:rPr>
          <w:rFonts w:ascii="Tahoma" w:hAnsi="Tahoma" w:cs="Tahoma"/>
          <w:sz w:val="26"/>
          <w:szCs w:val="26"/>
          <w:lang w:val="ru-RU"/>
        </w:rPr>
        <w:t xml:space="preserve">% </w:t>
      </w: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DD5BF1" w:rsidRDefault="00DD5BF1" w:rsidP="00CA35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December 2013, the value of export was 222 million KM, while the value of import was 392 million KM.</w:t>
      </w:r>
    </w:p>
    <w:p w:rsidR="00CA3512" w:rsidRPr="004C20B5" w:rsidRDefault="00CA3512" w:rsidP="00CA3512">
      <w:pPr>
        <w:jc w:val="both"/>
        <w:rPr>
          <w:rFonts w:ascii="Tahoma" w:hAnsi="Tahoma" w:cs="Tahoma"/>
          <w:lang w:val="sr-Cyrl-BA"/>
        </w:rPr>
      </w:pPr>
    </w:p>
    <w:p w:rsidR="00DD5BF1" w:rsidRDefault="00DD5BF1" w:rsidP="00DD5BF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total external trade realised by Republika Srpska in December 2013, the percentage of coverage of import with export was 56.8%. </w:t>
      </w:r>
    </w:p>
    <w:p w:rsidR="00DD5BF1" w:rsidRDefault="00DD5BF1" w:rsidP="00CA3512">
      <w:pPr>
        <w:jc w:val="both"/>
        <w:rPr>
          <w:rFonts w:ascii="Tahoma" w:hAnsi="Tahoma" w:cs="Tahoma"/>
        </w:rPr>
      </w:pPr>
    </w:p>
    <w:p w:rsidR="00DD5BF1" w:rsidRPr="0040648A" w:rsidRDefault="00DD5BF1" w:rsidP="00DD5BF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the period January – December 2013, the value of export was 2 billion and 588 million KM, which represented an increase by 9.0% compared to the same period of the previous year. During the same period, the value of import was 4 billion and 552 million KM, which represented an increase by 1.4% compared to the same period of the previous year. Percentage of coverage of import with export during the twelve months of 2013 was 56.9%. </w:t>
      </w:r>
    </w:p>
    <w:p w:rsidR="00CA3512" w:rsidRPr="004C20B5" w:rsidRDefault="00CA3512" w:rsidP="00CA3512">
      <w:pPr>
        <w:jc w:val="both"/>
        <w:rPr>
          <w:rFonts w:ascii="Tahoma" w:hAnsi="Tahoma" w:cs="Tahoma"/>
        </w:rPr>
      </w:pPr>
    </w:p>
    <w:p w:rsidR="00DD5BF1" w:rsidRPr="0040648A" w:rsidRDefault="00DD5BF1" w:rsidP="00DD5BF1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In terms of the geographical distribution of external trade of Republika Srpska, in the period January – December 2013, the highest value of export was that of export to Serbia, with 412 million KM or 15.90%, followed by Italy with 411 million KM or 15.88% of the total realised export. </w:t>
      </w: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CA3512" w:rsidRDefault="00DD5BF1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During the same period, the highest value of import was that of import from Russia, with 1 billion and </w:t>
      </w:r>
      <w:r w:rsidR="00C97183">
        <w:rPr>
          <w:rFonts w:ascii="Tahoma" w:hAnsi="Tahoma" w:cs="Tahoma"/>
        </w:rPr>
        <w:t>222 million or 26.8</w:t>
      </w:r>
      <w:r>
        <w:rPr>
          <w:rFonts w:ascii="Tahoma" w:hAnsi="Tahoma" w:cs="Tahoma"/>
        </w:rPr>
        <w:t xml:space="preserve">%, followed by Serbia with </w:t>
      </w:r>
      <w:r w:rsidR="00C97183">
        <w:rPr>
          <w:rFonts w:ascii="Tahoma" w:hAnsi="Tahoma" w:cs="Tahoma"/>
        </w:rPr>
        <w:t>765 million KM or 16.8</w:t>
      </w:r>
      <w:r>
        <w:rPr>
          <w:rFonts w:ascii="Tahoma" w:hAnsi="Tahoma" w:cs="Tahoma"/>
        </w:rPr>
        <w:t>% of the total realised import.</w:t>
      </w:r>
    </w:p>
    <w:p w:rsidR="00DD5BF1" w:rsidRPr="004C20B5" w:rsidRDefault="00DD5BF1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C97183" w:rsidRPr="0040648A" w:rsidRDefault="00C97183" w:rsidP="00C97183">
      <w:pPr>
        <w:tabs>
          <w:tab w:val="left" w:pos="300"/>
          <w:tab w:val="left" w:pos="1100"/>
        </w:tabs>
        <w:jc w:val="both"/>
        <w:rPr>
          <w:rFonts w:ascii="Tahoma" w:hAnsi="Tahoma" w:cs="Tahoma"/>
        </w:rPr>
      </w:pPr>
      <w:r w:rsidRPr="008F1E7E">
        <w:rPr>
          <w:rFonts w:ascii="Tahoma" w:hAnsi="Tahoma" w:cs="Tahoma"/>
          <w:bCs/>
        </w:rPr>
        <w:t>By group of products, in the period January –</w:t>
      </w:r>
      <w:r>
        <w:rPr>
          <w:rFonts w:ascii="Tahoma" w:hAnsi="Tahoma" w:cs="Tahoma"/>
          <w:bCs/>
        </w:rPr>
        <w:t xml:space="preserve"> </w:t>
      </w:r>
      <w:r w:rsidR="00D75343">
        <w:rPr>
          <w:rFonts w:ascii="Tahoma" w:hAnsi="Tahoma" w:cs="Tahoma"/>
          <w:bCs/>
        </w:rPr>
        <w:t>December</w:t>
      </w:r>
      <w:r>
        <w:rPr>
          <w:rFonts w:ascii="Tahoma" w:hAnsi="Tahoma" w:cs="Tahoma"/>
          <w:bCs/>
        </w:rPr>
        <w:t xml:space="preserve"> 2013, the highest share in export was that of </w:t>
      </w:r>
      <w:r w:rsidRPr="008F1E7E">
        <w:rPr>
          <w:rFonts w:ascii="Tahoma" w:hAnsi="Tahoma" w:cs="Tahoma"/>
          <w:bCs/>
        </w:rPr>
        <w:t xml:space="preserve">petroleum oils and oils obtained from bituminous minerals (except raw) </w:t>
      </w:r>
      <w:r w:rsidRPr="008F1E7E">
        <w:rPr>
          <w:rFonts w:ascii="Tahoma" w:hAnsi="Tahoma" w:cs="Tahoma"/>
        </w:rPr>
        <w:t>with the total value of</w:t>
      </w:r>
      <w:r>
        <w:rPr>
          <w:rFonts w:ascii="Tahoma" w:hAnsi="Tahoma" w:cs="Tahoma"/>
        </w:rPr>
        <w:t xml:space="preserve"> </w:t>
      </w:r>
      <w:r w:rsidR="0062161D">
        <w:rPr>
          <w:rFonts w:ascii="Tahoma" w:hAnsi="Tahoma" w:cs="Tahoma"/>
        </w:rPr>
        <w:t>242 million KM, which was 9.4</w:t>
      </w:r>
      <w:r>
        <w:rPr>
          <w:rFonts w:ascii="Tahoma" w:hAnsi="Tahoma" w:cs="Tahoma"/>
        </w:rPr>
        <w:t xml:space="preserve">% of the total export, </w:t>
      </w:r>
      <w:r w:rsidRPr="008F1E7E">
        <w:rPr>
          <w:rFonts w:ascii="Tahoma" w:hAnsi="Tahoma" w:cs="Tahoma"/>
        </w:rPr>
        <w:t xml:space="preserve">while the highest </w:t>
      </w:r>
      <w:r>
        <w:rPr>
          <w:rFonts w:ascii="Tahoma" w:hAnsi="Tahoma" w:cs="Tahoma"/>
        </w:rPr>
        <w:t>share</w:t>
      </w:r>
      <w:r w:rsidRPr="008F1E7E">
        <w:rPr>
          <w:rFonts w:ascii="Tahoma" w:hAnsi="Tahoma" w:cs="Tahoma"/>
        </w:rPr>
        <w:t xml:space="preserve"> in import was that of petroleum and oils obtained from bituminous minerals (raw), with the total value of</w:t>
      </w:r>
      <w:r>
        <w:rPr>
          <w:rFonts w:ascii="Tahoma" w:hAnsi="Tahoma" w:cs="Tahoma"/>
        </w:rPr>
        <w:t xml:space="preserve"> 1 billion and </w:t>
      </w:r>
      <w:r w:rsidR="0062161D">
        <w:rPr>
          <w:rFonts w:ascii="Tahoma" w:hAnsi="Tahoma" w:cs="Tahoma"/>
        </w:rPr>
        <w:t>200 million KM, which was 26.4</w:t>
      </w:r>
      <w:r>
        <w:rPr>
          <w:rFonts w:ascii="Tahoma" w:hAnsi="Tahoma" w:cs="Tahoma"/>
        </w:rPr>
        <w:t xml:space="preserve">% of the total import. </w:t>
      </w:r>
    </w:p>
    <w:p w:rsidR="00CA3512" w:rsidRPr="0062161D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A3512" w:rsidRPr="004C20B5" w:rsidRDefault="00A936F9" w:rsidP="00CA3512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07.85pt;margin-top:4.7pt;width:61.05pt;height:19.75pt;z-index:251675648;mso-width-relative:margin;mso-height-relative:margin" stroked="f">
            <v:textbox style="mso-next-textbox:#_x0000_s1075">
              <w:txbxContent>
                <w:p w:rsidR="0010772A" w:rsidRPr="004C20B5" w:rsidRDefault="0010772A" w:rsidP="00CA3512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thous</w:t>
                  </w:r>
                  <w:r w:rsidRPr="004C20B5">
                    <w:rPr>
                      <w:rFonts w:ascii="Tahoma" w:hAnsi="Tahoma" w:cs="Tahoma"/>
                      <w:sz w:val="18"/>
                      <w:szCs w:val="18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CA3512" w:rsidRPr="004C20B5" w:rsidRDefault="00CA3512" w:rsidP="00CA3512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CA3512" w:rsidRPr="004C20B5" w:rsidRDefault="00CA3512" w:rsidP="00CA3512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4C20B5">
        <w:rPr>
          <w:rFonts w:ascii="Tahoma" w:hAnsi="Tahoma" w:cs="Tahoma"/>
          <w:b/>
          <w:noProof/>
        </w:rPr>
        <w:drawing>
          <wp:inline distT="0" distB="0" distL="0" distR="0">
            <wp:extent cx="4445000" cy="2686050"/>
            <wp:effectExtent l="19050" t="0" r="0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3512" w:rsidRPr="004C20B5" w:rsidRDefault="00A936F9" w:rsidP="00CA3512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74" type="#_x0000_t202" style="position:absolute;left:0;text-align:left;margin-left:280.75pt;margin-top:-.15pt;width:50.45pt;height:19.25pt;z-index:251674624;mso-height-percent:200;mso-height-percent:200;mso-width-relative:margin;mso-height-relative:margin" stroked="f">
            <v:textbox style="mso-next-textbox:#_x0000_s1074;mso-fit-shape-to-text:t">
              <w:txbxContent>
                <w:p w:rsidR="0010772A" w:rsidRPr="004C20B5" w:rsidRDefault="0010772A" w:rsidP="00CA3512">
                  <w:pPr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</w:pPr>
                  <w:r w:rsidRPr="004C20B5">
                    <w:rPr>
                      <w:rFonts w:ascii="Tahoma" w:hAnsi="Tahoma" w:cs="Tahoma"/>
                      <w:sz w:val="18"/>
                      <w:szCs w:val="18"/>
                    </w:rPr>
                    <w:t>201</w:t>
                  </w:r>
                  <w:r w:rsidRPr="004C20B5"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73" type="#_x0000_t202" style="position:absolute;left:0;text-align:left;margin-left:123.05pt;margin-top:-.15pt;width:48.5pt;height:19.25pt;z-index:251673600;mso-height-percent:200;mso-height-percent:200;mso-width-relative:margin;mso-height-relative:margin" stroked="f">
            <v:textbox style="mso-next-textbox:#_x0000_s1073;mso-fit-shape-to-text:t">
              <w:txbxContent>
                <w:p w:rsidR="0010772A" w:rsidRPr="004C20B5" w:rsidRDefault="0010772A" w:rsidP="00CA3512">
                  <w:pPr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</w:pPr>
                  <w:r w:rsidRPr="004C20B5">
                    <w:rPr>
                      <w:rFonts w:ascii="Tahoma" w:hAnsi="Tahoma" w:cs="Tahoma"/>
                      <w:sz w:val="18"/>
                      <w:szCs w:val="18"/>
                    </w:rPr>
                    <w:t>201</w:t>
                  </w:r>
                  <w:r w:rsidRPr="004C20B5">
                    <w:rPr>
                      <w:rFonts w:ascii="Tahoma" w:hAnsi="Tahoma" w:cs="Tahoma"/>
                      <w:sz w:val="18"/>
                      <w:szCs w:val="18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A3512" w:rsidRPr="004C20B5" w:rsidRDefault="00CA3512" w:rsidP="00CA3512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CA3512" w:rsidRPr="004C20B5" w:rsidRDefault="00CA3512" w:rsidP="00CA3512">
      <w:pPr>
        <w:tabs>
          <w:tab w:val="left" w:pos="2535"/>
        </w:tabs>
        <w:jc w:val="center"/>
        <w:rPr>
          <w:rFonts w:ascii="Tahoma" w:hAnsi="Tahoma" w:cs="Tahoma"/>
        </w:rPr>
      </w:pPr>
    </w:p>
    <w:p w:rsidR="00CA3512" w:rsidRPr="006310B3" w:rsidRDefault="006310B3" w:rsidP="00CA3512">
      <w:pPr>
        <w:tabs>
          <w:tab w:val="left" w:pos="2535"/>
        </w:tabs>
        <w:jc w:val="center"/>
        <w:rPr>
          <w:rFonts w:ascii="Tahoma" w:hAnsi="Tahoma" w:cs="Tahoma"/>
          <w:iCs/>
        </w:rPr>
      </w:pPr>
      <w:r>
        <w:rPr>
          <w:rFonts w:ascii="Tahoma" w:hAnsi="Tahoma" w:cs="Tahoma"/>
        </w:rPr>
        <w:t>Graph</w:t>
      </w:r>
      <w:r w:rsidR="00CA3512" w:rsidRPr="004C20B5">
        <w:rPr>
          <w:rFonts w:ascii="Tahoma" w:hAnsi="Tahoma" w:cs="Tahoma"/>
          <w:lang w:val="ru-RU"/>
        </w:rPr>
        <w:t xml:space="preserve"> 4. </w:t>
      </w:r>
      <w:r>
        <w:rPr>
          <w:rFonts w:ascii="Tahoma" w:hAnsi="Tahoma" w:cs="Tahoma"/>
          <w:iCs/>
        </w:rPr>
        <w:t>Export and import by month</w:t>
      </w:r>
    </w:p>
    <w:p w:rsidR="00CA3512" w:rsidRPr="004C20B5" w:rsidRDefault="00CA3512" w:rsidP="00CA3512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CA3512" w:rsidRPr="004C20B5" w:rsidRDefault="00CA3512" w:rsidP="00CA3512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8E3C11" w:rsidRDefault="008E3C11" w:rsidP="00CA3512">
      <w:pPr>
        <w:rPr>
          <w:rFonts w:ascii="Tahoma" w:hAnsi="Tahoma" w:cs="Tahoma"/>
          <w:bCs/>
          <w:sz w:val="18"/>
          <w:szCs w:val="18"/>
        </w:rPr>
      </w:pPr>
    </w:p>
    <w:p w:rsidR="008E3C11" w:rsidRPr="004C20B5" w:rsidRDefault="008E3C11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Default="00A936F9" w:rsidP="00CA3512">
      <w:pPr>
        <w:rPr>
          <w:rFonts w:ascii="Tahoma" w:hAnsi="Tahoma" w:cs="Tahoma"/>
          <w:bCs/>
          <w:sz w:val="18"/>
          <w:szCs w:val="18"/>
        </w:rPr>
      </w:pPr>
    </w:p>
    <w:p w:rsidR="00A936F9" w:rsidRPr="004C20B5" w:rsidRDefault="00A936F9" w:rsidP="00CA3512">
      <w:pPr>
        <w:rPr>
          <w:rFonts w:ascii="Tahoma" w:hAnsi="Tahoma" w:cs="Tahoma"/>
          <w:bCs/>
          <w:sz w:val="18"/>
          <w:szCs w:val="18"/>
        </w:rPr>
      </w:pPr>
      <w:bookmarkStart w:id="0" w:name="_GoBack"/>
      <w:bookmarkEnd w:id="0"/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CA3512" w:rsidRDefault="00CA3512" w:rsidP="00CA3512">
      <w:pPr>
        <w:rPr>
          <w:rFonts w:ascii="Tahoma" w:hAnsi="Tahoma" w:cs="Tahoma"/>
          <w:bCs/>
          <w:sz w:val="18"/>
          <w:szCs w:val="18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CA3512" w:rsidRPr="004C20B5" w:rsidRDefault="00CA3512" w:rsidP="00CA3512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CA3512" w:rsidRPr="004C20B5" w:rsidTr="0010772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E3C11" w:rsidRPr="00221BD9" w:rsidRDefault="008E3C11" w:rsidP="008E3C11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PREPARED BY</w:t>
            </w:r>
            <w:r w:rsidRPr="00221BD9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CA3512" w:rsidRPr="004C20B5" w:rsidTr="0010772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CA3512" w:rsidRPr="008E3C11" w:rsidRDefault="008E3C11" w:rsidP="0010772A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National accounts</w:t>
            </w:r>
          </w:p>
          <w:p w:rsidR="00CA3512" w:rsidRPr="008E3C11" w:rsidRDefault="008E3C11" w:rsidP="0010772A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Dragana Kunovac</w:t>
            </w: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sz w:val="16"/>
                <w:u w:val="single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u w:val="single"/>
                <w:lang w:val="sr-Cyrl-BA"/>
              </w:rPr>
              <w:t>dragana.kunovac@rzs.rs.ba</w:t>
            </w: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</w:p>
          <w:p w:rsidR="008E3C11" w:rsidRPr="0038380A" w:rsidRDefault="008E3C11" w:rsidP="008E3C11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Labour statistics</w:t>
            </w:r>
          </w:p>
          <w:p w:rsidR="008E3C11" w:rsidRPr="006B5F91" w:rsidRDefault="008E3C11" w:rsidP="008E3C11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Biljana Glušac</w:t>
            </w:r>
          </w:p>
          <w:p w:rsidR="008E3C11" w:rsidRPr="00003C36" w:rsidRDefault="00A936F9" w:rsidP="008E3C11">
            <w:pPr>
              <w:jc w:val="both"/>
              <w:rPr>
                <w:rFonts w:ascii="Tahoma" w:hAnsi="Tahoma" w:cs="Tahoma"/>
                <w:b/>
                <w:sz w:val="16"/>
              </w:rPr>
            </w:pPr>
            <w:hyperlink r:id="rId14" w:history="1">
              <w:r w:rsidR="008E3C11" w:rsidRPr="00003C36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biljana.glusac@rzs.rs.ba</w:t>
              </w:r>
            </w:hyperlink>
            <w:r w:rsidR="008E3C11" w:rsidRPr="00003C36">
              <w:rPr>
                <w:rFonts w:ascii="Tahoma" w:hAnsi="Tahoma" w:cs="Tahoma"/>
                <w:b/>
                <w:sz w:val="16"/>
              </w:rPr>
              <w:t xml:space="preserve"> </w:t>
            </w: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512" w:rsidRPr="004C20B5" w:rsidTr="0010772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E3C11" w:rsidRPr="0038380A" w:rsidRDefault="008E3C11" w:rsidP="008E3C11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Prices statistics</w:t>
            </w:r>
          </w:p>
          <w:p w:rsidR="008E3C11" w:rsidRPr="006C3F99" w:rsidRDefault="008E3C11" w:rsidP="008E3C11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Biljana Tešić</w:t>
            </w:r>
          </w:p>
          <w:p w:rsidR="008E3C11" w:rsidRPr="00221BD9" w:rsidRDefault="00A936F9" w:rsidP="008E3C11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5" w:history="1"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8E3C11" w:rsidRPr="006C3F99" w:rsidRDefault="008E3C11" w:rsidP="008E3C11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Jasminka Milić</w:t>
            </w:r>
          </w:p>
          <w:p w:rsidR="008E3C11" w:rsidRPr="00221BD9" w:rsidRDefault="00A936F9" w:rsidP="008E3C11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6" w:history="1"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CA3512" w:rsidRPr="004C20B5" w:rsidTr="0010772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E3C11" w:rsidRPr="006C3F99" w:rsidRDefault="008E3C11" w:rsidP="008E3C11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Industry and mining statistics</w:t>
            </w:r>
          </w:p>
          <w:p w:rsidR="008E3C11" w:rsidRPr="006C3F99" w:rsidRDefault="008E3C11" w:rsidP="008E3C11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Mirjana Bandur</w:t>
            </w:r>
          </w:p>
          <w:p w:rsidR="00CA3512" w:rsidRPr="004C20B5" w:rsidRDefault="00A936F9" w:rsidP="008E3C11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hyperlink r:id="rId17" w:history="1"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E3C11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</w:tc>
      </w:tr>
      <w:tr w:rsidR="00CA3512" w:rsidRPr="004C20B5" w:rsidTr="0010772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E3C11" w:rsidRPr="006C3F99" w:rsidRDefault="008E3C11" w:rsidP="008E3C11">
            <w:pPr>
              <w:jc w:val="both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External trade statistics</w:t>
            </w:r>
          </w:p>
          <w:p w:rsidR="008E3C11" w:rsidRPr="006C3F99" w:rsidRDefault="008E3C11" w:rsidP="008E3C11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Sanja Stojčević Uvalić, MSc</w:t>
            </w:r>
          </w:p>
          <w:p w:rsidR="008E3C11" w:rsidRPr="0038380A" w:rsidRDefault="00A936F9" w:rsidP="008E3C11">
            <w:pPr>
              <w:jc w:val="both"/>
              <w:rPr>
                <w:lang w:val="sr-Latn-BA"/>
              </w:rPr>
            </w:pPr>
            <w:hyperlink r:id="rId18" w:history="1"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E3C11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CA3512" w:rsidRPr="004C20B5" w:rsidRDefault="00CA3512" w:rsidP="0010772A">
            <w:pPr>
              <w:jc w:val="both"/>
              <w:rPr>
                <w:lang w:val="sr-Cyrl-BA"/>
              </w:rPr>
            </w:pPr>
          </w:p>
          <w:p w:rsidR="00CA3512" w:rsidRPr="004C20B5" w:rsidRDefault="00CA3512" w:rsidP="0010772A">
            <w:pPr>
              <w:jc w:val="both"/>
              <w:rPr>
                <w:lang w:val="sr-Cyrl-BA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6"/>
      </w:tblGrid>
      <w:tr w:rsidR="00CA3512" w:rsidRPr="004C20B5" w:rsidTr="0010772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CA3512" w:rsidRPr="004C20B5" w:rsidRDefault="008E3C11" w:rsidP="0010772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SYMBOLS</w:t>
            </w:r>
          </w:p>
        </w:tc>
      </w:tr>
      <w:tr w:rsidR="00CA3512" w:rsidRPr="004C20B5" w:rsidTr="0010772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CA3512" w:rsidRPr="008E3C11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4C20B5">
              <w:rPr>
                <w:rFonts w:ascii="Tahoma" w:hAnsi="Tahoma" w:cs="Tahoma"/>
                <w:b/>
                <w:bCs/>
              </w:rPr>
              <w:sym w:font="Symbol" w:char="00C6"/>
            </w:r>
            <w:r w:rsidRPr="004C20B5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C20B5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8E3C11">
              <w:rPr>
                <w:rFonts w:ascii="Tahoma" w:hAnsi="Tahoma" w:cs="Tahoma"/>
                <w:bCs/>
                <w:sz w:val="16"/>
                <w:szCs w:val="16"/>
              </w:rPr>
              <w:t>average</w:t>
            </w:r>
          </w:p>
          <w:p w:rsidR="00CA3512" w:rsidRPr="004C20B5" w:rsidRDefault="00CA3512" w:rsidP="0010772A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4C20B5">
              <w:rPr>
                <w:rFonts w:ascii="Tahoma" w:hAnsi="Tahoma" w:cs="Tahoma"/>
                <w:sz w:val="16"/>
                <w:szCs w:val="16"/>
                <w:lang w:val="sr-Cyrl-BA" w:eastAsia="sr-Latn-BA"/>
              </w:rPr>
              <w:t>¹</w:t>
            </w:r>
            <w:r w:rsidRPr="004C20B5">
              <w:rPr>
                <w:rFonts w:ascii="Tahoma" w:hAnsi="Tahoma" w:cs="Tahoma"/>
                <w:sz w:val="16"/>
                <w:szCs w:val="16"/>
                <w:lang w:eastAsia="sr-Latn-BA"/>
              </w:rPr>
              <w:t xml:space="preserve"> - </w:t>
            </w:r>
            <w:r w:rsidR="008E3C11">
              <w:rPr>
                <w:rFonts w:ascii="Tahoma" w:hAnsi="Tahoma" w:cs="Tahoma"/>
                <w:sz w:val="16"/>
                <w:szCs w:val="16"/>
                <w:lang w:eastAsia="sr-Latn-BA"/>
              </w:rPr>
              <w:t>estimate</w:t>
            </w: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CA3512" w:rsidRPr="004C20B5" w:rsidRDefault="00CA3512" w:rsidP="0010772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CA3512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CA3512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CA3512" w:rsidRPr="004C20B5" w:rsidRDefault="00A936F9" w:rsidP="00CA3512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6" style="position:absolute;left:0;text-align:left;z-index:25167667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CA3512" w:rsidRPr="004C20B5" w:rsidTr="0010772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CA3512" w:rsidRPr="004C20B5" w:rsidRDefault="00CA3512" w:rsidP="0010772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E3C11" w:rsidRPr="004C20B5" w:rsidTr="0010772A">
        <w:tc>
          <w:tcPr>
            <w:tcW w:w="10348" w:type="dxa"/>
            <w:tcMar>
              <w:left w:w="0" w:type="dxa"/>
              <w:right w:w="0" w:type="dxa"/>
            </w:tcMar>
          </w:tcPr>
          <w:p w:rsidR="008E3C11" w:rsidRPr="001225F9" w:rsidRDefault="008E3C11" w:rsidP="008E3C11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</w:rPr>
              <w:t>The Release prepared by the Publications Division</w:t>
            </w:r>
          </w:p>
        </w:tc>
      </w:tr>
      <w:tr w:rsidR="008E3C11" w:rsidRPr="004C20B5" w:rsidTr="0010772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E3C11" w:rsidRPr="00392C6E" w:rsidRDefault="008E3C11" w:rsidP="008E3C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Vladan Sibinović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Head of the Division</w:t>
            </w:r>
          </w:p>
          <w:p w:rsidR="008E3C11" w:rsidRPr="001225F9" w:rsidRDefault="008E3C11" w:rsidP="008E3C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</w:rPr>
              <w:t>Published by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the Republika Srpska Institute of Statistics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E3C11" w:rsidRPr="00392C6E" w:rsidRDefault="008E3C11" w:rsidP="008E3C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Republika Srpska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Banja Luka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Veljka Mlađenovića</w:t>
            </w:r>
            <w:r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</w:rPr>
              <w:t>d</w:t>
            </w:r>
          </w:p>
          <w:p w:rsidR="008E3C11" w:rsidRPr="00392C6E" w:rsidRDefault="008E3C11" w:rsidP="008E3C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Radmila Čičković, PhD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 xml:space="preserve">Director </w:t>
            </w:r>
            <w:r w:rsidR="00BC45DB">
              <w:rPr>
                <w:rFonts w:ascii="Tahoma" w:hAnsi="Tahoma" w:cs="Tahoma"/>
                <w:sz w:val="16"/>
              </w:rPr>
              <w:t xml:space="preserve">General </w:t>
            </w:r>
            <w:r>
              <w:rPr>
                <w:rFonts w:ascii="Tahoma" w:hAnsi="Tahoma" w:cs="Tahoma"/>
                <w:sz w:val="16"/>
              </w:rPr>
              <w:t>of the Institute</w:t>
            </w:r>
          </w:p>
          <w:p w:rsidR="008E3C11" w:rsidRPr="001225F9" w:rsidRDefault="008E3C11" w:rsidP="008E3C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</w:rPr>
              <w:t>The Release is published online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</w:rPr>
              <w:t>at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E3C11" w:rsidRPr="001225F9" w:rsidRDefault="008E3C11" w:rsidP="008E3C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</w:rPr>
              <w:t>telepone</w:t>
            </w:r>
            <w:r w:rsidRPr="001225F9">
              <w:rPr>
                <w:rFonts w:ascii="Tahoma" w:hAnsi="Tahoma" w:cs="Tahoma"/>
                <w:sz w:val="16"/>
                <w:lang w:val="ru-RU"/>
              </w:rPr>
              <w:t xml:space="preserve">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9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E3C11" w:rsidRPr="001225F9" w:rsidRDefault="008E3C11" w:rsidP="008E3C1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E3C11" w:rsidRPr="001225F9" w:rsidRDefault="008E3C11" w:rsidP="008E3C1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Data may be used provided the source is acknowledged</w:t>
            </w:r>
          </w:p>
        </w:tc>
      </w:tr>
    </w:tbl>
    <w:p w:rsidR="00CA3512" w:rsidRPr="004C20B5" w:rsidRDefault="00A936F9" w:rsidP="00CA3512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7" style="position:absolute;z-index:251677696;mso-position-horizontal-relative:text;mso-position-vertical-relative:text" from="-2.5pt,108.2pt" to="510.5pt,108.2pt" strokecolor="#376ea5" strokeweight="1.5pt"/>
        </w:pict>
      </w:r>
    </w:p>
    <w:p w:rsidR="00CA3512" w:rsidRPr="004C20B5" w:rsidRDefault="00CA3512" w:rsidP="00CA3512">
      <w:pPr>
        <w:rPr>
          <w:rFonts w:ascii="Tahoma" w:hAnsi="Tahoma" w:cs="Tahoma"/>
          <w:lang w:val="sr-Cyrl-CS"/>
        </w:rPr>
      </w:pPr>
    </w:p>
    <w:p w:rsidR="00CA3512" w:rsidRPr="004C20B5" w:rsidRDefault="00CA3512" w:rsidP="00CA3512">
      <w:pPr>
        <w:rPr>
          <w:rFonts w:ascii="Tahoma" w:hAnsi="Tahoma" w:cs="Tahoma"/>
          <w:lang w:val="sr-Latn-CS"/>
        </w:rPr>
      </w:pPr>
    </w:p>
    <w:p w:rsidR="009E2A9A" w:rsidRPr="009E2A9A" w:rsidRDefault="009E2A9A" w:rsidP="00CA3512">
      <w:pPr>
        <w:rPr>
          <w:rFonts w:ascii="Tahoma" w:hAnsi="Tahoma" w:cs="Tahoma"/>
          <w:lang w:val="sr-Latn-CS"/>
        </w:rPr>
      </w:pPr>
    </w:p>
    <w:sectPr w:rsidR="009E2A9A" w:rsidRPr="009E2A9A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2A" w:rsidRDefault="0010772A">
      <w:r>
        <w:separator/>
      </w:r>
    </w:p>
  </w:endnote>
  <w:endnote w:type="continuationSeparator" w:id="0">
    <w:p w:rsidR="0010772A" w:rsidRDefault="0010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2A" w:rsidRDefault="00A936F9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10772A" w:rsidRPr="00175687" w:rsidRDefault="001932C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10772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936F9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2A" w:rsidRDefault="00A936F9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10772A" w:rsidRPr="00175687" w:rsidRDefault="001932C7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10772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936F9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2A" w:rsidRDefault="0010772A">
      <w:r>
        <w:separator/>
      </w:r>
    </w:p>
  </w:footnote>
  <w:footnote w:type="continuationSeparator" w:id="0">
    <w:p w:rsidR="0010772A" w:rsidRDefault="00107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05"/>
      <w:gridCol w:w="6632"/>
    </w:tblGrid>
    <w:tr w:rsidR="0010772A" w:rsidTr="00C27DC8">
      <w:tc>
        <w:tcPr>
          <w:tcW w:w="182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0772A" w:rsidRPr="00C27DC8" w:rsidRDefault="0010772A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</w:rPr>
            <w:t>Republika Srpska Institute of Statistics</w:t>
          </w:r>
        </w:p>
        <w:p w:rsidR="0010772A" w:rsidRPr="00C27DC8" w:rsidRDefault="0010772A" w:rsidP="00E34FA2">
          <w:pPr>
            <w:pStyle w:val="Header"/>
            <w:rPr>
              <w:color w:val="FFFFFF"/>
            </w:rPr>
          </w:pPr>
          <w:r>
            <w:rPr>
              <w:rFonts w:ascii="Tahoma" w:hAnsi="Tahoma" w:cs="Tahoma"/>
              <w:b/>
              <w:color w:val="FFFFFF"/>
            </w:rPr>
            <w:t>PRESS RELEASE</w:t>
          </w:r>
        </w:p>
      </w:tc>
      <w:tc>
        <w:tcPr>
          <w:tcW w:w="3177" w:type="pct"/>
          <w:tcBorders>
            <w:bottom w:val="single" w:sz="4" w:space="0" w:color="auto"/>
          </w:tcBorders>
          <w:vAlign w:val="bottom"/>
        </w:tcPr>
        <w:p w:rsidR="0010772A" w:rsidRPr="005D5311" w:rsidRDefault="0010772A" w:rsidP="00C27DC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>
            <w:rPr>
              <w:rFonts w:ascii="Tahoma" w:hAnsi="Tahoma" w:cs="Tahoma"/>
              <w:color w:val="0070C0"/>
              <w:sz w:val="16"/>
            </w:rPr>
            <w:t>2</w:t>
          </w:r>
          <w:r w:rsidRPr="00C27DC8">
            <w:rPr>
              <w:rFonts w:ascii="Tahoma" w:hAnsi="Tahoma" w:cs="Tahoma"/>
              <w:color w:val="0070C0"/>
              <w:sz w:val="16"/>
              <w:vertAlign w:val="superscript"/>
            </w:rPr>
            <w:t>nd</w:t>
          </w:r>
          <w:r>
            <w:rPr>
              <w:rFonts w:ascii="Tahoma" w:hAnsi="Tahoma" w:cs="Tahoma"/>
              <w:color w:val="0070C0"/>
              <w:sz w:val="16"/>
            </w:rPr>
            <w:t xml:space="preserve"> January 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201</w:t>
          </w:r>
          <w:r>
            <w:rPr>
              <w:rFonts w:ascii="Tahoma" w:hAnsi="Tahoma" w:cs="Tahoma"/>
              <w:color w:val="0070C0"/>
              <w:sz w:val="16"/>
            </w:rPr>
            <w:t>4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CS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4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10772A" w:rsidRDefault="00A936F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670"/>
    <w:rsid w:val="00053FAA"/>
    <w:rsid w:val="000542A7"/>
    <w:rsid w:val="0005459B"/>
    <w:rsid w:val="0005460E"/>
    <w:rsid w:val="00054A53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51F4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72A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BD6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A36"/>
    <w:rsid w:val="00191C2B"/>
    <w:rsid w:val="001932C7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68B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711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3DFD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5F00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D0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5392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5BF1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D1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AD9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839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160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E76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98F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4FAF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0C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25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645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629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1D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0B3"/>
    <w:rsid w:val="006312E8"/>
    <w:rsid w:val="00631FAD"/>
    <w:rsid w:val="00632574"/>
    <w:rsid w:val="00632A09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87B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A3C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12E"/>
    <w:rsid w:val="006A1254"/>
    <w:rsid w:val="006A1E02"/>
    <w:rsid w:val="006A2075"/>
    <w:rsid w:val="006A273D"/>
    <w:rsid w:val="006A398F"/>
    <w:rsid w:val="006A40E1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426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64F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4F"/>
    <w:rsid w:val="00815D3F"/>
    <w:rsid w:val="00815E0B"/>
    <w:rsid w:val="00815FDB"/>
    <w:rsid w:val="00816080"/>
    <w:rsid w:val="00816567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06F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0AA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4E8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5264"/>
    <w:rsid w:val="008D582E"/>
    <w:rsid w:val="008D5A5B"/>
    <w:rsid w:val="008D5F68"/>
    <w:rsid w:val="008D5FEB"/>
    <w:rsid w:val="008D63B6"/>
    <w:rsid w:val="008D640C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6FD"/>
    <w:rsid w:val="008E2723"/>
    <w:rsid w:val="008E2E84"/>
    <w:rsid w:val="008E30FB"/>
    <w:rsid w:val="008E3335"/>
    <w:rsid w:val="008E33DB"/>
    <w:rsid w:val="008E35BA"/>
    <w:rsid w:val="008E3B1C"/>
    <w:rsid w:val="008E3BD4"/>
    <w:rsid w:val="008E3C11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73E"/>
    <w:rsid w:val="00962A95"/>
    <w:rsid w:val="009631B1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8AB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08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3E2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193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83C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6F9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A5A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A55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DB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6D7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E83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27DC8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4C9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183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512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6CE6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676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302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343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BF1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5EA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24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1EF3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0BB4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31"/>
    <w:rsid w:val="00F315DB"/>
    <w:rsid w:val="00F31694"/>
    <w:rsid w:val="00F32240"/>
    <w:rsid w:val="00F3275D"/>
    <w:rsid w:val="00F3296F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2F92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9A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0A40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2272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400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6DABFBB-BD99-4374-921A-F1A59E4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5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asminka.mil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biljana.glusa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3\decembar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11%202013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prezentacija%202013\dec%202013\za%20Graf%20I-XI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III 2012</c:v>
                </c:pt>
                <c:pt idx="1">
                  <c:v>IV 2012</c:v>
                </c:pt>
                <c:pt idx="2">
                  <c:v>I 2013¹</c:v>
                </c:pt>
                <c:pt idx="3">
                  <c:v>II 2013¹</c:v>
                </c:pt>
                <c:pt idx="4">
                  <c:v>III 2013¹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-1.2</c:v>
                </c:pt>
                <c:pt idx="1">
                  <c:v>-0.70000000000000062</c:v>
                </c:pt>
                <c:pt idx="2">
                  <c:v>1.7000000000000011</c:v>
                </c:pt>
                <c:pt idx="3" formatCode="0.0">
                  <c:v>2</c:v>
                </c:pt>
                <c:pt idx="4">
                  <c:v>1.7000000000000011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885688"/>
        <c:axId val="243886072"/>
      </c:barChart>
      <c:catAx>
        <c:axId val="2438856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243886072"/>
        <c:crosses val="autoZero"/>
        <c:auto val="1"/>
        <c:lblAlgn val="ctr"/>
        <c:lblOffset val="100"/>
        <c:noMultiLvlLbl val="0"/>
      </c:catAx>
      <c:valAx>
        <c:axId val="24388607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cs typeface="Tahoma" pitchFamily="34" charset="0"/>
              </a:defRPr>
            </a:pPr>
            <a:endParaRPr lang="en-US"/>
          </a:p>
        </c:txPr>
        <c:crossAx val="243885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817.89076853246104</c:v>
                </c:pt>
                <c:pt idx="1">
                  <c:v>811</c:v>
                </c:pt>
                <c:pt idx="2">
                  <c:v>811</c:v>
                </c:pt>
                <c:pt idx="3">
                  <c:v>799</c:v>
                </c:pt>
                <c:pt idx="4">
                  <c:v>798</c:v>
                </c:pt>
                <c:pt idx="5">
                  <c:v>796</c:v>
                </c:pt>
                <c:pt idx="6">
                  <c:v>816</c:v>
                </c:pt>
                <c:pt idx="7">
                  <c:v>803</c:v>
                </c:pt>
                <c:pt idx="8">
                  <c:v>811</c:v>
                </c:pt>
                <c:pt idx="9">
                  <c:v>813</c:v>
                </c:pt>
                <c:pt idx="10">
                  <c:v>808</c:v>
                </c:pt>
                <c:pt idx="11">
                  <c:v>811</c:v>
                </c:pt>
                <c:pt idx="12">
                  <c:v>820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3845800"/>
        <c:axId val="243846184"/>
      </c:lineChart>
      <c:catAx>
        <c:axId val="2438458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3846184"/>
        <c:crosses val="autoZero"/>
        <c:auto val="1"/>
        <c:lblAlgn val="ctr"/>
        <c:lblOffset val="100"/>
        <c:noMultiLvlLbl val="0"/>
      </c:catAx>
      <c:valAx>
        <c:axId val="24384618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3845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023132134649713E-2"/>
          <c:y val="4.4705959909282424E-2"/>
          <c:w val="0.94259086886972987"/>
          <c:h val="0.68132074910163909"/>
        </c:manualLayout>
      </c:layout>
      <c:lineChart>
        <c:grouping val="standard"/>
        <c:varyColors val="0"/>
        <c:ser>
          <c:idx val="0"/>
          <c:order val="0"/>
          <c:tx>
            <c:strRef>
              <c:f>'[Indeksi za grafikon u saopstenju za decembar 2103..xlsx]Sheet1'!$C$1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'[Indeksi za grafikon u saopstenju za decembar 2103..xlsx]Sheet1'!$A$2:$B$50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2009</c:v>
                  </c:pt>
                  <c:pt idx="1">
                    <c:v>2010</c:v>
                  </c:pt>
                  <c:pt idx="13">
                    <c:v>2011</c:v>
                  </c:pt>
                  <c:pt idx="25">
                    <c:v>2012</c:v>
                  </c:pt>
                  <c:pt idx="37">
                    <c:v>2013</c:v>
                  </c:pt>
                </c:lvl>
              </c:multiLvlStrCache>
            </c:multiLvlStrRef>
          </c:cat>
          <c:val>
            <c:numRef>
              <c:f>'[Indeksi za grafikon u saopstenju za decembar 2103..xlsx]Sheet1'!$C$2:$C$50</c:f>
              <c:numCache>
                <c:formatCode>General</c:formatCode>
                <c:ptCount val="49"/>
                <c:pt idx="0">
                  <c:v>97.037162369567497</c:v>
                </c:pt>
                <c:pt idx="1">
                  <c:v>100.15479020581749</c:v>
                </c:pt>
                <c:pt idx="2">
                  <c:v>98.552812582402808</c:v>
                </c:pt>
                <c:pt idx="3">
                  <c:v>97.420205431142534</c:v>
                </c:pt>
                <c:pt idx="4">
                  <c:v>95.913555454053395</c:v>
                </c:pt>
                <c:pt idx="5">
                  <c:v>104.883313468729</c:v>
                </c:pt>
                <c:pt idx="6">
                  <c:v>97.617209454947016</c:v>
                </c:pt>
                <c:pt idx="7">
                  <c:v>91.3990379163629</c:v>
                </c:pt>
                <c:pt idx="8">
                  <c:v>98.16295744460264</c:v>
                </c:pt>
                <c:pt idx="9">
                  <c:v>98.702944597956218</c:v>
                </c:pt>
                <c:pt idx="10">
                  <c:v>98.176104670209583</c:v>
                </c:pt>
                <c:pt idx="11">
                  <c:v>102.03050667508495</c:v>
                </c:pt>
                <c:pt idx="12">
                  <c:v>104.21056575849289</c:v>
                </c:pt>
                <c:pt idx="13">
                  <c:v>107.24569247772527</c:v>
                </c:pt>
                <c:pt idx="14">
                  <c:v>102.08036943935446</c:v>
                </c:pt>
                <c:pt idx="15">
                  <c:v>103.18843427730231</c:v>
                </c:pt>
                <c:pt idx="16">
                  <c:v>100.52270539019958</c:v>
                </c:pt>
                <c:pt idx="17">
                  <c:v>103.45883838095718</c:v>
                </c:pt>
                <c:pt idx="18">
                  <c:v>105.65321045540529</c:v>
                </c:pt>
                <c:pt idx="19">
                  <c:v>110.32034383197008</c:v>
                </c:pt>
                <c:pt idx="20">
                  <c:v>107.47403684069165</c:v>
                </c:pt>
                <c:pt idx="21">
                  <c:v>99.438592718465941</c:v>
                </c:pt>
                <c:pt idx="22">
                  <c:v>104.48544787534188</c:v>
                </c:pt>
                <c:pt idx="23">
                  <c:v>103.54422312947413</c:v>
                </c:pt>
                <c:pt idx="24">
                  <c:v>100.13379499737866</c:v>
                </c:pt>
                <c:pt idx="25">
                  <c:v>102.49686406889349</c:v>
                </c:pt>
                <c:pt idx="26">
                  <c:v>97.812219594639203</c:v>
                </c:pt>
                <c:pt idx="27">
                  <c:v>100.66481467810296</c:v>
                </c:pt>
                <c:pt idx="28">
                  <c:v>100.63620884534222</c:v>
                </c:pt>
                <c:pt idx="29">
                  <c:v>99.368588257650217</c:v>
                </c:pt>
                <c:pt idx="30">
                  <c:v>99.666635253975528</c:v>
                </c:pt>
                <c:pt idx="31">
                  <c:v>93.449117126334485</c:v>
                </c:pt>
                <c:pt idx="32">
                  <c:v>98.84637829539561</c:v>
                </c:pt>
                <c:pt idx="33">
                  <c:v>106.33255966840026</c:v>
                </c:pt>
                <c:pt idx="34">
                  <c:v>101.09622553998732</c:v>
                </c:pt>
                <c:pt idx="35">
                  <c:v>99.268703473893609</c:v>
                </c:pt>
                <c:pt idx="36">
                  <c:v>101.66464506760363</c:v>
                </c:pt>
                <c:pt idx="37">
                  <c:v>101.17395261500828</c:v>
                </c:pt>
                <c:pt idx="38">
                  <c:v>102.66186188930872</c:v>
                </c:pt>
                <c:pt idx="39">
                  <c:v>99.43623558100397</c:v>
                </c:pt>
                <c:pt idx="40">
                  <c:v>107.84247141549849</c:v>
                </c:pt>
                <c:pt idx="41">
                  <c:v>102.9747076801078</c:v>
                </c:pt>
                <c:pt idx="42">
                  <c:v>104.73139320119833</c:v>
                </c:pt>
                <c:pt idx="43">
                  <c:v>110.52984449453375</c:v>
                </c:pt>
                <c:pt idx="44">
                  <c:v>104.82814005864999</c:v>
                </c:pt>
                <c:pt idx="45">
                  <c:v>101.70833016296609</c:v>
                </c:pt>
                <c:pt idx="46">
                  <c:v>102.77774365762811</c:v>
                </c:pt>
                <c:pt idx="47">
                  <c:v>105.14885609176028</c:v>
                </c:pt>
                <c:pt idx="48">
                  <c:v>105.32800017747216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'[Indeksi za grafikon u saopstenju za decembar 2103..xlsx]Sheet1'!$D$1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'[Indeksi za grafikon u saopstenju za decembar 2103..xlsx]Sheet1'!$A$2:$B$50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2009</c:v>
                  </c:pt>
                  <c:pt idx="1">
                    <c:v>2010</c:v>
                  </c:pt>
                  <c:pt idx="13">
                    <c:v>2011</c:v>
                  </c:pt>
                  <c:pt idx="25">
                    <c:v>2012</c:v>
                  </c:pt>
                  <c:pt idx="37">
                    <c:v>2013</c:v>
                  </c:pt>
                </c:lvl>
              </c:multiLvlStrCache>
            </c:multiLvlStrRef>
          </c:cat>
          <c:val>
            <c:numRef>
              <c:f>'[Indeksi za grafikon u saopstenju za decembar 2103..xlsx]Sheet1'!$D$2:$D$50</c:f>
              <c:numCache>
                <c:formatCode>General</c:formatCode>
                <c:ptCount val="49"/>
                <c:pt idx="0">
                  <c:v>96.521336840050708</c:v>
                </c:pt>
                <c:pt idx="1">
                  <c:v>96.951690784377931</c:v>
                </c:pt>
                <c:pt idx="2">
                  <c:v>97.299018385734939</c:v>
                </c:pt>
                <c:pt idx="3">
                  <c:v>97.58319159346884</c:v>
                </c:pt>
                <c:pt idx="4">
                  <c:v>97.907635238288506</c:v>
                </c:pt>
                <c:pt idx="5">
                  <c:v>98.247093582002776</c:v>
                </c:pt>
                <c:pt idx="6">
                  <c:v>98.422313680513824</c:v>
                </c:pt>
                <c:pt idx="7">
                  <c:v>98.619575050063588</c:v>
                </c:pt>
                <c:pt idx="8">
                  <c:v>99.049256355886556</c:v>
                </c:pt>
                <c:pt idx="9">
                  <c:v>99.549199402896463</c:v>
                </c:pt>
                <c:pt idx="10">
                  <c:v>100.08024794665094</c:v>
                </c:pt>
                <c:pt idx="11">
                  <c:v>100.66674802650445</c:v>
                </c:pt>
                <c:pt idx="12">
                  <c:v>101.22565715631868</c:v>
                </c:pt>
                <c:pt idx="13">
                  <c:v>101.65162785983846</c:v>
                </c:pt>
                <c:pt idx="14">
                  <c:v>101.92393966327052</c:v>
                </c:pt>
                <c:pt idx="15">
                  <c:v>102.14104451471844</c:v>
                </c:pt>
                <c:pt idx="16">
                  <c:v>102.35713086351791</c:v>
                </c:pt>
                <c:pt idx="17">
                  <c:v>102.60118617409225</c:v>
                </c:pt>
                <c:pt idx="18">
                  <c:v>102.83340464856866</c:v>
                </c:pt>
                <c:pt idx="19">
                  <c:v>102.94152178440163</c:v>
                </c:pt>
                <c:pt idx="20">
                  <c:v>102.80219444626779</c:v>
                </c:pt>
                <c:pt idx="21">
                  <c:v>102.52293912516068</c:v>
                </c:pt>
                <c:pt idx="22">
                  <c:v>102.30123441298068</c:v>
                </c:pt>
                <c:pt idx="23">
                  <c:v>102.03480361414422</c:v>
                </c:pt>
                <c:pt idx="24">
                  <c:v>101.72317525509371</c:v>
                </c:pt>
                <c:pt idx="25">
                  <c:v>101.43929711180864</c:v>
                </c:pt>
                <c:pt idx="26">
                  <c:v>101.16916002177372</c:v>
                </c:pt>
                <c:pt idx="27">
                  <c:v>100.98472249287423</c:v>
                </c:pt>
                <c:pt idx="28">
                  <c:v>100.84193078583452</c:v>
                </c:pt>
                <c:pt idx="29">
                  <c:v>100.71665264735783</c:v>
                </c:pt>
                <c:pt idx="30">
                  <c:v>100.63016811280026</c:v>
                </c:pt>
                <c:pt idx="31">
                  <c:v>100.6297115862541</c:v>
                </c:pt>
                <c:pt idx="32">
                  <c:v>100.86582985551844</c:v>
                </c:pt>
                <c:pt idx="33">
                  <c:v>101.18494902495111</c:v>
                </c:pt>
                <c:pt idx="34">
                  <c:v>101.37213327952242</c:v>
                </c:pt>
                <c:pt idx="35">
                  <c:v>101.56179602261456</c:v>
                </c:pt>
                <c:pt idx="36">
                  <c:v>101.8342276413542</c:v>
                </c:pt>
                <c:pt idx="37">
                  <c:v>102.14805508959206</c:v>
                </c:pt>
                <c:pt idx="38">
                  <c:v>102.47782885517749</c:v>
                </c:pt>
                <c:pt idx="39">
                  <c:v>102.86361309376802</c:v>
                </c:pt>
                <c:pt idx="40">
                  <c:v>103.31318650312811</c:v>
                </c:pt>
                <c:pt idx="41">
                  <c:v>103.68943265016505</c:v>
                </c:pt>
                <c:pt idx="42">
                  <c:v>104.06252289215927</c:v>
                </c:pt>
                <c:pt idx="43">
                  <c:v>104.4133100678776</c:v>
                </c:pt>
                <c:pt idx="44">
                  <c:v>104.59842806738111</c:v>
                </c:pt>
                <c:pt idx="45">
                  <c:v>104.76680884712601</c:v>
                </c:pt>
                <c:pt idx="46">
                  <c:v>105.05881280865452</c:v>
                </c:pt>
                <c:pt idx="47">
                  <c:v>105.44193840189889</c:v>
                </c:pt>
                <c:pt idx="48">
                  <c:v>105.85980090973584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3409824"/>
        <c:axId val="243414304"/>
      </c:lineChart>
      <c:catAx>
        <c:axId val="2434098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43414304"/>
        <c:crosses val="autoZero"/>
        <c:auto val="1"/>
        <c:lblAlgn val="ctr"/>
        <c:lblOffset val="100"/>
        <c:noMultiLvlLbl val="0"/>
      </c:catAx>
      <c:valAx>
        <c:axId val="243414304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434098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9676338402905058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zaJan_Dec2013!$A$2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zaJan_Dec2013!$B$1:$N$1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zaJan_Dec2013!$B$2:$N$2</c:f>
              <c:numCache>
                <c:formatCode>General</c:formatCode>
                <c:ptCount val="13"/>
                <c:pt idx="0">
                  <c:v>264388</c:v>
                </c:pt>
                <c:pt idx="1">
                  <c:v>289214</c:v>
                </c:pt>
                <c:pt idx="2">
                  <c:v>342893</c:v>
                </c:pt>
                <c:pt idx="3">
                  <c:v>393365</c:v>
                </c:pt>
                <c:pt idx="4">
                  <c:v>379748</c:v>
                </c:pt>
                <c:pt idx="5">
                  <c:v>380770</c:v>
                </c:pt>
                <c:pt idx="6">
                  <c:v>317176</c:v>
                </c:pt>
                <c:pt idx="7">
                  <c:v>400481</c:v>
                </c:pt>
                <c:pt idx="8">
                  <c:v>385911</c:v>
                </c:pt>
                <c:pt idx="9">
                  <c:v>390579</c:v>
                </c:pt>
                <c:pt idx="10">
                  <c:v>454480</c:v>
                </c:pt>
                <c:pt idx="11">
                  <c:v>424992</c:v>
                </c:pt>
                <c:pt idx="12">
                  <c:v>391993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zaJan_Dec2013!$A$3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zaJan_Dec2013!$B$1:$N$1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zaJan_Dec2013!$B$3:$N$3</c:f>
              <c:numCache>
                <c:formatCode>General</c:formatCode>
                <c:ptCount val="13"/>
                <c:pt idx="0">
                  <c:v>172925</c:v>
                </c:pt>
                <c:pt idx="1">
                  <c:v>168025</c:v>
                </c:pt>
                <c:pt idx="2">
                  <c:v>182220</c:v>
                </c:pt>
                <c:pt idx="3">
                  <c:v>210184</c:v>
                </c:pt>
                <c:pt idx="4">
                  <c:v>238435</c:v>
                </c:pt>
                <c:pt idx="5">
                  <c:v>220764</c:v>
                </c:pt>
                <c:pt idx="6">
                  <c:v>220173</c:v>
                </c:pt>
                <c:pt idx="7">
                  <c:v>242098</c:v>
                </c:pt>
                <c:pt idx="8">
                  <c:v>199427</c:v>
                </c:pt>
                <c:pt idx="9">
                  <c:v>230912</c:v>
                </c:pt>
                <c:pt idx="10">
                  <c:v>221870</c:v>
                </c:pt>
                <c:pt idx="11">
                  <c:v>231500</c:v>
                </c:pt>
                <c:pt idx="12">
                  <c:v>222497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1885800"/>
        <c:axId val="241886192"/>
      </c:lineChart>
      <c:catAx>
        <c:axId val="2418858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1886192"/>
        <c:crosses val="autoZero"/>
        <c:auto val="1"/>
        <c:lblAlgn val="ctr"/>
        <c:lblOffset val="100"/>
        <c:noMultiLvlLbl val="0"/>
      </c:catAx>
      <c:valAx>
        <c:axId val="24188619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241885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4488188976371"/>
          <c:y val="0.34220844734833672"/>
          <c:w val="0.14801619797525331"/>
          <c:h val="0.1901782832701468"/>
        </c:manualLayout>
      </c:layout>
      <c:overlay val="0"/>
      <c:txPr>
        <a:bodyPr/>
        <a:lstStyle/>
        <a:p>
          <a:pPr>
            <a:defRPr sz="9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0.88558</cdr:x>
      <cdr:y>0.35327</cdr:y>
    </cdr:from>
    <cdr:to>
      <cdr:x>1</cdr:x>
      <cdr:y>0.42728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002656" y="948906"/>
          <a:ext cx="508595" cy="19878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Tahoma" pitchFamily="34" charset="0"/>
              <a:ea typeface="Tahoma" pitchFamily="34" charset="0"/>
              <a:cs typeface="Tahoma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0.8865</cdr:x>
      <cdr:y>0.43356</cdr:y>
    </cdr:from>
    <cdr:to>
      <cdr:x>0.99906</cdr:x>
      <cdr:y>0.5267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940474" y="1164566"/>
          <a:ext cx="500332" cy="25016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Tahoma" pitchFamily="34" charset="0"/>
              <a:ea typeface="Tahoma" pitchFamily="34" charset="0"/>
              <a:cs typeface="Tahoma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6BCC-A92E-4347-BD90-94192407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14983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28</cp:revision>
  <cp:lastPrinted>2013-11-20T08:33:00Z</cp:lastPrinted>
  <dcterms:created xsi:type="dcterms:W3CDTF">2014-01-21T12:29:00Z</dcterms:created>
  <dcterms:modified xsi:type="dcterms:W3CDTF">2014-01-22T08:00:00Z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