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4C20B5" w:rsidTr="005074F6">
        <w:trPr>
          <w:cantSplit/>
          <w:trHeight w:val="970"/>
        </w:trPr>
        <w:tc>
          <w:tcPr>
            <w:tcW w:w="7513" w:type="dxa"/>
            <w:gridSpan w:val="2"/>
            <w:tcBorders>
              <w:bottom w:val="nil"/>
            </w:tcBorders>
            <w:tcMar>
              <w:left w:w="0" w:type="dxa"/>
              <w:right w:w="0" w:type="dxa"/>
            </w:tcMar>
          </w:tcPr>
          <w:p w:rsidR="005D5311" w:rsidRPr="004C20B5" w:rsidRDefault="005D5311" w:rsidP="00687014">
            <w:pPr>
              <w:jc w:val="both"/>
              <w:outlineLvl w:val="0"/>
              <w:rPr>
                <w:rFonts w:ascii="Tahoma" w:hAnsi="Tahoma" w:cs="Tahoma"/>
                <w:sz w:val="16"/>
              </w:rPr>
            </w:pPr>
            <w:r w:rsidRPr="004C20B5">
              <w:rPr>
                <w:rFonts w:ascii="Tahoma" w:hAnsi="Tahoma" w:cs="Tahoma"/>
              </w:rPr>
              <w:br w:type="column"/>
            </w:r>
            <w:r w:rsidRPr="004C20B5">
              <w:rPr>
                <w:rFonts w:ascii="Tahoma" w:hAnsi="Tahoma" w:cs="Tahoma"/>
              </w:rPr>
              <w:br w:type="column"/>
            </w:r>
            <w:r w:rsidRPr="004C20B5">
              <w:rPr>
                <w:rFonts w:ascii="Tahoma" w:hAnsi="Tahoma" w:cs="Tahoma"/>
              </w:rPr>
              <w:br w:type="page"/>
            </w:r>
            <w:r w:rsidRPr="004C20B5">
              <w:rPr>
                <w:rFonts w:ascii="Tahoma" w:hAnsi="Tahoma" w:cs="Tahoma"/>
              </w:rPr>
              <w:br w:type="page"/>
            </w:r>
            <w:r w:rsidR="008B47D1" w:rsidRPr="004C20B5">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4C20B5">
              <w:rPr>
                <w:rFonts w:ascii="Tahoma" w:hAnsi="Tahoma" w:cs="Tahoma"/>
              </w:rPr>
              <w:t xml:space="preserve">     </w:t>
            </w:r>
          </w:p>
        </w:tc>
        <w:tc>
          <w:tcPr>
            <w:tcW w:w="2806" w:type="dxa"/>
            <w:tcBorders>
              <w:bottom w:val="nil"/>
            </w:tcBorders>
            <w:tcMar>
              <w:right w:w="57" w:type="dxa"/>
            </w:tcMar>
          </w:tcPr>
          <w:p w:rsidR="005D5311" w:rsidRPr="004C20B5" w:rsidRDefault="005D5311" w:rsidP="00094E6E">
            <w:pPr>
              <w:ind w:left="113"/>
              <w:jc w:val="both"/>
              <w:outlineLvl w:val="0"/>
              <w:rPr>
                <w:rFonts w:ascii="Tahoma" w:hAnsi="Tahoma" w:cs="Tahoma"/>
                <w:sz w:val="16"/>
              </w:rPr>
            </w:pPr>
          </w:p>
          <w:p w:rsidR="005D5311" w:rsidRPr="004C20B5" w:rsidRDefault="005D5311" w:rsidP="00094E6E">
            <w:pPr>
              <w:ind w:left="113"/>
              <w:jc w:val="both"/>
              <w:outlineLvl w:val="0"/>
              <w:rPr>
                <w:rFonts w:ascii="Tahoma" w:hAnsi="Tahoma" w:cs="Tahoma"/>
                <w:sz w:val="16"/>
                <w:lang w:val="sr-Cyrl-BA"/>
              </w:rPr>
            </w:pPr>
          </w:p>
          <w:p w:rsidR="005D5311" w:rsidRPr="004C20B5" w:rsidRDefault="005D5311" w:rsidP="00094E6E">
            <w:pPr>
              <w:ind w:left="113"/>
              <w:jc w:val="both"/>
              <w:outlineLvl w:val="0"/>
              <w:rPr>
                <w:rFonts w:ascii="Tahoma" w:hAnsi="Tahoma" w:cs="Tahoma"/>
                <w:sz w:val="16"/>
                <w:lang w:val="sr-Cyrl-BA"/>
              </w:rPr>
            </w:pPr>
          </w:p>
          <w:p w:rsidR="00E72BD4" w:rsidRPr="004C20B5" w:rsidRDefault="00BC381E" w:rsidP="00094E6E">
            <w:pPr>
              <w:ind w:left="113"/>
              <w:jc w:val="both"/>
              <w:outlineLvl w:val="0"/>
              <w:rPr>
                <w:rFonts w:ascii="Tahoma" w:hAnsi="Tahoma" w:cs="Tahoma"/>
                <w:sz w:val="16"/>
                <w:lang w:val="sr-Cyrl-BA"/>
              </w:rPr>
            </w:pPr>
            <w:r w:rsidRPr="004C20B5">
              <w:rPr>
                <w:rFonts w:ascii="Tahoma" w:hAnsi="Tahoma" w:cs="Tahoma"/>
                <w:sz w:val="16"/>
                <w:lang w:val="sr-Cyrl-BA"/>
              </w:rPr>
              <w:t xml:space="preserve">  </w:t>
            </w:r>
          </w:p>
          <w:p w:rsidR="005D5311" w:rsidRPr="004C20B5" w:rsidRDefault="004551B9" w:rsidP="00A03C1E">
            <w:pPr>
              <w:jc w:val="right"/>
              <w:outlineLvl w:val="0"/>
              <w:rPr>
                <w:rFonts w:ascii="Tahoma" w:hAnsi="Tahoma" w:cs="Tahoma"/>
                <w:color w:val="1F497D" w:themeColor="text2"/>
                <w:sz w:val="16"/>
                <w:lang w:val="bs-Latn-BA"/>
              </w:rPr>
            </w:pPr>
            <w:r w:rsidRPr="009C3434">
              <w:rPr>
                <w:rFonts w:ascii="Tahoma" w:hAnsi="Tahoma" w:cs="Tahoma"/>
                <w:color w:val="1F497D" w:themeColor="text2"/>
                <w:sz w:val="16"/>
                <w:lang w:val="sr-Cyrl-CS"/>
              </w:rPr>
              <w:t xml:space="preserve"> </w:t>
            </w:r>
            <w:r w:rsidR="009820C8" w:rsidRPr="009C3434">
              <w:rPr>
                <w:rFonts w:ascii="Tahoma" w:hAnsi="Tahoma" w:cs="Tahoma"/>
                <w:color w:val="1F497D" w:themeColor="text2"/>
                <w:sz w:val="16"/>
              </w:rPr>
              <w:t xml:space="preserve">          </w:t>
            </w:r>
            <w:r w:rsidRPr="009C3434">
              <w:rPr>
                <w:rFonts w:ascii="Tahoma" w:hAnsi="Tahoma" w:cs="Tahoma"/>
                <w:color w:val="1F497D" w:themeColor="text2"/>
                <w:sz w:val="16"/>
                <w:lang w:val="sr-Cyrl-CS"/>
              </w:rPr>
              <w:t xml:space="preserve"> </w:t>
            </w:r>
            <w:r w:rsidR="00A975F3" w:rsidRPr="009C3434">
              <w:rPr>
                <w:rFonts w:ascii="Arial Narrow" w:hAnsi="Arial Narrow" w:cs="Tahoma"/>
                <w:color w:val="1F497D" w:themeColor="text2"/>
                <w:sz w:val="18"/>
                <w:lang w:val="sr-Cyrl-BA"/>
              </w:rPr>
              <w:t>2</w:t>
            </w:r>
            <w:r w:rsidR="001D5C19">
              <w:rPr>
                <w:rFonts w:ascii="Arial Narrow" w:hAnsi="Arial Narrow" w:cs="Tahoma"/>
                <w:color w:val="1F497D" w:themeColor="text2"/>
                <w:sz w:val="18"/>
                <w:lang w:val="sr-Latn-CS"/>
              </w:rPr>
              <w:t>5</w:t>
            </w:r>
            <w:r w:rsidR="00A03C1E" w:rsidRPr="00A03C1E">
              <w:rPr>
                <w:rFonts w:ascii="Arial Narrow" w:hAnsi="Arial Narrow" w:cs="Tahoma"/>
                <w:color w:val="1F497D" w:themeColor="text2"/>
                <w:sz w:val="18"/>
                <w:vertAlign w:val="superscript"/>
              </w:rPr>
              <w:t>th</w:t>
            </w:r>
            <w:r w:rsidR="00A03C1E">
              <w:rPr>
                <w:rFonts w:ascii="Arial Narrow" w:hAnsi="Arial Narrow" w:cs="Tahoma"/>
                <w:color w:val="1F497D" w:themeColor="text2"/>
                <w:sz w:val="18"/>
              </w:rPr>
              <w:t xml:space="preserve"> August </w:t>
            </w:r>
            <w:r w:rsidR="00A15386" w:rsidRPr="00DB5870">
              <w:rPr>
                <w:rFonts w:ascii="Arial Narrow" w:hAnsi="Arial Narrow" w:cs="Tahoma"/>
                <w:color w:val="1F497D" w:themeColor="text2"/>
                <w:sz w:val="18"/>
                <w:lang w:val="sr-Cyrl-BA"/>
              </w:rPr>
              <w:t>201</w:t>
            </w:r>
            <w:r w:rsidR="008809BE" w:rsidRPr="00DB5870">
              <w:rPr>
                <w:rFonts w:ascii="Arial Narrow" w:hAnsi="Arial Narrow" w:cs="Tahoma"/>
                <w:color w:val="1F497D" w:themeColor="text2"/>
                <w:sz w:val="18"/>
                <w:lang w:val="sr-Cyrl-BA"/>
              </w:rPr>
              <w:t>4</w:t>
            </w:r>
            <w:r w:rsidR="00F6075A">
              <w:rPr>
                <w:rFonts w:ascii="Tahoma" w:hAnsi="Tahoma" w:cs="Tahoma"/>
                <w:color w:val="1F497D" w:themeColor="text2"/>
                <w:sz w:val="18"/>
                <w:lang w:val="sr-Cyrl-BA"/>
              </w:rPr>
              <w:t xml:space="preserve">  </w:t>
            </w:r>
            <w:r w:rsidR="006B0E8B">
              <w:rPr>
                <w:rFonts w:ascii="Arial Narrow" w:hAnsi="Arial Narrow" w:cs="Tahoma"/>
                <w:b/>
                <w:color w:val="1F497D" w:themeColor="text2"/>
                <w:sz w:val="34"/>
                <w:szCs w:val="34"/>
                <w:lang w:val="sr-Cyrl-CS"/>
              </w:rPr>
              <w:t>8</w:t>
            </w:r>
            <w:r w:rsidR="00A975F3" w:rsidRPr="00DB5870">
              <w:rPr>
                <w:rFonts w:ascii="Arial Narrow" w:hAnsi="Arial Narrow" w:cs="Tahoma"/>
                <w:b/>
                <w:color w:val="1F497D" w:themeColor="text2"/>
                <w:sz w:val="34"/>
                <w:szCs w:val="34"/>
                <w:lang w:val="sr-Cyrl-BA"/>
              </w:rPr>
              <w:t>/1</w:t>
            </w:r>
            <w:r w:rsidR="008809BE" w:rsidRPr="00DB5870">
              <w:rPr>
                <w:rFonts w:ascii="Arial Narrow" w:hAnsi="Arial Narrow" w:cs="Tahoma"/>
                <w:b/>
                <w:color w:val="1F497D" w:themeColor="text2"/>
                <w:sz w:val="34"/>
                <w:szCs w:val="34"/>
                <w:lang w:val="sr-Cyrl-BA"/>
              </w:rPr>
              <w:t>4</w:t>
            </w:r>
            <w:r w:rsidR="00A975F3" w:rsidRPr="004C20B5">
              <w:rPr>
                <w:rFonts w:ascii="Tahoma" w:hAnsi="Tahoma" w:cs="Tahoma"/>
                <w:color w:val="1F497D" w:themeColor="text2"/>
                <w:sz w:val="16"/>
                <w:lang w:val="sr-Cyrl-BA"/>
              </w:rPr>
              <w:t xml:space="preserve"> </w:t>
            </w:r>
          </w:p>
        </w:tc>
      </w:tr>
      <w:tr w:rsidR="004C20B5" w:rsidRPr="004C20B5" w:rsidTr="005074F6">
        <w:trPr>
          <w:cantSplit/>
        </w:trPr>
        <w:tc>
          <w:tcPr>
            <w:tcW w:w="5251" w:type="dxa"/>
            <w:vAlign w:val="center"/>
          </w:tcPr>
          <w:p w:rsidR="005D5311" w:rsidRPr="004C20B5"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4C20B5" w:rsidRDefault="005D5311" w:rsidP="00094E6E">
            <w:pPr>
              <w:ind w:left="113"/>
              <w:jc w:val="both"/>
              <w:outlineLvl w:val="0"/>
              <w:rPr>
                <w:rFonts w:ascii="Tahoma" w:hAnsi="Tahoma" w:cs="Tahoma"/>
                <w:sz w:val="12"/>
                <w:lang w:val="sr-Cyrl-BA"/>
              </w:rPr>
            </w:pPr>
          </w:p>
        </w:tc>
      </w:tr>
    </w:tbl>
    <w:p w:rsidR="000971CB" w:rsidRPr="004C20B5" w:rsidRDefault="000971CB" w:rsidP="00094E6E">
      <w:pPr>
        <w:jc w:val="both"/>
        <w:rPr>
          <w:rFonts w:ascii="Tahoma" w:hAnsi="Tahoma" w:cs="Tahoma"/>
          <w:i/>
          <w:sz w:val="16"/>
          <w:lang w:val="sr-Cyrl-BA"/>
        </w:rPr>
      </w:pPr>
    </w:p>
    <w:tbl>
      <w:tblPr>
        <w:tblW w:w="10319" w:type="dxa"/>
        <w:jc w:val="center"/>
        <w:shd w:val="clear" w:color="auto" w:fill="336699"/>
        <w:tblLook w:val="04A0" w:firstRow="1" w:lastRow="0" w:firstColumn="1" w:lastColumn="0" w:noHBand="0" w:noVBand="1"/>
      </w:tblPr>
      <w:tblGrid>
        <w:gridCol w:w="10319"/>
      </w:tblGrid>
      <w:tr w:rsidR="004C20B5" w:rsidRPr="004C20B5" w:rsidTr="008B47D1">
        <w:trPr>
          <w:trHeight w:val="321"/>
          <w:jc w:val="center"/>
        </w:trPr>
        <w:tc>
          <w:tcPr>
            <w:tcW w:w="10624" w:type="dxa"/>
            <w:shd w:val="clear" w:color="auto" w:fill="336699"/>
          </w:tcPr>
          <w:p w:rsidR="00193339" w:rsidRPr="00A03C1E" w:rsidRDefault="00A03C1E" w:rsidP="009C3434">
            <w:pPr>
              <w:jc w:val="center"/>
              <w:outlineLvl w:val="0"/>
              <w:rPr>
                <w:rFonts w:ascii="Arial Narrow" w:hAnsi="Arial Narrow" w:cs="Tahoma"/>
                <w:b/>
                <w:color w:val="FFFFFF" w:themeColor="background1"/>
                <w:sz w:val="34"/>
                <w:szCs w:val="34"/>
              </w:rPr>
            </w:pPr>
            <w:r>
              <w:rPr>
                <w:rFonts w:ascii="Arial Narrow" w:hAnsi="Arial Narrow" w:cs="Tahoma"/>
                <w:b/>
                <w:bCs/>
                <w:color w:val="FFFFFF" w:themeColor="background1"/>
                <w:spacing w:val="30"/>
                <w:sz w:val="34"/>
                <w:szCs w:val="34"/>
              </w:rPr>
              <w:t>August 2014</w:t>
            </w:r>
          </w:p>
        </w:tc>
      </w:tr>
      <w:tr w:rsidR="004C20B5" w:rsidRPr="004C20B5" w:rsidTr="008B47D1">
        <w:trPr>
          <w:trHeight w:val="264"/>
          <w:jc w:val="center"/>
        </w:trPr>
        <w:tc>
          <w:tcPr>
            <w:tcW w:w="10624" w:type="dxa"/>
            <w:shd w:val="clear" w:color="auto" w:fill="336699"/>
          </w:tcPr>
          <w:p w:rsidR="00193339" w:rsidRPr="00A03C1E" w:rsidRDefault="00A03C1E" w:rsidP="00EF319F">
            <w:pPr>
              <w:jc w:val="center"/>
              <w:rPr>
                <w:rFonts w:ascii="Arial Narrow" w:hAnsi="Arial Narrow" w:cs="Tahoma"/>
                <w:color w:val="FFFFFF" w:themeColor="background1"/>
                <w:sz w:val="26"/>
                <w:szCs w:val="26"/>
              </w:rPr>
            </w:pPr>
            <w:r>
              <w:rPr>
                <w:rFonts w:ascii="Arial Narrow" w:hAnsi="Arial Narrow" w:cs="Tahoma"/>
                <w:bCs/>
                <w:color w:val="FFFFFF" w:themeColor="background1"/>
                <w:spacing w:val="30"/>
                <w:sz w:val="26"/>
                <w:szCs w:val="26"/>
              </w:rPr>
              <w:t>PRESS RELEASE</w:t>
            </w:r>
          </w:p>
        </w:tc>
      </w:tr>
    </w:tbl>
    <w:p w:rsidR="00777348" w:rsidRPr="004C20B5" w:rsidRDefault="00777348" w:rsidP="00D35CD4">
      <w:pPr>
        <w:jc w:val="both"/>
        <w:rPr>
          <w:rFonts w:ascii="Tahoma" w:hAnsi="Tahoma" w:cs="Tahoma"/>
          <w:b/>
          <w:lang w:val="sr-Latn-CS"/>
        </w:rPr>
      </w:pPr>
    </w:p>
    <w:p w:rsidR="009C3434" w:rsidRPr="00F2387F" w:rsidRDefault="009C3434" w:rsidP="002B046A">
      <w:pPr>
        <w:jc w:val="both"/>
        <w:rPr>
          <w:rFonts w:ascii="Arial Narrow" w:hAnsi="Arial Narrow" w:cs="Tahoma"/>
          <w:color w:val="FF0000"/>
          <w:szCs w:val="30"/>
          <w:lang w:val="sr-Latn-CS"/>
        </w:rPr>
      </w:pPr>
    </w:p>
    <w:p w:rsidR="000508BD" w:rsidRPr="0019100D" w:rsidRDefault="0019100D" w:rsidP="000508BD">
      <w:pPr>
        <w:jc w:val="both"/>
        <w:rPr>
          <w:rFonts w:ascii="Arial Narrow" w:hAnsi="Arial Narrow" w:cs="Tahoma"/>
          <w:b/>
          <w:sz w:val="30"/>
          <w:szCs w:val="30"/>
          <w:lang w:val="sr-Cyrl-CS"/>
        </w:rPr>
      </w:pPr>
      <w:r>
        <w:rPr>
          <w:rFonts w:ascii="Arial Narrow" w:hAnsi="Arial Narrow" w:cs="Tahoma"/>
          <w:b/>
          <w:sz w:val="30"/>
          <w:szCs w:val="30"/>
        </w:rPr>
        <w:t>Average net wage in July</w:t>
      </w:r>
      <w:r w:rsidR="000508BD" w:rsidRPr="0019100D">
        <w:rPr>
          <w:rFonts w:ascii="Arial Narrow" w:hAnsi="Arial Narrow" w:cs="Tahoma"/>
          <w:b/>
          <w:sz w:val="30"/>
          <w:szCs w:val="30"/>
          <w:lang w:val="bs-Latn-BA"/>
        </w:rPr>
        <w:t xml:space="preserve"> </w:t>
      </w:r>
      <w:r w:rsidR="000508BD" w:rsidRPr="0019100D">
        <w:rPr>
          <w:rFonts w:ascii="Arial Narrow" w:hAnsi="Arial Narrow" w:cs="Tahoma"/>
          <w:b/>
          <w:sz w:val="30"/>
          <w:szCs w:val="30"/>
          <w:lang w:val="sr-Cyrl-CS"/>
        </w:rPr>
        <w:t>83</w:t>
      </w:r>
      <w:r w:rsidR="0061245D" w:rsidRPr="0019100D">
        <w:rPr>
          <w:rFonts w:ascii="Arial Narrow" w:hAnsi="Arial Narrow" w:cs="Tahoma"/>
          <w:b/>
          <w:sz w:val="30"/>
          <w:szCs w:val="30"/>
          <w:lang w:val="sr-Cyrl-CS"/>
        </w:rPr>
        <w:t>0</w:t>
      </w:r>
      <w:r w:rsidR="000508BD" w:rsidRPr="0019100D">
        <w:rPr>
          <w:rFonts w:ascii="Arial Narrow" w:hAnsi="Arial Narrow" w:cs="Tahoma"/>
          <w:b/>
          <w:sz w:val="30"/>
          <w:szCs w:val="30"/>
          <w:lang w:val="sr-Cyrl-CS"/>
        </w:rPr>
        <w:t xml:space="preserve"> </w:t>
      </w:r>
      <w:r w:rsidR="000508BD" w:rsidRPr="0019100D">
        <w:rPr>
          <w:rFonts w:ascii="Arial Narrow" w:hAnsi="Arial Narrow" w:cs="Tahoma"/>
          <w:b/>
          <w:sz w:val="30"/>
          <w:szCs w:val="30"/>
          <w:lang w:val="ru-RU"/>
        </w:rPr>
        <w:t>КМ</w:t>
      </w:r>
    </w:p>
    <w:p w:rsidR="000508BD" w:rsidRPr="0019100D" w:rsidRDefault="0019100D" w:rsidP="000508BD">
      <w:pPr>
        <w:tabs>
          <w:tab w:val="left" w:pos="4343"/>
        </w:tabs>
        <w:jc w:val="both"/>
        <w:rPr>
          <w:rFonts w:ascii="Arial Narrow" w:hAnsi="Arial Narrow" w:cs="Tahoma"/>
          <w:b/>
          <w:i/>
          <w:sz w:val="28"/>
          <w:szCs w:val="28"/>
          <w:lang w:val="sr-Cyrl-BA"/>
        </w:rPr>
      </w:pPr>
      <w:r>
        <w:rPr>
          <w:rFonts w:ascii="Arial Narrow" w:hAnsi="Arial Narrow" w:cs="Tahoma"/>
          <w:b/>
          <w:sz w:val="28"/>
          <w:szCs w:val="28"/>
        </w:rPr>
        <w:t>The highest average net wage was that in the section</w:t>
      </w:r>
      <w:r w:rsidR="000508BD" w:rsidRPr="0019100D">
        <w:rPr>
          <w:rFonts w:ascii="Arial Narrow" w:hAnsi="Arial Narrow" w:cs="Tahoma"/>
          <w:b/>
          <w:sz w:val="28"/>
          <w:szCs w:val="28"/>
          <w:lang w:val="sr-Cyrl-CS"/>
        </w:rPr>
        <w:t xml:space="preserve"> </w:t>
      </w:r>
      <w:r>
        <w:rPr>
          <w:rFonts w:ascii="Arial Narrow" w:hAnsi="Arial Narrow" w:cs="Tahoma"/>
          <w:b/>
          <w:i/>
          <w:sz w:val="28"/>
          <w:szCs w:val="28"/>
        </w:rPr>
        <w:t>Financial and insurance activities</w:t>
      </w:r>
      <w:r>
        <w:rPr>
          <w:rFonts w:ascii="Arial Narrow" w:hAnsi="Arial Narrow" w:cs="Tahoma"/>
          <w:b/>
          <w:sz w:val="28"/>
          <w:szCs w:val="28"/>
          <w:lang w:val="ru-RU"/>
        </w:rPr>
        <w:t xml:space="preserve"> 1</w:t>
      </w:r>
      <w:r>
        <w:rPr>
          <w:rFonts w:ascii="Arial Narrow" w:hAnsi="Arial Narrow" w:cs="Tahoma"/>
          <w:b/>
          <w:sz w:val="28"/>
          <w:szCs w:val="28"/>
        </w:rPr>
        <w:t>,</w:t>
      </w:r>
      <w:r w:rsidR="000508BD" w:rsidRPr="0019100D">
        <w:rPr>
          <w:rFonts w:ascii="Arial Narrow" w:hAnsi="Arial Narrow" w:cs="Tahoma"/>
          <w:b/>
          <w:sz w:val="28"/>
          <w:szCs w:val="28"/>
          <w:lang w:val="ru-RU"/>
        </w:rPr>
        <w:t>2</w:t>
      </w:r>
      <w:r w:rsidR="0061245D" w:rsidRPr="0019100D">
        <w:rPr>
          <w:rFonts w:ascii="Arial Narrow" w:hAnsi="Arial Narrow" w:cs="Tahoma"/>
          <w:b/>
          <w:sz w:val="28"/>
          <w:szCs w:val="28"/>
          <w:lang w:val="ru-RU"/>
        </w:rPr>
        <w:t>8</w:t>
      </w:r>
      <w:r w:rsidR="000508BD" w:rsidRPr="0019100D">
        <w:rPr>
          <w:rFonts w:ascii="Arial Narrow" w:hAnsi="Arial Narrow" w:cs="Tahoma"/>
          <w:b/>
          <w:sz w:val="28"/>
          <w:szCs w:val="28"/>
          <w:lang w:val="ru-RU"/>
        </w:rPr>
        <w:t>1 КМ</w:t>
      </w:r>
      <w:r w:rsidR="000508BD" w:rsidRPr="0019100D">
        <w:rPr>
          <w:rFonts w:ascii="Arial Narrow" w:hAnsi="Arial Narrow" w:cs="Tahoma"/>
          <w:b/>
          <w:sz w:val="28"/>
          <w:szCs w:val="28"/>
          <w:lang w:val="sr-Cyrl-CS"/>
        </w:rPr>
        <w:t xml:space="preserve">, </w:t>
      </w:r>
      <w:r>
        <w:rPr>
          <w:rFonts w:ascii="Arial Narrow" w:hAnsi="Arial Narrow" w:cs="Tahoma"/>
          <w:b/>
          <w:sz w:val="28"/>
          <w:szCs w:val="28"/>
        </w:rPr>
        <w:t>while the lowest one was that in the section</w:t>
      </w:r>
      <w:r w:rsidR="000508BD" w:rsidRPr="0019100D">
        <w:rPr>
          <w:rFonts w:ascii="Arial Narrow" w:hAnsi="Arial Narrow" w:cs="Tahoma"/>
          <w:b/>
          <w:sz w:val="28"/>
          <w:szCs w:val="28"/>
          <w:lang w:val="sr-Cyrl-CS"/>
        </w:rPr>
        <w:t xml:space="preserve"> </w:t>
      </w:r>
      <w:r>
        <w:rPr>
          <w:rFonts w:ascii="Arial Narrow" w:hAnsi="Arial Narrow" w:cs="Tahoma"/>
          <w:b/>
          <w:i/>
          <w:sz w:val="28"/>
          <w:szCs w:val="28"/>
        </w:rPr>
        <w:t>Administrative and support service activities</w:t>
      </w:r>
      <w:r w:rsidR="000508BD" w:rsidRPr="0019100D">
        <w:rPr>
          <w:rFonts w:ascii="Arial Narrow" w:hAnsi="Arial Narrow" w:cs="Tahoma"/>
          <w:b/>
          <w:i/>
          <w:sz w:val="28"/>
          <w:szCs w:val="28"/>
          <w:lang w:val="sr-Cyrl-BA"/>
        </w:rPr>
        <w:t xml:space="preserve"> </w:t>
      </w:r>
      <w:r w:rsidR="000508BD" w:rsidRPr="0019100D">
        <w:rPr>
          <w:rFonts w:ascii="Arial Narrow" w:hAnsi="Arial Narrow" w:cs="Tahoma"/>
          <w:b/>
          <w:sz w:val="28"/>
          <w:szCs w:val="28"/>
          <w:lang w:val="sr-Cyrl-BA"/>
        </w:rPr>
        <w:t>4</w:t>
      </w:r>
      <w:r w:rsidR="0061245D" w:rsidRPr="0019100D">
        <w:rPr>
          <w:rFonts w:ascii="Arial Narrow" w:hAnsi="Arial Narrow" w:cs="Tahoma"/>
          <w:b/>
          <w:sz w:val="28"/>
          <w:szCs w:val="28"/>
          <w:lang w:val="sr-Cyrl-BA"/>
        </w:rPr>
        <w:t>03</w:t>
      </w:r>
      <w:r w:rsidR="000508BD" w:rsidRPr="0019100D">
        <w:rPr>
          <w:rFonts w:ascii="Arial Narrow" w:hAnsi="Arial Narrow" w:cs="Tahoma"/>
          <w:b/>
          <w:sz w:val="28"/>
          <w:szCs w:val="28"/>
          <w:lang w:val="sr-Cyrl-BA"/>
        </w:rPr>
        <w:t xml:space="preserve"> КМ</w:t>
      </w:r>
    </w:p>
    <w:p w:rsidR="000508BD" w:rsidRPr="0019100D" w:rsidRDefault="000508BD" w:rsidP="000508BD">
      <w:pPr>
        <w:tabs>
          <w:tab w:val="left" w:pos="4343"/>
        </w:tabs>
        <w:jc w:val="both"/>
        <w:rPr>
          <w:rFonts w:ascii="Tahoma" w:hAnsi="Tahoma" w:cs="Tahoma"/>
          <w:b/>
          <w:lang w:val="sr-Cyrl-CS"/>
        </w:rPr>
      </w:pPr>
    </w:p>
    <w:p w:rsidR="00C6144C" w:rsidRDefault="00C6144C" w:rsidP="000508BD">
      <w:pPr>
        <w:tabs>
          <w:tab w:val="left" w:pos="1134"/>
        </w:tabs>
        <w:jc w:val="both"/>
        <w:rPr>
          <w:rFonts w:ascii="Arial Narrow" w:hAnsi="Arial Narrow" w:cs="Tahoma"/>
          <w:sz w:val="22"/>
        </w:rPr>
      </w:pPr>
      <w:r>
        <w:rPr>
          <w:rFonts w:ascii="Arial Narrow" w:hAnsi="Arial Narrow" w:cs="Tahoma"/>
          <w:sz w:val="22"/>
        </w:rPr>
        <w:t xml:space="preserve">Average monthly net wage of employed persons in Republika Srpska paid in July 2014 was 830 KM, while average monthy gross wage was 1,342 KM. </w:t>
      </w:r>
    </w:p>
    <w:p w:rsidR="000508BD" w:rsidRPr="0019100D" w:rsidRDefault="000508BD" w:rsidP="000508BD">
      <w:pPr>
        <w:tabs>
          <w:tab w:val="left" w:pos="1134"/>
        </w:tabs>
        <w:jc w:val="both"/>
        <w:rPr>
          <w:rFonts w:ascii="Arial Narrow" w:hAnsi="Arial Narrow" w:cs="Tahoma"/>
          <w:sz w:val="22"/>
          <w:lang w:val="sr-Cyrl-CS"/>
        </w:rPr>
      </w:pPr>
    </w:p>
    <w:p w:rsidR="00C6144C" w:rsidRDefault="001A02F1" w:rsidP="000508BD">
      <w:pPr>
        <w:tabs>
          <w:tab w:val="left" w:pos="1134"/>
        </w:tabs>
        <w:jc w:val="both"/>
        <w:rPr>
          <w:rFonts w:ascii="Arial Narrow" w:hAnsi="Arial Narrow" w:cs="Tahoma"/>
          <w:sz w:val="22"/>
          <w:lang w:val="sr-Latn-CS"/>
        </w:rPr>
      </w:pPr>
      <w:r>
        <w:rPr>
          <w:rFonts w:ascii="Arial Narrow" w:hAnsi="Arial Narrow" w:cs="Tahoma"/>
          <w:sz w:val="22"/>
          <w:lang w:val="sr-Latn-CS"/>
        </w:rPr>
        <w:t xml:space="preserve">Compared to June 2014, average net wage paid in July 2014 was really 0.8% lower, while compared to July 2013 it was really 4.5% higher. </w:t>
      </w:r>
    </w:p>
    <w:p w:rsidR="003D6C71" w:rsidRPr="0019100D" w:rsidRDefault="003D6C71" w:rsidP="000508BD">
      <w:pPr>
        <w:tabs>
          <w:tab w:val="left" w:pos="1134"/>
        </w:tabs>
        <w:jc w:val="both"/>
        <w:rPr>
          <w:rFonts w:ascii="Arial Narrow" w:hAnsi="Arial Narrow" w:cs="Tahoma"/>
          <w:sz w:val="22"/>
          <w:lang w:val="sr-Latn-CS"/>
        </w:rPr>
      </w:pPr>
    </w:p>
    <w:p w:rsidR="001A02F1" w:rsidRDefault="001A02F1" w:rsidP="000508BD">
      <w:pPr>
        <w:tabs>
          <w:tab w:val="left" w:pos="1134"/>
        </w:tabs>
        <w:jc w:val="both"/>
        <w:rPr>
          <w:rFonts w:ascii="Arial Narrow" w:hAnsi="Arial Narrow" w:cs="Tahoma"/>
          <w:sz w:val="22"/>
          <w:lang w:val="sr-Latn-CS"/>
        </w:rPr>
      </w:pPr>
      <w:r>
        <w:rPr>
          <w:rFonts w:ascii="Arial Narrow" w:hAnsi="Arial Narrow" w:cs="Tahoma"/>
          <w:sz w:val="22"/>
          <w:lang w:val="sr-Latn-CS"/>
        </w:rPr>
        <w:t xml:space="preserve">A decrease in wages paid in July 2014 compared to June 2014 occurred mainly due to </w:t>
      </w:r>
      <w:r w:rsidR="007121F6">
        <w:rPr>
          <w:rFonts w:ascii="Arial Narrow" w:hAnsi="Arial Narrow" w:cs="Tahoma"/>
          <w:sz w:val="22"/>
          <w:lang w:val="sr-Latn-CS"/>
        </w:rPr>
        <w:t xml:space="preserve">lower wages in mines and thermal power plants. In June, their wages were higher due to a high number of overtime working hours and hours worked on public holidays. </w:t>
      </w:r>
    </w:p>
    <w:p w:rsidR="000508BD" w:rsidRPr="0019100D" w:rsidRDefault="000508BD" w:rsidP="000508BD">
      <w:pPr>
        <w:tabs>
          <w:tab w:val="left" w:pos="1134"/>
        </w:tabs>
        <w:jc w:val="both"/>
        <w:rPr>
          <w:rFonts w:ascii="Arial Narrow" w:hAnsi="Arial Narrow" w:cs="Tahoma"/>
          <w:sz w:val="22"/>
          <w:lang w:val="sr-Latn-CS"/>
        </w:rPr>
      </w:pPr>
    </w:p>
    <w:p w:rsidR="00210E88" w:rsidRDefault="00210E88" w:rsidP="000508BD">
      <w:pPr>
        <w:tabs>
          <w:tab w:val="left" w:pos="4343"/>
        </w:tabs>
        <w:jc w:val="both"/>
        <w:rPr>
          <w:rFonts w:ascii="Arial Narrow" w:hAnsi="Arial Narrow" w:cs="Tahoma"/>
          <w:sz w:val="22"/>
        </w:rPr>
      </w:pPr>
      <w:r>
        <w:rPr>
          <w:rFonts w:ascii="Arial Narrow" w:hAnsi="Arial Narrow" w:cs="Tahoma"/>
          <w:sz w:val="22"/>
        </w:rPr>
        <w:t xml:space="preserve">In July 2014, the highest average net wage, by section of activities, was paid in the section </w:t>
      </w:r>
      <w:r w:rsidRPr="00DB55A9">
        <w:rPr>
          <w:rFonts w:ascii="Arial Narrow" w:hAnsi="Arial Narrow" w:cs="Tahoma"/>
          <w:i/>
          <w:sz w:val="22"/>
          <w:lang w:val="sr-Latn-CS"/>
        </w:rPr>
        <w:t>Financial and insurance activities</w:t>
      </w:r>
      <w:r>
        <w:rPr>
          <w:rFonts w:ascii="Arial Narrow" w:hAnsi="Arial Narrow" w:cs="Tahoma"/>
          <w:i/>
          <w:sz w:val="22"/>
          <w:lang w:val="sr-Latn-CS"/>
        </w:rPr>
        <w:t xml:space="preserve"> </w:t>
      </w:r>
      <w:r w:rsidRPr="00210E88">
        <w:rPr>
          <w:rFonts w:ascii="Arial Narrow" w:hAnsi="Arial Narrow" w:cs="Tahoma"/>
          <w:sz w:val="22"/>
          <w:lang w:val="sr-Latn-CS"/>
        </w:rPr>
        <w:t xml:space="preserve">and it amounted to 1,281 KM. </w:t>
      </w:r>
      <w:r w:rsidR="00C729F4">
        <w:rPr>
          <w:rFonts w:ascii="Arial Narrow" w:hAnsi="Arial Narrow" w:cs="Tahoma"/>
          <w:sz w:val="22"/>
          <w:lang w:val="sr-Latn-CS"/>
        </w:rPr>
        <w:t xml:space="preserve">On the other hand, the lowest wage in July 2014 was the one paid in the section </w:t>
      </w:r>
      <w:r w:rsidR="00C729F4" w:rsidRPr="00C729F4">
        <w:rPr>
          <w:rFonts w:ascii="Arial Narrow" w:hAnsi="Arial Narrow" w:cs="Tahoma"/>
          <w:i/>
          <w:sz w:val="22"/>
          <w:lang w:val="sr-Latn-CS"/>
        </w:rPr>
        <w:t>Administrative and support service activities</w:t>
      </w:r>
      <w:r w:rsidR="00C729F4">
        <w:rPr>
          <w:rFonts w:ascii="Arial Narrow" w:hAnsi="Arial Narrow" w:cs="Tahoma"/>
          <w:sz w:val="22"/>
          <w:lang w:val="sr-Latn-CS"/>
        </w:rPr>
        <w:t xml:space="preserve"> 403 KM. </w:t>
      </w:r>
    </w:p>
    <w:p w:rsidR="000508BD" w:rsidRDefault="000508BD" w:rsidP="000508BD">
      <w:pPr>
        <w:jc w:val="both"/>
        <w:rPr>
          <w:rFonts w:ascii="Arial Narrow" w:hAnsi="Arial Narrow" w:cs="Tahoma"/>
          <w:sz w:val="22"/>
        </w:rPr>
      </w:pPr>
    </w:p>
    <w:p w:rsidR="004A0DC4" w:rsidRPr="004A0DC4" w:rsidRDefault="004A0DC4" w:rsidP="000508BD">
      <w:pPr>
        <w:jc w:val="both"/>
        <w:rPr>
          <w:rFonts w:ascii="Arial Narrow" w:hAnsi="Arial Narrow" w:cs="Tahoma"/>
          <w:sz w:val="22"/>
        </w:rPr>
      </w:pPr>
      <w:r>
        <w:rPr>
          <w:rFonts w:ascii="Arial Narrow" w:hAnsi="Arial Narrow" w:cs="Tahoma"/>
          <w:sz w:val="22"/>
        </w:rPr>
        <w:t xml:space="preserve">In July 2014, compared to June 2014, the highest increase in nominal net wages was recorded in the section </w:t>
      </w:r>
      <w:r w:rsidRPr="004A0DC4">
        <w:rPr>
          <w:rFonts w:ascii="Arial Narrow" w:hAnsi="Arial Narrow" w:cs="Tahoma"/>
          <w:i/>
          <w:sz w:val="22"/>
        </w:rPr>
        <w:t>Agriculture, forestry and fishing</w:t>
      </w:r>
      <w:r>
        <w:rPr>
          <w:rFonts w:ascii="Arial Narrow" w:hAnsi="Arial Narrow" w:cs="Tahoma"/>
          <w:sz w:val="22"/>
        </w:rPr>
        <w:t xml:space="preserve"> 5.7%, followed by </w:t>
      </w:r>
      <w:r w:rsidRPr="00BD2529">
        <w:rPr>
          <w:rFonts w:ascii="Arial Narrow" w:hAnsi="Arial Narrow" w:cs="Tahoma"/>
          <w:i/>
          <w:sz w:val="22"/>
        </w:rPr>
        <w:t>Financial and insurance activities</w:t>
      </w:r>
      <w:r>
        <w:rPr>
          <w:rFonts w:ascii="Arial Narrow" w:hAnsi="Arial Narrow" w:cs="Tahoma"/>
          <w:sz w:val="22"/>
        </w:rPr>
        <w:t xml:space="preserve"> 3.3% and </w:t>
      </w:r>
      <w:r w:rsidRPr="00BD2529">
        <w:rPr>
          <w:rFonts w:ascii="Arial Narrow" w:hAnsi="Arial Narrow" w:cs="Tahoma"/>
          <w:i/>
          <w:sz w:val="22"/>
        </w:rPr>
        <w:t>Education</w:t>
      </w:r>
      <w:r>
        <w:rPr>
          <w:rFonts w:ascii="Arial Narrow" w:hAnsi="Arial Narrow" w:cs="Tahoma"/>
          <w:sz w:val="22"/>
        </w:rPr>
        <w:t xml:space="preserve"> 3.3%. </w:t>
      </w:r>
    </w:p>
    <w:p w:rsidR="000508BD" w:rsidRDefault="000508BD" w:rsidP="000508BD">
      <w:pPr>
        <w:jc w:val="both"/>
        <w:rPr>
          <w:rFonts w:ascii="Arial Narrow" w:hAnsi="Arial Narrow" w:cs="Tahoma"/>
          <w:sz w:val="22"/>
        </w:rPr>
      </w:pPr>
    </w:p>
    <w:p w:rsidR="00BD2529" w:rsidRPr="00BD2529" w:rsidRDefault="00BD2529" w:rsidP="000508BD">
      <w:pPr>
        <w:jc w:val="both"/>
        <w:rPr>
          <w:rFonts w:ascii="Arial Narrow" w:hAnsi="Arial Narrow" w:cs="Tahoma"/>
          <w:sz w:val="22"/>
        </w:rPr>
      </w:pPr>
      <w:r>
        <w:rPr>
          <w:rFonts w:ascii="Arial Narrow" w:hAnsi="Arial Narrow" w:cs="Tahoma"/>
          <w:sz w:val="22"/>
        </w:rPr>
        <w:t xml:space="preserve">A decrease in nominal wages was recorded in the sections </w:t>
      </w:r>
      <w:r w:rsidRPr="00BD2529">
        <w:rPr>
          <w:rFonts w:ascii="Arial Narrow" w:hAnsi="Arial Narrow" w:cs="Tahoma"/>
          <w:i/>
          <w:sz w:val="22"/>
        </w:rPr>
        <w:t>Mining and quarrying</w:t>
      </w:r>
      <w:r>
        <w:rPr>
          <w:rFonts w:ascii="Arial Narrow" w:hAnsi="Arial Narrow" w:cs="Tahoma"/>
          <w:sz w:val="22"/>
        </w:rPr>
        <w:t xml:space="preserve"> 7.5%, </w:t>
      </w:r>
      <w:r w:rsidRPr="00BD2529">
        <w:rPr>
          <w:rFonts w:ascii="Arial Narrow" w:hAnsi="Arial Narrow" w:cs="Tahoma"/>
          <w:i/>
          <w:sz w:val="22"/>
        </w:rPr>
        <w:t>Electricity, gas, steam and air-conditioning supply</w:t>
      </w:r>
      <w:r>
        <w:rPr>
          <w:rFonts w:ascii="Arial Narrow" w:hAnsi="Arial Narrow" w:cs="Tahoma"/>
          <w:sz w:val="22"/>
        </w:rPr>
        <w:t xml:space="preserve"> 5.8% and </w:t>
      </w:r>
      <w:r w:rsidRPr="00BD2529">
        <w:rPr>
          <w:rFonts w:ascii="Arial Narrow" w:hAnsi="Arial Narrow" w:cs="Tahoma"/>
          <w:i/>
          <w:sz w:val="22"/>
        </w:rPr>
        <w:t>Other service activities</w:t>
      </w:r>
      <w:r>
        <w:rPr>
          <w:rFonts w:ascii="Arial Narrow" w:hAnsi="Arial Narrow" w:cs="Tahoma"/>
          <w:sz w:val="22"/>
        </w:rPr>
        <w:t xml:space="preserve"> 5.3%. </w:t>
      </w:r>
    </w:p>
    <w:p w:rsidR="00943369" w:rsidRPr="00943369" w:rsidRDefault="00943369" w:rsidP="000508BD">
      <w:pPr>
        <w:jc w:val="both"/>
        <w:rPr>
          <w:rFonts w:ascii="Arial Narrow" w:hAnsi="Arial Narrow" w:cs="Tahoma"/>
          <w:i/>
          <w:color w:val="FF0000"/>
          <w:sz w:val="22"/>
          <w:lang w:val="sr-Cyrl-BA"/>
        </w:rPr>
      </w:pPr>
    </w:p>
    <w:p w:rsidR="000508BD" w:rsidRPr="00943369" w:rsidRDefault="000508BD" w:rsidP="000508BD">
      <w:pPr>
        <w:jc w:val="both"/>
        <w:rPr>
          <w:rFonts w:ascii="Tahoma" w:hAnsi="Tahoma" w:cs="Tahoma"/>
          <w:color w:val="FF0000"/>
          <w:lang w:val="sr-Cyrl-BA"/>
        </w:rPr>
      </w:pPr>
    </w:p>
    <w:p w:rsidR="000508BD" w:rsidRPr="0019100D" w:rsidRDefault="000508BD" w:rsidP="000508BD">
      <w:pPr>
        <w:jc w:val="both"/>
        <w:rPr>
          <w:rFonts w:ascii="Arial Narrow" w:hAnsi="Arial Narrow" w:cs="Tahoma"/>
          <w:sz w:val="22"/>
          <w:szCs w:val="22"/>
        </w:rPr>
      </w:pPr>
      <w:r w:rsidRPr="00943369">
        <w:rPr>
          <w:rFonts w:ascii="Tahoma" w:hAnsi="Tahoma" w:cs="Tahoma"/>
          <w:i/>
          <w:color w:val="FF0000"/>
          <w:sz w:val="14"/>
          <w:lang w:val="sr-Cyrl-CS"/>
        </w:rPr>
        <w:t xml:space="preserve"> </w:t>
      </w:r>
      <w:r w:rsidRPr="00943369">
        <w:rPr>
          <w:rFonts w:ascii="Tahoma" w:hAnsi="Tahoma" w:cs="Tahoma"/>
          <w:color w:val="FF0000"/>
          <w:sz w:val="14"/>
          <w:lang w:val="sr-Cyrl-CS"/>
        </w:rPr>
        <w:t xml:space="preserve">   </w:t>
      </w:r>
      <w:r w:rsidR="00B538D0" w:rsidRPr="00943369">
        <w:rPr>
          <w:rFonts w:ascii="Tahoma" w:hAnsi="Tahoma" w:cs="Tahoma"/>
          <w:color w:val="FF0000"/>
          <w:sz w:val="14"/>
          <w:lang w:val="sr-Latn-CS"/>
        </w:rPr>
        <w:tab/>
      </w:r>
      <w:r w:rsidR="00B538D0" w:rsidRPr="00943369">
        <w:rPr>
          <w:rFonts w:ascii="Tahoma" w:hAnsi="Tahoma" w:cs="Tahoma"/>
          <w:color w:val="FF0000"/>
          <w:sz w:val="14"/>
          <w:lang w:val="sr-Latn-CS"/>
        </w:rPr>
        <w:tab/>
      </w:r>
      <w:r w:rsidR="00B538D0" w:rsidRPr="00943369">
        <w:rPr>
          <w:rFonts w:ascii="Tahoma" w:hAnsi="Tahoma" w:cs="Tahoma"/>
          <w:color w:val="FF0000"/>
          <w:sz w:val="14"/>
        </w:rPr>
        <w:t xml:space="preserve">          </w:t>
      </w:r>
      <w:r w:rsidRPr="00943369">
        <w:rPr>
          <w:rFonts w:ascii="Tahoma" w:hAnsi="Tahoma" w:cs="Tahoma"/>
          <w:color w:val="FF0000"/>
          <w:sz w:val="14"/>
        </w:rPr>
        <w:t xml:space="preserve"> </w:t>
      </w:r>
      <w:r w:rsidRPr="0019100D">
        <w:rPr>
          <w:rFonts w:ascii="Arial Narrow" w:hAnsi="Arial Narrow" w:cs="Tahoma"/>
          <w:sz w:val="22"/>
          <w:szCs w:val="22"/>
          <w:lang w:val="sr-Cyrl-CS"/>
        </w:rPr>
        <w:t>км</w:t>
      </w:r>
    </w:p>
    <w:p w:rsidR="000508BD" w:rsidRPr="00943369" w:rsidRDefault="00A835B6" w:rsidP="000508BD">
      <w:pPr>
        <w:jc w:val="center"/>
        <w:rPr>
          <w:rFonts w:ascii="Tahoma" w:hAnsi="Tahoma" w:cs="Tahoma"/>
          <w:color w:val="FF0000"/>
        </w:rPr>
      </w:pPr>
      <w:r>
        <w:rPr>
          <w:rFonts w:ascii="Tahoma" w:hAnsi="Tahoma" w:cs="Tahoma"/>
          <w:noProof/>
          <w:color w:val="FF0000"/>
          <w:szCs w:val="18"/>
        </w:rPr>
        <w:drawing>
          <wp:anchor distT="0" distB="0" distL="114300" distR="114300" simplePos="0" relativeHeight="251669504" behindDoc="0" locked="0" layoutInCell="1" allowOverlap="1">
            <wp:simplePos x="0" y="0"/>
            <wp:positionH relativeFrom="column">
              <wp:posOffset>973510</wp:posOffset>
            </wp:positionH>
            <wp:positionV relativeFrom="paragraph">
              <wp:posOffset>2051630</wp:posOffset>
            </wp:positionV>
            <wp:extent cx="4505242" cy="461176"/>
            <wp:effectExtent l="19050" t="0" r="0" b="0"/>
            <wp:wrapNone/>
            <wp:docPr id="8"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5242" cy="461176"/>
                    </a:xfrm>
                    <a:prstGeom prst="rect">
                      <a:avLst/>
                    </a:prstGeom>
                  </pic:spPr>
                </pic:pic>
              </a:graphicData>
            </a:graphic>
          </wp:anchor>
        </w:drawing>
      </w:r>
      <w:r w:rsidR="000508BD" w:rsidRPr="00943369">
        <w:rPr>
          <w:rFonts w:ascii="Tahoma" w:hAnsi="Tahoma" w:cs="Tahoma"/>
          <w:color w:val="FF0000"/>
          <w:szCs w:val="18"/>
        </w:rPr>
        <w:t xml:space="preserve"> </w:t>
      </w:r>
      <w:r w:rsidR="00943369" w:rsidRPr="00943369">
        <w:rPr>
          <w:rFonts w:ascii="Tahoma" w:hAnsi="Tahoma" w:cs="Tahoma"/>
          <w:noProof/>
          <w:color w:val="FF0000"/>
          <w:szCs w:val="18"/>
        </w:rPr>
        <w:drawing>
          <wp:inline distT="0" distB="0" distL="0" distR="0">
            <wp:extent cx="4572000" cy="2743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508BD" w:rsidRPr="00943369">
        <w:rPr>
          <w:rFonts w:ascii="Tahoma" w:hAnsi="Tahoma" w:cs="Tahoma"/>
          <w:color w:val="FF0000"/>
          <w:szCs w:val="18"/>
        </w:rPr>
        <w:t xml:space="preserve">  </w:t>
      </w:r>
    </w:p>
    <w:p w:rsidR="000508BD" w:rsidRPr="00943369" w:rsidRDefault="000508BD" w:rsidP="000508BD">
      <w:pPr>
        <w:jc w:val="center"/>
        <w:rPr>
          <w:rFonts w:ascii="Tahoma" w:hAnsi="Tahoma" w:cs="Tahoma"/>
          <w:color w:val="FF0000"/>
          <w:sz w:val="18"/>
          <w:szCs w:val="18"/>
          <w:lang w:val="sr-Cyrl-CS"/>
        </w:rPr>
      </w:pPr>
    </w:p>
    <w:p w:rsidR="000508BD" w:rsidRPr="002D7078" w:rsidRDefault="002D7078" w:rsidP="000508BD">
      <w:pPr>
        <w:jc w:val="center"/>
        <w:outlineLvl w:val="0"/>
        <w:rPr>
          <w:rFonts w:ascii="Arial Narrow" w:hAnsi="Arial Narrow" w:cs="Tahoma"/>
          <w:sz w:val="22"/>
          <w:szCs w:val="22"/>
          <w:lang w:val="sr-Cyrl-CS"/>
        </w:rPr>
      </w:pPr>
      <w:r w:rsidRPr="002D7078">
        <w:rPr>
          <w:rFonts w:ascii="Arial Narrow" w:hAnsi="Arial Narrow" w:cs="Tahoma"/>
          <w:sz w:val="22"/>
          <w:szCs w:val="22"/>
        </w:rPr>
        <w:t>Graph</w:t>
      </w:r>
      <w:r w:rsidR="000508BD" w:rsidRPr="002D7078">
        <w:rPr>
          <w:rFonts w:ascii="Arial Narrow" w:hAnsi="Arial Narrow" w:cs="Tahoma"/>
          <w:sz w:val="22"/>
          <w:szCs w:val="22"/>
          <w:lang w:val="sr-Cyrl-BA"/>
        </w:rPr>
        <w:t xml:space="preserve"> </w:t>
      </w:r>
      <w:r w:rsidR="00943369" w:rsidRPr="002D7078">
        <w:rPr>
          <w:rFonts w:ascii="Arial Narrow" w:hAnsi="Arial Narrow" w:cs="Tahoma"/>
          <w:sz w:val="22"/>
          <w:szCs w:val="22"/>
          <w:lang w:val="sr-Cyrl-BA"/>
        </w:rPr>
        <w:t>1</w:t>
      </w:r>
      <w:r w:rsidR="000508BD" w:rsidRPr="002D7078">
        <w:rPr>
          <w:rFonts w:ascii="Arial Narrow" w:hAnsi="Arial Narrow" w:cs="Tahoma"/>
          <w:sz w:val="22"/>
          <w:szCs w:val="22"/>
          <w:lang w:val="sr-Cyrl-CS"/>
        </w:rPr>
        <w:t>.</w:t>
      </w:r>
      <w:r w:rsidR="000508BD" w:rsidRPr="002D7078">
        <w:rPr>
          <w:rFonts w:ascii="Arial Narrow" w:hAnsi="Arial Narrow" w:cs="Tahoma"/>
          <w:sz w:val="22"/>
          <w:szCs w:val="22"/>
          <w:lang w:val="sr-Cyrl-BA"/>
        </w:rPr>
        <w:t xml:space="preserve"> </w:t>
      </w:r>
      <w:r w:rsidRPr="002D7078">
        <w:rPr>
          <w:rFonts w:ascii="Arial Narrow" w:hAnsi="Arial Narrow" w:cs="Tahoma"/>
          <w:sz w:val="22"/>
          <w:szCs w:val="22"/>
        </w:rPr>
        <w:t>Average net wages of employees by month</w:t>
      </w:r>
      <w:r w:rsidR="000508BD" w:rsidRPr="002D7078">
        <w:rPr>
          <w:rFonts w:ascii="Arial Narrow" w:hAnsi="Arial Narrow" w:cs="Tahoma"/>
          <w:sz w:val="22"/>
          <w:szCs w:val="22"/>
          <w:lang w:val="ru-RU"/>
        </w:rPr>
        <w:t xml:space="preserve"> </w:t>
      </w:r>
    </w:p>
    <w:p w:rsidR="00BE051D" w:rsidRDefault="00BE051D">
      <w:pPr>
        <w:rPr>
          <w:rFonts w:ascii="Tahoma" w:hAnsi="Tahoma" w:cs="Tahoma"/>
          <w:lang w:val="sr-Cyrl-BA"/>
        </w:rPr>
      </w:pPr>
    </w:p>
    <w:p w:rsidR="00943369" w:rsidRDefault="00943369">
      <w:pPr>
        <w:rPr>
          <w:rFonts w:ascii="Tahoma" w:hAnsi="Tahoma" w:cs="Tahoma"/>
          <w:lang w:val="sr-Cyrl-BA"/>
        </w:rPr>
      </w:pPr>
    </w:p>
    <w:p w:rsidR="002812B3" w:rsidRPr="00AF197F" w:rsidRDefault="00AF197F" w:rsidP="002812B3">
      <w:pPr>
        <w:rPr>
          <w:rFonts w:ascii="Arial Narrow" w:hAnsi="Arial Narrow" w:cs="Tahoma"/>
          <w:b/>
          <w:sz w:val="30"/>
          <w:szCs w:val="30"/>
        </w:rPr>
      </w:pPr>
      <w:r>
        <w:rPr>
          <w:rFonts w:ascii="Arial Narrow" w:hAnsi="Arial Narrow" w:cs="Tahoma"/>
          <w:b/>
          <w:sz w:val="30"/>
          <w:szCs w:val="30"/>
        </w:rPr>
        <w:lastRenderedPageBreak/>
        <w:t>Monthly inflation</w:t>
      </w:r>
      <w:r w:rsidR="002812B3" w:rsidRPr="0019100D">
        <w:rPr>
          <w:rFonts w:ascii="Arial Narrow" w:hAnsi="Arial Narrow" w:cs="Tahoma"/>
          <w:b/>
          <w:sz w:val="30"/>
          <w:szCs w:val="30"/>
          <w:lang w:val="sr-Cyrl-BA"/>
        </w:rPr>
        <w:t xml:space="preserve"> </w:t>
      </w:r>
      <w:r>
        <w:rPr>
          <w:rFonts w:ascii="Arial Narrow" w:hAnsi="Arial Narrow" w:cs="Tahoma"/>
          <w:b/>
          <w:sz w:val="30"/>
          <w:szCs w:val="30"/>
          <w:lang w:val="sr-Cyrl-BA"/>
        </w:rPr>
        <w:t>-0</w:t>
      </w:r>
      <w:r>
        <w:rPr>
          <w:rFonts w:ascii="Arial Narrow" w:hAnsi="Arial Narrow" w:cs="Tahoma"/>
          <w:b/>
          <w:sz w:val="30"/>
          <w:szCs w:val="30"/>
        </w:rPr>
        <w:t>.</w:t>
      </w:r>
      <w:r w:rsidR="002812B3" w:rsidRPr="0019100D">
        <w:rPr>
          <w:rFonts w:ascii="Arial Narrow" w:hAnsi="Arial Narrow" w:cs="Tahoma"/>
          <w:b/>
          <w:sz w:val="30"/>
          <w:szCs w:val="30"/>
          <w:lang w:val="sr-Cyrl-BA"/>
        </w:rPr>
        <w:t>1%</w:t>
      </w:r>
      <w:r>
        <w:rPr>
          <w:rFonts w:ascii="Arial Narrow" w:hAnsi="Arial Narrow" w:cs="Tahoma"/>
          <w:b/>
          <w:sz w:val="30"/>
          <w:szCs w:val="30"/>
        </w:rPr>
        <w:t xml:space="preserve"> in July 2014</w:t>
      </w:r>
    </w:p>
    <w:p w:rsidR="002812B3" w:rsidRPr="0019100D" w:rsidRDefault="00AF197F" w:rsidP="002812B3">
      <w:pPr>
        <w:rPr>
          <w:rFonts w:ascii="Arial Narrow" w:hAnsi="Arial Narrow" w:cs="Tahoma"/>
          <w:b/>
          <w:sz w:val="30"/>
          <w:szCs w:val="30"/>
          <w:lang w:val="sr-Cyrl-BA"/>
        </w:rPr>
      </w:pPr>
      <w:r>
        <w:rPr>
          <w:rFonts w:ascii="Arial Narrow" w:hAnsi="Arial Narrow" w:cs="Tahoma"/>
          <w:b/>
          <w:sz w:val="30"/>
          <w:szCs w:val="30"/>
        </w:rPr>
        <w:t>Annual inflation</w:t>
      </w:r>
      <w:r w:rsidR="002812B3" w:rsidRPr="0019100D">
        <w:rPr>
          <w:rFonts w:ascii="Arial Narrow" w:hAnsi="Arial Narrow" w:cs="Tahoma"/>
          <w:b/>
          <w:sz w:val="30"/>
          <w:szCs w:val="30"/>
          <w:lang w:val="sr-Cyrl-BA"/>
        </w:rPr>
        <w:t xml:space="preserve"> (</w:t>
      </w:r>
      <w:r>
        <w:rPr>
          <w:rFonts w:ascii="Arial Narrow" w:hAnsi="Arial Narrow" w:cs="Tahoma"/>
          <w:b/>
          <w:sz w:val="30"/>
          <w:szCs w:val="30"/>
          <w:lang w:val="sr-Latn-CS"/>
        </w:rPr>
        <w:t>July</w:t>
      </w:r>
      <w:r w:rsidR="002812B3" w:rsidRPr="0019100D">
        <w:rPr>
          <w:rFonts w:ascii="Arial Narrow" w:hAnsi="Arial Narrow" w:cs="Tahoma"/>
          <w:b/>
          <w:sz w:val="30"/>
          <w:szCs w:val="30"/>
          <w:lang w:val="sr-Cyrl-BA"/>
        </w:rPr>
        <w:t xml:space="preserve"> 2014/</w:t>
      </w:r>
      <w:r>
        <w:rPr>
          <w:rFonts w:ascii="Arial Narrow" w:hAnsi="Arial Narrow" w:cs="Tahoma"/>
          <w:b/>
          <w:sz w:val="30"/>
          <w:szCs w:val="30"/>
          <w:lang w:val="sr-Latn-CS"/>
        </w:rPr>
        <w:t xml:space="preserve">July </w:t>
      </w:r>
      <w:r w:rsidR="002812B3" w:rsidRPr="0019100D">
        <w:rPr>
          <w:rFonts w:ascii="Arial Narrow" w:hAnsi="Arial Narrow" w:cs="Tahoma"/>
          <w:b/>
          <w:sz w:val="30"/>
          <w:szCs w:val="30"/>
          <w:lang w:val="sr-Cyrl-BA"/>
        </w:rPr>
        <w:t>2013</w:t>
      </w:r>
      <w:r>
        <w:rPr>
          <w:rFonts w:ascii="Arial Narrow" w:hAnsi="Arial Narrow" w:cs="Tahoma"/>
          <w:b/>
          <w:sz w:val="30"/>
          <w:szCs w:val="30"/>
          <w:lang w:val="sr-Cyrl-BA"/>
        </w:rPr>
        <w:t>) -1</w:t>
      </w:r>
      <w:r>
        <w:rPr>
          <w:rFonts w:ascii="Arial Narrow" w:hAnsi="Arial Narrow" w:cs="Tahoma"/>
          <w:b/>
          <w:sz w:val="30"/>
          <w:szCs w:val="30"/>
        </w:rPr>
        <w:t>.</w:t>
      </w:r>
      <w:r w:rsidR="002812B3" w:rsidRPr="0019100D">
        <w:rPr>
          <w:rFonts w:ascii="Arial Narrow" w:hAnsi="Arial Narrow" w:cs="Tahoma"/>
          <w:b/>
          <w:sz w:val="30"/>
          <w:szCs w:val="30"/>
          <w:lang w:val="sr-Cyrl-BA"/>
        </w:rPr>
        <w:t>1%</w:t>
      </w:r>
    </w:p>
    <w:p w:rsidR="00997580" w:rsidRPr="0019100D" w:rsidRDefault="00997580" w:rsidP="00997580">
      <w:pPr>
        <w:spacing w:after="120"/>
        <w:jc w:val="both"/>
        <w:rPr>
          <w:rFonts w:ascii="Tahoma" w:hAnsi="Tahoma" w:cs="Tahoma"/>
          <w:lang w:val="sr-Cyrl-BA"/>
        </w:rPr>
      </w:pPr>
    </w:p>
    <w:p w:rsidR="00371B03" w:rsidRDefault="00371B03" w:rsidP="002812B3">
      <w:pPr>
        <w:spacing w:after="120"/>
        <w:jc w:val="both"/>
        <w:rPr>
          <w:rFonts w:ascii="Arial Narrow" w:hAnsi="Arial Narrow" w:cs="Tahoma"/>
          <w:sz w:val="22"/>
          <w:szCs w:val="22"/>
        </w:rPr>
      </w:pPr>
      <w:r>
        <w:rPr>
          <w:rFonts w:ascii="Arial Narrow" w:hAnsi="Arial Narrow" w:cs="Tahoma"/>
          <w:sz w:val="22"/>
          <w:szCs w:val="22"/>
        </w:rPr>
        <w:t xml:space="preserve">Prices of products and services for personal consumption in Republika Srpska, measured with the consumer price index, in July 2014 were on the average 0.1% lower compared to June 2014. </w:t>
      </w:r>
    </w:p>
    <w:p w:rsidR="00371B03" w:rsidRDefault="00371B03" w:rsidP="002812B3">
      <w:pPr>
        <w:spacing w:after="120"/>
        <w:jc w:val="both"/>
        <w:rPr>
          <w:rFonts w:ascii="Arial Narrow" w:hAnsi="Arial Narrow" w:cs="Tahoma"/>
          <w:sz w:val="22"/>
          <w:szCs w:val="22"/>
        </w:rPr>
      </w:pPr>
      <w:r>
        <w:rPr>
          <w:rFonts w:ascii="Arial Narrow" w:hAnsi="Arial Narrow" w:cs="Tahoma"/>
          <w:sz w:val="22"/>
          <w:szCs w:val="22"/>
        </w:rPr>
        <w:t>Out of 12 main divisions of products and services for personal consumption, the highest</w:t>
      </w:r>
      <w:r w:rsidR="00DA09A5">
        <w:rPr>
          <w:rFonts w:ascii="Arial Narrow" w:hAnsi="Arial Narrow" w:cs="Tahoma"/>
          <w:sz w:val="22"/>
          <w:szCs w:val="22"/>
        </w:rPr>
        <w:t xml:space="preserve"> increase, by 0.5%, was recorded in the division </w:t>
      </w:r>
      <w:r w:rsidR="00DA09A5" w:rsidRPr="00DA09A5">
        <w:rPr>
          <w:rFonts w:ascii="Arial Narrow" w:hAnsi="Arial Narrow" w:cs="Tahoma"/>
          <w:i/>
          <w:sz w:val="22"/>
          <w:szCs w:val="22"/>
        </w:rPr>
        <w:t>Furnishing and other equipment</w:t>
      </w:r>
      <w:r w:rsidR="00DA09A5">
        <w:rPr>
          <w:rFonts w:ascii="Arial Narrow" w:hAnsi="Arial Narrow" w:cs="Tahoma"/>
          <w:sz w:val="22"/>
          <w:szCs w:val="22"/>
        </w:rPr>
        <w:t>, due to higher prices in the group routine maintenance of the house (0.7%).</w:t>
      </w:r>
    </w:p>
    <w:p w:rsidR="00DA09A5" w:rsidRDefault="00DA09A5" w:rsidP="002812B3">
      <w:pPr>
        <w:spacing w:after="120"/>
        <w:jc w:val="both"/>
        <w:rPr>
          <w:rFonts w:ascii="Arial Narrow" w:hAnsi="Arial Narrow" w:cs="Tahoma"/>
          <w:sz w:val="22"/>
          <w:szCs w:val="22"/>
        </w:rPr>
      </w:pPr>
      <w:r>
        <w:rPr>
          <w:rFonts w:ascii="Arial Narrow" w:hAnsi="Arial Narrow" w:cs="Tahoma"/>
          <w:sz w:val="22"/>
          <w:szCs w:val="22"/>
        </w:rPr>
        <w:t xml:space="preserve">Due to higher producer prices of cigarettes, an increase in prices was again recorded in the division </w:t>
      </w:r>
      <w:r w:rsidRPr="008C7595">
        <w:rPr>
          <w:rFonts w:ascii="Arial Narrow" w:hAnsi="Arial Narrow" w:cs="Tahoma"/>
          <w:i/>
          <w:sz w:val="22"/>
          <w:szCs w:val="22"/>
        </w:rPr>
        <w:t xml:space="preserve">Alcoholic beverages and tobacco </w:t>
      </w:r>
      <w:r>
        <w:rPr>
          <w:rFonts w:ascii="Arial Narrow" w:hAnsi="Arial Narrow" w:cs="Tahoma"/>
          <w:sz w:val="22"/>
          <w:szCs w:val="22"/>
        </w:rPr>
        <w:t xml:space="preserve">(0.4%). </w:t>
      </w:r>
    </w:p>
    <w:p w:rsidR="00DA09A5" w:rsidRDefault="00DA09A5" w:rsidP="002812B3">
      <w:pPr>
        <w:spacing w:after="120"/>
        <w:jc w:val="both"/>
        <w:rPr>
          <w:rFonts w:ascii="Arial Narrow" w:hAnsi="Arial Narrow" w:cs="Tahoma"/>
          <w:sz w:val="22"/>
          <w:szCs w:val="22"/>
        </w:rPr>
      </w:pPr>
      <w:r>
        <w:rPr>
          <w:rFonts w:ascii="Arial Narrow" w:hAnsi="Arial Narrow" w:cs="Tahoma"/>
          <w:sz w:val="22"/>
          <w:szCs w:val="22"/>
        </w:rPr>
        <w:t xml:space="preserve">A slight increase in prices (0.3%) was recorded in the division </w:t>
      </w:r>
      <w:r w:rsidRPr="00CE4973">
        <w:rPr>
          <w:rFonts w:ascii="Arial Narrow" w:hAnsi="Arial Narrow" w:cs="Tahoma"/>
          <w:i/>
          <w:sz w:val="22"/>
          <w:szCs w:val="22"/>
        </w:rPr>
        <w:t>Transport</w:t>
      </w:r>
      <w:r>
        <w:rPr>
          <w:rFonts w:ascii="Arial Narrow" w:hAnsi="Arial Narrow" w:cs="Tahoma"/>
          <w:sz w:val="22"/>
          <w:szCs w:val="22"/>
        </w:rPr>
        <w:t xml:space="preserve"> and it occurred due to higher prices of gasoline (0.7%), while an increase in prices (0.3%) recorded in the division </w:t>
      </w:r>
      <w:r w:rsidRPr="00CE4973">
        <w:rPr>
          <w:rFonts w:ascii="Arial Narrow" w:hAnsi="Arial Narrow" w:cs="Tahoma"/>
          <w:i/>
          <w:sz w:val="22"/>
          <w:szCs w:val="22"/>
        </w:rPr>
        <w:t>Recreation and culture</w:t>
      </w:r>
      <w:r>
        <w:rPr>
          <w:rFonts w:ascii="Arial Narrow" w:hAnsi="Arial Narrow" w:cs="Tahoma"/>
          <w:sz w:val="22"/>
          <w:szCs w:val="22"/>
        </w:rPr>
        <w:t xml:space="preserve"> was a consequence of higher prices of </w:t>
      </w:r>
      <w:r w:rsidR="00CE4973">
        <w:rPr>
          <w:rFonts w:ascii="Arial Narrow" w:hAnsi="Arial Narrow" w:cs="Tahoma"/>
          <w:sz w:val="22"/>
          <w:szCs w:val="22"/>
        </w:rPr>
        <w:t>travel arrangements in the season (7.8%).</w:t>
      </w:r>
    </w:p>
    <w:p w:rsidR="00CE4973" w:rsidRDefault="00CE4973" w:rsidP="002812B3">
      <w:pPr>
        <w:spacing w:after="120"/>
        <w:jc w:val="both"/>
        <w:rPr>
          <w:rFonts w:ascii="Arial Narrow" w:hAnsi="Arial Narrow" w:cs="Tahoma"/>
          <w:sz w:val="22"/>
          <w:szCs w:val="22"/>
        </w:rPr>
      </w:pPr>
      <w:r>
        <w:rPr>
          <w:rFonts w:ascii="Arial Narrow" w:hAnsi="Arial Narrow" w:cs="Tahoma"/>
          <w:sz w:val="22"/>
          <w:szCs w:val="22"/>
        </w:rPr>
        <w:t xml:space="preserve">An increase in prices by 0.2% recorded in the division </w:t>
      </w:r>
      <w:r w:rsidRPr="00CE4973">
        <w:rPr>
          <w:rFonts w:ascii="Arial Narrow" w:hAnsi="Arial Narrow" w:cs="Tahoma"/>
          <w:i/>
          <w:sz w:val="22"/>
          <w:szCs w:val="22"/>
        </w:rPr>
        <w:t>Other goods and services</w:t>
      </w:r>
      <w:r>
        <w:rPr>
          <w:rFonts w:ascii="Arial Narrow" w:hAnsi="Arial Narrow" w:cs="Tahoma"/>
          <w:sz w:val="22"/>
          <w:szCs w:val="22"/>
        </w:rPr>
        <w:t xml:space="preserve"> occurred due to higher prices in the group personal care products (0.5%) and higher prices of products from the group other personal articles (0.6%). </w:t>
      </w:r>
    </w:p>
    <w:p w:rsidR="001D0AE1" w:rsidRDefault="001D0AE1" w:rsidP="002812B3">
      <w:pPr>
        <w:jc w:val="both"/>
        <w:rPr>
          <w:rFonts w:ascii="Arial Narrow" w:hAnsi="Arial Narrow" w:cs="Tahoma"/>
          <w:sz w:val="22"/>
          <w:szCs w:val="22"/>
        </w:rPr>
      </w:pPr>
      <w:r>
        <w:rPr>
          <w:rFonts w:ascii="Arial Narrow" w:hAnsi="Arial Narrow" w:cs="Tahoma"/>
          <w:sz w:val="22"/>
          <w:szCs w:val="22"/>
        </w:rPr>
        <w:t xml:space="preserve">In the division </w:t>
      </w:r>
      <w:r w:rsidRPr="001D0AE1">
        <w:rPr>
          <w:rFonts w:ascii="Arial Narrow" w:hAnsi="Arial Narrow" w:cs="Tahoma"/>
          <w:i/>
          <w:sz w:val="22"/>
          <w:szCs w:val="22"/>
        </w:rPr>
        <w:t>Housing</w:t>
      </w:r>
      <w:r>
        <w:rPr>
          <w:rFonts w:ascii="Arial Narrow" w:hAnsi="Arial Narrow" w:cs="Tahoma"/>
          <w:sz w:val="22"/>
          <w:szCs w:val="22"/>
        </w:rPr>
        <w:t xml:space="preserve">, higher prices were recorded in the groups liquid (1.2%) and solid fuels (0.2%). </w:t>
      </w:r>
    </w:p>
    <w:p w:rsidR="002812B3" w:rsidRPr="0019100D" w:rsidRDefault="002812B3" w:rsidP="002812B3">
      <w:pPr>
        <w:jc w:val="both"/>
        <w:rPr>
          <w:rFonts w:ascii="Arial Narrow" w:hAnsi="Arial Narrow" w:cs="Tahoma"/>
          <w:sz w:val="22"/>
          <w:szCs w:val="22"/>
          <w:lang w:val="sr-Cyrl-BA"/>
        </w:rPr>
      </w:pPr>
    </w:p>
    <w:p w:rsidR="001D0AE1" w:rsidRDefault="001D0AE1" w:rsidP="002812B3">
      <w:pPr>
        <w:spacing w:after="120"/>
        <w:jc w:val="both"/>
        <w:rPr>
          <w:rFonts w:ascii="Arial Narrow" w:hAnsi="Arial Narrow" w:cs="Tahoma"/>
          <w:sz w:val="22"/>
          <w:szCs w:val="22"/>
        </w:rPr>
      </w:pPr>
      <w:r>
        <w:rPr>
          <w:rFonts w:ascii="Arial Narrow" w:hAnsi="Arial Narrow" w:cs="Tahoma"/>
          <w:sz w:val="22"/>
          <w:szCs w:val="22"/>
        </w:rPr>
        <w:t xml:space="preserve">A decrease in prices was recorded in two divisions. </w:t>
      </w:r>
    </w:p>
    <w:p w:rsidR="001D0AE1" w:rsidRDefault="001D0AE1" w:rsidP="002812B3">
      <w:pPr>
        <w:spacing w:after="240"/>
        <w:jc w:val="both"/>
        <w:rPr>
          <w:rFonts w:ascii="Arial Narrow" w:hAnsi="Arial Narrow" w:cs="Tahoma"/>
          <w:sz w:val="22"/>
          <w:szCs w:val="22"/>
        </w:rPr>
      </w:pPr>
      <w:r>
        <w:rPr>
          <w:rFonts w:ascii="Arial Narrow" w:hAnsi="Arial Narrow" w:cs="Tahoma"/>
          <w:sz w:val="22"/>
          <w:szCs w:val="22"/>
        </w:rPr>
        <w:t xml:space="preserve">The lowest prices in July were recorded in the division </w:t>
      </w:r>
      <w:r w:rsidRPr="001D0AE1">
        <w:rPr>
          <w:rFonts w:ascii="Arial Narrow" w:hAnsi="Arial Narrow" w:cs="Tahoma"/>
          <w:i/>
          <w:sz w:val="22"/>
          <w:szCs w:val="22"/>
        </w:rPr>
        <w:t>Clothing and footwear</w:t>
      </w:r>
      <w:r>
        <w:rPr>
          <w:rFonts w:ascii="Arial Narrow" w:hAnsi="Arial Narrow" w:cs="Tahoma"/>
          <w:sz w:val="22"/>
          <w:szCs w:val="22"/>
        </w:rPr>
        <w:t xml:space="preserve"> (3.1%) and they were a result of seasonal sales of clothing and footwear, which are the most common in this period.</w:t>
      </w:r>
    </w:p>
    <w:p w:rsidR="001D0AE1" w:rsidRDefault="001D0AE1" w:rsidP="00390AE8">
      <w:pPr>
        <w:spacing w:after="120"/>
        <w:jc w:val="both"/>
        <w:rPr>
          <w:rFonts w:ascii="Arial Narrow" w:hAnsi="Arial Narrow" w:cs="Tahoma"/>
          <w:sz w:val="22"/>
          <w:szCs w:val="22"/>
        </w:rPr>
      </w:pPr>
      <w:r>
        <w:rPr>
          <w:rFonts w:ascii="Arial Narrow" w:hAnsi="Arial Narrow" w:cs="Tahoma"/>
          <w:sz w:val="22"/>
          <w:szCs w:val="22"/>
        </w:rPr>
        <w:t xml:space="preserve">In the division </w:t>
      </w:r>
      <w:r w:rsidRPr="001D0AE1">
        <w:rPr>
          <w:rFonts w:ascii="Arial Narrow" w:hAnsi="Arial Narrow" w:cs="Tahoma"/>
          <w:i/>
          <w:sz w:val="22"/>
          <w:szCs w:val="22"/>
        </w:rPr>
        <w:t>Food and non-alcoholic beverages</w:t>
      </w:r>
      <w:r>
        <w:rPr>
          <w:rFonts w:ascii="Arial Narrow" w:hAnsi="Arial Narrow" w:cs="Tahoma"/>
          <w:sz w:val="22"/>
          <w:szCs w:val="22"/>
        </w:rPr>
        <w:t>, a decrease by 0.1% was recorded, due to lower prices of vegetables (3.2%), oil and fats (0.5%), meat (0.4%), and freshwater and sea fish (0.4%).</w:t>
      </w:r>
    </w:p>
    <w:p w:rsidR="006516AF" w:rsidRDefault="006516AF" w:rsidP="002812B3">
      <w:pPr>
        <w:spacing w:after="120"/>
        <w:jc w:val="both"/>
        <w:rPr>
          <w:rFonts w:ascii="Arial Narrow" w:hAnsi="Arial Narrow" w:cs="Tahoma"/>
          <w:sz w:val="22"/>
          <w:szCs w:val="22"/>
        </w:rPr>
      </w:pPr>
      <w:r>
        <w:rPr>
          <w:rFonts w:ascii="Arial Narrow" w:hAnsi="Arial Narrow" w:cs="Tahoma"/>
          <w:sz w:val="22"/>
          <w:szCs w:val="22"/>
        </w:rPr>
        <w:t xml:space="preserve">In the divisions </w:t>
      </w:r>
      <w:r w:rsidRPr="006516AF">
        <w:rPr>
          <w:rFonts w:ascii="Arial Narrow" w:hAnsi="Arial Narrow" w:cs="Tahoma"/>
          <w:i/>
          <w:sz w:val="22"/>
          <w:szCs w:val="22"/>
        </w:rPr>
        <w:t>Health care</w:t>
      </w:r>
      <w:r>
        <w:rPr>
          <w:rFonts w:ascii="Arial Narrow" w:hAnsi="Arial Narrow" w:cs="Tahoma"/>
          <w:sz w:val="22"/>
          <w:szCs w:val="22"/>
        </w:rPr>
        <w:t xml:space="preserve">, </w:t>
      </w:r>
      <w:r w:rsidRPr="006516AF">
        <w:rPr>
          <w:rFonts w:ascii="Arial Narrow" w:hAnsi="Arial Narrow" w:cs="Tahoma"/>
          <w:i/>
          <w:sz w:val="22"/>
          <w:szCs w:val="22"/>
        </w:rPr>
        <w:t>Communications</w:t>
      </w:r>
      <w:r>
        <w:rPr>
          <w:rFonts w:ascii="Arial Narrow" w:hAnsi="Arial Narrow" w:cs="Tahoma"/>
          <w:sz w:val="22"/>
          <w:szCs w:val="22"/>
        </w:rPr>
        <w:t xml:space="preserve">, </w:t>
      </w:r>
      <w:r w:rsidRPr="006516AF">
        <w:rPr>
          <w:rFonts w:ascii="Arial Narrow" w:hAnsi="Arial Narrow" w:cs="Tahoma"/>
          <w:i/>
          <w:sz w:val="22"/>
          <w:szCs w:val="22"/>
        </w:rPr>
        <w:t>Education</w:t>
      </w:r>
      <w:r>
        <w:rPr>
          <w:rFonts w:ascii="Arial Narrow" w:hAnsi="Arial Narrow" w:cs="Tahoma"/>
          <w:sz w:val="22"/>
          <w:szCs w:val="22"/>
        </w:rPr>
        <w:t xml:space="preserve">, and </w:t>
      </w:r>
      <w:r w:rsidRPr="006516AF">
        <w:rPr>
          <w:rFonts w:ascii="Arial Narrow" w:hAnsi="Arial Narrow" w:cs="Tahoma"/>
          <w:i/>
          <w:sz w:val="22"/>
          <w:szCs w:val="22"/>
        </w:rPr>
        <w:t>Restaurants and hotels</w:t>
      </w:r>
      <w:r>
        <w:rPr>
          <w:rFonts w:ascii="Arial Narrow" w:hAnsi="Arial Narrow" w:cs="Tahoma"/>
          <w:sz w:val="22"/>
          <w:szCs w:val="22"/>
        </w:rPr>
        <w:t xml:space="preserve"> prices remained on the average at the same level.</w:t>
      </w:r>
    </w:p>
    <w:p w:rsidR="006516AF" w:rsidRDefault="00457A16" w:rsidP="002812B3">
      <w:pPr>
        <w:spacing w:after="120"/>
        <w:jc w:val="both"/>
        <w:rPr>
          <w:rFonts w:ascii="Arial Narrow" w:hAnsi="Arial Narrow" w:cs="Tahoma"/>
          <w:sz w:val="22"/>
          <w:szCs w:val="22"/>
        </w:rPr>
      </w:pPr>
      <w:r>
        <w:rPr>
          <w:rFonts w:ascii="Arial Narrow" w:hAnsi="Arial Narrow" w:cs="Tahoma"/>
          <w:sz w:val="22"/>
          <w:szCs w:val="22"/>
        </w:rPr>
        <w:t xml:space="preserve">Price indices of products and services used for personal consumption in Republika Srpska in July 2014, compared to the same month of 2013, were on the average 1.1% lower. </w:t>
      </w:r>
    </w:p>
    <w:p w:rsidR="005447EC" w:rsidRPr="0019100D" w:rsidRDefault="005447EC" w:rsidP="003D2E03">
      <w:pPr>
        <w:jc w:val="both"/>
        <w:rPr>
          <w:rFonts w:ascii="Arial Narrow" w:hAnsi="Arial Narrow" w:cs="Tahoma"/>
          <w:b/>
          <w:sz w:val="22"/>
          <w:szCs w:val="30"/>
          <w:lang w:val="sr-Cyrl-CS"/>
        </w:rPr>
      </w:pPr>
    </w:p>
    <w:p w:rsidR="00251B5A" w:rsidRPr="00A625BA" w:rsidRDefault="00A625BA" w:rsidP="00251B5A">
      <w:pPr>
        <w:jc w:val="both"/>
        <w:rPr>
          <w:rFonts w:ascii="Arial Narrow" w:hAnsi="Arial Narrow" w:cs="Tahoma"/>
          <w:b/>
          <w:sz w:val="30"/>
          <w:szCs w:val="30"/>
        </w:rPr>
      </w:pPr>
      <w:r w:rsidRPr="009B7649">
        <w:rPr>
          <w:rFonts w:ascii="Arial Narrow" w:hAnsi="Arial Narrow" w:cs="Tahoma"/>
          <w:b/>
          <w:sz w:val="30"/>
          <w:szCs w:val="30"/>
        </w:rPr>
        <w:t>Producer prices of industrial products on domestic market</w:t>
      </w:r>
      <w:r w:rsidRPr="009B7649">
        <w:rPr>
          <w:rFonts w:ascii="Arial Narrow" w:hAnsi="Arial Narrow" w:cs="Tahoma"/>
          <w:b/>
          <w:sz w:val="30"/>
          <w:szCs w:val="30"/>
          <w:lang w:val="sr-Cyrl-CS"/>
        </w:rPr>
        <w:t xml:space="preserve"> </w:t>
      </w:r>
      <w:r w:rsidR="00251B5A" w:rsidRPr="0019100D">
        <w:rPr>
          <w:rFonts w:ascii="Arial Narrow" w:hAnsi="Arial Narrow" w:cs="Tahoma"/>
          <w:b/>
          <w:sz w:val="30"/>
          <w:szCs w:val="30"/>
          <w:lang w:val="sr-Cyrl-CS"/>
        </w:rPr>
        <w:t>(</w:t>
      </w:r>
      <w:r>
        <w:rPr>
          <w:rFonts w:ascii="Arial Narrow" w:hAnsi="Arial Narrow" w:cs="Tahoma"/>
          <w:b/>
          <w:sz w:val="30"/>
          <w:szCs w:val="30"/>
          <w:lang w:val="sr-Latn-CS"/>
        </w:rPr>
        <w:t>July</w:t>
      </w:r>
      <w:r w:rsidR="00251B5A" w:rsidRPr="0019100D">
        <w:rPr>
          <w:rFonts w:ascii="Arial Narrow" w:hAnsi="Arial Narrow" w:cs="Tahoma"/>
          <w:b/>
          <w:sz w:val="30"/>
          <w:szCs w:val="30"/>
          <w:lang w:val="sr-Cyrl-CS"/>
        </w:rPr>
        <w:t xml:space="preserve"> 2014/</w:t>
      </w:r>
      <w:r>
        <w:rPr>
          <w:rFonts w:ascii="Arial Narrow" w:hAnsi="Arial Narrow" w:cs="Tahoma"/>
          <w:b/>
          <w:sz w:val="30"/>
          <w:szCs w:val="30"/>
          <w:lang w:val="sr-Latn-CS"/>
        </w:rPr>
        <w:t>June</w:t>
      </w:r>
      <w:r w:rsidR="00251B5A" w:rsidRPr="0019100D">
        <w:rPr>
          <w:rFonts w:ascii="Arial Narrow" w:hAnsi="Arial Narrow" w:cs="Tahoma"/>
          <w:b/>
          <w:sz w:val="30"/>
          <w:szCs w:val="30"/>
          <w:lang w:val="sr-Cyrl-CS"/>
        </w:rPr>
        <w:t xml:space="preserve"> 201</w:t>
      </w:r>
      <w:r>
        <w:rPr>
          <w:rFonts w:ascii="Arial Narrow" w:hAnsi="Arial Narrow" w:cs="Tahoma"/>
          <w:b/>
          <w:sz w:val="30"/>
          <w:szCs w:val="30"/>
          <w:lang w:val="sr-Latn-CS"/>
        </w:rPr>
        <w:t>4</w:t>
      </w:r>
      <w:r w:rsidR="00251B5A" w:rsidRPr="0019100D">
        <w:rPr>
          <w:rFonts w:ascii="Arial Narrow" w:hAnsi="Arial Narrow" w:cs="Tahoma"/>
          <w:b/>
          <w:sz w:val="30"/>
          <w:szCs w:val="30"/>
          <w:lang w:val="sr-Cyrl-CS"/>
        </w:rPr>
        <w:t>)</w:t>
      </w:r>
      <w:r w:rsidR="00251B5A" w:rsidRPr="0019100D">
        <w:rPr>
          <w:rFonts w:ascii="Arial Narrow" w:hAnsi="Arial Narrow" w:cs="Tahoma"/>
          <w:b/>
          <w:sz w:val="30"/>
          <w:szCs w:val="30"/>
          <w:lang w:val="sr-Latn-CS"/>
        </w:rPr>
        <w:t xml:space="preserve"> </w:t>
      </w:r>
      <w:r>
        <w:rPr>
          <w:rFonts w:ascii="Arial Narrow" w:hAnsi="Arial Narrow" w:cs="Tahoma"/>
          <w:b/>
          <w:sz w:val="30"/>
          <w:szCs w:val="30"/>
        </w:rPr>
        <w:t>on the average at the same level</w:t>
      </w:r>
    </w:p>
    <w:p w:rsidR="00251B5A" w:rsidRPr="0019100D" w:rsidRDefault="00251B5A" w:rsidP="00251B5A">
      <w:pPr>
        <w:spacing w:after="120"/>
        <w:ind w:right="68"/>
        <w:jc w:val="both"/>
        <w:rPr>
          <w:rFonts w:ascii="Arial Narrow" w:hAnsi="Arial Narrow" w:cs="Tahoma"/>
          <w:b/>
          <w:sz w:val="22"/>
          <w:szCs w:val="22"/>
          <w:lang w:val="sr-Latn-CS"/>
        </w:rPr>
      </w:pPr>
    </w:p>
    <w:p w:rsidR="006B7C59" w:rsidRDefault="006B7C59" w:rsidP="00251B5A">
      <w:pPr>
        <w:spacing w:after="120"/>
        <w:ind w:right="68"/>
        <w:jc w:val="both"/>
        <w:rPr>
          <w:rFonts w:ascii="Arial Narrow" w:hAnsi="Arial Narrow" w:cs="Tahoma"/>
          <w:sz w:val="22"/>
          <w:szCs w:val="22"/>
        </w:rPr>
      </w:pPr>
      <w:r>
        <w:rPr>
          <w:rFonts w:ascii="Arial Narrow" w:hAnsi="Arial Narrow" w:cs="Tahoma"/>
          <w:sz w:val="22"/>
          <w:szCs w:val="22"/>
        </w:rPr>
        <w:t xml:space="preserve">Producer prices of industrial products on domestic market in July 2014, compared to June 2014, remained on the average at the same level. Compared to July 2013 they were on the average 0.7% lower and compared to December 2013 they were on the average 0.3% higher. </w:t>
      </w:r>
    </w:p>
    <w:p w:rsidR="006B7C59" w:rsidRDefault="00F67696" w:rsidP="00251B5A">
      <w:pPr>
        <w:spacing w:after="120"/>
        <w:ind w:right="68"/>
        <w:jc w:val="both"/>
        <w:rPr>
          <w:rFonts w:ascii="Arial Narrow" w:hAnsi="Arial Narrow" w:cs="Tahoma"/>
          <w:sz w:val="22"/>
          <w:szCs w:val="22"/>
        </w:rPr>
      </w:pPr>
      <w:r>
        <w:rPr>
          <w:rFonts w:ascii="Arial Narrow" w:hAnsi="Arial Narrow" w:cs="Tahoma"/>
          <w:sz w:val="22"/>
          <w:szCs w:val="22"/>
        </w:rPr>
        <w:t xml:space="preserve">By purpose of consumption, in July 2014, compared to June 2014, prices of energy were on the average 0.2% higher, while prices of consumer durables were on the average 0.8% lower and prices of intermediate goods and prices of capital goods were both 0.1% lower. Prices of consumer non-durables remained on the average at the same level. </w:t>
      </w:r>
    </w:p>
    <w:p w:rsidR="00251B5A" w:rsidRPr="0019100D" w:rsidRDefault="00820F3D" w:rsidP="00251B5A">
      <w:pPr>
        <w:ind w:right="68"/>
        <w:jc w:val="both"/>
        <w:rPr>
          <w:rFonts w:ascii="Arial Narrow" w:hAnsi="Arial Narrow" w:cs="Tahoma"/>
          <w:sz w:val="22"/>
          <w:szCs w:val="22"/>
          <w:lang w:val="sr-Latn-CS"/>
        </w:rPr>
      </w:pPr>
      <w:r>
        <w:rPr>
          <w:rFonts w:ascii="Arial Narrow" w:hAnsi="Arial Narrow" w:cs="Tahoma"/>
          <w:sz w:val="22"/>
          <w:szCs w:val="22"/>
          <w:lang w:val="hr-HR"/>
        </w:rPr>
        <w:t xml:space="preserve">Prices of intermediate goods, by purpose of consumption, in July 2014, compared to July 2013, were on the average 2.0% lower, prices of capital goods were 1.0% lower and prices of consumer durables were 0.8% lower, while prices of energy and prices of consumer non-durables remained on the average at the same level. </w:t>
      </w:r>
    </w:p>
    <w:p w:rsidR="00C50DC3" w:rsidRPr="0019100D" w:rsidRDefault="00C50DC3" w:rsidP="00251B5A">
      <w:pPr>
        <w:jc w:val="both"/>
        <w:rPr>
          <w:rFonts w:ascii="Tahoma" w:hAnsi="Tahoma" w:cs="Tahoma"/>
          <w:lang w:val="hr-HR"/>
        </w:rPr>
      </w:pPr>
    </w:p>
    <w:p w:rsidR="00C50DC3" w:rsidRDefault="00C50DC3" w:rsidP="00C50DC3">
      <w:pPr>
        <w:jc w:val="both"/>
        <w:rPr>
          <w:rFonts w:ascii="Arial Narrow" w:hAnsi="Arial Narrow" w:cs="Tahoma"/>
          <w:sz w:val="22"/>
          <w:szCs w:val="22"/>
          <w:lang w:val="sr-Latn-CS"/>
        </w:rPr>
      </w:pPr>
      <w:r w:rsidRPr="00031E8B">
        <w:rPr>
          <w:rFonts w:ascii="Arial Narrow" w:hAnsi="Arial Narrow" w:cs="Tahoma"/>
          <w:sz w:val="22"/>
          <w:szCs w:val="22"/>
          <w:lang w:val="sr-Latn-CS"/>
        </w:rPr>
        <w:t xml:space="preserve">By section of industrial production (PRODCOM), in </w:t>
      </w:r>
      <w:r>
        <w:rPr>
          <w:rFonts w:ascii="Arial Narrow" w:hAnsi="Arial Narrow" w:cs="Tahoma"/>
          <w:sz w:val="22"/>
          <w:szCs w:val="22"/>
          <w:lang w:val="sr-Latn-CS"/>
        </w:rPr>
        <w:t>July</w:t>
      </w:r>
      <w:r w:rsidRPr="00031E8B">
        <w:rPr>
          <w:rFonts w:ascii="Arial Narrow" w:hAnsi="Arial Narrow" w:cs="Tahoma"/>
          <w:sz w:val="22"/>
          <w:szCs w:val="22"/>
          <w:lang w:val="sr-Latn-CS"/>
        </w:rPr>
        <w:t xml:space="preserve"> 2014, compared to </w:t>
      </w:r>
      <w:r>
        <w:rPr>
          <w:rFonts w:ascii="Arial Narrow" w:hAnsi="Arial Narrow" w:cs="Tahoma"/>
          <w:sz w:val="22"/>
          <w:szCs w:val="22"/>
          <w:lang w:val="sr-Latn-CS"/>
        </w:rPr>
        <w:t xml:space="preserve">June 2014, prices in the section (B) Mining and quarrying were on the average 1.4% higher, while prices in the section (C) Manufacturing were on the average 0.1% lower. Prices in the section (D) Energy, gas, steam and air-conditioning supply remained on the average at the same level. </w:t>
      </w:r>
    </w:p>
    <w:p w:rsidR="00C50DC3" w:rsidRDefault="00C50DC3" w:rsidP="00251B5A">
      <w:pPr>
        <w:jc w:val="both"/>
        <w:rPr>
          <w:rFonts w:ascii="Arial Narrow" w:hAnsi="Arial Narrow" w:cs="Tahoma"/>
          <w:sz w:val="22"/>
          <w:szCs w:val="22"/>
          <w:lang w:val="hr-HR"/>
        </w:rPr>
      </w:pPr>
    </w:p>
    <w:p w:rsidR="00C50DC3" w:rsidRPr="00031E8B" w:rsidRDefault="00C50DC3" w:rsidP="00C50DC3">
      <w:pPr>
        <w:jc w:val="both"/>
        <w:rPr>
          <w:rFonts w:ascii="Arial Narrow" w:hAnsi="Arial Narrow" w:cs="Tahoma"/>
          <w:sz w:val="22"/>
          <w:szCs w:val="22"/>
          <w:lang w:val="sr-Latn-CS"/>
        </w:rPr>
      </w:pPr>
      <w:r>
        <w:rPr>
          <w:rFonts w:ascii="Arial Narrow" w:hAnsi="Arial Narrow" w:cs="Tahoma"/>
          <w:sz w:val="22"/>
          <w:szCs w:val="22"/>
          <w:lang w:val="hr-HR"/>
        </w:rPr>
        <w:t xml:space="preserve">In July 2014, comapred to July 2014, prices in the section </w:t>
      </w:r>
      <w:r w:rsidRPr="00554840">
        <w:rPr>
          <w:rFonts w:ascii="Arial Narrow" w:hAnsi="Arial Narrow" w:cs="Tahoma"/>
          <w:i/>
          <w:sz w:val="22"/>
          <w:szCs w:val="22"/>
          <w:lang w:val="hr-HR"/>
        </w:rPr>
        <w:t>Manufacturing</w:t>
      </w:r>
      <w:r>
        <w:rPr>
          <w:rFonts w:ascii="Arial Narrow" w:hAnsi="Arial Narrow" w:cs="Tahoma"/>
          <w:sz w:val="22"/>
          <w:szCs w:val="22"/>
          <w:lang w:val="hr-HR"/>
        </w:rPr>
        <w:t xml:space="preserve"> decreased by 1.1% and prices in the section </w:t>
      </w:r>
      <w:r w:rsidRPr="00554840">
        <w:rPr>
          <w:rFonts w:ascii="Arial Narrow" w:hAnsi="Arial Narrow" w:cs="Tahoma"/>
          <w:i/>
          <w:sz w:val="22"/>
          <w:szCs w:val="22"/>
          <w:lang w:val="hr-HR"/>
        </w:rPr>
        <w:t>Mining and quarrying</w:t>
      </w:r>
      <w:r>
        <w:rPr>
          <w:rFonts w:ascii="Arial Narrow" w:hAnsi="Arial Narrow" w:cs="Tahoma"/>
          <w:sz w:val="22"/>
          <w:szCs w:val="22"/>
          <w:lang w:val="hr-HR"/>
        </w:rPr>
        <w:t xml:space="preserve"> decreased by 0.1%, while prices in the </w:t>
      </w:r>
      <w:r w:rsidRPr="00031E8B">
        <w:rPr>
          <w:rFonts w:ascii="Arial Narrow" w:hAnsi="Arial Narrow" w:cs="Tahoma"/>
          <w:sz w:val="22"/>
          <w:szCs w:val="22"/>
          <w:lang w:val="sr-Latn-CS"/>
        </w:rPr>
        <w:t xml:space="preserve">section </w:t>
      </w:r>
      <w:r w:rsidRPr="00554840">
        <w:rPr>
          <w:rFonts w:ascii="Arial Narrow" w:hAnsi="Arial Narrow" w:cs="Tahoma"/>
          <w:i/>
          <w:sz w:val="22"/>
          <w:szCs w:val="22"/>
          <w:lang w:val="sr-Latn-CS"/>
        </w:rPr>
        <w:t>Electricity, gas, steam and air-conditioning supply</w:t>
      </w:r>
      <w:r w:rsidRPr="00031E8B">
        <w:rPr>
          <w:rFonts w:ascii="Arial Narrow" w:hAnsi="Arial Narrow" w:cs="Tahoma"/>
          <w:sz w:val="22"/>
          <w:szCs w:val="22"/>
          <w:lang w:val="sr-Latn-CS"/>
        </w:rPr>
        <w:t xml:space="preserve"> remained on the average at the same level. </w:t>
      </w:r>
    </w:p>
    <w:p w:rsidR="006854B2" w:rsidRPr="0019100D" w:rsidRDefault="006854B2" w:rsidP="003D2E03">
      <w:pPr>
        <w:jc w:val="both"/>
        <w:rPr>
          <w:rFonts w:ascii="Arial Narrow" w:hAnsi="Arial Narrow" w:cs="Tahoma"/>
          <w:sz w:val="22"/>
          <w:szCs w:val="22"/>
          <w:lang w:val="sr-Cyrl-CS"/>
        </w:rPr>
      </w:pPr>
    </w:p>
    <w:p w:rsidR="003D2E03" w:rsidRPr="0019100D" w:rsidRDefault="003D2E03" w:rsidP="003D2E03">
      <w:pPr>
        <w:jc w:val="both"/>
        <w:rPr>
          <w:rFonts w:ascii="Tahoma" w:hAnsi="Tahoma" w:cs="Tahoma"/>
          <w:lang w:val="sr-Cyrl-CS"/>
        </w:rPr>
      </w:pPr>
    </w:p>
    <w:p w:rsidR="00DF0566" w:rsidRPr="0019100D" w:rsidRDefault="00DF0566" w:rsidP="00251B5A">
      <w:pPr>
        <w:jc w:val="both"/>
        <w:rPr>
          <w:rFonts w:ascii="Arial Narrow" w:hAnsi="Arial Narrow" w:cs="Tahoma"/>
          <w:b/>
          <w:szCs w:val="30"/>
          <w:lang w:val="sr-Cyrl-CS"/>
        </w:rPr>
      </w:pPr>
    </w:p>
    <w:p w:rsidR="00251B5A" w:rsidRPr="0044582C" w:rsidRDefault="0044582C" w:rsidP="00251B5A">
      <w:pPr>
        <w:jc w:val="both"/>
        <w:rPr>
          <w:rFonts w:ascii="Arial Narrow" w:hAnsi="Arial Narrow" w:cs="Tahoma"/>
          <w:b/>
          <w:sz w:val="30"/>
          <w:szCs w:val="30"/>
        </w:rPr>
      </w:pPr>
      <w:r w:rsidRPr="009B7649">
        <w:rPr>
          <w:rFonts w:ascii="Arial Narrow" w:hAnsi="Arial Narrow" w:cs="Tahoma"/>
          <w:b/>
          <w:sz w:val="30"/>
          <w:szCs w:val="30"/>
        </w:rPr>
        <w:t xml:space="preserve">Producer prices of industrial products on </w:t>
      </w:r>
      <w:r>
        <w:rPr>
          <w:rFonts w:ascii="Arial Narrow" w:hAnsi="Arial Narrow" w:cs="Tahoma"/>
          <w:b/>
          <w:sz w:val="30"/>
          <w:szCs w:val="30"/>
        </w:rPr>
        <w:t>non-</w:t>
      </w:r>
      <w:r w:rsidRPr="009B7649">
        <w:rPr>
          <w:rFonts w:ascii="Arial Narrow" w:hAnsi="Arial Narrow" w:cs="Tahoma"/>
          <w:b/>
          <w:sz w:val="30"/>
          <w:szCs w:val="30"/>
        </w:rPr>
        <w:t>domestic market</w:t>
      </w:r>
      <w:r w:rsidRPr="009B7649">
        <w:rPr>
          <w:rFonts w:ascii="Arial Narrow" w:hAnsi="Arial Narrow" w:cs="Tahoma"/>
          <w:b/>
          <w:sz w:val="30"/>
          <w:szCs w:val="30"/>
          <w:lang w:val="sr-Cyrl-CS"/>
        </w:rPr>
        <w:t xml:space="preserve"> </w:t>
      </w:r>
      <w:r w:rsidR="00251B5A" w:rsidRPr="0019100D">
        <w:rPr>
          <w:rFonts w:ascii="Arial Narrow" w:hAnsi="Arial Narrow" w:cs="Tahoma"/>
          <w:b/>
          <w:sz w:val="30"/>
          <w:szCs w:val="30"/>
          <w:lang w:val="sr-Cyrl-CS"/>
        </w:rPr>
        <w:t>(</w:t>
      </w:r>
      <w:r>
        <w:rPr>
          <w:rFonts w:ascii="Arial Narrow" w:hAnsi="Arial Narrow" w:cs="Tahoma"/>
          <w:b/>
          <w:sz w:val="30"/>
          <w:szCs w:val="30"/>
          <w:lang w:val="sr-Latn-CS"/>
        </w:rPr>
        <w:t>July</w:t>
      </w:r>
      <w:r w:rsidR="00251B5A" w:rsidRPr="0019100D">
        <w:rPr>
          <w:rFonts w:ascii="Arial Narrow" w:hAnsi="Arial Narrow" w:cs="Tahoma"/>
          <w:b/>
          <w:sz w:val="30"/>
          <w:szCs w:val="30"/>
          <w:lang w:val="sr-Cyrl-CS"/>
        </w:rPr>
        <w:t xml:space="preserve"> 2014/</w:t>
      </w:r>
      <w:r>
        <w:rPr>
          <w:rFonts w:ascii="Arial Narrow" w:hAnsi="Arial Narrow" w:cs="Tahoma"/>
          <w:b/>
          <w:sz w:val="30"/>
          <w:szCs w:val="30"/>
          <w:lang w:val="sr-Latn-CS"/>
        </w:rPr>
        <w:t>June</w:t>
      </w:r>
      <w:r w:rsidR="00251B5A" w:rsidRPr="0019100D">
        <w:rPr>
          <w:rFonts w:ascii="Arial Narrow" w:hAnsi="Arial Narrow" w:cs="Tahoma"/>
          <w:b/>
          <w:sz w:val="30"/>
          <w:szCs w:val="30"/>
          <w:lang w:val="sr-Cyrl-CS"/>
        </w:rPr>
        <w:t xml:space="preserve"> 201</w:t>
      </w:r>
      <w:r>
        <w:rPr>
          <w:rFonts w:ascii="Arial Narrow" w:hAnsi="Arial Narrow" w:cs="Tahoma"/>
          <w:b/>
          <w:sz w:val="30"/>
          <w:szCs w:val="30"/>
          <w:lang w:val="sr-Latn-CS"/>
        </w:rPr>
        <w:t>4</w:t>
      </w:r>
      <w:r w:rsidR="00251B5A" w:rsidRPr="0019100D">
        <w:rPr>
          <w:rFonts w:ascii="Arial Narrow" w:hAnsi="Arial Narrow" w:cs="Tahoma"/>
          <w:b/>
          <w:sz w:val="30"/>
          <w:szCs w:val="30"/>
          <w:lang w:val="sr-Cyrl-CS"/>
        </w:rPr>
        <w:t>)</w:t>
      </w:r>
      <w:r w:rsidR="00251B5A" w:rsidRPr="0019100D">
        <w:rPr>
          <w:rFonts w:ascii="Arial Narrow" w:hAnsi="Arial Narrow" w:cs="Tahoma"/>
          <w:b/>
          <w:sz w:val="30"/>
          <w:szCs w:val="30"/>
          <w:lang w:val="sr-Latn-CS"/>
        </w:rPr>
        <w:t xml:space="preserve"> </w:t>
      </w:r>
      <w:r>
        <w:rPr>
          <w:rFonts w:ascii="Arial Narrow" w:hAnsi="Arial Narrow" w:cs="Tahoma"/>
          <w:b/>
          <w:sz w:val="30"/>
          <w:szCs w:val="30"/>
        </w:rPr>
        <w:t>on the average</w:t>
      </w:r>
      <w:r>
        <w:rPr>
          <w:rFonts w:ascii="Arial Narrow" w:hAnsi="Arial Narrow" w:cs="Tahoma"/>
          <w:b/>
          <w:sz w:val="30"/>
          <w:szCs w:val="30"/>
          <w:lang w:val="sr-Cyrl-CS"/>
        </w:rPr>
        <w:t xml:space="preserve"> 0</w:t>
      </w:r>
      <w:r>
        <w:rPr>
          <w:rFonts w:ascii="Arial Narrow" w:hAnsi="Arial Narrow" w:cs="Tahoma"/>
          <w:b/>
          <w:sz w:val="30"/>
          <w:szCs w:val="30"/>
        </w:rPr>
        <w:t>.</w:t>
      </w:r>
      <w:r w:rsidR="00251B5A" w:rsidRPr="0019100D">
        <w:rPr>
          <w:rFonts w:ascii="Arial Narrow" w:hAnsi="Arial Narrow" w:cs="Tahoma"/>
          <w:b/>
          <w:sz w:val="30"/>
          <w:szCs w:val="30"/>
          <w:lang w:val="sr-Cyrl-CS"/>
        </w:rPr>
        <w:t>3%</w:t>
      </w:r>
      <w:r>
        <w:rPr>
          <w:rFonts w:ascii="Arial Narrow" w:hAnsi="Arial Narrow" w:cs="Tahoma"/>
          <w:b/>
          <w:sz w:val="30"/>
          <w:szCs w:val="30"/>
        </w:rPr>
        <w:t xml:space="preserve"> lower</w:t>
      </w:r>
    </w:p>
    <w:p w:rsidR="00251B5A" w:rsidRPr="0019100D" w:rsidRDefault="00251B5A" w:rsidP="00251B5A">
      <w:pPr>
        <w:ind w:right="68"/>
        <w:jc w:val="both"/>
        <w:rPr>
          <w:rFonts w:ascii="Tahoma" w:hAnsi="Tahoma" w:cs="Tahoma"/>
          <w:lang w:val="sr-Cyrl-CS"/>
        </w:rPr>
      </w:pPr>
    </w:p>
    <w:p w:rsidR="0044582C" w:rsidRDefault="0044582C" w:rsidP="00251B5A">
      <w:pPr>
        <w:spacing w:after="120"/>
        <w:ind w:right="68"/>
        <w:jc w:val="both"/>
        <w:rPr>
          <w:rFonts w:ascii="Arial Narrow" w:hAnsi="Arial Narrow" w:cs="Tahoma"/>
          <w:sz w:val="22"/>
          <w:szCs w:val="22"/>
        </w:rPr>
      </w:pPr>
      <w:r>
        <w:rPr>
          <w:rFonts w:ascii="Arial Narrow" w:hAnsi="Arial Narrow" w:cs="Tahoma"/>
          <w:sz w:val="22"/>
          <w:szCs w:val="22"/>
        </w:rPr>
        <w:t xml:space="preserve">Producer prices of industrial products on non-domestic market in July 2014, compared to June 2014, were on the average 0.3% lower. Compared to July 2013 they were on the average 0.3% lower and compared to December 2013 they were 1.2% lower. </w:t>
      </w:r>
    </w:p>
    <w:p w:rsidR="00CF6859" w:rsidRDefault="00CF6859" w:rsidP="00251B5A">
      <w:pPr>
        <w:spacing w:after="120"/>
        <w:ind w:right="68"/>
        <w:jc w:val="both"/>
        <w:rPr>
          <w:rFonts w:ascii="Arial Narrow" w:hAnsi="Arial Narrow" w:cs="Tahoma"/>
          <w:sz w:val="22"/>
          <w:szCs w:val="22"/>
        </w:rPr>
      </w:pPr>
      <w:r>
        <w:rPr>
          <w:rFonts w:ascii="Arial Narrow" w:hAnsi="Arial Narrow" w:cs="Tahoma"/>
          <w:sz w:val="22"/>
          <w:szCs w:val="22"/>
        </w:rPr>
        <w:t xml:space="preserve">By purpose of consumption, in July 2014, compared to June 2014, prices of capital goods were on the average 0.7% higher and prices of energy and prices of consumer non-durables were 0.1% higher, while prices of intermediate goods were on the average 0.5% lower. Prices of consumer durables remained on the average at the same level. </w:t>
      </w:r>
    </w:p>
    <w:p w:rsidR="007011A0" w:rsidRDefault="00CF6859" w:rsidP="007011A0">
      <w:pPr>
        <w:ind w:right="68"/>
        <w:jc w:val="both"/>
        <w:rPr>
          <w:rFonts w:ascii="Arial Narrow" w:hAnsi="Arial Narrow" w:cs="Tahoma"/>
          <w:sz w:val="22"/>
          <w:szCs w:val="22"/>
          <w:lang w:val="hr-HR"/>
        </w:rPr>
      </w:pPr>
      <w:r>
        <w:rPr>
          <w:rFonts w:ascii="Arial Narrow" w:hAnsi="Arial Narrow" w:cs="Tahoma"/>
          <w:sz w:val="22"/>
          <w:szCs w:val="22"/>
          <w:lang w:val="hr-HR"/>
        </w:rPr>
        <w:t xml:space="preserve">Prices of consumer durables, by purpose of consumption, in July 2014, compared to July 2013, were on the average 2.6% higher, prices of capital goods were 2.1% higher and prices of consumer non-durables were 1.2% higher, while prices of energy were on the average 0.5% lower and prices of intermediate goods were 0.2% lower. </w:t>
      </w:r>
    </w:p>
    <w:p w:rsidR="007011A0" w:rsidRDefault="007011A0" w:rsidP="007011A0">
      <w:pPr>
        <w:ind w:right="68"/>
        <w:jc w:val="both"/>
        <w:rPr>
          <w:rFonts w:ascii="Arial Narrow" w:hAnsi="Arial Narrow" w:cs="Tahoma"/>
          <w:sz w:val="22"/>
          <w:szCs w:val="22"/>
          <w:lang w:val="hr-HR"/>
        </w:rPr>
      </w:pPr>
    </w:p>
    <w:p w:rsidR="007011A0" w:rsidRDefault="007011A0" w:rsidP="007011A0">
      <w:pPr>
        <w:ind w:right="68"/>
        <w:jc w:val="both"/>
        <w:rPr>
          <w:rFonts w:ascii="Arial Narrow" w:hAnsi="Arial Narrow" w:cs="Tahoma"/>
          <w:sz w:val="22"/>
          <w:szCs w:val="22"/>
        </w:rPr>
      </w:pPr>
      <w:r>
        <w:rPr>
          <w:rFonts w:ascii="Arial Narrow" w:hAnsi="Arial Narrow" w:cs="Tahoma"/>
          <w:sz w:val="22"/>
          <w:szCs w:val="22"/>
          <w:lang w:val="hr-HR"/>
        </w:rPr>
        <w:t xml:space="preserve">By section of industrial production (PRODCOM), prices in the </w:t>
      </w:r>
      <w:r>
        <w:rPr>
          <w:rFonts w:ascii="Arial Narrow" w:hAnsi="Arial Narrow" w:cs="Tahoma"/>
          <w:sz w:val="22"/>
          <w:szCs w:val="22"/>
          <w:lang w:val="sr-Cyrl-CS"/>
        </w:rPr>
        <w:t>section (</w:t>
      </w:r>
      <w:r>
        <w:rPr>
          <w:rFonts w:ascii="Arial Narrow" w:hAnsi="Arial Narrow" w:cs="Tahoma"/>
          <w:sz w:val="22"/>
          <w:szCs w:val="22"/>
        </w:rPr>
        <w:t>B</w:t>
      </w:r>
      <w:r w:rsidRPr="00436AA7">
        <w:rPr>
          <w:rFonts w:ascii="Arial Narrow" w:hAnsi="Arial Narrow" w:cs="Tahoma"/>
          <w:sz w:val="22"/>
          <w:szCs w:val="22"/>
          <w:lang w:val="sr-Cyrl-CS"/>
        </w:rPr>
        <w:t xml:space="preserve">) Mining and quarrying in </w:t>
      </w:r>
      <w:r>
        <w:rPr>
          <w:rFonts w:ascii="Arial Narrow" w:hAnsi="Arial Narrow" w:cs="Tahoma"/>
          <w:sz w:val="22"/>
          <w:szCs w:val="22"/>
        </w:rPr>
        <w:t>July</w:t>
      </w:r>
      <w:r w:rsidRPr="00436AA7">
        <w:rPr>
          <w:rFonts w:ascii="Arial Narrow" w:hAnsi="Arial Narrow" w:cs="Tahoma"/>
          <w:sz w:val="22"/>
          <w:szCs w:val="22"/>
          <w:lang w:val="sr-Cyrl-CS"/>
        </w:rPr>
        <w:t xml:space="preserve"> 2014, compared to </w:t>
      </w:r>
      <w:r>
        <w:rPr>
          <w:rFonts w:ascii="Arial Narrow" w:hAnsi="Arial Narrow" w:cs="Tahoma"/>
          <w:sz w:val="22"/>
          <w:szCs w:val="22"/>
        </w:rPr>
        <w:t>June</w:t>
      </w:r>
      <w:r>
        <w:rPr>
          <w:rFonts w:ascii="Arial Narrow" w:hAnsi="Arial Narrow" w:cs="Tahoma"/>
          <w:sz w:val="22"/>
          <w:szCs w:val="22"/>
          <w:lang w:val="sr-Cyrl-CS"/>
        </w:rPr>
        <w:t xml:space="preserve"> 2014, were on the average</w:t>
      </w:r>
      <w:r>
        <w:rPr>
          <w:rFonts w:ascii="Arial Narrow" w:hAnsi="Arial Narrow" w:cs="Tahoma"/>
          <w:sz w:val="22"/>
          <w:szCs w:val="22"/>
        </w:rPr>
        <w:t xml:space="preserve"> 1.6% lower and prices in the section (C) Manufacturing were 0.3% lower, while prices in the section</w:t>
      </w:r>
      <w:r w:rsidRPr="00436AA7">
        <w:rPr>
          <w:rFonts w:ascii="Arial Narrow" w:hAnsi="Arial Narrow" w:cs="Tahoma"/>
          <w:sz w:val="22"/>
          <w:szCs w:val="22"/>
          <w:lang w:val="sr-Cyrl-CS"/>
        </w:rPr>
        <w:t xml:space="preserve"> (D) Electricity, gas, steam and air-conditioning supply remained on the average at the same level.</w:t>
      </w:r>
    </w:p>
    <w:p w:rsidR="007011A0" w:rsidRPr="007011A0" w:rsidRDefault="007011A0" w:rsidP="007011A0">
      <w:pPr>
        <w:ind w:right="68"/>
        <w:jc w:val="both"/>
        <w:rPr>
          <w:rFonts w:ascii="Arial Narrow" w:hAnsi="Arial Narrow" w:cs="Tahoma"/>
          <w:sz w:val="22"/>
          <w:szCs w:val="22"/>
        </w:rPr>
      </w:pPr>
    </w:p>
    <w:p w:rsidR="007011A0" w:rsidRDefault="007011A0" w:rsidP="00251B5A">
      <w:pPr>
        <w:jc w:val="both"/>
        <w:rPr>
          <w:rFonts w:ascii="Arial Narrow" w:hAnsi="Arial Narrow" w:cs="Tahoma"/>
          <w:sz w:val="22"/>
          <w:szCs w:val="22"/>
          <w:lang w:val="hr-HR"/>
        </w:rPr>
      </w:pPr>
      <w:r>
        <w:rPr>
          <w:rFonts w:ascii="Arial Narrow" w:hAnsi="Arial Narrow" w:cs="Tahoma"/>
          <w:sz w:val="22"/>
          <w:szCs w:val="22"/>
          <w:lang w:val="hr-HR"/>
        </w:rPr>
        <w:t xml:space="preserve">In July 2014, compared to July 2013, prices in the section </w:t>
      </w:r>
      <w:r w:rsidRPr="00F8071C">
        <w:rPr>
          <w:rFonts w:ascii="Arial Narrow" w:hAnsi="Arial Narrow" w:cs="Tahoma"/>
          <w:i/>
          <w:sz w:val="22"/>
          <w:szCs w:val="22"/>
          <w:lang w:val="hr-HR"/>
        </w:rPr>
        <w:t>Mining and quarrying</w:t>
      </w:r>
      <w:r>
        <w:rPr>
          <w:rFonts w:ascii="Arial Narrow" w:hAnsi="Arial Narrow" w:cs="Tahoma"/>
          <w:sz w:val="22"/>
          <w:szCs w:val="22"/>
          <w:lang w:val="hr-HR"/>
        </w:rPr>
        <w:t xml:space="preserve"> increased by 3.2% and prices in the section </w:t>
      </w:r>
      <w:r w:rsidRPr="00F8071C">
        <w:rPr>
          <w:rFonts w:ascii="Arial Narrow" w:hAnsi="Arial Narrow" w:cs="Tahoma"/>
          <w:i/>
          <w:sz w:val="22"/>
          <w:szCs w:val="22"/>
          <w:lang w:val="hr-HR"/>
        </w:rPr>
        <w:t>Manufacturing</w:t>
      </w:r>
      <w:r>
        <w:rPr>
          <w:rFonts w:ascii="Arial Narrow" w:hAnsi="Arial Narrow" w:cs="Tahoma"/>
          <w:sz w:val="22"/>
          <w:szCs w:val="22"/>
          <w:lang w:val="hr-HR"/>
        </w:rPr>
        <w:t xml:space="preserve"> by 0.4%. </w:t>
      </w:r>
    </w:p>
    <w:p w:rsidR="00DF108E" w:rsidRPr="0019100D" w:rsidRDefault="00DF108E" w:rsidP="00ED4323">
      <w:pPr>
        <w:tabs>
          <w:tab w:val="left" w:pos="0"/>
          <w:tab w:val="left" w:pos="1100"/>
        </w:tabs>
        <w:jc w:val="both"/>
        <w:rPr>
          <w:rFonts w:ascii="Arial Narrow" w:hAnsi="Arial Narrow" w:cs="Tahoma"/>
          <w:b/>
          <w:spacing w:val="-4"/>
          <w:sz w:val="22"/>
        </w:rPr>
      </w:pPr>
    </w:p>
    <w:p w:rsidR="004D0DAE" w:rsidRPr="0019100D" w:rsidRDefault="004A6B16" w:rsidP="006312E8">
      <w:pPr>
        <w:tabs>
          <w:tab w:val="left" w:pos="0"/>
          <w:tab w:val="left" w:pos="1100"/>
        </w:tabs>
        <w:jc w:val="both"/>
        <w:rPr>
          <w:rFonts w:ascii="Arial Narrow" w:hAnsi="Arial Narrow" w:cs="Tahoma"/>
          <w:b/>
          <w:bCs/>
          <w:sz w:val="30"/>
          <w:szCs w:val="30"/>
          <w:lang w:val="sr-Cyrl-CS"/>
        </w:rPr>
      </w:pPr>
      <w:r>
        <w:rPr>
          <w:rFonts w:ascii="Arial Narrow" w:hAnsi="Arial Narrow" w:cs="Tahoma"/>
          <w:b/>
          <w:sz w:val="30"/>
          <w:szCs w:val="30"/>
        </w:rPr>
        <w:t>Seasonally adjusted industrial production</w:t>
      </w:r>
      <w:r w:rsidRPr="000A1309">
        <w:rPr>
          <w:rFonts w:ascii="Arial Narrow" w:hAnsi="Arial Narrow" w:cs="Tahoma"/>
          <w:b/>
          <w:sz w:val="30"/>
          <w:szCs w:val="30"/>
          <w:lang w:val="sr-Cyrl-CS"/>
        </w:rPr>
        <w:t xml:space="preserve"> </w:t>
      </w:r>
      <w:r w:rsidR="004D0DAE" w:rsidRPr="0019100D">
        <w:rPr>
          <w:rFonts w:ascii="Arial Narrow" w:hAnsi="Arial Narrow" w:cs="Tahoma"/>
          <w:b/>
          <w:sz w:val="30"/>
          <w:szCs w:val="30"/>
          <w:lang w:val="sr-Cyrl-CS"/>
        </w:rPr>
        <w:t>(</w:t>
      </w:r>
      <w:r>
        <w:rPr>
          <w:rFonts w:ascii="Arial Narrow" w:hAnsi="Arial Narrow" w:cs="Tahoma"/>
          <w:b/>
          <w:sz w:val="30"/>
          <w:szCs w:val="30"/>
        </w:rPr>
        <w:t>July</w:t>
      </w:r>
      <w:r w:rsidR="004D0DAE" w:rsidRPr="0019100D">
        <w:rPr>
          <w:rFonts w:ascii="Arial Narrow" w:hAnsi="Arial Narrow" w:cs="Tahoma"/>
          <w:b/>
          <w:sz w:val="30"/>
          <w:szCs w:val="30"/>
          <w:lang w:val="sr-Latn-BA"/>
        </w:rPr>
        <w:t xml:space="preserve"> 20</w:t>
      </w:r>
      <w:r w:rsidR="004D0DAE" w:rsidRPr="0019100D">
        <w:rPr>
          <w:rFonts w:ascii="Arial Narrow" w:hAnsi="Arial Narrow" w:cs="Tahoma"/>
          <w:b/>
          <w:sz w:val="30"/>
          <w:szCs w:val="30"/>
          <w:lang w:val="sr-Cyrl-CS"/>
        </w:rPr>
        <w:t>1</w:t>
      </w:r>
      <w:r w:rsidR="004D0DAE" w:rsidRPr="0019100D">
        <w:rPr>
          <w:rFonts w:ascii="Arial Narrow" w:hAnsi="Arial Narrow" w:cs="Tahoma"/>
          <w:b/>
          <w:sz w:val="30"/>
          <w:szCs w:val="30"/>
        </w:rPr>
        <w:t>4</w:t>
      </w:r>
      <w:r w:rsidR="004D0DAE" w:rsidRPr="0019100D">
        <w:rPr>
          <w:rFonts w:ascii="Arial Narrow" w:hAnsi="Arial Narrow" w:cs="Tahoma"/>
          <w:b/>
          <w:sz w:val="30"/>
          <w:szCs w:val="30"/>
          <w:lang w:val="sr-Latn-BA"/>
        </w:rPr>
        <w:t>/</w:t>
      </w:r>
      <w:r>
        <w:rPr>
          <w:rFonts w:ascii="Arial Narrow" w:hAnsi="Arial Narrow" w:cs="Tahoma"/>
          <w:b/>
          <w:sz w:val="30"/>
          <w:szCs w:val="30"/>
        </w:rPr>
        <w:t>June</w:t>
      </w:r>
      <w:r w:rsidR="004D0DAE" w:rsidRPr="0019100D">
        <w:rPr>
          <w:rFonts w:ascii="Arial Narrow" w:hAnsi="Arial Narrow" w:cs="Tahoma"/>
          <w:b/>
          <w:bCs/>
          <w:sz w:val="30"/>
          <w:szCs w:val="30"/>
          <w:lang w:val="sr-Cyrl-CS"/>
        </w:rPr>
        <w:t xml:space="preserve"> </w:t>
      </w:r>
      <w:r w:rsidR="004D0DAE" w:rsidRPr="0019100D">
        <w:rPr>
          <w:rFonts w:ascii="Arial Narrow" w:hAnsi="Arial Narrow" w:cs="Tahoma"/>
          <w:b/>
          <w:bCs/>
          <w:sz w:val="30"/>
          <w:szCs w:val="30"/>
          <w:lang w:val="ru-RU"/>
        </w:rPr>
        <w:t>201</w:t>
      </w:r>
      <w:r>
        <w:rPr>
          <w:rFonts w:ascii="Arial Narrow" w:hAnsi="Arial Narrow" w:cs="Tahoma"/>
          <w:b/>
          <w:bCs/>
          <w:sz w:val="30"/>
          <w:szCs w:val="30"/>
        </w:rPr>
        <w:t>4</w:t>
      </w:r>
      <w:r w:rsidR="004D0DAE" w:rsidRPr="0019100D">
        <w:rPr>
          <w:rFonts w:ascii="Arial Narrow" w:hAnsi="Arial Narrow" w:cs="Tahoma"/>
          <w:b/>
          <w:bCs/>
          <w:sz w:val="30"/>
          <w:szCs w:val="30"/>
          <w:lang w:val="hr-HR"/>
        </w:rPr>
        <w:t>)</w:t>
      </w:r>
      <w:r w:rsidR="004D0DAE" w:rsidRPr="0019100D">
        <w:rPr>
          <w:rFonts w:ascii="Arial Narrow" w:hAnsi="Arial Narrow" w:cs="Tahoma"/>
          <w:b/>
          <w:bCs/>
          <w:sz w:val="30"/>
          <w:szCs w:val="30"/>
          <w:lang w:val="sr-Cyrl-CS"/>
        </w:rPr>
        <w:t xml:space="preserve"> </w:t>
      </w:r>
      <w:r>
        <w:rPr>
          <w:rFonts w:ascii="Arial Narrow" w:hAnsi="Arial Narrow" w:cs="Tahoma"/>
          <w:b/>
          <w:bCs/>
          <w:sz w:val="30"/>
          <w:szCs w:val="30"/>
        </w:rPr>
        <w:t>increased by</w:t>
      </w:r>
      <w:r w:rsidR="00802CC2" w:rsidRPr="0019100D">
        <w:rPr>
          <w:rFonts w:ascii="Arial Narrow" w:hAnsi="Arial Narrow" w:cs="Tahoma"/>
          <w:b/>
          <w:bCs/>
          <w:sz w:val="30"/>
          <w:szCs w:val="30"/>
          <w:lang w:val="sr-Cyrl-CS"/>
        </w:rPr>
        <w:t xml:space="preserve"> </w:t>
      </w:r>
      <w:r w:rsidR="00BA2D9E" w:rsidRPr="0019100D">
        <w:rPr>
          <w:rFonts w:ascii="Arial Narrow" w:hAnsi="Arial Narrow" w:cs="Tahoma"/>
          <w:b/>
          <w:bCs/>
          <w:sz w:val="30"/>
          <w:szCs w:val="30"/>
        </w:rPr>
        <w:t>0</w:t>
      </w:r>
      <w:r>
        <w:rPr>
          <w:rFonts w:ascii="Arial Narrow" w:hAnsi="Arial Narrow" w:cs="Tahoma"/>
          <w:b/>
          <w:bCs/>
          <w:sz w:val="30"/>
          <w:szCs w:val="30"/>
        </w:rPr>
        <w:t>.</w:t>
      </w:r>
      <w:r w:rsidR="00C20237" w:rsidRPr="0019100D">
        <w:rPr>
          <w:rFonts w:ascii="Arial Narrow" w:hAnsi="Arial Narrow" w:cs="Tahoma"/>
          <w:b/>
          <w:bCs/>
          <w:sz w:val="30"/>
          <w:szCs w:val="30"/>
          <w:lang w:val="sr-Cyrl-CS"/>
        </w:rPr>
        <w:t>8</w:t>
      </w:r>
      <w:r w:rsidR="00802CC2" w:rsidRPr="0019100D">
        <w:rPr>
          <w:rFonts w:ascii="Arial Narrow" w:hAnsi="Arial Narrow" w:cs="Tahoma"/>
          <w:b/>
          <w:bCs/>
          <w:sz w:val="30"/>
          <w:szCs w:val="30"/>
          <w:lang w:val="sr-Cyrl-CS"/>
        </w:rPr>
        <w:t>%</w:t>
      </w:r>
    </w:p>
    <w:p w:rsidR="009F404C" w:rsidRPr="0019100D" w:rsidRDefault="004A6B16" w:rsidP="00613D8E">
      <w:pPr>
        <w:tabs>
          <w:tab w:val="left" w:pos="0"/>
          <w:tab w:val="left" w:pos="1100"/>
        </w:tabs>
        <w:jc w:val="both"/>
        <w:rPr>
          <w:rFonts w:ascii="Arial Narrow" w:hAnsi="Arial Narrow" w:cs="Tahoma"/>
          <w:b/>
          <w:spacing w:val="-4"/>
          <w:sz w:val="36"/>
          <w:szCs w:val="28"/>
          <w:lang w:val="sr-Cyrl-CS"/>
        </w:rPr>
      </w:pPr>
      <w:r>
        <w:rPr>
          <w:rFonts w:ascii="Arial Narrow" w:hAnsi="Arial Narrow" w:cs="Tahoma"/>
          <w:b/>
          <w:sz w:val="28"/>
        </w:rPr>
        <w:t>Number of employees in industry</w:t>
      </w:r>
      <w:r w:rsidR="009F404C" w:rsidRPr="0019100D">
        <w:rPr>
          <w:rFonts w:ascii="Arial Narrow" w:hAnsi="Arial Narrow" w:cs="Tahoma"/>
          <w:b/>
          <w:sz w:val="28"/>
          <w:lang w:val="ru-RU"/>
        </w:rPr>
        <w:t xml:space="preserve"> (</w:t>
      </w:r>
      <w:r>
        <w:rPr>
          <w:rFonts w:ascii="Arial Narrow" w:hAnsi="Arial Narrow" w:cs="Tahoma"/>
          <w:b/>
          <w:sz w:val="30"/>
          <w:szCs w:val="30"/>
          <w:lang w:val="hr-HR"/>
        </w:rPr>
        <w:t>January</w:t>
      </w:r>
      <w:r w:rsidR="00DF0566" w:rsidRPr="0019100D">
        <w:rPr>
          <w:rFonts w:ascii="Arial Narrow" w:hAnsi="Arial Narrow" w:cs="Tahoma"/>
          <w:b/>
          <w:sz w:val="30"/>
          <w:szCs w:val="30"/>
          <w:lang w:val="hr-HR"/>
        </w:rPr>
        <w:t>-</w:t>
      </w:r>
      <w:r>
        <w:rPr>
          <w:rFonts w:ascii="Arial Narrow" w:hAnsi="Arial Narrow" w:cs="Tahoma"/>
          <w:b/>
          <w:sz w:val="30"/>
          <w:szCs w:val="30"/>
          <w:lang w:val="hr-HR"/>
        </w:rPr>
        <w:t>July</w:t>
      </w:r>
      <w:r w:rsidR="00802CC2" w:rsidRPr="0019100D">
        <w:rPr>
          <w:rFonts w:ascii="Arial Narrow" w:hAnsi="Arial Narrow" w:cs="Tahoma"/>
          <w:b/>
          <w:sz w:val="28"/>
          <w:lang w:val="ru-RU"/>
        </w:rPr>
        <w:t xml:space="preserve"> 2014/</w:t>
      </w:r>
      <w:r>
        <w:rPr>
          <w:rFonts w:ascii="Arial Narrow" w:hAnsi="Arial Narrow" w:cs="Tahoma"/>
          <w:b/>
          <w:sz w:val="30"/>
          <w:szCs w:val="30"/>
          <w:lang w:val="hr-HR"/>
        </w:rPr>
        <w:t>January</w:t>
      </w:r>
      <w:r w:rsidR="00DF0566" w:rsidRPr="0019100D">
        <w:rPr>
          <w:rFonts w:ascii="Arial Narrow" w:hAnsi="Arial Narrow" w:cs="Tahoma"/>
          <w:b/>
          <w:sz w:val="30"/>
          <w:szCs w:val="30"/>
          <w:lang w:val="hr-HR"/>
        </w:rPr>
        <w:t>-</w:t>
      </w:r>
      <w:r>
        <w:rPr>
          <w:rFonts w:ascii="Arial Narrow" w:hAnsi="Arial Narrow" w:cs="Tahoma"/>
          <w:b/>
          <w:sz w:val="30"/>
          <w:szCs w:val="30"/>
          <w:lang w:val="hr-HR"/>
        </w:rPr>
        <w:t>July</w:t>
      </w:r>
      <w:r>
        <w:rPr>
          <w:rFonts w:ascii="Arial Narrow" w:hAnsi="Arial Narrow" w:cs="Tahoma"/>
          <w:b/>
          <w:sz w:val="28"/>
          <w:lang w:val="ru-RU"/>
        </w:rPr>
        <w:t xml:space="preserve"> 2013</w:t>
      </w:r>
      <w:r w:rsidR="009F404C" w:rsidRPr="0019100D">
        <w:rPr>
          <w:rFonts w:ascii="Arial Narrow" w:hAnsi="Arial Narrow" w:cs="Tahoma"/>
          <w:b/>
          <w:sz w:val="28"/>
          <w:lang w:val="ru-RU"/>
        </w:rPr>
        <w:t xml:space="preserve">) </w:t>
      </w:r>
      <w:r>
        <w:rPr>
          <w:rFonts w:ascii="Arial Narrow" w:hAnsi="Arial Narrow" w:cs="Tahoma"/>
          <w:b/>
          <w:sz w:val="28"/>
        </w:rPr>
        <w:t>increased by</w:t>
      </w:r>
      <w:r w:rsidR="009F404C" w:rsidRPr="0019100D">
        <w:rPr>
          <w:rFonts w:ascii="Arial Narrow" w:hAnsi="Arial Narrow" w:cs="Tahoma"/>
          <w:b/>
          <w:sz w:val="28"/>
          <w:lang w:val="ru-RU"/>
        </w:rPr>
        <w:t xml:space="preserve"> </w:t>
      </w:r>
      <w:r w:rsidR="00802CC2" w:rsidRPr="0019100D">
        <w:rPr>
          <w:rFonts w:ascii="Arial Narrow" w:hAnsi="Arial Narrow" w:cs="Tahoma"/>
          <w:b/>
          <w:sz w:val="28"/>
          <w:lang w:val="ru-RU"/>
        </w:rPr>
        <w:t>1</w:t>
      </w:r>
      <w:r>
        <w:rPr>
          <w:rFonts w:ascii="Arial Narrow" w:hAnsi="Arial Narrow" w:cs="Tahoma"/>
          <w:b/>
          <w:sz w:val="28"/>
        </w:rPr>
        <w:t>.</w:t>
      </w:r>
      <w:r w:rsidR="009A448B" w:rsidRPr="0019100D">
        <w:rPr>
          <w:rFonts w:ascii="Arial Narrow" w:hAnsi="Arial Narrow" w:cs="Tahoma"/>
          <w:b/>
          <w:sz w:val="28"/>
        </w:rPr>
        <w:t>7</w:t>
      </w:r>
      <w:r w:rsidR="009F404C" w:rsidRPr="0019100D">
        <w:rPr>
          <w:rFonts w:ascii="Arial Narrow" w:hAnsi="Arial Narrow" w:cs="Tahoma"/>
          <w:b/>
          <w:sz w:val="28"/>
          <w:lang w:val="ru-RU"/>
        </w:rPr>
        <w:t>%</w:t>
      </w:r>
    </w:p>
    <w:p w:rsidR="00870AD1" w:rsidRPr="0019100D" w:rsidRDefault="00870AD1" w:rsidP="00517795">
      <w:pPr>
        <w:tabs>
          <w:tab w:val="left" w:pos="0"/>
          <w:tab w:val="left" w:pos="1100"/>
        </w:tabs>
        <w:jc w:val="both"/>
        <w:rPr>
          <w:rFonts w:ascii="Tahoma" w:hAnsi="Tahoma" w:cs="Tahoma"/>
          <w:spacing w:val="-4"/>
          <w:lang w:val="sr-Cyrl-CS"/>
        </w:rPr>
      </w:pPr>
    </w:p>
    <w:p w:rsidR="003C22C8" w:rsidRDefault="003C22C8" w:rsidP="00624567">
      <w:pPr>
        <w:jc w:val="both"/>
        <w:rPr>
          <w:rFonts w:ascii="Arial Narrow" w:hAnsi="Arial Narrow" w:cs="Tahoma"/>
          <w:b/>
          <w:sz w:val="22"/>
        </w:rPr>
      </w:pPr>
      <w:r>
        <w:rPr>
          <w:rFonts w:ascii="Arial Narrow" w:hAnsi="Arial Narrow" w:cs="Tahoma"/>
          <w:b/>
          <w:sz w:val="22"/>
        </w:rPr>
        <w:t>Seasonally adjusted industrial production</w:t>
      </w:r>
      <w:r w:rsidRPr="00AE7F03">
        <w:rPr>
          <w:rFonts w:ascii="Arial Narrow" w:hAnsi="Arial Narrow" w:cs="Tahoma"/>
          <w:sz w:val="22"/>
        </w:rPr>
        <w:t xml:space="preserve"> </w:t>
      </w:r>
      <w:r>
        <w:rPr>
          <w:rFonts w:ascii="Arial Narrow" w:hAnsi="Arial Narrow" w:cs="Tahoma"/>
          <w:sz w:val="22"/>
        </w:rPr>
        <w:t xml:space="preserve">in July 2014 compared to June 2014 increased by 0.8%. In the section </w:t>
      </w:r>
      <w:r w:rsidRPr="00F733CE">
        <w:rPr>
          <w:rFonts w:ascii="Arial Narrow" w:hAnsi="Arial Narrow" w:cs="Tahoma"/>
          <w:i/>
          <w:sz w:val="22"/>
        </w:rPr>
        <w:t>Mining and quarrying</w:t>
      </w:r>
      <w:r>
        <w:rPr>
          <w:rFonts w:ascii="Arial Narrow" w:hAnsi="Arial Narrow" w:cs="Tahoma"/>
          <w:sz w:val="22"/>
        </w:rPr>
        <w:t xml:space="preserve"> an increase by 8.2% was recorded and in the section </w:t>
      </w:r>
      <w:r w:rsidRPr="00F733CE">
        <w:rPr>
          <w:rFonts w:ascii="Arial Narrow" w:hAnsi="Arial Narrow" w:cs="Tahoma"/>
          <w:i/>
          <w:sz w:val="22"/>
        </w:rPr>
        <w:t>Manufacturing</w:t>
      </w:r>
      <w:r>
        <w:rPr>
          <w:rFonts w:ascii="Arial Narrow" w:hAnsi="Arial Narrow" w:cs="Tahoma"/>
          <w:sz w:val="22"/>
        </w:rPr>
        <w:t xml:space="preserve"> an increase by 1.6%, while in the section </w:t>
      </w:r>
      <w:r w:rsidRPr="00B23575">
        <w:rPr>
          <w:rFonts w:ascii="Arial Narrow" w:hAnsi="Arial Narrow" w:cs="Tahoma"/>
          <w:i/>
          <w:sz w:val="22"/>
          <w:szCs w:val="22"/>
          <w:lang w:val="sr-Cyrl-CS"/>
        </w:rPr>
        <w:t>Electricity, gas, steam and air-conditioning supply</w:t>
      </w:r>
      <w:r>
        <w:rPr>
          <w:rFonts w:ascii="Arial Narrow" w:hAnsi="Arial Narrow" w:cs="Tahoma"/>
          <w:sz w:val="22"/>
          <w:szCs w:val="22"/>
        </w:rPr>
        <w:t xml:space="preserve"> a decrease by 3.1% was recorded. By main industrial group, based on economic purpose of products, seasonally adjusted industrial production of capital goods in July 2014, compared to June 2014, was 23.1% higher, production of consumer non-durables was 2.3% higher, production of energy was 1.4% higher and production of consumer durables was 0.9% higher, while production of intermediate goods was 4.7% lower. </w:t>
      </w:r>
    </w:p>
    <w:p w:rsidR="00802CC2" w:rsidRPr="0019100D" w:rsidRDefault="00802CC2" w:rsidP="00624567">
      <w:pPr>
        <w:jc w:val="both"/>
        <w:rPr>
          <w:rFonts w:ascii="Arial Narrow" w:hAnsi="Arial Narrow" w:cs="Tahoma"/>
          <w:sz w:val="22"/>
          <w:lang w:val="sr-Cyrl-CS"/>
        </w:rPr>
      </w:pPr>
    </w:p>
    <w:p w:rsidR="005003F7" w:rsidRDefault="005003F7" w:rsidP="0043561A">
      <w:pPr>
        <w:jc w:val="both"/>
        <w:rPr>
          <w:rFonts w:ascii="Arial Narrow" w:hAnsi="Arial Narrow" w:cs="Tahoma"/>
          <w:sz w:val="22"/>
        </w:rPr>
      </w:pPr>
      <w:r w:rsidRPr="00D84BC5">
        <w:rPr>
          <w:rFonts w:ascii="Arial Narrow" w:hAnsi="Arial Narrow" w:cs="Tahoma"/>
          <w:b/>
          <w:sz w:val="22"/>
        </w:rPr>
        <w:t>Number of employees in industry</w:t>
      </w:r>
      <w:r>
        <w:rPr>
          <w:rFonts w:ascii="Arial Narrow" w:hAnsi="Arial Narrow" w:cs="Tahoma"/>
          <w:sz w:val="22"/>
        </w:rPr>
        <w:t xml:space="preserve"> in July 2014, compared to the average number of employees in 2013, was 1.6% higher. Compared to the same month of the previous year it was 0.7% higher, while compared to June 2014 it was 0.2% lower. Number of employees in industry in the period January – July 2014, compared to the same period of the previous year, increased by 1.7%. During the same period, in the section </w:t>
      </w:r>
      <w:r w:rsidRPr="006664CA">
        <w:rPr>
          <w:rFonts w:ascii="Arial Narrow" w:hAnsi="Arial Narrow" w:cs="Tahoma"/>
          <w:i/>
          <w:spacing w:val="-2"/>
          <w:sz w:val="22"/>
        </w:rPr>
        <w:t>Mining and quarrying</w:t>
      </w:r>
      <w:r>
        <w:rPr>
          <w:rFonts w:ascii="Arial Narrow" w:hAnsi="Arial Narrow" w:cs="Tahoma"/>
          <w:spacing w:val="-2"/>
          <w:sz w:val="22"/>
        </w:rPr>
        <w:t xml:space="preserve"> an increase by 5.2</w:t>
      </w:r>
      <w:r w:rsidRPr="006664CA">
        <w:rPr>
          <w:rFonts w:ascii="Arial Narrow" w:hAnsi="Arial Narrow" w:cs="Tahoma"/>
          <w:spacing w:val="-2"/>
          <w:sz w:val="22"/>
        </w:rPr>
        <w:t>% was realised</w:t>
      </w:r>
      <w:r>
        <w:rPr>
          <w:rFonts w:ascii="Arial Narrow" w:hAnsi="Arial Narrow" w:cs="Tahoma"/>
          <w:spacing w:val="-2"/>
          <w:sz w:val="22"/>
        </w:rPr>
        <w:t xml:space="preserve">, in the section </w:t>
      </w:r>
      <w:r w:rsidRPr="006664CA">
        <w:rPr>
          <w:rFonts w:ascii="Arial Narrow" w:hAnsi="Arial Narrow" w:cs="Tahoma"/>
          <w:i/>
          <w:spacing w:val="-2"/>
          <w:sz w:val="22"/>
        </w:rPr>
        <w:t>Electricity, gas, steam and air-conditioning supply</w:t>
      </w:r>
      <w:r>
        <w:rPr>
          <w:rFonts w:ascii="Arial Narrow" w:hAnsi="Arial Narrow" w:cs="Tahoma"/>
          <w:spacing w:val="-2"/>
          <w:sz w:val="22"/>
        </w:rPr>
        <w:t xml:space="preserve"> an increase by 1.9% and in the section </w:t>
      </w:r>
      <w:r w:rsidRPr="006664CA">
        <w:rPr>
          <w:rFonts w:ascii="Arial Narrow" w:hAnsi="Arial Narrow" w:cs="Tahoma"/>
          <w:i/>
          <w:spacing w:val="-2"/>
          <w:sz w:val="22"/>
        </w:rPr>
        <w:t>Manufacturing</w:t>
      </w:r>
      <w:r>
        <w:rPr>
          <w:rFonts w:ascii="Arial Narrow" w:hAnsi="Arial Narrow" w:cs="Tahoma"/>
          <w:spacing w:val="-2"/>
          <w:sz w:val="22"/>
        </w:rPr>
        <w:t xml:space="preserve"> an increase by 1.3% was recorded.</w:t>
      </w:r>
    </w:p>
    <w:p w:rsidR="005003F7" w:rsidRDefault="005003F7" w:rsidP="0043561A">
      <w:pPr>
        <w:jc w:val="both"/>
        <w:rPr>
          <w:rFonts w:ascii="Arial Narrow" w:hAnsi="Arial Narrow" w:cs="Tahoma"/>
          <w:b/>
          <w:sz w:val="22"/>
        </w:rPr>
      </w:pPr>
    </w:p>
    <w:p w:rsidR="00DF0566" w:rsidRPr="0019100D" w:rsidRDefault="00DF0566" w:rsidP="0043561A">
      <w:pPr>
        <w:jc w:val="both"/>
        <w:rPr>
          <w:rFonts w:ascii="Arial Narrow" w:hAnsi="Arial Narrow" w:cs="Tahoma"/>
          <w:sz w:val="22"/>
          <w:lang w:val="sr-Latn-CS"/>
        </w:rPr>
      </w:pPr>
    </w:p>
    <w:p w:rsidR="004E0795" w:rsidRPr="00AE7F03" w:rsidRDefault="009A448B" w:rsidP="00A14198">
      <w:pPr>
        <w:jc w:val="center"/>
        <w:rPr>
          <w:rFonts w:ascii="Tahoma" w:hAnsi="Tahoma" w:cs="Tahoma"/>
          <w:lang w:val="sr-Latn-CS"/>
        </w:rPr>
      </w:pPr>
      <w:r w:rsidRPr="009A448B">
        <w:rPr>
          <w:rFonts w:ascii="Tahoma" w:hAnsi="Tahoma" w:cs="Tahoma"/>
          <w:noProof/>
        </w:rPr>
        <w:lastRenderedPageBreak/>
        <w:drawing>
          <wp:inline distT="0" distB="0" distL="0" distR="0">
            <wp:extent cx="6480810" cy="3091962"/>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198" w:rsidRPr="002D7078" w:rsidRDefault="002D7078" w:rsidP="00A14198">
      <w:pPr>
        <w:jc w:val="center"/>
        <w:rPr>
          <w:rFonts w:ascii="Arial Narrow" w:hAnsi="Arial Narrow" w:cs="Tahoma"/>
          <w:sz w:val="22"/>
          <w:szCs w:val="22"/>
          <w:lang w:val="sr-Latn-CS"/>
        </w:rPr>
      </w:pPr>
      <w:r w:rsidRPr="002D7078">
        <w:rPr>
          <w:rFonts w:ascii="Arial Narrow" w:hAnsi="Arial Narrow" w:cs="Tahoma"/>
          <w:sz w:val="22"/>
          <w:szCs w:val="22"/>
          <w:lang w:val="sr-Latn-CS"/>
        </w:rPr>
        <w:t>Graph</w:t>
      </w:r>
      <w:r w:rsidR="00A14198" w:rsidRPr="002D7078">
        <w:rPr>
          <w:rFonts w:ascii="Arial Narrow" w:hAnsi="Arial Narrow" w:cs="Tahoma"/>
          <w:sz w:val="22"/>
          <w:szCs w:val="22"/>
          <w:lang w:val="sr-Latn-CS"/>
        </w:rPr>
        <w:t xml:space="preserve"> </w:t>
      </w:r>
      <w:r w:rsidR="00DF0566" w:rsidRPr="002D7078">
        <w:rPr>
          <w:rFonts w:ascii="Arial Narrow" w:hAnsi="Arial Narrow" w:cs="Tahoma"/>
          <w:sz w:val="22"/>
          <w:szCs w:val="22"/>
          <w:lang w:val="sr-Cyrl-CS"/>
        </w:rPr>
        <w:t>2</w:t>
      </w:r>
      <w:r w:rsidR="00A14198" w:rsidRPr="002D7078">
        <w:rPr>
          <w:rFonts w:ascii="Arial Narrow" w:hAnsi="Arial Narrow" w:cs="Tahoma"/>
          <w:sz w:val="22"/>
          <w:szCs w:val="22"/>
          <w:lang w:val="sr-Latn-CS"/>
        </w:rPr>
        <w:t xml:space="preserve">. </w:t>
      </w:r>
      <w:r w:rsidRPr="002D7078">
        <w:rPr>
          <w:rFonts w:ascii="Arial Narrow" w:hAnsi="Arial Narrow" w:cs="Tahoma"/>
          <w:sz w:val="22"/>
          <w:szCs w:val="22"/>
          <w:lang w:val="sr-Latn-CS"/>
        </w:rPr>
        <w:t>Indices of industrial production</w:t>
      </w:r>
      <w:r w:rsidR="00A14198" w:rsidRPr="002D7078">
        <w:rPr>
          <w:rFonts w:ascii="Arial Narrow" w:hAnsi="Arial Narrow" w:cs="Tahoma"/>
          <w:sz w:val="22"/>
          <w:szCs w:val="22"/>
          <w:lang w:val="sr-Latn-CS"/>
        </w:rPr>
        <w:t xml:space="preserve">,  </w:t>
      </w:r>
      <w:r w:rsidRPr="002D7078">
        <w:rPr>
          <w:rFonts w:ascii="Arial Narrow" w:hAnsi="Arial Narrow" w:cs="Tahoma"/>
          <w:sz w:val="22"/>
          <w:szCs w:val="22"/>
        </w:rPr>
        <w:t>July</w:t>
      </w:r>
      <w:r w:rsidR="00A14198" w:rsidRPr="002D7078">
        <w:rPr>
          <w:rFonts w:ascii="Arial Narrow" w:hAnsi="Arial Narrow" w:cs="Tahoma"/>
          <w:sz w:val="22"/>
          <w:szCs w:val="22"/>
          <w:lang w:val="sr-Latn-CS"/>
        </w:rPr>
        <w:t xml:space="preserve"> 20</w:t>
      </w:r>
      <w:r w:rsidR="00B2585D" w:rsidRPr="002D7078">
        <w:rPr>
          <w:rFonts w:ascii="Arial Narrow" w:hAnsi="Arial Narrow" w:cs="Tahoma"/>
          <w:sz w:val="22"/>
          <w:szCs w:val="22"/>
          <w:lang w:val="sr-Cyrl-CS"/>
        </w:rPr>
        <w:t>10</w:t>
      </w:r>
      <w:r w:rsidR="00A14198" w:rsidRPr="002D7078">
        <w:rPr>
          <w:rFonts w:ascii="Arial Narrow" w:hAnsi="Arial Narrow" w:cs="Tahoma"/>
          <w:sz w:val="22"/>
          <w:szCs w:val="22"/>
          <w:lang w:val="sr-Latn-CS"/>
        </w:rPr>
        <w:t xml:space="preserve"> – </w:t>
      </w:r>
      <w:r w:rsidRPr="002D7078">
        <w:rPr>
          <w:rFonts w:ascii="Arial Narrow" w:hAnsi="Arial Narrow" w:cs="Tahoma"/>
          <w:sz w:val="22"/>
          <w:szCs w:val="22"/>
        </w:rPr>
        <w:t>July</w:t>
      </w:r>
      <w:r w:rsidR="00A14198" w:rsidRPr="002D7078">
        <w:rPr>
          <w:rFonts w:ascii="Arial Narrow" w:hAnsi="Arial Narrow" w:cs="Tahoma"/>
          <w:sz w:val="22"/>
          <w:szCs w:val="22"/>
          <w:lang w:val="sr-Latn-CS"/>
        </w:rPr>
        <w:t xml:space="preserve"> 201</w:t>
      </w:r>
      <w:r w:rsidR="00B2585D" w:rsidRPr="002D7078">
        <w:rPr>
          <w:rFonts w:ascii="Arial Narrow" w:hAnsi="Arial Narrow" w:cs="Tahoma"/>
          <w:sz w:val="22"/>
          <w:szCs w:val="22"/>
          <w:lang w:val="sr-Cyrl-CS"/>
        </w:rPr>
        <w:t>4</w:t>
      </w:r>
      <w:r w:rsidR="00A14198" w:rsidRPr="002D7078">
        <w:rPr>
          <w:rFonts w:ascii="Arial Narrow" w:hAnsi="Arial Narrow" w:cs="Tahoma"/>
          <w:sz w:val="22"/>
          <w:szCs w:val="22"/>
          <w:lang w:val="sr-Latn-CS"/>
        </w:rPr>
        <w:t xml:space="preserve">  (</w:t>
      </w:r>
      <w:r w:rsidR="00A14198" w:rsidRPr="002D7078">
        <w:rPr>
          <w:rFonts w:ascii="Arial Narrow" w:hAnsi="Arial Narrow" w:cs="Tahoma"/>
          <w:sz w:val="22"/>
          <w:szCs w:val="22"/>
          <w:lang w:val="sr-Latn-CS"/>
        </w:rPr>
        <w:sym w:font="Symbol" w:char="F0C6"/>
      </w:r>
      <w:r w:rsidR="00A14198" w:rsidRPr="002D7078">
        <w:rPr>
          <w:rFonts w:ascii="Arial Narrow" w:hAnsi="Arial Narrow" w:cs="Tahoma"/>
          <w:sz w:val="22"/>
          <w:szCs w:val="22"/>
          <w:lang w:val="sr-Latn-CS"/>
        </w:rPr>
        <w:t>2010=100)</w:t>
      </w:r>
    </w:p>
    <w:p w:rsidR="009A1D13" w:rsidRPr="00AE7F03" w:rsidRDefault="009A1D13" w:rsidP="000A04DF">
      <w:pPr>
        <w:tabs>
          <w:tab w:val="left" w:pos="300"/>
          <w:tab w:val="left" w:pos="1100"/>
        </w:tabs>
        <w:jc w:val="both"/>
        <w:rPr>
          <w:rFonts w:ascii="Tahoma" w:hAnsi="Tahoma" w:cs="Tahoma"/>
          <w:b/>
          <w:lang w:val="sr-Cyrl-CS"/>
        </w:rPr>
      </w:pPr>
    </w:p>
    <w:p w:rsidR="009F6C21" w:rsidRPr="00DF0566" w:rsidRDefault="009F6C21" w:rsidP="000A04DF">
      <w:pPr>
        <w:tabs>
          <w:tab w:val="left" w:pos="300"/>
          <w:tab w:val="left" w:pos="1100"/>
        </w:tabs>
        <w:jc w:val="both"/>
        <w:rPr>
          <w:rFonts w:ascii="Arial Narrow" w:hAnsi="Arial Narrow" w:cs="Tahoma"/>
          <w:szCs w:val="30"/>
          <w:lang w:val="sr-Latn-CS"/>
        </w:rPr>
      </w:pPr>
    </w:p>
    <w:p w:rsidR="000A04DF" w:rsidRPr="0019100D" w:rsidRDefault="00E915E6" w:rsidP="000A04DF">
      <w:pPr>
        <w:tabs>
          <w:tab w:val="left" w:pos="300"/>
          <w:tab w:val="left" w:pos="1100"/>
        </w:tabs>
        <w:jc w:val="both"/>
        <w:rPr>
          <w:rFonts w:ascii="Arial Narrow" w:hAnsi="Arial Narrow" w:cs="Tahoma"/>
          <w:b/>
          <w:sz w:val="30"/>
          <w:szCs w:val="30"/>
          <w:lang w:val="ru-RU"/>
        </w:rPr>
      </w:pPr>
      <w:r>
        <w:rPr>
          <w:rFonts w:ascii="Arial Narrow" w:hAnsi="Arial Narrow" w:cs="Tahoma"/>
          <w:b/>
          <w:sz w:val="30"/>
          <w:szCs w:val="30"/>
        </w:rPr>
        <w:t>Export</w:t>
      </w:r>
      <w:r w:rsidR="000A04DF" w:rsidRPr="0019100D">
        <w:rPr>
          <w:rFonts w:ascii="Arial Narrow" w:hAnsi="Arial Narrow" w:cs="Tahoma"/>
          <w:b/>
          <w:sz w:val="30"/>
          <w:szCs w:val="30"/>
          <w:lang w:val="sr-Cyrl-CS"/>
        </w:rPr>
        <w:t xml:space="preserve"> </w:t>
      </w:r>
      <w:r>
        <w:rPr>
          <w:rFonts w:ascii="Arial Narrow" w:hAnsi="Arial Narrow" w:cs="Tahoma"/>
          <w:b/>
          <w:sz w:val="30"/>
          <w:szCs w:val="30"/>
          <w:lang w:val="hr-HR"/>
        </w:rPr>
        <w:t>(January</w:t>
      </w:r>
      <w:r w:rsidR="007F1ED7" w:rsidRPr="0019100D">
        <w:rPr>
          <w:rFonts w:ascii="Arial Narrow" w:hAnsi="Arial Narrow" w:cs="Tahoma"/>
          <w:b/>
          <w:sz w:val="30"/>
          <w:szCs w:val="30"/>
          <w:lang w:val="hr-HR"/>
        </w:rPr>
        <w:t>-</w:t>
      </w:r>
      <w:r>
        <w:rPr>
          <w:rFonts w:ascii="Arial Narrow" w:hAnsi="Arial Narrow" w:cs="Tahoma"/>
          <w:b/>
          <w:sz w:val="30"/>
          <w:szCs w:val="30"/>
          <w:lang w:val="hr-HR"/>
        </w:rPr>
        <w:t>July</w:t>
      </w:r>
      <w:r w:rsidR="000A04DF" w:rsidRPr="0019100D">
        <w:rPr>
          <w:rFonts w:ascii="Arial Narrow" w:hAnsi="Arial Narrow" w:cs="Tahoma"/>
          <w:b/>
          <w:sz w:val="30"/>
          <w:szCs w:val="30"/>
          <w:lang w:val="hr-HR"/>
        </w:rPr>
        <w:t xml:space="preserve"> 201</w:t>
      </w:r>
      <w:r>
        <w:rPr>
          <w:rFonts w:ascii="Arial Narrow" w:hAnsi="Arial Narrow" w:cs="Tahoma"/>
          <w:b/>
          <w:sz w:val="30"/>
          <w:szCs w:val="30"/>
          <w:lang w:val="hr-HR"/>
        </w:rPr>
        <w:t>4/January</w:t>
      </w:r>
      <w:r w:rsidR="007F1ED7" w:rsidRPr="0019100D">
        <w:rPr>
          <w:rFonts w:ascii="Arial Narrow" w:hAnsi="Arial Narrow" w:cs="Tahoma"/>
          <w:b/>
          <w:sz w:val="30"/>
          <w:szCs w:val="30"/>
          <w:lang w:val="hr-HR"/>
        </w:rPr>
        <w:t>-</w:t>
      </w:r>
      <w:r>
        <w:rPr>
          <w:rFonts w:ascii="Arial Narrow" w:hAnsi="Arial Narrow" w:cs="Tahoma"/>
          <w:b/>
          <w:sz w:val="30"/>
          <w:szCs w:val="30"/>
          <w:lang w:val="hr-HR"/>
        </w:rPr>
        <w:t>July</w:t>
      </w:r>
      <w:r w:rsidR="00725AED" w:rsidRPr="0019100D">
        <w:rPr>
          <w:rFonts w:ascii="Arial Narrow" w:hAnsi="Arial Narrow" w:cs="Tahoma"/>
          <w:b/>
          <w:sz w:val="30"/>
          <w:szCs w:val="30"/>
          <w:lang w:val="hr-HR"/>
        </w:rPr>
        <w:t xml:space="preserve"> </w:t>
      </w:r>
      <w:r w:rsidR="001A655A" w:rsidRPr="0019100D">
        <w:rPr>
          <w:rFonts w:ascii="Arial Narrow" w:hAnsi="Arial Narrow" w:cs="Tahoma"/>
          <w:b/>
          <w:sz w:val="30"/>
          <w:szCs w:val="30"/>
          <w:lang w:val="hr-HR"/>
        </w:rPr>
        <w:t>2013</w:t>
      </w:r>
      <w:r w:rsidR="000A04DF" w:rsidRPr="0019100D">
        <w:rPr>
          <w:rFonts w:ascii="Arial Narrow" w:hAnsi="Arial Narrow" w:cs="Tahoma"/>
          <w:b/>
          <w:sz w:val="30"/>
          <w:szCs w:val="30"/>
          <w:lang w:val="hr-HR"/>
        </w:rPr>
        <w:t xml:space="preserve">) </w:t>
      </w:r>
      <w:r>
        <w:rPr>
          <w:rFonts w:ascii="Arial Narrow" w:hAnsi="Arial Narrow" w:cs="Tahoma"/>
          <w:b/>
          <w:sz w:val="30"/>
          <w:szCs w:val="30"/>
        </w:rPr>
        <w:t>increased by</w:t>
      </w:r>
      <w:r w:rsidR="000A04DF" w:rsidRPr="0019100D">
        <w:rPr>
          <w:rFonts w:ascii="Arial Narrow" w:hAnsi="Arial Narrow" w:cs="Tahoma"/>
          <w:b/>
          <w:sz w:val="30"/>
          <w:szCs w:val="30"/>
          <w:lang w:val="sr-Cyrl-BA"/>
        </w:rPr>
        <w:t xml:space="preserve"> </w:t>
      </w:r>
      <w:r w:rsidR="00350AEB" w:rsidRPr="0019100D">
        <w:rPr>
          <w:rFonts w:ascii="Arial Narrow" w:hAnsi="Arial Narrow" w:cs="Tahoma"/>
          <w:b/>
          <w:sz w:val="30"/>
          <w:szCs w:val="30"/>
        </w:rPr>
        <w:t>5</w:t>
      </w:r>
      <w:r>
        <w:rPr>
          <w:rFonts w:ascii="Arial Narrow" w:hAnsi="Arial Narrow" w:cs="Tahoma"/>
          <w:b/>
          <w:sz w:val="30"/>
          <w:szCs w:val="30"/>
        </w:rPr>
        <w:t>.</w:t>
      </w:r>
      <w:r w:rsidR="006E2905" w:rsidRPr="0019100D">
        <w:rPr>
          <w:rFonts w:ascii="Arial Narrow" w:hAnsi="Arial Narrow" w:cs="Tahoma"/>
          <w:b/>
          <w:sz w:val="30"/>
          <w:szCs w:val="30"/>
          <w:lang w:val="sr-Cyrl-BA"/>
        </w:rPr>
        <w:t>9</w:t>
      </w:r>
      <w:r w:rsidR="000A04DF" w:rsidRPr="0019100D">
        <w:rPr>
          <w:rFonts w:ascii="Arial Narrow" w:hAnsi="Arial Narrow" w:cs="Tahoma"/>
          <w:b/>
          <w:sz w:val="30"/>
          <w:szCs w:val="30"/>
          <w:lang w:val="ru-RU"/>
        </w:rPr>
        <w:t>%</w:t>
      </w:r>
    </w:p>
    <w:p w:rsidR="00777348" w:rsidRPr="0019100D" w:rsidRDefault="00E915E6" w:rsidP="00777348">
      <w:pPr>
        <w:rPr>
          <w:rFonts w:ascii="Arial Narrow" w:hAnsi="Arial Narrow" w:cs="Tahoma"/>
          <w:b/>
          <w:sz w:val="28"/>
          <w:szCs w:val="26"/>
          <w:lang w:val="sr-Cyrl-CS"/>
        </w:rPr>
      </w:pPr>
      <w:r>
        <w:rPr>
          <w:rFonts w:ascii="Arial Narrow" w:hAnsi="Arial Narrow" w:cs="Tahoma"/>
          <w:b/>
          <w:sz w:val="28"/>
          <w:szCs w:val="26"/>
        </w:rPr>
        <w:t xml:space="preserve">Coverage of import with export </w:t>
      </w:r>
      <w:r w:rsidR="00777348" w:rsidRPr="0019100D">
        <w:rPr>
          <w:rFonts w:ascii="Arial Narrow" w:hAnsi="Arial Narrow" w:cs="Tahoma"/>
          <w:b/>
          <w:sz w:val="28"/>
          <w:szCs w:val="26"/>
          <w:lang w:val="sr-Cyrl-BA"/>
        </w:rPr>
        <w:t>(</w:t>
      </w:r>
      <w:r>
        <w:rPr>
          <w:rFonts w:ascii="Arial Narrow" w:hAnsi="Arial Narrow" w:cs="Tahoma"/>
          <w:b/>
          <w:sz w:val="28"/>
          <w:szCs w:val="26"/>
        </w:rPr>
        <w:t>in the period</w:t>
      </w:r>
      <w:r w:rsidR="002E172F" w:rsidRPr="0019100D">
        <w:rPr>
          <w:rFonts w:ascii="Arial Narrow" w:hAnsi="Arial Narrow" w:cs="Tahoma"/>
          <w:b/>
          <w:sz w:val="28"/>
          <w:szCs w:val="26"/>
          <w:lang w:val="sr-Cyrl-BA"/>
        </w:rPr>
        <w:t xml:space="preserve"> </w:t>
      </w:r>
      <w:r>
        <w:rPr>
          <w:rFonts w:ascii="Arial Narrow" w:hAnsi="Arial Narrow" w:cs="Tahoma"/>
          <w:b/>
          <w:sz w:val="28"/>
          <w:szCs w:val="26"/>
          <w:lang w:val="sr-Latn-CS"/>
        </w:rPr>
        <w:t>January</w:t>
      </w:r>
      <w:r w:rsidR="002E172F" w:rsidRPr="0019100D">
        <w:rPr>
          <w:rFonts w:ascii="Arial Narrow" w:hAnsi="Arial Narrow" w:cs="Tahoma"/>
          <w:b/>
          <w:sz w:val="28"/>
          <w:szCs w:val="26"/>
          <w:lang w:val="sr-Cyrl-BA"/>
        </w:rPr>
        <w:t>-</w:t>
      </w:r>
      <w:r>
        <w:rPr>
          <w:rFonts w:ascii="Arial Narrow" w:hAnsi="Arial Narrow" w:cs="Tahoma"/>
          <w:b/>
          <w:sz w:val="28"/>
          <w:szCs w:val="26"/>
        </w:rPr>
        <w:t>July</w:t>
      </w:r>
      <w:r w:rsidR="00777348" w:rsidRPr="0019100D">
        <w:rPr>
          <w:rFonts w:ascii="Arial Narrow" w:hAnsi="Arial Narrow" w:cs="Tahoma"/>
          <w:b/>
          <w:sz w:val="28"/>
          <w:szCs w:val="26"/>
          <w:lang w:val="sr-Cyrl-CS"/>
        </w:rPr>
        <w:t xml:space="preserve"> </w:t>
      </w:r>
      <w:r w:rsidR="00777348" w:rsidRPr="0019100D">
        <w:rPr>
          <w:rFonts w:ascii="Arial Narrow" w:hAnsi="Arial Narrow" w:cs="Tahoma"/>
          <w:b/>
          <w:sz w:val="28"/>
          <w:szCs w:val="26"/>
          <w:lang w:val="ru-RU"/>
        </w:rPr>
        <w:t>201</w:t>
      </w:r>
      <w:r w:rsidR="001A655A" w:rsidRPr="0019100D">
        <w:rPr>
          <w:rFonts w:ascii="Arial Narrow" w:hAnsi="Arial Narrow" w:cs="Tahoma"/>
          <w:b/>
          <w:sz w:val="28"/>
          <w:szCs w:val="26"/>
        </w:rPr>
        <w:t>4</w:t>
      </w:r>
      <w:r w:rsidR="00777348" w:rsidRPr="0019100D">
        <w:rPr>
          <w:rFonts w:ascii="Arial Narrow" w:hAnsi="Arial Narrow" w:cs="Tahoma"/>
          <w:b/>
          <w:sz w:val="28"/>
          <w:szCs w:val="26"/>
          <w:lang w:val="sr-Cyrl-BA"/>
        </w:rPr>
        <w:t>)</w:t>
      </w:r>
      <w:r w:rsidR="00777348" w:rsidRPr="0019100D">
        <w:rPr>
          <w:rFonts w:ascii="Arial Narrow" w:hAnsi="Arial Narrow" w:cs="Tahoma"/>
          <w:b/>
          <w:sz w:val="28"/>
          <w:szCs w:val="26"/>
          <w:lang w:val="sr-Cyrl-CS"/>
        </w:rPr>
        <w:t xml:space="preserve"> </w:t>
      </w:r>
      <w:r w:rsidR="007F1ED7" w:rsidRPr="0019100D">
        <w:rPr>
          <w:rFonts w:ascii="Arial Narrow" w:hAnsi="Arial Narrow" w:cs="Tahoma"/>
          <w:b/>
          <w:sz w:val="28"/>
          <w:szCs w:val="26"/>
          <w:lang w:val="sr-Cyrl-BA"/>
        </w:rPr>
        <w:t>5</w:t>
      </w:r>
      <w:r w:rsidR="006E2905" w:rsidRPr="0019100D">
        <w:rPr>
          <w:rFonts w:ascii="Arial Narrow" w:hAnsi="Arial Narrow" w:cs="Tahoma"/>
          <w:b/>
          <w:sz w:val="28"/>
          <w:szCs w:val="26"/>
          <w:lang w:val="sr-Cyrl-BA"/>
        </w:rPr>
        <w:t>7</w:t>
      </w:r>
      <w:r>
        <w:rPr>
          <w:rFonts w:ascii="Arial Narrow" w:hAnsi="Arial Narrow" w:cs="Tahoma"/>
          <w:b/>
          <w:sz w:val="28"/>
          <w:szCs w:val="26"/>
        </w:rPr>
        <w:t>.</w:t>
      </w:r>
      <w:r w:rsidR="00350AEB" w:rsidRPr="0019100D">
        <w:rPr>
          <w:rFonts w:ascii="Arial Narrow" w:hAnsi="Arial Narrow" w:cs="Tahoma"/>
          <w:b/>
          <w:sz w:val="28"/>
          <w:szCs w:val="26"/>
        </w:rPr>
        <w:t>9</w:t>
      </w:r>
      <w:r w:rsidR="00777348" w:rsidRPr="0019100D">
        <w:rPr>
          <w:rFonts w:ascii="Arial Narrow" w:hAnsi="Arial Narrow" w:cs="Tahoma"/>
          <w:b/>
          <w:sz w:val="28"/>
          <w:szCs w:val="26"/>
          <w:lang w:val="ru-RU"/>
        </w:rPr>
        <w:t xml:space="preserve">% </w:t>
      </w:r>
    </w:p>
    <w:p w:rsidR="00777348" w:rsidRPr="0019100D" w:rsidRDefault="00777348" w:rsidP="00777348">
      <w:pPr>
        <w:tabs>
          <w:tab w:val="left" w:pos="300"/>
          <w:tab w:val="left" w:pos="1100"/>
        </w:tabs>
        <w:jc w:val="both"/>
        <w:rPr>
          <w:rFonts w:ascii="Tahoma" w:hAnsi="Tahoma" w:cs="Tahoma"/>
          <w:b/>
          <w:lang w:val="sr-Cyrl-BA"/>
        </w:rPr>
      </w:pPr>
    </w:p>
    <w:p w:rsidR="00E915E6" w:rsidRDefault="00E915E6" w:rsidP="002E172F">
      <w:pPr>
        <w:jc w:val="both"/>
        <w:rPr>
          <w:rFonts w:ascii="Arial Narrow" w:hAnsi="Arial Narrow" w:cs="Tahoma"/>
          <w:sz w:val="22"/>
        </w:rPr>
      </w:pPr>
      <w:r>
        <w:rPr>
          <w:rFonts w:ascii="Arial Narrow" w:hAnsi="Arial Narrow" w:cs="Tahoma"/>
          <w:sz w:val="22"/>
        </w:rPr>
        <w:t xml:space="preserve">In July 2014, the value of export amounted to 261 million KM and the value of import was 414 million KM. </w:t>
      </w:r>
    </w:p>
    <w:p w:rsidR="002E172F" w:rsidRPr="0019100D" w:rsidRDefault="002E172F" w:rsidP="00777348">
      <w:pPr>
        <w:jc w:val="both"/>
        <w:rPr>
          <w:rFonts w:ascii="Arial Narrow" w:hAnsi="Arial Narrow" w:cs="Tahoma"/>
          <w:sz w:val="22"/>
        </w:rPr>
      </w:pPr>
    </w:p>
    <w:p w:rsidR="00E915E6" w:rsidRDefault="00E915E6" w:rsidP="008D6770">
      <w:pPr>
        <w:jc w:val="both"/>
        <w:rPr>
          <w:rFonts w:ascii="Arial Narrow" w:hAnsi="Arial Narrow" w:cs="Tahoma"/>
          <w:sz w:val="22"/>
        </w:rPr>
      </w:pPr>
      <w:r>
        <w:rPr>
          <w:rFonts w:ascii="Arial Narrow" w:hAnsi="Arial Narrow" w:cs="Tahoma"/>
          <w:sz w:val="22"/>
        </w:rPr>
        <w:t>In the period January – July 2014, the value of export was 1 billion and 569 million KM, which represented an increase by 5.9% compared to the same period of the previous year. During the same period, the value of import was 2 billion and 711 million KM, which represented an increase by 8.3% compared to the same period of the previous year. The percentage of coverage of import with export in the first seven months of the current year was 57.9%.</w:t>
      </w:r>
    </w:p>
    <w:p w:rsidR="000778B8" w:rsidRPr="0019100D" w:rsidRDefault="000778B8" w:rsidP="00777348">
      <w:pPr>
        <w:jc w:val="both"/>
        <w:rPr>
          <w:rFonts w:ascii="Arial Narrow" w:hAnsi="Arial Narrow" w:cs="Tahoma"/>
          <w:sz w:val="22"/>
          <w:lang w:val="ru-RU"/>
        </w:rPr>
      </w:pPr>
    </w:p>
    <w:p w:rsidR="008D13DB" w:rsidRDefault="008D13DB" w:rsidP="00106980">
      <w:pPr>
        <w:tabs>
          <w:tab w:val="left" w:pos="300"/>
          <w:tab w:val="left" w:pos="1100"/>
        </w:tabs>
        <w:jc w:val="both"/>
        <w:rPr>
          <w:rFonts w:ascii="Arial Narrow" w:hAnsi="Arial Narrow" w:cs="Tahoma"/>
          <w:sz w:val="22"/>
        </w:rPr>
      </w:pPr>
      <w:r>
        <w:rPr>
          <w:rFonts w:ascii="Arial Narrow" w:hAnsi="Arial Narrow" w:cs="Tahoma"/>
          <w:sz w:val="22"/>
        </w:rPr>
        <w:t>By month, export in July 2014, compared to June 2014, increased by 6.8%, while compared to July 2013 it increased by 7.7%. Compared to June 2014, import in July 2014 decreased by 0.3%, while compared to July 2013 it increased by 3.4%.</w:t>
      </w:r>
    </w:p>
    <w:p w:rsidR="008D13DB" w:rsidRDefault="008D13DB" w:rsidP="00106980">
      <w:pPr>
        <w:tabs>
          <w:tab w:val="left" w:pos="300"/>
          <w:tab w:val="left" w:pos="1100"/>
        </w:tabs>
        <w:jc w:val="both"/>
        <w:rPr>
          <w:rFonts w:ascii="Arial Narrow" w:hAnsi="Arial Narrow" w:cs="Tahoma"/>
          <w:sz w:val="22"/>
        </w:rPr>
      </w:pPr>
    </w:p>
    <w:p w:rsidR="00E915E6" w:rsidRDefault="00E915E6" w:rsidP="00106980">
      <w:pPr>
        <w:tabs>
          <w:tab w:val="left" w:pos="300"/>
          <w:tab w:val="left" w:pos="1100"/>
        </w:tabs>
        <w:jc w:val="both"/>
        <w:rPr>
          <w:rFonts w:ascii="Arial Narrow" w:hAnsi="Arial Narrow" w:cs="Tahoma"/>
          <w:sz w:val="22"/>
        </w:rPr>
      </w:pPr>
      <w:r w:rsidRPr="007A6714">
        <w:rPr>
          <w:rFonts w:ascii="Arial Narrow" w:hAnsi="Arial Narrow" w:cs="Tahoma"/>
          <w:sz w:val="22"/>
        </w:rPr>
        <w:t xml:space="preserve">In terms of the geographical distribution of external trade of Republika Srpska, in the period January – </w:t>
      </w:r>
      <w:r>
        <w:rPr>
          <w:rFonts w:ascii="Arial Narrow" w:hAnsi="Arial Narrow" w:cs="Tahoma"/>
          <w:sz w:val="22"/>
        </w:rPr>
        <w:t>July</w:t>
      </w:r>
      <w:r w:rsidRPr="007A6714">
        <w:rPr>
          <w:rFonts w:ascii="Arial Narrow" w:hAnsi="Arial Narrow" w:cs="Tahoma"/>
          <w:sz w:val="22"/>
        </w:rPr>
        <w:t xml:space="preserve"> 2014, the highest value of export was that of export to Italy, with</w:t>
      </w:r>
      <w:r w:rsidR="00630D6F">
        <w:rPr>
          <w:rFonts w:ascii="Arial Narrow" w:hAnsi="Arial Narrow" w:cs="Tahoma"/>
          <w:sz w:val="22"/>
        </w:rPr>
        <w:t xml:space="preserve"> 300 million KM or 19.1%, followed by Serbia with 220 million or 14.0% of the total realised export. </w:t>
      </w:r>
    </w:p>
    <w:p w:rsidR="0096363D" w:rsidRDefault="0096363D" w:rsidP="00777348">
      <w:pPr>
        <w:tabs>
          <w:tab w:val="left" w:pos="300"/>
          <w:tab w:val="left" w:pos="1100"/>
        </w:tabs>
        <w:jc w:val="both"/>
        <w:rPr>
          <w:rFonts w:ascii="Arial Narrow" w:hAnsi="Arial Narrow" w:cs="Tahoma"/>
          <w:sz w:val="22"/>
        </w:rPr>
      </w:pPr>
    </w:p>
    <w:p w:rsidR="00630D6F" w:rsidRPr="00630D6F" w:rsidRDefault="00630D6F" w:rsidP="00777348">
      <w:pPr>
        <w:tabs>
          <w:tab w:val="left" w:pos="300"/>
          <w:tab w:val="left" w:pos="1100"/>
        </w:tabs>
        <w:jc w:val="both"/>
        <w:rPr>
          <w:rFonts w:ascii="Arial Narrow" w:hAnsi="Arial Narrow" w:cs="Tahoma"/>
          <w:sz w:val="22"/>
        </w:rPr>
      </w:pPr>
      <w:r>
        <w:rPr>
          <w:rFonts w:ascii="Arial Narrow" w:hAnsi="Arial Narrow" w:cs="Tahoma"/>
          <w:sz w:val="22"/>
        </w:rPr>
        <w:t xml:space="preserve">During the same period, the highest value of import was that of import from Russia, with 579 million KM or 21.3%, followed by Serbia with 430 million or 15.9% of the total realised import. </w:t>
      </w:r>
    </w:p>
    <w:p w:rsidR="00777348" w:rsidRDefault="00777348" w:rsidP="00777348">
      <w:pPr>
        <w:tabs>
          <w:tab w:val="left" w:pos="300"/>
          <w:tab w:val="left" w:pos="1100"/>
        </w:tabs>
        <w:jc w:val="both"/>
        <w:rPr>
          <w:rFonts w:ascii="Arial Narrow" w:hAnsi="Arial Narrow" w:cs="Tahoma"/>
          <w:sz w:val="22"/>
        </w:rPr>
      </w:pPr>
    </w:p>
    <w:p w:rsidR="00630D6F" w:rsidRPr="00644ABB" w:rsidRDefault="00630D6F" w:rsidP="00630D6F">
      <w:pPr>
        <w:tabs>
          <w:tab w:val="left" w:pos="300"/>
          <w:tab w:val="left" w:pos="1100"/>
        </w:tabs>
        <w:jc w:val="both"/>
        <w:rPr>
          <w:rFonts w:ascii="Arial Narrow" w:hAnsi="Arial Narrow" w:cs="Tahoma"/>
          <w:sz w:val="22"/>
        </w:rPr>
      </w:pPr>
      <w:r>
        <w:rPr>
          <w:rFonts w:ascii="Arial Narrow" w:hAnsi="Arial Narrow" w:cs="Tahoma"/>
          <w:sz w:val="22"/>
        </w:rPr>
        <w:t xml:space="preserve">By group of products, in the period January – July 2014, the highest </w:t>
      </w:r>
      <w:r w:rsidRPr="007A6714">
        <w:rPr>
          <w:rFonts w:ascii="Arial Narrow" w:hAnsi="Arial Narrow" w:cs="Tahoma"/>
          <w:sz w:val="22"/>
        </w:rPr>
        <w:t xml:space="preserve">share in export was that of </w:t>
      </w:r>
      <w:r w:rsidRPr="007A6714">
        <w:rPr>
          <w:rFonts w:ascii="Arial Narrow" w:hAnsi="Arial Narrow" w:cs="Tahoma"/>
          <w:bCs/>
          <w:sz w:val="22"/>
        </w:rPr>
        <w:t>petroleum oils and oils obtained from bituminous minerals (except raw) with the total value of</w:t>
      </w:r>
      <w:r>
        <w:rPr>
          <w:rFonts w:ascii="Arial Narrow" w:hAnsi="Arial Narrow" w:cs="Tahoma"/>
          <w:bCs/>
          <w:sz w:val="22"/>
        </w:rPr>
        <w:t xml:space="preserve"> 146 million KM, which was 9.3% </w:t>
      </w:r>
      <w:r w:rsidRPr="007A6714">
        <w:rPr>
          <w:rFonts w:ascii="Arial Narrow" w:hAnsi="Arial Narrow" w:cs="Tahoma"/>
          <w:bCs/>
          <w:sz w:val="22"/>
        </w:rPr>
        <w:t xml:space="preserve">of the total export, while the highest share in import was that of </w:t>
      </w:r>
      <w:r w:rsidRPr="007A6714">
        <w:rPr>
          <w:rFonts w:ascii="Arial Narrow" w:hAnsi="Arial Narrow" w:cs="Tahoma"/>
          <w:sz w:val="22"/>
        </w:rPr>
        <w:t>petroleum and oils obtained from bituminous minerals (raw), with the total value of</w:t>
      </w:r>
      <w:r>
        <w:rPr>
          <w:rFonts w:ascii="Arial Narrow" w:hAnsi="Arial Narrow" w:cs="Tahoma"/>
          <w:sz w:val="22"/>
        </w:rPr>
        <w:t xml:space="preserve"> 565 million KM, which was 20.8% of the total import. </w:t>
      </w:r>
    </w:p>
    <w:p w:rsidR="00630D6F" w:rsidRPr="00630D6F" w:rsidRDefault="00630D6F" w:rsidP="00777348">
      <w:pPr>
        <w:tabs>
          <w:tab w:val="left" w:pos="300"/>
          <w:tab w:val="left" w:pos="1100"/>
        </w:tabs>
        <w:jc w:val="both"/>
        <w:rPr>
          <w:rFonts w:ascii="Arial Narrow" w:hAnsi="Arial Narrow" w:cs="Tahoma"/>
          <w:sz w:val="22"/>
        </w:rPr>
      </w:pPr>
    </w:p>
    <w:p w:rsidR="00115CDB" w:rsidRPr="0019100D" w:rsidRDefault="00115CDB" w:rsidP="00115CDB">
      <w:pPr>
        <w:tabs>
          <w:tab w:val="left" w:pos="300"/>
          <w:tab w:val="left" w:pos="1100"/>
        </w:tabs>
        <w:jc w:val="both"/>
        <w:rPr>
          <w:rFonts w:ascii="Tahoma" w:hAnsi="Tahoma" w:cs="Tahoma"/>
          <w:sz w:val="18"/>
          <w:szCs w:val="18"/>
          <w:lang w:val="sr-Cyrl-CS"/>
        </w:rPr>
      </w:pPr>
    </w:p>
    <w:p w:rsidR="00451451" w:rsidRPr="0019100D" w:rsidRDefault="00451451" w:rsidP="00115CDB">
      <w:pPr>
        <w:tabs>
          <w:tab w:val="left" w:pos="300"/>
          <w:tab w:val="left" w:pos="1100"/>
        </w:tabs>
        <w:jc w:val="both"/>
        <w:rPr>
          <w:rFonts w:ascii="Tahoma" w:hAnsi="Tahoma" w:cs="Tahoma"/>
          <w:sz w:val="18"/>
          <w:szCs w:val="18"/>
          <w:lang w:val="sr-Cyrl-CS"/>
        </w:rPr>
      </w:pPr>
    </w:p>
    <w:p w:rsidR="00451451" w:rsidRPr="00AE7F03" w:rsidRDefault="00451451" w:rsidP="00115CDB">
      <w:pPr>
        <w:tabs>
          <w:tab w:val="left" w:pos="300"/>
          <w:tab w:val="left" w:pos="1100"/>
        </w:tabs>
        <w:jc w:val="both"/>
        <w:rPr>
          <w:rFonts w:ascii="Tahoma" w:hAnsi="Tahoma" w:cs="Tahoma"/>
          <w:sz w:val="18"/>
          <w:szCs w:val="18"/>
          <w:lang w:val="sr-Cyrl-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B538D0" w:rsidRDefault="00B538D0" w:rsidP="00451451">
      <w:pPr>
        <w:tabs>
          <w:tab w:val="left" w:pos="300"/>
          <w:tab w:val="left" w:pos="1100"/>
        </w:tabs>
        <w:jc w:val="center"/>
        <w:rPr>
          <w:rFonts w:ascii="Tahoma" w:hAnsi="Tahoma" w:cs="Tahoma"/>
          <w:sz w:val="16"/>
          <w:szCs w:val="16"/>
          <w:lang w:val="sr-Latn-CS"/>
        </w:rPr>
      </w:pPr>
    </w:p>
    <w:p w:rsidR="00451451" w:rsidRPr="00AE7F03" w:rsidRDefault="00736FD2" w:rsidP="00451451">
      <w:pPr>
        <w:tabs>
          <w:tab w:val="left" w:pos="300"/>
          <w:tab w:val="left" w:pos="1100"/>
        </w:tabs>
        <w:jc w:val="center"/>
        <w:rPr>
          <w:rFonts w:ascii="Tahoma" w:hAnsi="Tahoma" w:cs="Tahoma"/>
          <w:sz w:val="16"/>
          <w:szCs w:val="16"/>
          <w:lang w:val="ru-RU"/>
        </w:rPr>
      </w:pPr>
      <w:r>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317.2pt;margin-top:4.7pt;width:61.05pt;height:19.75pt;z-index:251664384;mso-width-relative:margin;mso-height-relative:margin" stroked="f">
            <v:textbox style="mso-next-textbox:#_x0000_s1068">
              <w:txbxContent>
                <w:p w:rsidR="00E915E6" w:rsidRPr="000A1309" w:rsidRDefault="00E915E6" w:rsidP="00DF0566">
                  <w:pPr>
                    <w:rPr>
                      <w:rFonts w:ascii="Arial Narrow" w:hAnsi="Arial Narrow" w:cs="Tahoma"/>
                      <w:sz w:val="16"/>
                      <w:szCs w:val="16"/>
                      <w:lang w:val="bs-Cyrl-BA"/>
                    </w:rPr>
                  </w:pPr>
                  <w:r>
                    <w:rPr>
                      <w:rFonts w:ascii="Arial Narrow" w:hAnsi="Arial Narrow" w:cs="Tahoma"/>
                      <w:sz w:val="16"/>
                      <w:szCs w:val="16"/>
                    </w:rPr>
                    <w:t>thous</w:t>
                  </w:r>
                  <w:r w:rsidRPr="000A1309">
                    <w:rPr>
                      <w:rFonts w:ascii="Arial Narrow" w:hAnsi="Arial Narrow" w:cs="Tahoma"/>
                      <w:sz w:val="16"/>
                      <w:szCs w:val="16"/>
                      <w:lang w:val="bs-Cyrl-BA"/>
                    </w:rPr>
                    <w:t>. КМ</w:t>
                  </w:r>
                </w:p>
              </w:txbxContent>
            </v:textbox>
          </v:shape>
        </w:pict>
      </w:r>
    </w:p>
    <w:p w:rsidR="00451451" w:rsidRDefault="00451451" w:rsidP="00451451">
      <w:pPr>
        <w:tabs>
          <w:tab w:val="left" w:pos="300"/>
          <w:tab w:val="left" w:pos="1100"/>
        </w:tabs>
        <w:jc w:val="center"/>
        <w:rPr>
          <w:rFonts w:ascii="Tahoma" w:hAnsi="Tahoma" w:cs="Tahoma"/>
          <w:sz w:val="16"/>
          <w:szCs w:val="16"/>
          <w:lang w:val="sr-Latn-CS"/>
        </w:rPr>
      </w:pPr>
    </w:p>
    <w:p w:rsidR="00115CDB" w:rsidRPr="00AE7F03" w:rsidRDefault="006E2905" w:rsidP="00451451">
      <w:pPr>
        <w:tabs>
          <w:tab w:val="left" w:pos="300"/>
          <w:tab w:val="left" w:pos="1100"/>
        </w:tabs>
        <w:jc w:val="center"/>
        <w:rPr>
          <w:rFonts w:ascii="Tahoma" w:hAnsi="Tahoma" w:cs="Tahoma"/>
          <w:sz w:val="16"/>
          <w:szCs w:val="16"/>
          <w:lang w:val="ru-RU"/>
        </w:rPr>
      </w:pPr>
      <w:bookmarkStart w:id="0" w:name="_GoBack"/>
      <w:r w:rsidRPr="006E2905">
        <w:rPr>
          <w:rFonts w:ascii="Tahoma" w:hAnsi="Tahoma" w:cs="Tahoma"/>
          <w:noProof/>
          <w:sz w:val="16"/>
          <w:szCs w:val="16"/>
        </w:rPr>
        <w:drawing>
          <wp:inline distT="0" distB="0" distL="0" distR="0">
            <wp:extent cx="4532243" cy="2544418"/>
            <wp:effectExtent l="0" t="0" r="1657"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C043E2" w:rsidRPr="00AE7F03" w:rsidRDefault="00736FD2" w:rsidP="00115CDB">
      <w:pPr>
        <w:tabs>
          <w:tab w:val="left" w:pos="2535"/>
        </w:tabs>
        <w:jc w:val="center"/>
        <w:rPr>
          <w:rFonts w:ascii="Tahoma" w:hAnsi="Tahoma" w:cs="Tahoma"/>
          <w:sz w:val="16"/>
          <w:szCs w:val="16"/>
          <w:lang w:val="ru-RU"/>
        </w:rPr>
      </w:pPr>
      <w:r>
        <w:rPr>
          <w:rFonts w:ascii="Tahoma" w:hAnsi="Tahoma" w:cs="Tahoma"/>
          <w:b/>
          <w:noProof/>
          <w:sz w:val="16"/>
          <w:szCs w:val="16"/>
          <w:lang w:val="bs-Latn-BA" w:eastAsia="bs-Latn-BA"/>
        </w:rPr>
        <w:pict>
          <v:shape id="_x0000_s1067" type="#_x0000_t202" style="position:absolute;left:0;text-align:left;margin-left:304.65pt;margin-top:-.25pt;width:44.2pt;height:16.4pt;z-index:251663360;mso-height-percent:200;mso-height-percent:200;mso-width-relative:margin;mso-height-relative:margin" stroked="f">
            <v:textbox style="mso-next-textbox:#_x0000_s1067;mso-fit-shape-to-text:t">
              <w:txbxContent>
                <w:p w:rsidR="00E915E6" w:rsidRPr="000A1309" w:rsidRDefault="00E915E6"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4</w:t>
                  </w:r>
                </w:p>
              </w:txbxContent>
            </v:textbox>
          </v:shape>
        </w:pict>
      </w:r>
      <w:r>
        <w:rPr>
          <w:rFonts w:ascii="Tahoma" w:hAnsi="Tahoma" w:cs="Tahoma"/>
          <w:b/>
          <w:noProof/>
          <w:sz w:val="16"/>
          <w:szCs w:val="16"/>
          <w:lang w:eastAsia="zh-TW"/>
        </w:rPr>
        <w:pict>
          <v:shape id="_x0000_s1066" type="#_x0000_t202" style="position:absolute;left:0;text-align:left;margin-left:175.05pt;margin-top:-.25pt;width:48.5pt;height:16.4pt;z-index:251662336;mso-height-percent:200;mso-position-horizontal-relative:text;mso-position-vertical-relative:text;mso-height-percent:200;mso-width-relative:margin;mso-height-relative:margin" stroked="f">
            <v:textbox style="mso-next-textbox:#_x0000_s1066;mso-fit-shape-to-text:t">
              <w:txbxContent>
                <w:p w:rsidR="00E915E6" w:rsidRPr="000A1309" w:rsidRDefault="00E915E6" w:rsidP="00115CDB">
                  <w:pP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3</w:t>
                  </w:r>
                </w:p>
              </w:txbxContent>
            </v:textbox>
          </v:shape>
        </w:pict>
      </w:r>
    </w:p>
    <w:p w:rsidR="004A1822" w:rsidRPr="00AE7F03" w:rsidRDefault="004A1822" w:rsidP="00777348">
      <w:pPr>
        <w:tabs>
          <w:tab w:val="left" w:pos="2535"/>
        </w:tabs>
        <w:jc w:val="center"/>
        <w:rPr>
          <w:rFonts w:ascii="Tahoma" w:hAnsi="Tahoma" w:cs="Tahoma"/>
        </w:rPr>
      </w:pPr>
    </w:p>
    <w:p w:rsidR="00777348" w:rsidRPr="00A13663" w:rsidRDefault="00A13663" w:rsidP="00777348">
      <w:pPr>
        <w:tabs>
          <w:tab w:val="left" w:pos="2535"/>
        </w:tabs>
        <w:jc w:val="center"/>
        <w:rPr>
          <w:rFonts w:ascii="Arial Narrow" w:hAnsi="Arial Narrow" w:cs="Tahoma"/>
          <w:iCs/>
          <w:sz w:val="22"/>
          <w:szCs w:val="22"/>
        </w:rPr>
      </w:pPr>
      <w:r w:rsidRPr="00A13663">
        <w:rPr>
          <w:rFonts w:ascii="Arial Narrow" w:hAnsi="Arial Narrow" w:cs="Tahoma"/>
          <w:sz w:val="22"/>
          <w:szCs w:val="22"/>
        </w:rPr>
        <w:t>Graph</w:t>
      </w:r>
      <w:r w:rsidR="00777348" w:rsidRPr="00A13663">
        <w:rPr>
          <w:rFonts w:ascii="Arial Narrow" w:hAnsi="Arial Narrow" w:cs="Tahoma"/>
          <w:sz w:val="22"/>
          <w:szCs w:val="22"/>
          <w:lang w:val="ru-RU"/>
        </w:rPr>
        <w:t xml:space="preserve"> </w:t>
      </w:r>
      <w:r w:rsidR="002D7078">
        <w:rPr>
          <w:rFonts w:ascii="Arial Narrow" w:hAnsi="Arial Narrow" w:cs="Tahoma"/>
          <w:sz w:val="22"/>
          <w:szCs w:val="22"/>
        </w:rPr>
        <w:t>3</w:t>
      </w:r>
      <w:r w:rsidR="00777348" w:rsidRPr="00A13663">
        <w:rPr>
          <w:rFonts w:ascii="Arial Narrow" w:hAnsi="Arial Narrow" w:cs="Tahoma"/>
          <w:sz w:val="22"/>
          <w:szCs w:val="22"/>
          <w:lang w:val="ru-RU"/>
        </w:rPr>
        <w:t xml:space="preserve">. </w:t>
      </w:r>
      <w:r w:rsidRPr="00A13663">
        <w:rPr>
          <w:rFonts w:ascii="Arial Narrow" w:hAnsi="Arial Narrow" w:cs="Tahoma"/>
          <w:iCs/>
          <w:sz w:val="22"/>
          <w:szCs w:val="22"/>
        </w:rPr>
        <w:t>Export and import by month</w:t>
      </w:r>
    </w:p>
    <w:p w:rsidR="00115CDB" w:rsidRPr="00AE7F03" w:rsidRDefault="00115CDB" w:rsidP="00115CDB">
      <w:pPr>
        <w:tabs>
          <w:tab w:val="left" w:pos="2535"/>
        </w:tabs>
        <w:jc w:val="center"/>
        <w:rPr>
          <w:rFonts w:ascii="Tahoma" w:hAnsi="Tahoma" w:cs="Tahoma"/>
          <w:iCs/>
          <w:sz w:val="18"/>
          <w:szCs w:val="18"/>
          <w:lang w:val="ru-RU"/>
        </w:rPr>
      </w:pPr>
    </w:p>
    <w:p w:rsidR="00115CDB" w:rsidRPr="00AE7F03" w:rsidRDefault="00115CDB" w:rsidP="00115CDB">
      <w:pPr>
        <w:tabs>
          <w:tab w:val="left" w:pos="2535"/>
        </w:tabs>
        <w:jc w:val="center"/>
        <w:rPr>
          <w:rFonts w:ascii="Tahoma" w:hAnsi="Tahoma" w:cs="Tahoma"/>
          <w:b/>
          <w:spacing w:val="-16"/>
          <w:sz w:val="18"/>
          <w:szCs w:val="18"/>
          <w:lang w:val="ru-RU"/>
        </w:rPr>
      </w:pPr>
    </w:p>
    <w:p w:rsidR="00FE375C" w:rsidRDefault="00FE375C"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Default="00286C13" w:rsidP="00115CDB">
      <w:pPr>
        <w:tabs>
          <w:tab w:val="left" w:pos="2535"/>
        </w:tabs>
        <w:jc w:val="center"/>
        <w:rPr>
          <w:rFonts w:ascii="Tahoma" w:hAnsi="Tahoma" w:cs="Tahoma"/>
          <w:b/>
          <w:spacing w:val="-16"/>
          <w:sz w:val="18"/>
          <w:szCs w:val="18"/>
          <w:lang w:val="ru-RU"/>
        </w:rPr>
      </w:pPr>
    </w:p>
    <w:p w:rsidR="00286C13" w:rsidRPr="00AE7F03" w:rsidRDefault="00286C13" w:rsidP="00115CDB">
      <w:pPr>
        <w:tabs>
          <w:tab w:val="left" w:pos="2535"/>
        </w:tabs>
        <w:jc w:val="center"/>
        <w:rPr>
          <w:rFonts w:ascii="Tahoma" w:hAnsi="Tahoma" w:cs="Tahoma"/>
          <w:b/>
          <w:spacing w:val="-16"/>
          <w:sz w:val="18"/>
          <w:szCs w:val="18"/>
          <w:lang w:val="ru-RU"/>
        </w:rPr>
      </w:pPr>
    </w:p>
    <w:p w:rsidR="00FE375C" w:rsidRPr="00AE7F03" w:rsidRDefault="00FE375C" w:rsidP="00115CDB">
      <w:pPr>
        <w:tabs>
          <w:tab w:val="left" w:pos="2535"/>
        </w:tabs>
        <w:jc w:val="center"/>
        <w:rPr>
          <w:rFonts w:ascii="Tahoma" w:hAnsi="Tahoma" w:cs="Tahoma"/>
          <w:b/>
          <w:spacing w:val="-16"/>
          <w:sz w:val="18"/>
          <w:szCs w:val="18"/>
          <w:lang w:val="ru-RU"/>
        </w:rPr>
      </w:pPr>
    </w:p>
    <w:p w:rsidR="00FE375C" w:rsidRPr="00AE7F03" w:rsidRDefault="00FE375C" w:rsidP="00115CDB">
      <w:pPr>
        <w:tabs>
          <w:tab w:val="left" w:pos="2535"/>
        </w:tabs>
        <w:jc w:val="center"/>
        <w:rPr>
          <w:rFonts w:ascii="Tahoma" w:hAnsi="Tahoma" w:cs="Tahoma"/>
          <w:b/>
          <w:spacing w:val="-16"/>
          <w:sz w:val="18"/>
          <w:szCs w:val="18"/>
          <w:lang w:val="ru-RU"/>
        </w:rPr>
      </w:pPr>
    </w:p>
    <w:p w:rsidR="00F04A4B" w:rsidRPr="007977C1" w:rsidRDefault="00F04A4B" w:rsidP="00115CDB">
      <w:pPr>
        <w:rPr>
          <w:rFonts w:ascii="Tahoma" w:hAnsi="Tahoma" w:cs="Tahoma"/>
          <w:bCs/>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4C20B5" w:rsidRPr="004C20B5" w:rsidTr="009E2A9A">
        <w:trPr>
          <w:trHeight w:hRule="exact" w:val="340"/>
          <w:jc w:val="center"/>
        </w:trPr>
        <w:tc>
          <w:tcPr>
            <w:tcW w:w="10419" w:type="dxa"/>
            <w:tcBorders>
              <w:top w:val="nil"/>
              <w:left w:val="nil"/>
              <w:bottom w:val="nil"/>
              <w:right w:val="nil"/>
            </w:tcBorders>
          </w:tcPr>
          <w:p w:rsidR="009E2A9A" w:rsidRPr="00DB5870" w:rsidRDefault="00A03C1E" w:rsidP="009E2A9A">
            <w:pPr>
              <w:jc w:val="both"/>
              <w:rPr>
                <w:rFonts w:ascii="Arial Narrow" w:hAnsi="Arial Narrow" w:cs="Tahoma"/>
                <w:b/>
                <w:sz w:val="22"/>
                <w:lang w:val="sr-Cyrl-CS"/>
              </w:rPr>
            </w:pPr>
            <w:r>
              <w:rPr>
                <w:rFonts w:ascii="Arial Narrow" w:hAnsi="Arial Narrow" w:cs="Tahoma"/>
                <w:b/>
                <w:sz w:val="22"/>
              </w:rPr>
              <w:t>PREPARED BY</w:t>
            </w:r>
            <w:r w:rsidR="009E2A9A" w:rsidRPr="00DB5870">
              <w:rPr>
                <w:rFonts w:ascii="Arial Narrow" w:hAnsi="Arial Narrow" w:cs="Tahoma"/>
                <w:b/>
                <w:sz w:val="22"/>
                <w:lang w:val="sr-Cyrl-CS"/>
              </w:rPr>
              <w:t xml:space="preserve">: </w:t>
            </w: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tc>
      </w:tr>
      <w:tr w:rsidR="004C20B5" w:rsidRPr="004C20B5" w:rsidTr="009E2A9A">
        <w:trPr>
          <w:trHeight w:val="709"/>
          <w:jc w:val="center"/>
        </w:trPr>
        <w:tc>
          <w:tcPr>
            <w:tcW w:w="10419" w:type="dxa"/>
            <w:tcBorders>
              <w:top w:val="nil"/>
              <w:left w:val="nil"/>
              <w:bottom w:val="nil"/>
              <w:right w:val="nil"/>
            </w:tcBorders>
          </w:tcPr>
          <w:p w:rsidR="00A44E14" w:rsidRPr="00A03C1E" w:rsidRDefault="00A03C1E" w:rsidP="009E2A9A">
            <w:pPr>
              <w:jc w:val="both"/>
              <w:rPr>
                <w:rFonts w:ascii="Arial Narrow" w:hAnsi="Arial Narrow" w:cs="Tahoma"/>
                <w:b/>
                <w:sz w:val="18"/>
                <w:szCs w:val="18"/>
              </w:rPr>
            </w:pPr>
            <w:r>
              <w:rPr>
                <w:rFonts w:ascii="Arial Narrow" w:hAnsi="Arial Narrow" w:cs="Tahoma"/>
                <w:b/>
                <w:sz w:val="18"/>
                <w:szCs w:val="18"/>
              </w:rPr>
              <w:t>Labour statistics</w:t>
            </w:r>
          </w:p>
          <w:p w:rsidR="00A03C1E" w:rsidRPr="002D53F7" w:rsidRDefault="00A03C1E" w:rsidP="00A03C1E">
            <w:pPr>
              <w:jc w:val="both"/>
              <w:rPr>
                <w:rFonts w:ascii="Arial Narrow" w:hAnsi="Arial Narrow" w:cs="Tahoma"/>
                <w:sz w:val="18"/>
                <w:szCs w:val="18"/>
                <w:lang w:val="sr-Latn-BA"/>
              </w:rPr>
            </w:pPr>
            <w:r>
              <w:rPr>
                <w:rFonts w:ascii="Arial Narrow" w:hAnsi="Arial Narrow" w:cs="Tahoma"/>
                <w:sz w:val="18"/>
                <w:szCs w:val="18"/>
                <w:lang w:val="sr-Latn-BA"/>
              </w:rPr>
              <w:t>Biljana Glušac</w:t>
            </w:r>
          </w:p>
          <w:p w:rsidR="00A03C1E" w:rsidRDefault="00736FD2" w:rsidP="00A03C1E">
            <w:pPr>
              <w:jc w:val="both"/>
              <w:rPr>
                <w:rFonts w:ascii="Arial Narrow" w:hAnsi="Arial Narrow" w:cs="Tahoma"/>
                <w:b/>
                <w:sz w:val="18"/>
                <w:szCs w:val="18"/>
              </w:rPr>
            </w:pPr>
            <w:hyperlink r:id="rId13" w:history="1">
              <w:r w:rsidR="00A03C1E" w:rsidRPr="00DB5870">
                <w:rPr>
                  <w:rStyle w:val="Hyperlink"/>
                  <w:rFonts w:ascii="Arial Narrow" w:hAnsi="Arial Narrow" w:cs="Tahoma"/>
                  <w:color w:val="auto"/>
                  <w:sz w:val="18"/>
                  <w:szCs w:val="18"/>
                  <w:lang w:val="sr-Latn-CS"/>
                </w:rPr>
                <w:t>biljana.glusac@rzs.rs.ba</w:t>
              </w:r>
            </w:hyperlink>
            <w:r w:rsidR="00A03C1E" w:rsidRPr="00DB5870">
              <w:rPr>
                <w:rFonts w:ascii="Arial Narrow" w:hAnsi="Arial Narrow" w:cs="Tahoma"/>
                <w:b/>
                <w:sz w:val="18"/>
                <w:szCs w:val="18"/>
              </w:rPr>
              <w:t xml:space="preserve"> </w:t>
            </w:r>
          </w:p>
          <w:p w:rsidR="005C3831" w:rsidRPr="005C3831" w:rsidRDefault="005C3831" w:rsidP="00B538D0">
            <w:pPr>
              <w:jc w:val="both"/>
              <w:rPr>
                <w:rFonts w:ascii="Arial Narrow" w:hAnsi="Arial Narrow" w:cs="Tahoma"/>
                <w:sz w:val="18"/>
                <w:szCs w:val="18"/>
                <w:lang w:val="sr-Cyrl-CS"/>
              </w:rPr>
            </w:pPr>
          </w:p>
        </w:tc>
      </w:tr>
      <w:tr w:rsidR="004C20B5" w:rsidRPr="004C20B5" w:rsidTr="009E2A9A">
        <w:trPr>
          <w:trHeight w:val="720"/>
          <w:jc w:val="center"/>
        </w:trPr>
        <w:tc>
          <w:tcPr>
            <w:tcW w:w="10419" w:type="dxa"/>
            <w:tcBorders>
              <w:top w:val="nil"/>
              <w:left w:val="nil"/>
              <w:bottom w:val="nil"/>
              <w:right w:val="nil"/>
            </w:tcBorders>
          </w:tcPr>
          <w:p w:rsidR="00A03C1E" w:rsidRPr="002D53F7" w:rsidRDefault="00A03C1E" w:rsidP="00A03C1E">
            <w:pPr>
              <w:jc w:val="both"/>
              <w:rPr>
                <w:rFonts w:ascii="Arial Narrow" w:hAnsi="Arial Narrow" w:cs="Tahoma"/>
                <w:b/>
                <w:sz w:val="18"/>
                <w:szCs w:val="18"/>
                <w:lang w:val="sr-Latn-BA"/>
              </w:rPr>
            </w:pPr>
            <w:r>
              <w:rPr>
                <w:rFonts w:ascii="Arial Narrow" w:hAnsi="Arial Narrow" w:cs="Tahoma"/>
                <w:b/>
                <w:sz w:val="18"/>
                <w:szCs w:val="18"/>
                <w:lang w:val="sr-Latn-BA"/>
              </w:rPr>
              <w:t>Prices statistics</w:t>
            </w:r>
          </w:p>
          <w:p w:rsidR="00A03C1E" w:rsidRPr="002D53F7" w:rsidRDefault="00A03C1E" w:rsidP="00A03C1E">
            <w:pPr>
              <w:jc w:val="both"/>
              <w:rPr>
                <w:rFonts w:ascii="Arial Narrow" w:hAnsi="Arial Narrow" w:cs="Tahoma"/>
                <w:sz w:val="18"/>
                <w:szCs w:val="18"/>
                <w:lang w:val="sr-Latn-BA"/>
              </w:rPr>
            </w:pPr>
            <w:r>
              <w:rPr>
                <w:rFonts w:ascii="Arial Narrow" w:hAnsi="Arial Narrow" w:cs="Tahoma"/>
                <w:sz w:val="18"/>
                <w:szCs w:val="18"/>
                <w:lang w:val="sr-Latn-BA"/>
              </w:rPr>
              <w:t>Biljana Tešić</w:t>
            </w:r>
          </w:p>
          <w:p w:rsidR="00A03C1E" w:rsidRPr="00DB5870" w:rsidRDefault="00736FD2" w:rsidP="00A03C1E">
            <w:pPr>
              <w:jc w:val="both"/>
              <w:rPr>
                <w:rFonts w:ascii="Arial Narrow" w:hAnsi="Arial Narrow" w:cs="Tahoma"/>
                <w:sz w:val="18"/>
                <w:szCs w:val="18"/>
                <w:lang w:val="sr-Latn-CS"/>
              </w:rPr>
            </w:pPr>
            <w:hyperlink r:id="rId14" w:history="1">
              <w:r w:rsidR="00A03C1E" w:rsidRPr="00DB5870">
                <w:rPr>
                  <w:rStyle w:val="Hyperlink"/>
                  <w:rFonts w:ascii="Arial Narrow" w:hAnsi="Arial Narrow" w:cs="Tahoma"/>
                  <w:color w:val="auto"/>
                  <w:sz w:val="18"/>
                  <w:szCs w:val="18"/>
                  <w:lang w:val="sr-Latn-CS"/>
                </w:rPr>
                <w:t>Biljana.tesic@rzs.rs.ba</w:t>
              </w:r>
            </w:hyperlink>
          </w:p>
          <w:p w:rsidR="00A03C1E" w:rsidRPr="002D53F7" w:rsidRDefault="00A03C1E" w:rsidP="00A03C1E">
            <w:pPr>
              <w:jc w:val="both"/>
              <w:rPr>
                <w:rFonts w:ascii="Arial Narrow" w:hAnsi="Arial Narrow" w:cs="Tahoma"/>
                <w:sz w:val="18"/>
                <w:szCs w:val="18"/>
                <w:lang w:val="sr-Latn-BA"/>
              </w:rPr>
            </w:pPr>
            <w:r>
              <w:rPr>
                <w:rFonts w:ascii="Arial Narrow" w:hAnsi="Arial Narrow" w:cs="Tahoma"/>
                <w:sz w:val="18"/>
                <w:szCs w:val="18"/>
                <w:lang w:val="sr-Latn-BA"/>
              </w:rPr>
              <w:t>Jasminka Milić</w:t>
            </w:r>
          </w:p>
          <w:p w:rsidR="00A03C1E" w:rsidRPr="00DB5870" w:rsidRDefault="00736FD2" w:rsidP="00A03C1E">
            <w:pPr>
              <w:jc w:val="both"/>
              <w:rPr>
                <w:rFonts w:ascii="Arial Narrow" w:hAnsi="Arial Narrow" w:cs="Tahoma"/>
                <w:sz w:val="18"/>
                <w:szCs w:val="18"/>
                <w:lang w:val="bs-Cyrl-BA"/>
              </w:rPr>
            </w:pPr>
            <w:hyperlink r:id="rId15" w:history="1">
              <w:r w:rsidR="00A03C1E" w:rsidRPr="00DB5870">
                <w:rPr>
                  <w:rStyle w:val="Hyperlink"/>
                  <w:rFonts w:ascii="Arial Narrow" w:hAnsi="Arial Narrow" w:cs="Tahoma"/>
                  <w:color w:val="auto"/>
                  <w:sz w:val="18"/>
                  <w:szCs w:val="18"/>
                  <w:lang w:val="sr-Latn-CS"/>
                </w:rPr>
                <w:t>jasminka</w:t>
              </w:r>
              <w:r w:rsidR="00A03C1E" w:rsidRPr="00DB5870">
                <w:rPr>
                  <w:rStyle w:val="Hyperlink"/>
                  <w:rFonts w:ascii="Arial Narrow" w:hAnsi="Arial Narrow" w:cs="Tahoma"/>
                  <w:color w:val="auto"/>
                  <w:sz w:val="18"/>
                  <w:szCs w:val="18"/>
                  <w:lang w:val="sr-Cyrl-BA"/>
                </w:rPr>
                <w:t>.</w:t>
              </w:r>
              <w:r w:rsidR="00A03C1E" w:rsidRPr="00DB5870">
                <w:rPr>
                  <w:rStyle w:val="Hyperlink"/>
                  <w:rFonts w:ascii="Arial Narrow" w:hAnsi="Arial Narrow" w:cs="Tahoma"/>
                  <w:color w:val="auto"/>
                  <w:sz w:val="18"/>
                  <w:szCs w:val="18"/>
                  <w:lang w:val="sr-Latn-CS"/>
                </w:rPr>
                <w:t>milic</w:t>
              </w:r>
              <w:r w:rsidR="00A03C1E" w:rsidRPr="00DB5870">
                <w:rPr>
                  <w:rStyle w:val="Hyperlink"/>
                  <w:rFonts w:ascii="Arial Narrow" w:hAnsi="Arial Narrow" w:cs="Tahoma"/>
                  <w:color w:val="auto"/>
                  <w:sz w:val="18"/>
                  <w:szCs w:val="18"/>
                  <w:lang w:val="sr-Cyrl-CS"/>
                </w:rPr>
                <w:t>@</w:t>
              </w:r>
              <w:r w:rsidR="00A03C1E" w:rsidRPr="00DB5870">
                <w:rPr>
                  <w:rStyle w:val="Hyperlink"/>
                  <w:rFonts w:ascii="Arial Narrow" w:hAnsi="Arial Narrow" w:cs="Tahoma"/>
                  <w:color w:val="auto"/>
                  <w:sz w:val="18"/>
                  <w:szCs w:val="18"/>
                  <w:lang w:val="sr-Latn-CS"/>
                </w:rPr>
                <w:t>rzs</w:t>
              </w:r>
              <w:r w:rsidR="00A03C1E" w:rsidRPr="00DB5870">
                <w:rPr>
                  <w:rStyle w:val="Hyperlink"/>
                  <w:rFonts w:ascii="Arial Narrow" w:hAnsi="Arial Narrow" w:cs="Tahoma"/>
                  <w:color w:val="auto"/>
                  <w:sz w:val="18"/>
                  <w:szCs w:val="18"/>
                  <w:lang w:val="sr-Cyrl-CS"/>
                </w:rPr>
                <w:t>.</w:t>
              </w:r>
              <w:r w:rsidR="00A03C1E" w:rsidRPr="00DB5870">
                <w:rPr>
                  <w:rStyle w:val="Hyperlink"/>
                  <w:rFonts w:ascii="Arial Narrow" w:hAnsi="Arial Narrow" w:cs="Tahoma"/>
                  <w:color w:val="auto"/>
                  <w:sz w:val="18"/>
                  <w:szCs w:val="18"/>
                  <w:lang w:val="sr-Latn-CS"/>
                </w:rPr>
                <w:t>rs</w:t>
              </w:r>
              <w:r w:rsidR="00A03C1E" w:rsidRPr="00DB5870">
                <w:rPr>
                  <w:rStyle w:val="Hyperlink"/>
                  <w:rFonts w:ascii="Arial Narrow" w:hAnsi="Arial Narrow" w:cs="Tahoma"/>
                  <w:color w:val="auto"/>
                  <w:sz w:val="18"/>
                  <w:szCs w:val="18"/>
                  <w:lang w:val="sr-Cyrl-CS"/>
                </w:rPr>
                <w:t>.</w:t>
              </w:r>
              <w:r w:rsidR="00A03C1E" w:rsidRPr="00DB5870">
                <w:rPr>
                  <w:rStyle w:val="Hyperlink"/>
                  <w:rFonts w:ascii="Arial Narrow" w:hAnsi="Arial Narrow" w:cs="Tahoma"/>
                  <w:color w:val="auto"/>
                  <w:sz w:val="18"/>
                  <w:szCs w:val="18"/>
                  <w:lang w:val="sr-Latn-CS"/>
                </w:rPr>
                <w:t>ba</w:t>
              </w:r>
            </w:hyperlink>
          </w:p>
          <w:p w:rsidR="009E2A9A" w:rsidRPr="00DB5870" w:rsidRDefault="009E2A9A" w:rsidP="009E2A9A">
            <w:pPr>
              <w:jc w:val="both"/>
              <w:rPr>
                <w:rFonts w:ascii="Arial Narrow" w:hAnsi="Arial Narrow" w:cs="Tahoma"/>
                <w:sz w:val="18"/>
                <w:szCs w:val="18"/>
                <w:lang w:val="sr-Cyrl-CS"/>
              </w:rPr>
            </w:pPr>
          </w:p>
        </w:tc>
      </w:tr>
      <w:tr w:rsidR="00A03C1E" w:rsidRPr="004C20B5" w:rsidTr="00AE6E63">
        <w:trPr>
          <w:trHeight w:hRule="exact" w:val="861"/>
          <w:jc w:val="center"/>
        </w:trPr>
        <w:tc>
          <w:tcPr>
            <w:tcW w:w="10419" w:type="dxa"/>
            <w:tcBorders>
              <w:top w:val="nil"/>
              <w:left w:val="nil"/>
              <w:bottom w:val="nil"/>
              <w:right w:val="nil"/>
            </w:tcBorders>
          </w:tcPr>
          <w:p w:rsidR="00A03C1E" w:rsidRPr="002D53F7" w:rsidRDefault="00A03C1E" w:rsidP="004A0DC4">
            <w:pPr>
              <w:jc w:val="both"/>
              <w:rPr>
                <w:rFonts w:ascii="Arial Narrow" w:hAnsi="Arial Narrow" w:cs="Tahoma"/>
                <w:b/>
                <w:sz w:val="18"/>
                <w:szCs w:val="18"/>
                <w:lang w:val="sr-Latn-BA"/>
              </w:rPr>
            </w:pPr>
            <w:r>
              <w:rPr>
                <w:rFonts w:ascii="Arial Narrow" w:hAnsi="Arial Narrow" w:cs="Tahoma"/>
                <w:b/>
                <w:sz w:val="18"/>
                <w:szCs w:val="18"/>
                <w:lang w:val="sr-Latn-BA"/>
              </w:rPr>
              <w:t>Industry and mining statistics</w:t>
            </w:r>
          </w:p>
          <w:p w:rsidR="00A03C1E" w:rsidRPr="002D53F7" w:rsidRDefault="00A03C1E" w:rsidP="004A0DC4">
            <w:pPr>
              <w:jc w:val="both"/>
              <w:rPr>
                <w:rFonts w:ascii="Arial Narrow" w:hAnsi="Arial Narrow" w:cs="Tahoma"/>
                <w:sz w:val="18"/>
                <w:szCs w:val="18"/>
                <w:lang w:val="sr-Latn-BA"/>
              </w:rPr>
            </w:pPr>
            <w:r>
              <w:rPr>
                <w:rFonts w:ascii="Arial Narrow" w:hAnsi="Arial Narrow" w:cs="Tahoma"/>
                <w:sz w:val="18"/>
                <w:szCs w:val="18"/>
                <w:lang w:val="sr-Latn-BA"/>
              </w:rPr>
              <w:t>Mirjana Bandur</w:t>
            </w:r>
          </w:p>
          <w:p w:rsidR="00A03C1E" w:rsidRPr="00DB5870" w:rsidRDefault="00736FD2" w:rsidP="004A0DC4">
            <w:pPr>
              <w:jc w:val="both"/>
              <w:rPr>
                <w:rFonts w:ascii="Arial Narrow" w:hAnsi="Arial Narrow" w:cs="Tahoma"/>
                <w:sz w:val="18"/>
                <w:szCs w:val="18"/>
                <w:lang w:val="sr-Cyrl-CS"/>
              </w:rPr>
            </w:pPr>
            <w:hyperlink r:id="rId16" w:history="1">
              <w:r w:rsidR="00A03C1E" w:rsidRPr="00DB5870">
                <w:rPr>
                  <w:rStyle w:val="Hyperlink"/>
                  <w:rFonts w:ascii="Arial Narrow" w:hAnsi="Arial Narrow" w:cs="Tahoma"/>
                  <w:color w:val="auto"/>
                  <w:sz w:val="18"/>
                  <w:szCs w:val="18"/>
                </w:rPr>
                <w:t>mirjana</w:t>
              </w:r>
              <w:r w:rsidR="00A03C1E" w:rsidRPr="00DB5870">
                <w:rPr>
                  <w:rStyle w:val="Hyperlink"/>
                  <w:rFonts w:ascii="Arial Narrow" w:hAnsi="Arial Narrow" w:cs="Tahoma"/>
                  <w:color w:val="auto"/>
                  <w:sz w:val="18"/>
                  <w:szCs w:val="18"/>
                  <w:lang w:val="sr-Cyrl-BA"/>
                </w:rPr>
                <w:t>.</w:t>
              </w:r>
              <w:r w:rsidR="00A03C1E" w:rsidRPr="00DB5870">
                <w:rPr>
                  <w:rStyle w:val="Hyperlink"/>
                  <w:rFonts w:ascii="Arial Narrow" w:hAnsi="Arial Narrow" w:cs="Tahoma"/>
                  <w:color w:val="auto"/>
                  <w:sz w:val="18"/>
                  <w:szCs w:val="18"/>
                </w:rPr>
                <w:t>bandur</w:t>
              </w:r>
              <w:r w:rsidR="00A03C1E" w:rsidRPr="00DB5870">
                <w:rPr>
                  <w:rStyle w:val="Hyperlink"/>
                  <w:rFonts w:ascii="Arial Narrow" w:hAnsi="Arial Narrow" w:cs="Tahoma"/>
                  <w:color w:val="auto"/>
                  <w:sz w:val="18"/>
                  <w:szCs w:val="18"/>
                  <w:lang w:val="sr-Cyrl-BA"/>
                </w:rPr>
                <w:t>@</w:t>
              </w:r>
              <w:r w:rsidR="00A03C1E" w:rsidRPr="00DB5870">
                <w:rPr>
                  <w:rStyle w:val="Hyperlink"/>
                  <w:rFonts w:ascii="Arial Narrow" w:hAnsi="Arial Narrow" w:cs="Tahoma"/>
                  <w:color w:val="auto"/>
                  <w:sz w:val="18"/>
                  <w:szCs w:val="18"/>
                </w:rPr>
                <w:t>rzs</w:t>
              </w:r>
              <w:r w:rsidR="00A03C1E" w:rsidRPr="00DB5870">
                <w:rPr>
                  <w:rStyle w:val="Hyperlink"/>
                  <w:rFonts w:ascii="Arial Narrow" w:hAnsi="Arial Narrow" w:cs="Tahoma"/>
                  <w:color w:val="auto"/>
                  <w:sz w:val="18"/>
                  <w:szCs w:val="18"/>
                  <w:lang w:val="sr-Cyrl-BA"/>
                </w:rPr>
                <w:t>.</w:t>
              </w:r>
              <w:r w:rsidR="00A03C1E" w:rsidRPr="00DB5870">
                <w:rPr>
                  <w:rStyle w:val="Hyperlink"/>
                  <w:rFonts w:ascii="Arial Narrow" w:hAnsi="Arial Narrow" w:cs="Tahoma"/>
                  <w:color w:val="auto"/>
                  <w:sz w:val="18"/>
                  <w:szCs w:val="18"/>
                </w:rPr>
                <w:t>rs</w:t>
              </w:r>
              <w:r w:rsidR="00A03C1E" w:rsidRPr="00DB5870">
                <w:rPr>
                  <w:rStyle w:val="Hyperlink"/>
                  <w:rFonts w:ascii="Arial Narrow" w:hAnsi="Arial Narrow" w:cs="Tahoma"/>
                  <w:color w:val="auto"/>
                  <w:sz w:val="18"/>
                  <w:szCs w:val="18"/>
                  <w:lang w:val="sr-Cyrl-BA"/>
                </w:rPr>
                <w:t>.</w:t>
              </w:r>
              <w:r w:rsidR="00A03C1E" w:rsidRPr="00DB5870">
                <w:rPr>
                  <w:rStyle w:val="Hyperlink"/>
                  <w:rFonts w:ascii="Arial Narrow" w:hAnsi="Arial Narrow" w:cs="Tahoma"/>
                  <w:color w:val="auto"/>
                  <w:sz w:val="18"/>
                  <w:szCs w:val="18"/>
                </w:rPr>
                <w:t>ba</w:t>
              </w:r>
            </w:hyperlink>
          </w:p>
        </w:tc>
      </w:tr>
      <w:tr w:rsidR="00A03C1E" w:rsidRPr="004C20B5" w:rsidTr="009E2A9A">
        <w:trPr>
          <w:trHeight w:hRule="exact" w:val="680"/>
          <w:jc w:val="center"/>
        </w:trPr>
        <w:tc>
          <w:tcPr>
            <w:tcW w:w="10419" w:type="dxa"/>
            <w:tcBorders>
              <w:top w:val="nil"/>
              <w:left w:val="nil"/>
              <w:bottom w:val="nil"/>
              <w:right w:val="nil"/>
            </w:tcBorders>
          </w:tcPr>
          <w:p w:rsidR="00A03C1E" w:rsidRPr="002D53F7" w:rsidRDefault="00A03C1E" w:rsidP="004A0DC4">
            <w:pPr>
              <w:jc w:val="both"/>
              <w:rPr>
                <w:rFonts w:ascii="Arial Narrow" w:hAnsi="Arial Narrow" w:cs="Tahoma"/>
                <w:b/>
                <w:sz w:val="18"/>
                <w:szCs w:val="18"/>
                <w:lang w:val="sr-Latn-BA"/>
              </w:rPr>
            </w:pPr>
            <w:r>
              <w:rPr>
                <w:rFonts w:ascii="Arial Narrow" w:hAnsi="Arial Narrow" w:cs="Tahoma"/>
                <w:b/>
                <w:sz w:val="18"/>
                <w:szCs w:val="18"/>
                <w:lang w:val="sr-Latn-BA"/>
              </w:rPr>
              <w:t>External trade statistics</w:t>
            </w:r>
          </w:p>
          <w:p w:rsidR="00A03C1E" w:rsidRPr="002D53F7" w:rsidRDefault="00A03C1E" w:rsidP="004A0DC4">
            <w:pPr>
              <w:jc w:val="both"/>
              <w:rPr>
                <w:rFonts w:ascii="Arial Narrow" w:hAnsi="Arial Narrow" w:cs="Tahoma"/>
                <w:sz w:val="18"/>
                <w:szCs w:val="18"/>
                <w:lang w:val="sr-Latn-BA"/>
              </w:rPr>
            </w:pPr>
            <w:r>
              <w:rPr>
                <w:rFonts w:ascii="Arial Narrow" w:hAnsi="Arial Narrow" w:cs="Tahoma"/>
                <w:sz w:val="18"/>
                <w:szCs w:val="18"/>
                <w:lang w:val="sr-Latn-BA"/>
              </w:rPr>
              <w:t>Sanja Stojčević Uvalić, MSc</w:t>
            </w:r>
          </w:p>
          <w:p w:rsidR="00A03C1E" w:rsidRPr="00DB5870" w:rsidRDefault="00736FD2" w:rsidP="004A0DC4">
            <w:pPr>
              <w:jc w:val="both"/>
              <w:rPr>
                <w:rFonts w:ascii="Arial Narrow" w:hAnsi="Arial Narrow"/>
                <w:sz w:val="18"/>
                <w:szCs w:val="18"/>
                <w:lang w:val="sr-Cyrl-CS"/>
              </w:rPr>
            </w:pPr>
            <w:hyperlink r:id="rId17" w:history="1">
              <w:r w:rsidR="00A03C1E" w:rsidRPr="00DB5870">
                <w:rPr>
                  <w:rStyle w:val="Hyperlink"/>
                  <w:rFonts w:ascii="Arial Narrow" w:hAnsi="Arial Narrow" w:cs="Tahoma"/>
                  <w:color w:val="auto"/>
                  <w:sz w:val="18"/>
                  <w:szCs w:val="18"/>
                </w:rPr>
                <w:t>sanja</w:t>
              </w:r>
              <w:r w:rsidR="00A03C1E" w:rsidRPr="00DB5870">
                <w:rPr>
                  <w:rStyle w:val="Hyperlink"/>
                  <w:rFonts w:ascii="Arial Narrow" w:hAnsi="Arial Narrow" w:cs="Tahoma"/>
                  <w:color w:val="auto"/>
                  <w:sz w:val="18"/>
                  <w:szCs w:val="18"/>
                  <w:lang w:val="sr-Cyrl-CS"/>
                </w:rPr>
                <w:t>.</w:t>
              </w:r>
              <w:r w:rsidR="00A03C1E" w:rsidRPr="00DB5870">
                <w:rPr>
                  <w:rStyle w:val="Hyperlink"/>
                  <w:rFonts w:ascii="Arial Narrow" w:hAnsi="Arial Narrow" w:cs="Tahoma"/>
                  <w:color w:val="auto"/>
                  <w:sz w:val="18"/>
                  <w:szCs w:val="18"/>
                </w:rPr>
                <w:t>stojcevic</w:t>
              </w:r>
              <w:r w:rsidR="00A03C1E" w:rsidRPr="00DB5870">
                <w:rPr>
                  <w:rStyle w:val="Hyperlink"/>
                  <w:rFonts w:ascii="Arial Narrow" w:hAnsi="Arial Narrow" w:cs="Tahoma"/>
                  <w:color w:val="auto"/>
                  <w:sz w:val="18"/>
                  <w:szCs w:val="18"/>
                  <w:lang w:val="sr-Cyrl-CS"/>
                </w:rPr>
                <w:t>@</w:t>
              </w:r>
              <w:r w:rsidR="00A03C1E" w:rsidRPr="00DB5870">
                <w:rPr>
                  <w:rStyle w:val="Hyperlink"/>
                  <w:rFonts w:ascii="Arial Narrow" w:hAnsi="Arial Narrow" w:cs="Tahoma"/>
                  <w:color w:val="auto"/>
                  <w:sz w:val="18"/>
                  <w:szCs w:val="18"/>
                </w:rPr>
                <w:t>rzs</w:t>
              </w:r>
              <w:r w:rsidR="00A03C1E" w:rsidRPr="00DB5870">
                <w:rPr>
                  <w:rStyle w:val="Hyperlink"/>
                  <w:rFonts w:ascii="Arial Narrow" w:hAnsi="Arial Narrow" w:cs="Tahoma"/>
                  <w:color w:val="auto"/>
                  <w:sz w:val="18"/>
                  <w:szCs w:val="18"/>
                  <w:lang w:val="sr-Cyrl-CS"/>
                </w:rPr>
                <w:t>.</w:t>
              </w:r>
              <w:r w:rsidR="00A03C1E" w:rsidRPr="00DB5870">
                <w:rPr>
                  <w:rStyle w:val="Hyperlink"/>
                  <w:rFonts w:ascii="Arial Narrow" w:hAnsi="Arial Narrow" w:cs="Tahoma"/>
                  <w:color w:val="auto"/>
                  <w:sz w:val="18"/>
                  <w:szCs w:val="18"/>
                </w:rPr>
                <w:t>rs</w:t>
              </w:r>
              <w:r w:rsidR="00A03C1E" w:rsidRPr="00DB5870">
                <w:rPr>
                  <w:rStyle w:val="Hyperlink"/>
                  <w:rFonts w:ascii="Arial Narrow" w:hAnsi="Arial Narrow" w:cs="Tahoma"/>
                  <w:color w:val="auto"/>
                  <w:sz w:val="18"/>
                  <w:szCs w:val="18"/>
                  <w:lang w:val="sr-Cyrl-CS"/>
                </w:rPr>
                <w:t>.</w:t>
              </w:r>
              <w:r w:rsidR="00A03C1E" w:rsidRPr="00DB5870">
                <w:rPr>
                  <w:rStyle w:val="Hyperlink"/>
                  <w:rFonts w:ascii="Arial Narrow" w:hAnsi="Arial Narrow" w:cs="Tahoma"/>
                  <w:color w:val="auto"/>
                  <w:sz w:val="18"/>
                  <w:szCs w:val="18"/>
                </w:rPr>
                <w:t>ba</w:t>
              </w:r>
            </w:hyperlink>
          </w:p>
          <w:p w:rsidR="00A03C1E" w:rsidRPr="00DB5870" w:rsidRDefault="00A03C1E" w:rsidP="004A0DC4">
            <w:pPr>
              <w:jc w:val="both"/>
              <w:rPr>
                <w:rFonts w:ascii="Arial Narrow" w:hAnsi="Arial Narrow"/>
                <w:sz w:val="18"/>
                <w:szCs w:val="18"/>
                <w:lang w:val="sr-Cyrl-BA"/>
              </w:rPr>
            </w:pPr>
          </w:p>
          <w:p w:rsidR="00A03C1E" w:rsidRPr="00DB5870" w:rsidRDefault="00A03C1E" w:rsidP="004A0DC4">
            <w:pPr>
              <w:jc w:val="both"/>
              <w:rPr>
                <w:rFonts w:ascii="Arial Narrow" w:hAnsi="Arial Narrow"/>
                <w:sz w:val="18"/>
                <w:szCs w:val="18"/>
                <w:lang w:val="sr-Cyrl-BA"/>
              </w:rPr>
            </w:pPr>
          </w:p>
          <w:p w:rsidR="00A03C1E" w:rsidRPr="00DB5870" w:rsidRDefault="00A03C1E" w:rsidP="004A0DC4">
            <w:pPr>
              <w:jc w:val="both"/>
              <w:rPr>
                <w:rFonts w:ascii="Arial Narrow" w:hAnsi="Arial Narrow" w:cs="Tahoma"/>
                <w:sz w:val="18"/>
                <w:szCs w:val="18"/>
                <w:lang w:val="sr-Cyrl-BA"/>
              </w:rPr>
            </w:pPr>
          </w:p>
          <w:p w:rsidR="00A03C1E" w:rsidRPr="00DB5870" w:rsidRDefault="00A03C1E" w:rsidP="004A0DC4">
            <w:pPr>
              <w:jc w:val="both"/>
              <w:rPr>
                <w:rFonts w:ascii="Arial Narrow" w:hAnsi="Arial Narrow" w:cs="Tahoma"/>
                <w:sz w:val="18"/>
                <w:szCs w:val="18"/>
                <w:lang w:val="sr-Cyrl-CS"/>
              </w:rPr>
            </w:pPr>
          </w:p>
        </w:tc>
      </w:tr>
    </w:tbl>
    <w:p w:rsidR="009E2A9A" w:rsidRPr="004C20B5" w:rsidRDefault="009E2A9A" w:rsidP="009E2A9A">
      <w:pPr>
        <w:tabs>
          <w:tab w:val="left" w:pos="300"/>
          <w:tab w:val="left" w:pos="1100"/>
        </w:tabs>
        <w:jc w:val="both"/>
        <w:rPr>
          <w:rFonts w:ascii="Tahoma" w:hAnsi="Tahoma" w:cs="Tahoma"/>
          <w:b/>
          <w:sz w:val="16"/>
          <w:szCs w:val="16"/>
          <w:lang w:val="ru-RU"/>
        </w:rPr>
      </w:pPr>
    </w:p>
    <w:p w:rsidR="009E2A9A" w:rsidRPr="004C20B5" w:rsidRDefault="009E2A9A" w:rsidP="009E2A9A">
      <w:pPr>
        <w:tabs>
          <w:tab w:val="left" w:pos="300"/>
          <w:tab w:val="left" w:pos="1100"/>
        </w:tabs>
        <w:jc w:val="both"/>
        <w:rPr>
          <w:rFonts w:ascii="Tahoma" w:hAnsi="Tahoma" w:cs="Tahoma"/>
          <w:b/>
          <w:sz w:val="16"/>
          <w:szCs w:val="16"/>
          <w:lang w:val="sr-Cyrl-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C20B5" w:rsidRPr="004C20B5" w:rsidTr="00B2585D">
        <w:trPr>
          <w:trHeight w:hRule="exact" w:val="1165"/>
          <w:jc w:val="center"/>
        </w:trPr>
        <w:tc>
          <w:tcPr>
            <w:tcW w:w="10646" w:type="dxa"/>
            <w:tcBorders>
              <w:top w:val="nil"/>
              <w:left w:val="nil"/>
              <w:bottom w:val="nil"/>
              <w:right w:val="nil"/>
            </w:tcBorders>
          </w:tcPr>
          <w:p w:rsidR="009E2A9A" w:rsidRPr="00DB5870" w:rsidRDefault="009E2A9A" w:rsidP="009E2A9A">
            <w:pPr>
              <w:jc w:val="both"/>
              <w:rPr>
                <w:rFonts w:ascii="Arial Narrow" w:hAnsi="Arial Narrow" w:cs="Tahoma"/>
                <w:b/>
                <w:sz w:val="22"/>
                <w:lang w:val="sr-Cyrl-CS"/>
              </w:rPr>
            </w:pPr>
          </w:p>
          <w:p w:rsidR="009E2A9A" w:rsidRPr="00DB5870" w:rsidRDefault="009E2A9A" w:rsidP="009E2A9A">
            <w:pPr>
              <w:jc w:val="both"/>
              <w:rPr>
                <w:rFonts w:ascii="Arial Narrow" w:hAnsi="Arial Narrow" w:cs="Tahoma"/>
                <w:b/>
                <w:sz w:val="22"/>
                <w:lang w:val="sr-Cyrl-CS"/>
              </w:rPr>
            </w:pPr>
          </w:p>
          <w:p w:rsidR="009E2A9A" w:rsidRPr="00DB5870" w:rsidRDefault="009E2A9A" w:rsidP="009E2A9A">
            <w:pPr>
              <w:jc w:val="both"/>
              <w:rPr>
                <w:rFonts w:ascii="Arial Narrow" w:hAnsi="Arial Narrow" w:cs="Tahoma"/>
                <w:b/>
                <w:sz w:val="22"/>
                <w:lang w:val="sr-Cyrl-CS"/>
              </w:rPr>
            </w:pPr>
          </w:p>
          <w:p w:rsidR="009E2A9A" w:rsidRPr="00A13663" w:rsidRDefault="00A13663" w:rsidP="009E2A9A">
            <w:pPr>
              <w:jc w:val="both"/>
              <w:rPr>
                <w:rFonts w:ascii="Arial Narrow" w:hAnsi="Arial Narrow" w:cs="Tahoma"/>
                <w:b/>
                <w:sz w:val="22"/>
              </w:rPr>
            </w:pPr>
            <w:r>
              <w:rPr>
                <w:rFonts w:ascii="Arial Narrow" w:hAnsi="Arial Narrow" w:cs="Tahoma"/>
                <w:b/>
                <w:sz w:val="22"/>
              </w:rPr>
              <w:t>SYMBOLS</w:t>
            </w:r>
          </w:p>
        </w:tc>
      </w:tr>
      <w:tr w:rsidR="009E2A9A" w:rsidRPr="004C20B5" w:rsidTr="00B2585D">
        <w:trPr>
          <w:trHeight w:hRule="exact" w:val="1025"/>
          <w:jc w:val="center"/>
        </w:trPr>
        <w:tc>
          <w:tcPr>
            <w:tcW w:w="10646" w:type="dxa"/>
            <w:tcBorders>
              <w:top w:val="nil"/>
              <w:left w:val="nil"/>
              <w:bottom w:val="nil"/>
              <w:right w:val="nil"/>
            </w:tcBorders>
          </w:tcPr>
          <w:p w:rsidR="009E2A9A" w:rsidRPr="00A13663" w:rsidRDefault="009E2A9A" w:rsidP="009E2A9A">
            <w:pPr>
              <w:jc w:val="both"/>
              <w:rPr>
                <w:rFonts w:ascii="Arial Narrow" w:hAnsi="Arial Narrow" w:cs="Tahoma"/>
                <w:bCs/>
                <w:sz w:val="18"/>
                <w:szCs w:val="16"/>
              </w:rPr>
            </w:pPr>
            <w:r w:rsidRPr="00DB5870">
              <w:rPr>
                <w:rFonts w:ascii="Arial Narrow" w:hAnsi="Arial Narrow" w:cs="Tahoma"/>
                <w:b/>
                <w:bCs/>
                <w:sz w:val="22"/>
              </w:rPr>
              <w:sym w:font="Symbol" w:char="00C6"/>
            </w:r>
            <w:r w:rsidRPr="00DB5870">
              <w:rPr>
                <w:rFonts w:ascii="Tahoma" w:hAnsi="Tahoma" w:cs="Tahoma"/>
                <w:b/>
                <w:bCs/>
                <w:sz w:val="32"/>
                <w:szCs w:val="28"/>
                <w:lang w:val="sr-Cyrl-CS"/>
              </w:rPr>
              <w:t xml:space="preserve"> </w:t>
            </w:r>
            <w:r w:rsidRPr="00DB5870">
              <w:rPr>
                <w:rFonts w:ascii="Arial Narrow" w:hAnsi="Arial Narrow" w:cs="Tahoma"/>
                <w:bCs/>
                <w:sz w:val="18"/>
                <w:szCs w:val="16"/>
                <w:lang w:val="sr-Cyrl-CS"/>
              </w:rPr>
              <w:t xml:space="preserve">- </w:t>
            </w:r>
            <w:r w:rsidR="00A13663">
              <w:rPr>
                <w:rFonts w:ascii="Arial Narrow" w:hAnsi="Arial Narrow" w:cs="Tahoma"/>
                <w:bCs/>
                <w:sz w:val="18"/>
                <w:szCs w:val="16"/>
              </w:rPr>
              <w:t>average</w:t>
            </w:r>
          </w:p>
          <w:p w:rsidR="009E2A9A" w:rsidRPr="004C20B5" w:rsidRDefault="00D61322" w:rsidP="00B538D0">
            <w:pPr>
              <w:rPr>
                <w:rFonts w:ascii="Tahoma" w:hAnsi="Tahoma" w:cs="Tahoma"/>
                <w:bCs/>
                <w:sz w:val="16"/>
                <w:szCs w:val="16"/>
                <w:lang w:val="sr-Latn-CS"/>
              </w:rPr>
            </w:pPr>
            <w:r w:rsidRPr="00DB5870">
              <w:rPr>
                <w:rFonts w:ascii="Arial Narrow" w:hAnsi="Arial Narrow" w:cs="Tahoma"/>
                <w:sz w:val="18"/>
                <w:szCs w:val="16"/>
                <w:lang w:val="sr-Cyrl-BA" w:eastAsia="sr-Latn-BA"/>
              </w:rPr>
              <w:t>¹</w:t>
            </w:r>
            <w:r w:rsidRPr="00DB5870">
              <w:rPr>
                <w:rFonts w:ascii="Arial Narrow" w:hAnsi="Arial Narrow" w:cs="Tahoma"/>
                <w:sz w:val="18"/>
                <w:szCs w:val="16"/>
                <w:lang w:eastAsia="sr-Latn-BA"/>
              </w:rPr>
              <w:t xml:space="preserve"> - </w:t>
            </w:r>
            <w:r w:rsidR="00A13663">
              <w:rPr>
                <w:rFonts w:ascii="Arial Narrow" w:hAnsi="Arial Narrow" w:cs="Tahoma"/>
                <w:sz w:val="18"/>
                <w:szCs w:val="16"/>
                <w:lang w:eastAsia="sr-Latn-BA"/>
              </w:rPr>
              <w:t>estimate</w:t>
            </w: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
                <w:sz w:val="16"/>
                <w:lang w:val="sr-Latn-CS"/>
              </w:rPr>
            </w:pPr>
          </w:p>
        </w:tc>
      </w:tr>
    </w:tbl>
    <w:p w:rsidR="00F04A4B" w:rsidRPr="004C20B5" w:rsidRDefault="00F04A4B" w:rsidP="009E2A9A">
      <w:pPr>
        <w:tabs>
          <w:tab w:val="left" w:pos="300"/>
          <w:tab w:val="left" w:pos="1100"/>
        </w:tabs>
        <w:jc w:val="both"/>
        <w:rPr>
          <w:rFonts w:ascii="Tahoma" w:hAnsi="Tahoma" w:cs="Tahoma"/>
          <w:b/>
        </w:rPr>
      </w:pPr>
    </w:p>
    <w:p w:rsidR="002B070E" w:rsidRDefault="002B070E" w:rsidP="009E2A9A">
      <w:pPr>
        <w:tabs>
          <w:tab w:val="left" w:pos="300"/>
          <w:tab w:val="left" w:pos="1100"/>
        </w:tabs>
        <w:jc w:val="both"/>
        <w:rPr>
          <w:rFonts w:ascii="Tahoma" w:hAnsi="Tahoma" w:cs="Tahoma"/>
          <w:b/>
          <w:lang w:val="sr-Cyrl-CS"/>
        </w:rPr>
      </w:pPr>
    </w:p>
    <w:p w:rsidR="002B070E" w:rsidRDefault="002B070E" w:rsidP="009E2A9A">
      <w:pPr>
        <w:tabs>
          <w:tab w:val="left" w:pos="300"/>
          <w:tab w:val="left" w:pos="1100"/>
        </w:tabs>
        <w:jc w:val="both"/>
        <w:rPr>
          <w:rFonts w:ascii="Tahoma" w:hAnsi="Tahoma" w:cs="Tahoma"/>
          <w:b/>
          <w:lang w:val="sr-Cyrl-CS"/>
        </w:rPr>
      </w:pPr>
    </w:p>
    <w:p w:rsidR="000A1309" w:rsidRDefault="000A1309" w:rsidP="009E2A9A">
      <w:pPr>
        <w:tabs>
          <w:tab w:val="left" w:pos="300"/>
          <w:tab w:val="left" w:pos="1100"/>
        </w:tabs>
        <w:jc w:val="both"/>
        <w:rPr>
          <w:rFonts w:ascii="Tahoma" w:hAnsi="Tahoma" w:cs="Tahoma"/>
          <w:b/>
          <w:lang w:val="sr-Cyrl-CS"/>
        </w:rPr>
      </w:pPr>
    </w:p>
    <w:p w:rsidR="000A1309" w:rsidRDefault="000A1309" w:rsidP="009E2A9A">
      <w:pPr>
        <w:tabs>
          <w:tab w:val="left" w:pos="300"/>
          <w:tab w:val="left" w:pos="1100"/>
        </w:tabs>
        <w:jc w:val="both"/>
        <w:rPr>
          <w:rFonts w:ascii="Tahoma" w:hAnsi="Tahoma" w:cs="Tahoma"/>
          <w:b/>
          <w:lang w:val="sr-Cyrl-CS"/>
        </w:rPr>
      </w:pPr>
    </w:p>
    <w:p w:rsidR="00286C13" w:rsidRDefault="00286C13" w:rsidP="009E2A9A">
      <w:pPr>
        <w:tabs>
          <w:tab w:val="left" w:pos="300"/>
          <w:tab w:val="left" w:pos="1100"/>
        </w:tabs>
        <w:jc w:val="both"/>
        <w:rPr>
          <w:rFonts w:ascii="Tahoma" w:hAnsi="Tahoma" w:cs="Tahoma"/>
          <w:b/>
          <w:lang w:val="sr-Cyrl-CS"/>
        </w:rPr>
      </w:pPr>
    </w:p>
    <w:p w:rsidR="00286C13" w:rsidRDefault="00286C13" w:rsidP="009E2A9A">
      <w:pPr>
        <w:tabs>
          <w:tab w:val="left" w:pos="300"/>
          <w:tab w:val="left" w:pos="1100"/>
        </w:tabs>
        <w:jc w:val="both"/>
        <w:rPr>
          <w:rFonts w:ascii="Tahoma" w:hAnsi="Tahoma" w:cs="Tahoma"/>
          <w:b/>
          <w:lang w:val="sr-Cyrl-CS"/>
        </w:rPr>
      </w:pPr>
    </w:p>
    <w:p w:rsidR="000A1309" w:rsidRDefault="000A1309" w:rsidP="009E2A9A">
      <w:pPr>
        <w:tabs>
          <w:tab w:val="left" w:pos="300"/>
          <w:tab w:val="left" w:pos="1100"/>
        </w:tabs>
        <w:jc w:val="both"/>
        <w:rPr>
          <w:rFonts w:ascii="Tahoma" w:hAnsi="Tahoma" w:cs="Tahoma"/>
          <w:b/>
          <w:lang w:val="sr-Cyrl-CS"/>
        </w:rPr>
      </w:pPr>
    </w:p>
    <w:p w:rsidR="000A1309" w:rsidRDefault="000A1309" w:rsidP="009E2A9A">
      <w:pPr>
        <w:tabs>
          <w:tab w:val="left" w:pos="300"/>
          <w:tab w:val="left" w:pos="1100"/>
        </w:tabs>
        <w:jc w:val="both"/>
        <w:rPr>
          <w:rFonts w:ascii="Tahoma" w:hAnsi="Tahoma" w:cs="Tahoma"/>
          <w:b/>
          <w:lang w:val="sr-Cyrl-CS"/>
        </w:rPr>
      </w:pPr>
    </w:p>
    <w:p w:rsidR="00DF0566" w:rsidRDefault="00DF0566" w:rsidP="009E2A9A">
      <w:pPr>
        <w:tabs>
          <w:tab w:val="left" w:pos="300"/>
          <w:tab w:val="left" w:pos="1100"/>
        </w:tabs>
        <w:jc w:val="both"/>
        <w:rPr>
          <w:rFonts w:ascii="Tahoma" w:hAnsi="Tahoma" w:cs="Tahoma"/>
          <w:b/>
          <w:lang w:val="sr-Cyrl-CS"/>
        </w:rPr>
      </w:pPr>
    </w:p>
    <w:p w:rsidR="00DF0566" w:rsidRDefault="00DF0566" w:rsidP="009E2A9A">
      <w:pPr>
        <w:tabs>
          <w:tab w:val="left" w:pos="300"/>
          <w:tab w:val="left" w:pos="1100"/>
        </w:tabs>
        <w:jc w:val="both"/>
        <w:rPr>
          <w:rFonts w:ascii="Tahoma" w:hAnsi="Tahoma" w:cs="Tahoma"/>
          <w:b/>
          <w:lang w:val="sr-Cyrl-CS"/>
        </w:rPr>
      </w:pPr>
    </w:p>
    <w:p w:rsidR="00DF0566" w:rsidRDefault="00DF0566" w:rsidP="009E2A9A">
      <w:pPr>
        <w:tabs>
          <w:tab w:val="left" w:pos="300"/>
          <w:tab w:val="left" w:pos="1100"/>
        </w:tabs>
        <w:jc w:val="both"/>
        <w:rPr>
          <w:rFonts w:ascii="Tahoma" w:hAnsi="Tahoma" w:cs="Tahoma"/>
          <w:b/>
          <w:lang w:val="sr-Cyrl-CS"/>
        </w:rPr>
      </w:pPr>
    </w:p>
    <w:p w:rsidR="00736FD2" w:rsidRDefault="00736FD2" w:rsidP="009E2A9A">
      <w:pPr>
        <w:tabs>
          <w:tab w:val="left" w:pos="300"/>
          <w:tab w:val="left" w:pos="1100"/>
        </w:tabs>
        <w:jc w:val="both"/>
        <w:rPr>
          <w:rFonts w:ascii="Tahoma" w:hAnsi="Tahoma" w:cs="Tahoma"/>
          <w:b/>
          <w:lang w:val="sr-Cyrl-CS"/>
        </w:rPr>
      </w:pPr>
    </w:p>
    <w:p w:rsidR="00736FD2" w:rsidRDefault="00736FD2" w:rsidP="009E2A9A">
      <w:pPr>
        <w:tabs>
          <w:tab w:val="left" w:pos="300"/>
          <w:tab w:val="left" w:pos="1100"/>
        </w:tabs>
        <w:jc w:val="both"/>
        <w:rPr>
          <w:rFonts w:ascii="Tahoma" w:hAnsi="Tahoma" w:cs="Tahoma"/>
          <w:b/>
          <w:lang w:val="sr-Cyrl-CS"/>
        </w:rPr>
      </w:pPr>
    </w:p>
    <w:p w:rsidR="002B070E" w:rsidRDefault="002B070E" w:rsidP="009E2A9A">
      <w:pPr>
        <w:tabs>
          <w:tab w:val="left" w:pos="300"/>
          <w:tab w:val="left" w:pos="1100"/>
        </w:tabs>
        <w:jc w:val="both"/>
        <w:rPr>
          <w:rFonts w:ascii="Tahoma" w:hAnsi="Tahoma" w:cs="Tahoma"/>
          <w:b/>
          <w:lang w:val="sr-Cyrl-CS"/>
        </w:rPr>
      </w:pPr>
    </w:p>
    <w:p w:rsidR="009E2A9A" w:rsidRPr="004C20B5" w:rsidRDefault="00736FD2" w:rsidP="009E2A9A">
      <w:pPr>
        <w:tabs>
          <w:tab w:val="left" w:pos="300"/>
          <w:tab w:val="left" w:pos="1100"/>
        </w:tabs>
        <w:jc w:val="both"/>
        <w:rPr>
          <w:rFonts w:ascii="Tahoma" w:hAnsi="Tahoma" w:cs="Tahoma"/>
          <w:b/>
          <w:lang w:val="sr-Cyrl-CS"/>
        </w:rPr>
      </w:pPr>
      <w:r>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4C20B5" w:rsidRPr="004C20B5" w:rsidTr="00A13663">
        <w:trPr>
          <w:trHeight w:hRule="exact" w:val="113"/>
        </w:trPr>
        <w:tc>
          <w:tcPr>
            <w:tcW w:w="10490" w:type="dxa"/>
            <w:tcMar>
              <w:left w:w="0" w:type="dxa"/>
              <w:right w:w="0" w:type="dxa"/>
            </w:tcMar>
          </w:tcPr>
          <w:p w:rsidR="009E2A9A" w:rsidRPr="004C20B5" w:rsidRDefault="009E2A9A" w:rsidP="009E2A9A">
            <w:pPr>
              <w:jc w:val="both"/>
              <w:rPr>
                <w:rFonts w:ascii="Tahoma" w:hAnsi="Tahoma" w:cs="Tahoma"/>
                <w:sz w:val="16"/>
                <w:lang w:val="sr-Cyrl-CS"/>
              </w:rPr>
            </w:pPr>
          </w:p>
        </w:tc>
      </w:tr>
      <w:tr w:rsidR="00A13663" w:rsidRPr="004C20B5" w:rsidTr="00A13663">
        <w:tc>
          <w:tcPr>
            <w:tcW w:w="10490" w:type="dxa"/>
            <w:tcMar>
              <w:left w:w="0" w:type="dxa"/>
              <w:right w:w="0" w:type="dxa"/>
            </w:tcMar>
          </w:tcPr>
          <w:p w:rsidR="00A13663" w:rsidRPr="009433A7" w:rsidRDefault="00A13663" w:rsidP="00A13663">
            <w:pPr>
              <w:jc w:val="center"/>
              <w:rPr>
                <w:rFonts w:ascii="Arial Narrow" w:hAnsi="Arial Narrow" w:cs="Tahoma"/>
                <w:sz w:val="16"/>
                <w:szCs w:val="16"/>
              </w:rPr>
            </w:pPr>
            <w:r w:rsidRPr="009433A7">
              <w:rPr>
                <w:rFonts w:ascii="Arial Narrow" w:hAnsi="Arial Narrow" w:cs="Tahoma"/>
                <w:sz w:val="18"/>
              </w:rPr>
              <w:t>The Release prepared by the Publications Division</w:t>
            </w:r>
          </w:p>
        </w:tc>
      </w:tr>
      <w:tr w:rsidR="00A13663" w:rsidRPr="004C20B5" w:rsidTr="00A13663">
        <w:trPr>
          <w:trHeight w:val="1603"/>
        </w:trPr>
        <w:tc>
          <w:tcPr>
            <w:tcW w:w="10490" w:type="dxa"/>
            <w:tcMar>
              <w:left w:w="0" w:type="dxa"/>
              <w:right w:w="0" w:type="dxa"/>
            </w:tcMar>
          </w:tcPr>
          <w:p w:rsidR="00A13663" w:rsidRPr="009433A7" w:rsidRDefault="00A13663" w:rsidP="00A13663">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Vladan Sibinović, Head of the Division</w:t>
            </w:r>
          </w:p>
          <w:p w:rsidR="00A13663" w:rsidRPr="009433A7" w:rsidRDefault="00A13663" w:rsidP="00A13663">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Published by the Republika Srpska Institute of Statistics,</w:t>
            </w:r>
          </w:p>
          <w:p w:rsidR="00A13663" w:rsidRPr="009433A7" w:rsidRDefault="00A13663" w:rsidP="00A13663">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Republika Srpska, Banja Luka, Veljka Mlađenovića 12d</w:t>
            </w:r>
          </w:p>
          <w:p w:rsidR="00A13663" w:rsidRPr="009433A7" w:rsidRDefault="00A13663" w:rsidP="00A13663">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Radmila Čičković, PhD, Director General of the Institute</w:t>
            </w:r>
          </w:p>
          <w:p w:rsidR="00A13663" w:rsidRPr="009433A7" w:rsidRDefault="00A13663" w:rsidP="00A13663">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The Release is published online at: www.rzs.rs.ba</w:t>
            </w:r>
          </w:p>
          <w:p w:rsidR="00A13663" w:rsidRPr="009433A7" w:rsidRDefault="00A13663" w:rsidP="00A13663">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 xml:space="preserve">telephone +387 51 332 700; e-mail: </w:t>
            </w:r>
            <w:hyperlink r:id="rId18" w:history="1">
              <w:r w:rsidRPr="009433A7">
                <w:rPr>
                  <w:rStyle w:val="Hyperlink"/>
                  <w:rFonts w:ascii="Arial Narrow" w:hAnsi="Arial Narrow" w:cs="Tahoma"/>
                  <w:color w:val="auto"/>
                  <w:sz w:val="18"/>
                  <w:szCs w:val="18"/>
                </w:rPr>
                <w:t>stat@rzs.rs.ba</w:t>
              </w:r>
            </w:hyperlink>
          </w:p>
          <w:p w:rsidR="00A13663" w:rsidRPr="009433A7" w:rsidRDefault="00A13663" w:rsidP="00A13663">
            <w:pPr>
              <w:jc w:val="center"/>
              <w:rPr>
                <w:rFonts w:ascii="Tahoma" w:hAnsi="Tahoma" w:cs="Tahoma"/>
                <w:b/>
                <w:bCs/>
                <w:sz w:val="16"/>
              </w:rPr>
            </w:pPr>
          </w:p>
          <w:p w:rsidR="00A13663" w:rsidRPr="009433A7" w:rsidRDefault="00A13663" w:rsidP="00A13663">
            <w:pPr>
              <w:autoSpaceDE w:val="0"/>
              <w:autoSpaceDN w:val="0"/>
              <w:adjustRightInd w:val="0"/>
              <w:ind w:left="-198"/>
              <w:jc w:val="center"/>
              <w:rPr>
                <w:rFonts w:ascii="Arial Narrow" w:hAnsi="Arial Narrow" w:cs="Tahoma"/>
                <w:b/>
                <w:bCs/>
                <w:sz w:val="16"/>
                <w:szCs w:val="18"/>
              </w:rPr>
            </w:pPr>
            <w:r w:rsidRPr="009433A7">
              <w:rPr>
                <w:rFonts w:ascii="Arial Narrow" w:hAnsi="Arial Narrow" w:cs="Tahoma"/>
                <w:b/>
                <w:bCs/>
                <w:sz w:val="18"/>
              </w:rPr>
              <w:t>Data may be used provided the source is acknowledged</w:t>
            </w:r>
          </w:p>
        </w:tc>
      </w:tr>
    </w:tbl>
    <w:p w:rsidR="009E2A9A" w:rsidRPr="004C20B5" w:rsidRDefault="00736FD2" w:rsidP="009E2A9A">
      <w:pPr>
        <w:rPr>
          <w:rFonts w:ascii="Tahoma" w:hAnsi="Tahoma" w:cs="Tahoma"/>
          <w:lang w:val="sr-Cyrl-BA"/>
        </w:rPr>
      </w:pPr>
      <w:r>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p w:rsidR="009E2A9A" w:rsidRPr="004C20B5" w:rsidRDefault="009E2A9A" w:rsidP="009E2A9A">
      <w:pPr>
        <w:rPr>
          <w:rFonts w:ascii="Tahoma" w:hAnsi="Tahoma" w:cs="Tahoma"/>
          <w:lang w:val="sr-Latn-CS"/>
        </w:rPr>
      </w:pPr>
    </w:p>
    <w:sectPr w:rsidR="009E2A9A" w:rsidRPr="004C20B5"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5E6" w:rsidRDefault="00E915E6">
      <w:r>
        <w:separator/>
      </w:r>
    </w:p>
  </w:endnote>
  <w:endnote w:type="continuationSeparator" w:id="0">
    <w:p w:rsidR="00E915E6" w:rsidRDefault="00E9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panose1 w:val="00000000000000000000"/>
    <w:charset w:val="00"/>
    <w:family w:val="swiss"/>
    <w:notTrueType/>
    <w:pitch w:val="variable"/>
    <w:sig w:usb0="00000003" w:usb1="00000000" w:usb2="00000000" w:usb3="00000000" w:csb0="00000001"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E6" w:rsidRDefault="00736FD2"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E915E6" w:rsidRPr="00175687" w:rsidRDefault="000F060A"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E915E6"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36FD2">
                    <w:rPr>
                      <w:rFonts w:ascii="Tahoma" w:hAnsi="Tahoma" w:cs="Tahoma"/>
                      <w:noProof/>
                      <w:color w:val="FFFFFF"/>
                    </w:rPr>
                    <w:t>3</w:t>
                  </w:r>
                  <w:r w:rsidRPr="00175687">
                    <w:rPr>
                      <w:rFonts w:ascii="Tahoma" w:hAnsi="Tahoma" w:cs="Tahoma"/>
                      <w:color w:val="FFFFFF"/>
                    </w:rPr>
                    <w:fldChar w:fldCharType="end"/>
                  </w:r>
                </w:p>
              </w:txbxContent>
            </v:textbox>
          </v:shape>
          <w10:wrap anchorx="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E6" w:rsidRDefault="00736FD2"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E915E6" w:rsidRPr="00175687" w:rsidRDefault="000F060A"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E915E6"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36FD2">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5E6" w:rsidRDefault="00E915E6">
      <w:r>
        <w:separator/>
      </w:r>
    </w:p>
  </w:footnote>
  <w:footnote w:type="continuationSeparator" w:id="0">
    <w:p w:rsidR="00E915E6" w:rsidRDefault="00E91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375"/>
      <w:gridCol w:w="7062"/>
    </w:tblGrid>
    <w:tr w:rsidR="00E915E6">
      <w:tc>
        <w:tcPr>
          <w:tcW w:w="1617" w:type="pct"/>
          <w:tcBorders>
            <w:bottom w:val="single" w:sz="4" w:space="0" w:color="943634"/>
          </w:tcBorders>
          <w:shd w:val="clear" w:color="auto" w:fill="365F91"/>
          <w:vAlign w:val="bottom"/>
        </w:tcPr>
        <w:p w:rsidR="00E915E6" w:rsidRPr="00A03C1E" w:rsidRDefault="00E915E6"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E915E6" w:rsidRPr="00A03C1E" w:rsidRDefault="00E915E6"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E915E6" w:rsidRPr="005D5311" w:rsidRDefault="00E915E6" w:rsidP="00A03C1E">
          <w:pPr>
            <w:pStyle w:val="Header"/>
            <w:rPr>
              <w:bCs/>
              <w:color w:val="76923C"/>
              <w:sz w:val="24"/>
              <w:szCs w:val="24"/>
              <w:lang w:val="bs-Cyrl-BA"/>
            </w:rPr>
          </w:pPr>
          <w:r w:rsidRPr="00DB5870">
            <w:rPr>
              <w:rFonts w:ascii="Arial Narrow" w:hAnsi="Arial Narrow" w:cs="Tahoma"/>
              <w:color w:val="0070C0"/>
              <w:sz w:val="18"/>
              <w:lang w:val="sr-Cyrl-BA"/>
            </w:rPr>
            <w:t>[2</w:t>
          </w:r>
          <w:r>
            <w:rPr>
              <w:rFonts w:ascii="Arial Narrow" w:hAnsi="Arial Narrow" w:cs="Tahoma"/>
              <w:color w:val="0070C0"/>
              <w:sz w:val="18"/>
              <w:lang w:val="sr-Latn-CS"/>
            </w:rPr>
            <w:t>5</w:t>
          </w:r>
          <w:r w:rsidRPr="00A03C1E">
            <w:rPr>
              <w:rFonts w:ascii="Arial Narrow" w:hAnsi="Arial Narrow" w:cs="Tahoma"/>
              <w:color w:val="0070C0"/>
              <w:sz w:val="18"/>
              <w:vertAlign w:val="superscript"/>
            </w:rPr>
            <w:t>th</w:t>
          </w:r>
          <w:r>
            <w:rPr>
              <w:rFonts w:ascii="Arial Narrow" w:hAnsi="Arial Narrow" w:cs="Tahoma"/>
              <w:color w:val="0070C0"/>
              <w:sz w:val="18"/>
            </w:rPr>
            <w:t xml:space="preserve"> August </w:t>
          </w:r>
          <w:r>
            <w:rPr>
              <w:rFonts w:ascii="Arial Narrow" w:hAnsi="Arial Narrow" w:cs="Tahoma"/>
              <w:color w:val="0070C0"/>
              <w:sz w:val="18"/>
              <w:lang w:val="sr-Cyrl-BA"/>
            </w:rPr>
            <w:t>2014</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8</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14</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E915E6" w:rsidRDefault="00736FD2" w:rsidP="006D0CE1">
    <w:pPr>
      <w:pStyle w:val="Header"/>
      <w:ind w:right="360"/>
      <w:rPr>
        <w:rFonts w:ascii="Tahoma" w:hAnsi="Tahoma" w:cs="Tahoma"/>
        <w:sz w:val="16"/>
        <w:lang w:val="sr-Latn-CS"/>
      </w:rPr>
    </w:pPr>
    <w:r>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C36"/>
    <w:rsid w:val="00003DB0"/>
    <w:rsid w:val="0000448E"/>
    <w:rsid w:val="00004492"/>
    <w:rsid w:val="0000602C"/>
    <w:rsid w:val="00006133"/>
    <w:rsid w:val="0000686C"/>
    <w:rsid w:val="000068FA"/>
    <w:rsid w:val="0000692F"/>
    <w:rsid w:val="00006A69"/>
    <w:rsid w:val="00006F97"/>
    <w:rsid w:val="00007602"/>
    <w:rsid w:val="0000773B"/>
    <w:rsid w:val="00007BAD"/>
    <w:rsid w:val="00007CC8"/>
    <w:rsid w:val="00007DDC"/>
    <w:rsid w:val="00010078"/>
    <w:rsid w:val="00010581"/>
    <w:rsid w:val="0001097F"/>
    <w:rsid w:val="00010B41"/>
    <w:rsid w:val="000110A0"/>
    <w:rsid w:val="000122E3"/>
    <w:rsid w:val="00013C1D"/>
    <w:rsid w:val="00014781"/>
    <w:rsid w:val="00016342"/>
    <w:rsid w:val="00016ABE"/>
    <w:rsid w:val="00016B4C"/>
    <w:rsid w:val="00017392"/>
    <w:rsid w:val="00017432"/>
    <w:rsid w:val="00017E51"/>
    <w:rsid w:val="00017F05"/>
    <w:rsid w:val="00020495"/>
    <w:rsid w:val="00020614"/>
    <w:rsid w:val="0002095E"/>
    <w:rsid w:val="000209A8"/>
    <w:rsid w:val="000209D4"/>
    <w:rsid w:val="00020E19"/>
    <w:rsid w:val="00022012"/>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86C"/>
    <w:rsid w:val="00040A66"/>
    <w:rsid w:val="00040BF1"/>
    <w:rsid w:val="000416CE"/>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40D"/>
    <w:rsid w:val="00073AB3"/>
    <w:rsid w:val="00073DC1"/>
    <w:rsid w:val="00074A77"/>
    <w:rsid w:val="00075147"/>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912"/>
    <w:rsid w:val="00082C41"/>
    <w:rsid w:val="00082D67"/>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7878"/>
    <w:rsid w:val="000C7A83"/>
    <w:rsid w:val="000C7AFA"/>
    <w:rsid w:val="000C7B20"/>
    <w:rsid w:val="000C7C89"/>
    <w:rsid w:val="000C7E48"/>
    <w:rsid w:val="000C7FA6"/>
    <w:rsid w:val="000D02BC"/>
    <w:rsid w:val="000D03D6"/>
    <w:rsid w:val="000D07BD"/>
    <w:rsid w:val="000D0B89"/>
    <w:rsid w:val="000D1198"/>
    <w:rsid w:val="000D1B34"/>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60D"/>
    <w:rsid w:val="000E7180"/>
    <w:rsid w:val="000E720C"/>
    <w:rsid w:val="000E7ABD"/>
    <w:rsid w:val="000E7C83"/>
    <w:rsid w:val="000E7D56"/>
    <w:rsid w:val="000E7FE3"/>
    <w:rsid w:val="000F060A"/>
    <w:rsid w:val="000F0D3E"/>
    <w:rsid w:val="000F0E12"/>
    <w:rsid w:val="000F0E43"/>
    <w:rsid w:val="000F0FB0"/>
    <w:rsid w:val="000F1185"/>
    <w:rsid w:val="000F1EDA"/>
    <w:rsid w:val="000F2712"/>
    <w:rsid w:val="000F27B9"/>
    <w:rsid w:val="000F2FBE"/>
    <w:rsid w:val="000F4DE8"/>
    <w:rsid w:val="000F55DE"/>
    <w:rsid w:val="000F5794"/>
    <w:rsid w:val="000F57F7"/>
    <w:rsid w:val="000F5F23"/>
    <w:rsid w:val="000F5F69"/>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8CC"/>
    <w:rsid w:val="00111BA9"/>
    <w:rsid w:val="001121BE"/>
    <w:rsid w:val="001121DC"/>
    <w:rsid w:val="0011255B"/>
    <w:rsid w:val="00112BD9"/>
    <w:rsid w:val="00112C54"/>
    <w:rsid w:val="00113CFD"/>
    <w:rsid w:val="00114426"/>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4E59"/>
    <w:rsid w:val="001655F9"/>
    <w:rsid w:val="0016574C"/>
    <w:rsid w:val="001658E6"/>
    <w:rsid w:val="001658F6"/>
    <w:rsid w:val="00165B0F"/>
    <w:rsid w:val="00165FE9"/>
    <w:rsid w:val="001664E5"/>
    <w:rsid w:val="00166C85"/>
    <w:rsid w:val="00167333"/>
    <w:rsid w:val="001700D8"/>
    <w:rsid w:val="001702DD"/>
    <w:rsid w:val="001704AA"/>
    <w:rsid w:val="0017077B"/>
    <w:rsid w:val="001712BD"/>
    <w:rsid w:val="00171B86"/>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00D"/>
    <w:rsid w:val="0019139D"/>
    <w:rsid w:val="00191879"/>
    <w:rsid w:val="001919C9"/>
    <w:rsid w:val="00191A36"/>
    <w:rsid w:val="00191C2B"/>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2F1"/>
    <w:rsid w:val="001A0CB0"/>
    <w:rsid w:val="001A164F"/>
    <w:rsid w:val="001A1708"/>
    <w:rsid w:val="001A1901"/>
    <w:rsid w:val="001A1B78"/>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A6F"/>
    <w:rsid w:val="001C6F45"/>
    <w:rsid w:val="001C703B"/>
    <w:rsid w:val="001C7275"/>
    <w:rsid w:val="001C77AB"/>
    <w:rsid w:val="001C787F"/>
    <w:rsid w:val="001D0554"/>
    <w:rsid w:val="001D0AE1"/>
    <w:rsid w:val="001D0F80"/>
    <w:rsid w:val="001D1B61"/>
    <w:rsid w:val="001D1FE4"/>
    <w:rsid w:val="001D2625"/>
    <w:rsid w:val="001D2A95"/>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0E88"/>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634"/>
    <w:rsid w:val="002345C3"/>
    <w:rsid w:val="00234660"/>
    <w:rsid w:val="00234E18"/>
    <w:rsid w:val="00234F78"/>
    <w:rsid w:val="002359D5"/>
    <w:rsid w:val="00235B39"/>
    <w:rsid w:val="00235CB0"/>
    <w:rsid w:val="00235D8A"/>
    <w:rsid w:val="002363F3"/>
    <w:rsid w:val="00236515"/>
    <w:rsid w:val="002367CD"/>
    <w:rsid w:val="00236968"/>
    <w:rsid w:val="00237233"/>
    <w:rsid w:val="002377A4"/>
    <w:rsid w:val="002377EF"/>
    <w:rsid w:val="00237806"/>
    <w:rsid w:val="00237A9C"/>
    <w:rsid w:val="00237C0B"/>
    <w:rsid w:val="0024036F"/>
    <w:rsid w:val="002407A5"/>
    <w:rsid w:val="0024115F"/>
    <w:rsid w:val="00241A56"/>
    <w:rsid w:val="00241AB2"/>
    <w:rsid w:val="00241ABD"/>
    <w:rsid w:val="00241B64"/>
    <w:rsid w:val="00241CAE"/>
    <w:rsid w:val="00242008"/>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EE0"/>
    <w:rsid w:val="00253013"/>
    <w:rsid w:val="00253158"/>
    <w:rsid w:val="002532E1"/>
    <w:rsid w:val="00253674"/>
    <w:rsid w:val="002537D9"/>
    <w:rsid w:val="0025382B"/>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621"/>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362"/>
    <w:rsid w:val="00284583"/>
    <w:rsid w:val="002846F8"/>
    <w:rsid w:val="00284ED6"/>
    <w:rsid w:val="00285ABF"/>
    <w:rsid w:val="002862C9"/>
    <w:rsid w:val="00286541"/>
    <w:rsid w:val="00286BE3"/>
    <w:rsid w:val="00286C13"/>
    <w:rsid w:val="00286F2A"/>
    <w:rsid w:val="0028723A"/>
    <w:rsid w:val="002874ED"/>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2EA"/>
    <w:rsid w:val="002B16A4"/>
    <w:rsid w:val="002B1FEF"/>
    <w:rsid w:val="002B2333"/>
    <w:rsid w:val="002B2749"/>
    <w:rsid w:val="002B36D8"/>
    <w:rsid w:val="002B39A1"/>
    <w:rsid w:val="002B3C27"/>
    <w:rsid w:val="002B3C81"/>
    <w:rsid w:val="002B3DE9"/>
    <w:rsid w:val="002B3EB3"/>
    <w:rsid w:val="002B40A0"/>
    <w:rsid w:val="002B41DE"/>
    <w:rsid w:val="002B4A50"/>
    <w:rsid w:val="002B4AB5"/>
    <w:rsid w:val="002B4B27"/>
    <w:rsid w:val="002B55FB"/>
    <w:rsid w:val="002B58E2"/>
    <w:rsid w:val="002B5908"/>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997"/>
    <w:rsid w:val="002D5374"/>
    <w:rsid w:val="002D5BBD"/>
    <w:rsid w:val="002D5F48"/>
    <w:rsid w:val="002D5F6F"/>
    <w:rsid w:val="002D6198"/>
    <w:rsid w:val="002D6710"/>
    <w:rsid w:val="002D697C"/>
    <w:rsid w:val="002D6BA8"/>
    <w:rsid w:val="002D6DC7"/>
    <w:rsid w:val="002D7078"/>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24F0"/>
    <w:rsid w:val="002E252D"/>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B75"/>
    <w:rsid w:val="002E5F01"/>
    <w:rsid w:val="002E61A6"/>
    <w:rsid w:val="002E651F"/>
    <w:rsid w:val="002E66C9"/>
    <w:rsid w:val="002E689C"/>
    <w:rsid w:val="002E6C7D"/>
    <w:rsid w:val="002E6E28"/>
    <w:rsid w:val="002E72E4"/>
    <w:rsid w:val="002E79F1"/>
    <w:rsid w:val="002E7B7C"/>
    <w:rsid w:val="002E7CBB"/>
    <w:rsid w:val="002F003D"/>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4C3"/>
    <w:rsid w:val="0032196C"/>
    <w:rsid w:val="00321BF0"/>
    <w:rsid w:val="00321F2A"/>
    <w:rsid w:val="003226DE"/>
    <w:rsid w:val="003229F0"/>
    <w:rsid w:val="00322A2E"/>
    <w:rsid w:val="0032304A"/>
    <w:rsid w:val="00323B58"/>
    <w:rsid w:val="00323FA9"/>
    <w:rsid w:val="00324441"/>
    <w:rsid w:val="00324BBA"/>
    <w:rsid w:val="00324DC4"/>
    <w:rsid w:val="003251B6"/>
    <w:rsid w:val="003251FC"/>
    <w:rsid w:val="00325262"/>
    <w:rsid w:val="00326011"/>
    <w:rsid w:val="003263BE"/>
    <w:rsid w:val="00326CDA"/>
    <w:rsid w:val="00326D60"/>
    <w:rsid w:val="00326DD3"/>
    <w:rsid w:val="00327191"/>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9B1"/>
    <w:rsid w:val="00366E4A"/>
    <w:rsid w:val="0036702E"/>
    <w:rsid w:val="003670D6"/>
    <w:rsid w:val="0036725D"/>
    <w:rsid w:val="003705CD"/>
    <w:rsid w:val="00370B9E"/>
    <w:rsid w:val="00370DD0"/>
    <w:rsid w:val="0037161B"/>
    <w:rsid w:val="00371660"/>
    <w:rsid w:val="00371B03"/>
    <w:rsid w:val="00371B2C"/>
    <w:rsid w:val="003722ED"/>
    <w:rsid w:val="003723D8"/>
    <w:rsid w:val="0037247E"/>
    <w:rsid w:val="00373311"/>
    <w:rsid w:val="00373641"/>
    <w:rsid w:val="003736D2"/>
    <w:rsid w:val="0037389E"/>
    <w:rsid w:val="00373D2D"/>
    <w:rsid w:val="00374009"/>
    <w:rsid w:val="0037455A"/>
    <w:rsid w:val="00374A5B"/>
    <w:rsid w:val="00374E8D"/>
    <w:rsid w:val="003751C6"/>
    <w:rsid w:val="00375352"/>
    <w:rsid w:val="00376624"/>
    <w:rsid w:val="003766C3"/>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A46"/>
    <w:rsid w:val="003A2EF4"/>
    <w:rsid w:val="003A3040"/>
    <w:rsid w:val="003A30D1"/>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2C8"/>
    <w:rsid w:val="003C2D8A"/>
    <w:rsid w:val="003C3173"/>
    <w:rsid w:val="003C37AD"/>
    <w:rsid w:val="003C39F3"/>
    <w:rsid w:val="003C4748"/>
    <w:rsid w:val="003C50E5"/>
    <w:rsid w:val="003C5E2C"/>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409"/>
    <w:rsid w:val="003E09E8"/>
    <w:rsid w:val="003E0BC7"/>
    <w:rsid w:val="003E0C2D"/>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0FB9"/>
    <w:rsid w:val="003F14E1"/>
    <w:rsid w:val="003F1C1E"/>
    <w:rsid w:val="003F2626"/>
    <w:rsid w:val="003F28F6"/>
    <w:rsid w:val="003F3434"/>
    <w:rsid w:val="003F3D3C"/>
    <w:rsid w:val="003F4296"/>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3492"/>
    <w:rsid w:val="00403539"/>
    <w:rsid w:val="00403DE5"/>
    <w:rsid w:val="00404096"/>
    <w:rsid w:val="0040451D"/>
    <w:rsid w:val="00404CCD"/>
    <w:rsid w:val="00404CD2"/>
    <w:rsid w:val="0040518D"/>
    <w:rsid w:val="0040530C"/>
    <w:rsid w:val="00405C30"/>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2AF"/>
    <w:rsid w:val="004278E9"/>
    <w:rsid w:val="00427920"/>
    <w:rsid w:val="00427DFD"/>
    <w:rsid w:val="00430550"/>
    <w:rsid w:val="00430D76"/>
    <w:rsid w:val="00430E65"/>
    <w:rsid w:val="004319F0"/>
    <w:rsid w:val="00431CF6"/>
    <w:rsid w:val="00431EFB"/>
    <w:rsid w:val="00431FA7"/>
    <w:rsid w:val="00432260"/>
    <w:rsid w:val="004323F5"/>
    <w:rsid w:val="0043250A"/>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4C8"/>
    <w:rsid w:val="00442AA0"/>
    <w:rsid w:val="00443172"/>
    <w:rsid w:val="00443456"/>
    <w:rsid w:val="0044390C"/>
    <w:rsid w:val="00444078"/>
    <w:rsid w:val="0044451E"/>
    <w:rsid w:val="00444766"/>
    <w:rsid w:val="00445324"/>
    <w:rsid w:val="0044582C"/>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A16"/>
    <w:rsid w:val="00457CA3"/>
    <w:rsid w:val="00457ECB"/>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574E"/>
    <w:rsid w:val="0046582A"/>
    <w:rsid w:val="00465911"/>
    <w:rsid w:val="00465BC3"/>
    <w:rsid w:val="004661EE"/>
    <w:rsid w:val="0046702A"/>
    <w:rsid w:val="004671E6"/>
    <w:rsid w:val="00467736"/>
    <w:rsid w:val="00467907"/>
    <w:rsid w:val="00467A8A"/>
    <w:rsid w:val="004701AA"/>
    <w:rsid w:val="00470575"/>
    <w:rsid w:val="00470599"/>
    <w:rsid w:val="004705A6"/>
    <w:rsid w:val="004706A8"/>
    <w:rsid w:val="004706B3"/>
    <w:rsid w:val="00470732"/>
    <w:rsid w:val="00470BF4"/>
    <w:rsid w:val="00470E85"/>
    <w:rsid w:val="00471BDC"/>
    <w:rsid w:val="00471D80"/>
    <w:rsid w:val="00471D9A"/>
    <w:rsid w:val="004726CC"/>
    <w:rsid w:val="00472AC0"/>
    <w:rsid w:val="004731DD"/>
    <w:rsid w:val="00473439"/>
    <w:rsid w:val="00473BAC"/>
    <w:rsid w:val="00473EEC"/>
    <w:rsid w:val="004742E6"/>
    <w:rsid w:val="00475154"/>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FF8"/>
    <w:rsid w:val="00497620"/>
    <w:rsid w:val="004979AB"/>
    <w:rsid w:val="00497ABD"/>
    <w:rsid w:val="004A08B4"/>
    <w:rsid w:val="004A0AFC"/>
    <w:rsid w:val="004A0DC4"/>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16"/>
    <w:rsid w:val="004A6BC5"/>
    <w:rsid w:val="004A6F0D"/>
    <w:rsid w:val="004A7E87"/>
    <w:rsid w:val="004A7EAC"/>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42C"/>
    <w:rsid w:val="004B65B0"/>
    <w:rsid w:val="004B6832"/>
    <w:rsid w:val="004B6841"/>
    <w:rsid w:val="004B684A"/>
    <w:rsid w:val="004B6FC7"/>
    <w:rsid w:val="004B72CB"/>
    <w:rsid w:val="004B76E8"/>
    <w:rsid w:val="004B7A63"/>
    <w:rsid w:val="004C0C22"/>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FE4"/>
    <w:rsid w:val="004D012D"/>
    <w:rsid w:val="004D047A"/>
    <w:rsid w:val="004D0DAE"/>
    <w:rsid w:val="004D1260"/>
    <w:rsid w:val="004D1594"/>
    <w:rsid w:val="004D181B"/>
    <w:rsid w:val="004D1AFD"/>
    <w:rsid w:val="004D2A73"/>
    <w:rsid w:val="004D2EF5"/>
    <w:rsid w:val="004D327F"/>
    <w:rsid w:val="004D4005"/>
    <w:rsid w:val="004D43C4"/>
    <w:rsid w:val="004D4DD2"/>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A4"/>
    <w:rsid w:val="004E3444"/>
    <w:rsid w:val="004E3C07"/>
    <w:rsid w:val="004E3C09"/>
    <w:rsid w:val="004E3DAF"/>
    <w:rsid w:val="004E4013"/>
    <w:rsid w:val="004E4809"/>
    <w:rsid w:val="004E4A1F"/>
    <w:rsid w:val="004E4CF0"/>
    <w:rsid w:val="004E5C88"/>
    <w:rsid w:val="004E623D"/>
    <w:rsid w:val="004E639B"/>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727C"/>
    <w:rsid w:val="004F7DB0"/>
    <w:rsid w:val="005000C2"/>
    <w:rsid w:val="005003F7"/>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91"/>
    <w:rsid w:val="00540B69"/>
    <w:rsid w:val="00540BBA"/>
    <w:rsid w:val="00540FDE"/>
    <w:rsid w:val="00541591"/>
    <w:rsid w:val="005416D7"/>
    <w:rsid w:val="0054179E"/>
    <w:rsid w:val="00541A13"/>
    <w:rsid w:val="00541D04"/>
    <w:rsid w:val="00541D29"/>
    <w:rsid w:val="00541E8A"/>
    <w:rsid w:val="0054214F"/>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D6"/>
    <w:rsid w:val="00544C08"/>
    <w:rsid w:val="0054536A"/>
    <w:rsid w:val="005456ED"/>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CBF"/>
    <w:rsid w:val="005676A0"/>
    <w:rsid w:val="00567C84"/>
    <w:rsid w:val="00570120"/>
    <w:rsid w:val="0057089F"/>
    <w:rsid w:val="005709A0"/>
    <w:rsid w:val="00570C88"/>
    <w:rsid w:val="0057142A"/>
    <w:rsid w:val="00571759"/>
    <w:rsid w:val="00571C36"/>
    <w:rsid w:val="005720D7"/>
    <w:rsid w:val="00572295"/>
    <w:rsid w:val="00572877"/>
    <w:rsid w:val="00572BAB"/>
    <w:rsid w:val="0057322B"/>
    <w:rsid w:val="00573302"/>
    <w:rsid w:val="00573627"/>
    <w:rsid w:val="0057378D"/>
    <w:rsid w:val="00573801"/>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557D"/>
    <w:rsid w:val="005855FA"/>
    <w:rsid w:val="005857A8"/>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6113"/>
    <w:rsid w:val="005A6721"/>
    <w:rsid w:val="005A6ADF"/>
    <w:rsid w:val="005A7795"/>
    <w:rsid w:val="005A7926"/>
    <w:rsid w:val="005A7BAC"/>
    <w:rsid w:val="005A7DC1"/>
    <w:rsid w:val="005A7EDD"/>
    <w:rsid w:val="005B0E07"/>
    <w:rsid w:val="005B12CF"/>
    <w:rsid w:val="005B12F7"/>
    <w:rsid w:val="005B17F5"/>
    <w:rsid w:val="005B18B5"/>
    <w:rsid w:val="005B1A41"/>
    <w:rsid w:val="005B1C29"/>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FC"/>
    <w:rsid w:val="005B6F25"/>
    <w:rsid w:val="005B76AC"/>
    <w:rsid w:val="005B7860"/>
    <w:rsid w:val="005B7B7B"/>
    <w:rsid w:val="005B7E64"/>
    <w:rsid w:val="005C0430"/>
    <w:rsid w:val="005C092E"/>
    <w:rsid w:val="005C0B77"/>
    <w:rsid w:val="005C0FD7"/>
    <w:rsid w:val="005C12D7"/>
    <w:rsid w:val="005C196F"/>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FD4"/>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0D6F"/>
    <w:rsid w:val="006312E8"/>
    <w:rsid w:val="00631FAD"/>
    <w:rsid w:val="00632574"/>
    <w:rsid w:val="00632AA3"/>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DA2"/>
    <w:rsid w:val="00640B02"/>
    <w:rsid w:val="00640D78"/>
    <w:rsid w:val="006411A4"/>
    <w:rsid w:val="00641561"/>
    <w:rsid w:val="0064294C"/>
    <w:rsid w:val="0064319E"/>
    <w:rsid w:val="00644528"/>
    <w:rsid w:val="006447A9"/>
    <w:rsid w:val="00644AF4"/>
    <w:rsid w:val="00644BBF"/>
    <w:rsid w:val="00645033"/>
    <w:rsid w:val="00645699"/>
    <w:rsid w:val="00645828"/>
    <w:rsid w:val="00645A08"/>
    <w:rsid w:val="00645F42"/>
    <w:rsid w:val="00646708"/>
    <w:rsid w:val="006468ED"/>
    <w:rsid w:val="0064732A"/>
    <w:rsid w:val="00647A25"/>
    <w:rsid w:val="0065039F"/>
    <w:rsid w:val="006506E1"/>
    <w:rsid w:val="0065131E"/>
    <w:rsid w:val="006516AF"/>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74D"/>
    <w:rsid w:val="00657939"/>
    <w:rsid w:val="00660409"/>
    <w:rsid w:val="00660A00"/>
    <w:rsid w:val="00660A85"/>
    <w:rsid w:val="00660DC6"/>
    <w:rsid w:val="00661850"/>
    <w:rsid w:val="00662052"/>
    <w:rsid w:val="00662279"/>
    <w:rsid w:val="006622E1"/>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3D83"/>
    <w:rsid w:val="00676268"/>
    <w:rsid w:val="0067642C"/>
    <w:rsid w:val="00676997"/>
    <w:rsid w:val="00676CDE"/>
    <w:rsid w:val="0067719B"/>
    <w:rsid w:val="0067771F"/>
    <w:rsid w:val="00677996"/>
    <w:rsid w:val="00677BBB"/>
    <w:rsid w:val="00680125"/>
    <w:rsid w:val="00680200"/>
    <w:rsid w:val="00680471"/>
    <w:rsid w:val="00680DCA"/>
    <w:rsid w:val="00681593"/>
    <w:rsid w:val="00681670"/>
    <w:rsid w:val="00681B4A"/>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4E0"/>
    <w:rsid w:val="006A669E"/>
    <w:rsid w:val="006A71DE"/>
    <w:rsid w:val="006A73AF"/>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B7C59"/>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CC2"/>
    <w:rsid w:val="006D4DEF"/>
    <w:rsid w:val="006D57FE"/>
    <w:rsid w:val="006D5EA6"/>
    <w:rsid w:val="006D5FD8"/>
    <w:rsid w:val="006D604D"/>
    <w:rsid w:val="006D634C"/>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56EA"/>
    <w:rsid w:val="006E5DF4"/>
    <w:rsid w:val="006E5E5C"/>
    <w:rsid w:val="006E60C8"/>
    <w:rsid w:val="006E6696"/>
    <w:rsid w:val="006E69FF"/>
    <w:rsid w:val="006E6A73"/>
    <w:rsid w:val="006E6FA3"/>
    <w:rsid w:val="006E7165"/>
    <w:rsid w:val="006E71AB"/>
    <w:rsid w:val="006E7698"/>
    <w:rsid w:val="006E7844"/>
    <w:rsid w:val="006E7B4D"/>
    <w:rsid w:val="006F001E"/>
    <w:rsid w:val="006F0082"/>
    <w:rsid w:val="006F01FB"/>
    <w:rsid w:val="006F078A"/>
    <w:rsid w:val="006F109A"/>
    <w:rsid w:val="006F13D1"/>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DC"/>
    <w:rsid w:val="00700FA4"/>
    <w:rsid w:val="007010A2"/>
    <w:rsid w:val="007011A0"/>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A69"/>
    <w:rsid w:val="0070735C"/>
    <w:rsid w:val="0070737A"/>
    <w:rsid w:val="007073D9"/>
    <w:rsid w:val="007100AF"/>
    <w:rsid w:val="0071011D"/>
    <w:rsid w:val="007107E0"/>
    <w:rsid w:val="007108E1"/>
    <w:rsid w:val="00710A63"/>
    <w:rsid w:val="00711172"/>
    <w:rsid w:val="00711369"/>
    <w:rsid w:val="00711B00"/>
    <w:rsid w:val="00711D85"/>
    <w:rsid w:val="007120CF"/>
    <w:rsid w:val="007121F6"/>
    <w:rsid w:val="0071221A"/>
    <w:rsid w:val="007131A6"/>
    <w:rsid w:val="0071323E"/>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6FD2"/>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9D9"/>
    <w:rsid w:val="00764128"/>
    <w:rsid w:val="00764307"/>
    <w:rsid w:val="00764767"/>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5A87"/>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B6AC0"/>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929"/>
    <w:rsid w:val="007C6C1C"/>
    <w:rsid w:val="007C6E82"/>
    <w:rsid w:val="007C7305"/>
    <w:rsid w:val="007C78CC"/>
    <w:rsid w:val="007C79B5"/>
    <w:rsid w:val="007C7AC2"/>
    <w:rsid w:val="007C7C0E"/>
    <w:rsid w:val="007C7ECD"/>
    <w:rsid w:val="007C7ED9"/>
    <w:rsid w:val="007C7EE8"/>
    <w:rsid w:val="007D1564"/>
    <w:rsid w:val="007D15CF"/>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B44"/>
    <w:rsid w:val="007D7033"/>
    <w:rsid w:val="007D7229"/>
    <w:rsid w:val="007D7789"/>
    <w:rsid w:val="007D799B"/>
    <w:rsid w:val="007E01DB"/>
    <w:rsid w:val="007E050A"/>
    <w:rsid w:val="007E0910"/>
    <w:rsid w:val="007E0C0D"/>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F0D"/>
    <w:rsid w:val="007E4F1E"/>
    <w:rsid w:val="007E5132"/>
    <w:rsid w:val="007E52D6"/>
    <w:rsid w:val="007E540F"/>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F18"/>
    <w:rsid w:val="007F40A7"/>
    <w:rsid w:val="007F4258"/>
    <w:rsid w:val="007F456D"/>
    <w:rsid w:val="007F4847"/>
    <w:rsid w:val="007F4921"/>
    <w:rsid w:val="007F4A8F"/>
    <w:rsid w:val="007F507D"/>
    <w:rsid w:val="007F5217"/>
    <w:rsid w:val="007F5A67"/>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6C0"/>
    <w:rsid w:val="008066F8"/>
    <w:rsid w:val="00806A9D"/>
    <w:rsid w:val="0080700D"/>
    <w:rsid w:val="00807531"/>
    <w:rsid w:val="00807865"/>
    <w:rsid w:val="00807C8C"/>
    <w:rsid w:val="00810668"/>
    <w:rsid w:val="00810873"/>
    <w:rsid w:val="0081097A"/>
    <w:rsid w:val="008112E7"/>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D3F"/>
    <w:rsid w:val="00815E0B"/>
    <w:rsid w:val="00815FDB"/>
    <w:rsid w:val="00816080"/>
    <w:rsid w:val="00816567"/>
    <w:rsid w:val="008166BC"/>
    <w:rsid w:val="008168C7"/>
    <w:rsid w:val="00816AE6"/>
    <w:rsid w:val="00816E12"/>
    <w:rsid w:val="008179B6"/>
    <w:rsid w:val="00817C4A"/>
    <w:rsid w:val="00820340"/>
    <w:rsid w:val="00820F3D"/>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C7C"/>
    <w:rsid w:val="00827573"/>
    <w:rsid w:val="008277C2"/>
    <w:rsid w:val="00827A75"/>
    <w:rsid w:val="00827C6D"/>
    <w:rsid w:val="008301D2"/>
    <w:rsid w:val="008301FA"/>
    <w:rsid w:val="008302DE"/>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E67"/>
    <w:rsid w:val="0087350E"/>
    <w:rsid w:val="00873A3D"/>
    <w:rsid w:val="008740A4"/>
    <w:rsid w:val="0087453E"/>
    <w:rsid w:val="00874543"/>
    <w:rsid w:val="00875576"/>
    <w:rsid w:val="00876C49"/>
    <w:rsid w:val="00876EE0"/>
    <w:rsid w:val="00876FAB"/>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81F"/>
    <w:rsid w:val="00896B1E"/>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5368"/>
    <w:rsid w:val="008A5563"/>
    <w:rsid w:val="008A586C"/>
    <w:rsid w:val="008A5D98"/>
    <w:rsid w:val="008A5E44"/>
    <w:rsid w:val="008A7375"/>
    <w:rsid w:val="008A74FC"/>
    <w:rsid w:val="008A7ABC"/>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3DB"/>
    <w:rsid w:val="008D15CA"/>
    <w:rsid w:val="008D1E0F"/>
    <w:rsid w:val="008D265B"/>
    <w:rsid w:val="008D2842"/>
    <w:rsid w:val="008D2971"/>
    <w:rsid w:val="008D2ED9"/>
    <w:rsid w:val="008D2EF5"/>
    <w:rsid w:val="008D3072"/>
    <w:rsid w:val="008D4089"/>
    <w:rsid w:val="008D4136"/>
    <w:rsid w:val="008D4D00"/>
    <w:rsid w:val="008D4DB5"/>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52B"/>
    <w:rsid w:val="008F1861"/>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369"/>
    <w:rsid w:val="0094350F"/>
    <w:rsid w:val="009435F1"/>
    <w:rsid w:val="00943AAC"/>
    <w:rsid w:val="00943D9D"/>
    <w:rsid w:val="009440D5"/>
    <w:rsid w:val="00944D56"/>
    <w:rsid w:val="00944E98"/>
    <w:rsid w:val="0094551A"/>
    <w:rsid w:val="00945559"/>
    <w:rsid w:val="009455BC"/>
    <w:rsid w:val="0094566F"/>
    <w:rsid w:val="00945BD9"/>
    <w:rsid w:val="00945CC1"/>
    <w:rsid w:val="00946517"/>
    <w:rsid w:val="009465A2"/>
    <w:rsid w:val="00946A19"/>
    <w:rsid w:val="0094784D"/>
    <w:rsid w:val="009478E4"/>
    <w:rsid w:val="00947C89"/>
    <w:rsid w:val="0095037B"/>
    <w:rsid w:val="009504BA"/>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D26"/>
    <w:rsid w:val="009820C8"/>
    <w:rsid w:val="00982549"/>
    <w:rsid w:val="0098264C"/>
    <w:rsid w:val="0098279C"/>
    <w:rsid w:val="009828A8"/>
    <w:rsid w:val="00982DAB"/>
    <w:rsid w:val="00983276"/>
    <w:rsid w:val="009832EF"/>
    <w:rsid w:val="009837D3"/>
    <w:rsid w:val="00983911"/>
    <w:rsid w:val="00983C5F"/>
    <w:rsid w:val="00983E6E"/>
    <w:rsid w:val="00983F89"/>
    <w:rsid w:val="009840A4"/>
    <w:rsid w:val="00984E26"/>
    <w:rsid w:val="00985695"/>
    <w:rsid w:val="009858C2"/>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8D"/>
    <w:rsid w:val="009C17AB"/>
    <w:rsid w:val="009C1882"/>
    <w:rsid w:val="009C1EDF"/>
    <w:rsid w:val="009C2510"/>
    <w:rsid w:val="009C27FA"/>
    <w:rsid w:val="009C2D0E"/>
    <w:rsid w:val="009C2E97"/>
    <w:rsid w:val="009C3434"/>
    <w:rsid w:val="009C3629"/>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471B"/>
    <w:rsid w:val="009D49AF"/>
    <w:rsid w:val="009D4B72"/>
    <w:rsid w:val="009D4F8F"/>
    <w:rsid w:val="009D52CF"/>
    <w:rsid w:val="009D5CF2"/>
    <w:rsid w:val="009D67E5"/>
    <w:rsid w:val="009D6A46"/>
    <w:rsid w:val="009D6C2D"/>
    <w:rsid w:val="009E0A8D"/>
    <w:rsid w:val="009E117B"/>
    <w:rsid w:val="009E13C0"/>
    <w:rsid w:val="009E145C"/>
    <w:rsid w:val="009E1C62"/>
    <w:rsid w:val="009E1DBF"/>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53F"/>
    <w:rsid w:val="009E75EB"/>
    <w:rsid w:val="009E76BD"/>
    <w:rsid w:val="009E76FE"/>
    <w:rsid w:val="009E7915"/>
    <w:rsid w:val="009E7D32"/>
    <w:rsid w:val="009F0304"/>
    <w:rsid w:val="009F043C"/>
    <w:rsid w:val="009F0F49"/>
    <w:rsid w:val="009F0F9A"/>
    <w:rsid w:val="009F14C5"/>
    <w:rsid w:val="009F161C"/>
    <w:rsid w:val="009F1ABA"/>
    <w:rsid w:val="009F229C"/>
    <w:rsid w:val="009F22B9"/>
    <w:rsid w:val="009F230D"/>
    <w:rsid w:val="009F2366"/>
    <w:rsid w:val="009F2639"/>
    <w:rsid w:val="009F2B66"/>
    <w:rsid w:val="009F2C72"/>
    <w:rsid w:val="009F2D3D"/>
    <w:rsid w:val="009F3338"/>
    <w:rsid w:val="009F374E"/>
    <w:rsid w:val="009F38D9"/>
    <w:rsid w:val="009F404C"/>
    <w:rsid w:val="009F40B0"/>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1E"/>
    <w:rsid w:val="00A03CB4"/>
    <w:rsid w:val="00A03E70"/>
    <w:rsid w:val="00A04318"/>
    <w:rsid w:val="00A0440A"/>
    <w:rsid w:val="00A04867"/>
    <w:rsid w:val="00A04961"/>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663"/>
    <w:rsid w:val="00A13AB5"/>
    <w:rsid w:val="00A13E13"/>
    <w:rsid w:val="00A14198"/>
    <w:rsid w:val="00A141CF"/>
    <w:rsid w:val="00A141F5"/>
    <w:rsid w:val="00A143C8"/>
    <w:rsid w:val="00A1455F"/>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70C"/>
    <w:rsid w:val="00A33794"/>
    <w:rsid w:val="00A33E4B"/>
    <w:rsid w:val="00A3420E"/>
    <w:rsid w:val="00A34C85"/>
    <w:rsid w:val="00A35248"/>
    <w:rsid w:val="00A35D70"/>
    <w:rsid w:val="00A363BE"/>
    <w:rsid w:val="00A364C3"/>
    <w:rsid w:val="00A3686C"/>
    <w:rsid w:val="00A36F96"/>
    <w:rsid w:val="00A36F9B"/>
    <w:rsid w:val="00A3760F"/>
    <w:rsid w:val="00A376FA"/>
    <w:rsid w:val="00A37839"/>
    <w:rsid w:val="00A40917"/>
    <w:rsid w:val="00A40D20"/>
    <w:rsid w:val="00A410C2"/>
    <w:rsid w:val="00A41656"/>
    <w:rsid w:val="00A41CCC"/>
    <w:rsid w:val="00A41DC8"/>
    <w:rsid w:val="00A41E8B"/>
    <w:rsid w:val="00A42D09"/>
    <w:rsid w:val="00A42EC6"/>
    <w:rsid w:val="00A42F30"/>
    <w:rsid w:val="00A436CC"/>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F07"/>
    <w:rsid w:val="00A5755C"/>
    <w:rsid w:val="00A57853"/>
    <w:rsid w:val="00A57C7E"/>
    <w:rsid w:val="00A60737"/>
    <w:rsid w:val="00A6090F"/>
    <w:rsid w:val="00A6131A"/>
    <w:rsid w:val="00A616ED"/>
    <w:rsid w:val="00A6234A"/>
    <w:rsid w:val="00A623FC"/>
    <w:rsid w:val="00A62438"/>
    <w:rsid w:val="00A625BA"/>
    <w:rsid w:val="00A62C85"/>
    <w:rsid w:val="00A62FE1"/>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39DD"/>
    <w:rsid w:val="00A746BD"/>
    <w:rsid w:val="00A74B2E"/>
    <w:rsid w:val="00A74BDB"/>
    <w:rsid w:val="00A74C06"/>
    <w:rsid w:val="00A751FF"/>
    <w:rsid w:val="00A753E4"/>
    <w:rsid w:val="00A75768"/>
    <w:rsid w:val="00A76142"/>
    <w:rsid w:val="00A7723A"/>
    <w:rsid w:val="00A7790B"/>
    <w:rsid w:val="00A77A6C"/>
    <w:rsid w:val="00A77B6B"/>
    <w:rsid w:val="00A77DB9"/>
    <w:rsid w:val="00A801C1"/>
    <w:rsid w:val="00A80294"/>
    <w:rsid w:val="00A809D0"/>
    <w:rsid w:val="00A80AAD"/>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7773"/>
    <w:rsid w:val="00A87D08"/>
    <w:rsid w:val="00A87D87"/>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613"/>
    <w:rsid w:val="00AC16AB"/>
    <w:rsid w:val="00AC19D8"/>
    <w:rsid w:val="00AC2700"/>
    <w:rsid w:val="00AC2D69"/>
    <w:rsid w:val="00AC33D1"/>
    <w:rsid w:val="00AC3637"/>
    <w:rsid w:val="00AC37BF"/>
    <w:rsid w:val="00AC3898"/>
    <w:rsid w:val="00AC3A00"/>
    <w:rsid w:val="00AC3F23"/>
    <w:rsid w:val="00AC42BA"/>
    <w:rsid w:val="00AC4669"/>
    <w:rsid w:val="00AC4A73"/>
    <w:rsid w:val="00AC4BE1"/>
    <w:rsid w:val="00AC4E2C"/>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8AC"/>
    <w:rsid w:val="00AD4A3F"/>
    <w:rsid w:val="00AD4B1A"/>
    <w:rsid w:val="00AD4DC9"/>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5EC"/>
    <w:rsid w:val="00AE5886"/>
    <w:rsid w:val="00AE64D2"/>
    <w:rsid w:val="00AE693E"/>
    <w:rsid w:val="00AE6A86"/>
    <w:rsid w:val="00AE6E63"/>
    <w:rsid w:val="00AE6F28"/>
    <w:rsid w:val="00AE7F03"/>
    <w:rsid w:val="00AF01B9"/>
    <w:rsid w:val="00AF0DE8"/>
    <w:rsid w:val="00AF197F"/>
    <w:rsid w:val="00AF1EAF"/>
    <w:rsid w:val="00AF1FE7"/>
    <w:rsid w:val="00AF2569"/>
    <w:rsid w:val="00AF2E67"/>
    <w:rsid w:val="00AF300D"/>
    <w:rsid w:val="00AF3038"/>
    <w:rsid w:val="00AF3332"/>
    <w:rsid w:val="00AF33C9"/>
    <w:rsid w:val="00AF3E0A"/>
    <w:rsid w:val="00AF4074"/>
    <w:rsid w:val="00AF4419"/>
    <w:rsid w:val="00AF45D2"/>
    <w:rsid w:val="00AF45D7"/>
    <w:rsid w:val="00AF491D"/>
    <w:rsid w:val="00AF4B61"/>
    <w:rsid w:val="00AF4C4E"/>
    <w:rsid w:val="00AF4F33"/>
    <w:rsid w:val="00AF559F"/>
    <w:rsid w:val="00AF5618"/>
    <w:rsid w:val="00AF57B4"/>
    <w:rsid w:val="00AF57FF"/>
    <w:rsid w:val="00AF5845"/>
    <w:rsid w:val="00AF5BC3"/>
    <w:rsid w:val="00AF5C9F"/>
    <w:rsid w:val="00AF630B"/>
    <w:rsid w:val="00AF6488"/>
    <w:rsid w:val="00AF6C46"/>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1D55"/>
    <w:rsid w:val="00B02808"/>
    <w:rsid w:val="00B02887"/>
    <w:rsid w:val="00B02F3E"/>
    <w:rsid w:val="00B03BEA"/>
    <w:rsid w:val="00B040ED"/>
    <w:rsid w:val="00B0417C"/>
    <w:rsid w:val="00B04534"/>
    <w:rsid w:val="00B048D3"/>
    <w:rsid w:val="00B04B99"/>
    <w:rsid w:val="00B04FEB"/>
    <w:rsid w:val="00B055AA"/>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BA0"/>
    <w:rsid w:val="00B22E15"/>
    <w:rsid w:val="00B23602"/>
    <w:rsid w:val="00B24475"/>
    <w:rsid w:val="00B2460A"/>
    <w:rsid w:val="00B24D76"/>
    <w:rsid w:val="00B25132"/>
    <w:rsid w:val="00B25167"/>
    <w:rsid w:val="00B2585D"/>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8D0"/>
    <w:rsid w:val="00B53A93"/>
    <w:rsid w:val="00B53C72"/>
    <w:rsid w:val="00B53F86"/>
    <w:rsid w:val="00B54322"/>
    <w:rsid w:val="00B54528"/>
    <w:rsid w:val="00B5460E"/>
    <w:rsid w:val="00B54754"/>
    <w:rsid w:val="00B554E5"/>
    <w:rsid w:val="00B5627A"/>
    <w:rsid w:val="00B56861"/>
    <w:rsid w:val="00B56D1A"/>
    <w:rsid w:val="00B56D84"/>
    <w:rsid w:val="00B574EC"/>
    <w:rsid w:val="00B57EE7"/>
    <w:rsid w:val="00B6013A"/>
    <w:rsid w:val="00B60A8D"/>
    <w:rsid w:val="00B60E23"/>
    <w:rsid w:val="00B61163"/>
    <w:rsid w:val="00B6155C"/>
    <w:rsid w:val="00B61A05"/>
    <w:rsid w:val="00B61F15"/>
    <w:rsid w:val="00B61F72"/>
    <w:rsid w:val="00B61F73"/>
    <w:rsid w:val="00B61FD5"/>
    <w:rsid w:val="00B62200"/>
    <w:rsid w:val="00B623A2"/>
    <w:rsid w:val="00B6250B"/>
    <w:rsid w:val="00B62B32"/>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DAD"/>
    <w:rsid w:val="00B83038"/>
    <w:rsid w:val="00B83328"/>
    <w:rsid w:val="00B83919"/>
    <w:rsid w:val="00B8431C"/>
    <w:rsid w:val="00B8453F"/>
    <w:rsid w:val="00B8493B"/>
    <w:rsid w:val="00B84B2D"/>
    <w:rsid w:val="00B850D3"/>
    <w:rsid w:val="00B8548E"/>
    <w:rsid w:val="00B8624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F22"/>
    <w:rsid w:val="00B95277"/>
    <w:rsid w:val="00B9531E"/>
    <w:rsid w:val="00B955CF"/>
    <w:rsid w:val="00B958E2"/>
    <w:rsid w:val="00B961B9"/>
    <w:rsid w:val="00B96261"/>
    <w:rsid w:val="00B96381"/>
    <w:rsid w:val="00B964C0"/>
    <w:rsid w:val="00B96DAD"/>
    <w:rsid w:val="00B97493"/>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77B"/>
    <w:rsid w:val="00BA7B81"/>
    <w:rsid w:val="00BA7C62"/>
    <w:rsid w:val="00BB0BB7"/>
    <w:rsid w:val="00BB10F2"/>
    <w:rsid w:val="00BB122C"/>
    <w:rsid w:val="00BB14BF"/>
    <w:rsid w:val="00BB2A8D"/>
    <w:rsid w:val="00BB2C09"/>
    <w:rsid w:val="00BB3429"/>
    <w:rsid w:val="00BB356F"/>
    <w:rsid w:val="00BB3BE7"/>
    <w:rsid w:val="00BB3D3A"/>
    <w:rsid w:val="00BB3F7A"/>
    <w:rsid w:val="00BB4014"/>
    <w:rsid w:val="00BB4227"/>
    <w:rsid w:val="00BB4879"/>
    <w:rsid w:val="00BB5143"/>
    <w:rsid w:val="00BB562D"/>
    <w:rsid w:val="00BB5797"/>
    <w:rsid w:val="00BB5A0B"/>
    <w:rsid w:val="00BB5F7B"/>
    <w:rsid w:val="00BB6197"/>
    <w:rsid w:val="00BB69F9"/>
    <w:rsid w:val="00BB6A81"/>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194D"/>
    <w:rsid w:val="00BD1D62"/>
    <w:rsid w:val="00BD203F"/>
    <w:rsid w:val="00BD2529"/>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486"/>
    <w:rsid w:val="00BF3904"/>
    <w:rsid w:val="00BF3932"/>
    <w:rsid w:val="00BF3B41"/>
    <w:rsid w:val="00BF3DD0"/>
    <w:rsid w:val="00BF3F60"/>
    <w:rsid w:val="00BF3F90"/>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70C0"/>
    <w:rsid w:val="00C2791F"/>
    <w:rsid w:val="00C2793B"/>
    <w:rsid w:val="00C300B6"/>
    <w:rsid w:val="00C304D8"/>
    <w:rsid w:val="00C305D9"/>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DDB"/>
    <w:rsid w:val="00C50DC3"/>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B30"/>
    <w:rsid w:val="00C60BE4"/>
    <w:rsid w:val="00C60CE1"/>
    <w:rsid w:val="00C613A1"/>
    <w:rsid w:val="00C6144C"/>
    <w:rsid w:val="00C6191E"/>
    <w:rsid w:val="00C626FB"/>
    <w:rsid w:val="00C62B3B"/>
    <w:rsid w:val="00C62E26"/>
    <w:rsid w:val="00C631DA"/>
    <w:rsid w:val="00C6324A"/>
    <w:rsid w:val="00C63497"/>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F8"/>
    <w:rsid w:val="00C71F55"/>
    <w:rsid w:val="00C723AF"/>
    <w:rsid w:val="00C725C2"/>
    <w:rsid w:val="00C726F3"/>
    <w:rsid w:val="00C729F4"/>
    <w:rsid w:val="00C72A0B"/>
    <w:rsid w:val="00C72CE9"/>
    <w:rsid w:val="00C72D30"/>
    <w:rsid w:val="00C734F7"/>
    <w:rsid w:val="00C74115"/>
    <w:rsid w:val="00C742E8"/>
    <w:rsid w:val="00C7474D"/>
    <w:rsid w:val="00C748DE"/>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1ABF"/>
    <w:rsid w:val="00CA2138"/>
    <w:rsid w:val="00CA22E9"/>
    <w:rsid w:val="00CA28B4"/>
    <w:rsid w:val="00CA2A78"/>
    <w:rsid w:val="00CA3657"/>
    <w:rsid w:val="00CA36B3"/>
    <w:rsid w:val="00CA36BA"/>
    <w:rsid w:val="00CA3872"/>
    <w:rsid w:val="00CA4047"/>
    <w:rsid w:val="00CA42E1"/>
    <w:rsid w:val="00CA4377"/>
    <w:rsid w:val="00CA4620"/>
    <w:rsid w:val="00CA4B0C"/>
    <w:rsid w:val="00CA4C1D"/>
    <w:rsid w:val="00CA543F"/>
    <w:rsid w:val="00CA5598"/>
    <w:rsid w:val="00CA56AA"/>
    <w:rsid w:val="00CA5ABC"/>
    <w:rsid w:val="00CA5FEE"/>
    <w:rsid w:val="00CA6714"/>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881"/>
    <w:rsid w:val="00CB4B22"/>
    <w:rsid w:val="00CB500E"/>
    <w:rsid w:val="00CB50DB"/>
    <w:rsid w:val="00CB54DC"/>
    <w:rsid w:val="00CB5D83"/>
    <w:rsid w:val="00CB5E38"/>
    <w:rsid w:val="00CB64C8"/>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FFA"/>
    <w:rsid w:val="00CD00B1"/>
    <w:rsid w:val="00CD01B8"/>
    <w:rsid w:val="00CD036C"/>
    <w:rsid w:val="00CD0775"/>
    <w:rsid w:val="00CD0CCB"/>
    <w:rsid w:val="00CD15ED"/>
    <w:rsid w:val="00CD1C2A"/>
    <w:rsid w:val="00CD208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5D5"/>
    <w:rsid w:val="00CE2E20"/>
    <w:rsid w:val="00CE3319"/>
    <w:rsid w:val="00CE38CF"/>
    <w:rsid w:val="00CE3F24"/>
    <w:rsid w:val="00CE42ED"/>
    <w:rsid w:val="00CE45A8"/>
    <w:rsid w:val="00CE46F1"/>
    <w:rsid w:val="00CE481A"/>
    <w:rsid w:val="00CE4973"/>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AB"/>
    <w:rsid w:val="00CF50FB"/>
    <w:rsid w:val="00CF52A5"/>
    <w:rsid w:val="00CF5425"/>
    <w:rsid w:val="00CF5D5A"/>
    <w:rsid w:val="00CF661C"/>
    <w:rsid w:val="00CF6859"/>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D7"/>
    <w:rsid w:val="00D23AB4"/>
    <w:rsid w:val="00D23BBD"/>
    <w:rsid w:val="00D23CED"/>
    <w:rsid w:val="00D2400B"/>
    <w:rsid w:val="00D24B04"/>
    <w:rsid w:val="00D24DD2"/>
    <w:rsid w:val="00D258EC"/>
    <w:rsid w:val="00D25CAA"/>
    <w:rsid w:val="00D26CAA"/>
    <w:rsid w:val="00D271E3"/>
    <w:rsid w:val="00D276A3"/>
    <w:rsid w:val="00D27C29"/>
    <w:rsid w:val="00D27F58"/>
    <w:rsid w:val="00D30921"/>
    <w:rsid w:val="00D30C6C"/>
    <w:rsid w:val="00D31694"/>
    <w:rsid w:val="00D3193B"/>
    <w:rsid w:val="00D31BE3"/>
    <w:rsid w:val="00D325D6"/>
    <w:rsid w:val="00D32DBD"/>
    <w:rsid w:val="00D32F01"/>
    <w:rsid w:val="00D3310B"/>
    <w:rsid w:val="00D335D2"/>
    <w:rsid w:val="00D33742"/>
    <w:rsid w:val="00D33A9B"/>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85"/>
    <w:rsid w:val="00D46331"/>
    <w:rsid w:val="00D463C6"/>
    <w:rsid w:val="00D4674F"/>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42E"/>
    <w:rsid w:val="00D61945"/>
    <w:rsid w:val="00D61D1F"/>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0BE"/>
    <w:rsid w:val="00D72486"/>
    <w:rsid w:val="00D72770"/>
    <w:rsid w:val="00D72C77"/>
    <w:rsid w:val="00D72F59"/>
    <w:rsid w:val="00D732B1"/>
    <w:rsid w:val="00D7337A"/>
    <w:rsid w:val="00D73520"/>
    <w:rsid w:val="00D73616"/>
    <w:rsid w:val="00D73E18"/>
    <w:rsid w:val="00D74290"/>
    <w:rsid w:val="00D748EC"/>
    <w:rsid w:val="00D74D95"/>
    <w:rsid w:val="00D75074"/>
    <w:rsid w:val="00D75106"/>
    <w:rsid w:val="00D75495"/>
    <w:rsid w:val="00D75497"/>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E93"/>
    <w:rsid w:val="00D81EC9"/>
    <w:rsid w:val="00D831AD"/>
    <w:rsid w:val="00D8361A"/>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9A5"/>
    <w:rsid w:val="00DA0E2E"/>
    <w:rsid w:val="00DA1529"/>
    <w:rsid w:val="00DA160B"/>
    <w:rsid w:val="00DA2054"/>
    <w:rsid w:val="00DA22FE"/>
    <w:rsid w:val="00DA25BD"/>
    <w:rsid w:val="00DA2D11"/>
    <w:rsid w:val="00DA2DD9"/>
    <w:rsid w:val="00DA2E64"/>
    <w:rsid w:val="00DA2EDA"/>
    <w:rsid w:val="00DA3339"/>
    <w:rsid w:val="00DA380C"/>
    <w:rsid w:val="00DA4757"/>
    <w:rsid w:val="00DA4DBB"/>
    <w:rsid w:val="00DA518F"/>
    <w:rsid w:val="00DA531D"/>
    <w:rsid w:val="00DA5733"/>
    <w:rsid w:val="00DA573C"/>
    <w:rsid w:val="00DA5854"/>
    <w:rsid w:val="00DA5E2F"/>
    <w:rsid w:val="00DA6522"/>
    <w:rsid w:val="00DA68BE"/>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59A"/>
    <w:rsid w:val="00DE17D6"/>
    <w:rsid w:val="00DE1B70"/>
    <w:rsid w:val="00DE1D65"/>
    <w:rsid w:val="00DE1F27"/>
    <w:rsid w:val="00DE1FF3"/>
    <w:rsid w:val="00DE219A"/>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566"/>
    <w:rsid w:val="00DF0604"/>
    <w:rsid w:val="00DF0D47"/>
    <w:rsid w:val="00DF0E52"/>
    <w:rsid w:val="00DF108E"/>
    <w:rsid w:val="00DF1E52"/>
    <w:rsid w:val="00DF2440"/>
    <w:rsid w:val="00DF380E"/>
    <w:rsid w:val="00DF39F6"/>
    <w:rsid w:val="00DF3C0D"/>
    <w:rsid w:val="00DF405F"/>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C8E"/>
    <w:rsid w:val="00E00EDF"/>
    <w:rsid w:val="00E01658"/>
    <w:rsid w:val="00E01B91"/>
    <w:rsid w:val="00E01E46"/>
    <w:rsid w:val="00E021E3"/>
    <w:rsid w:val="00E025CC"/>
    <w:rsid w:val="00E02840"/>
    <w:rsid w:val="00E02DC6"/>
    <w:rsid w:val="00E02ED8"/>
    <w:rsid w:val="00E032B0"/>
    <w:rsid w:val="00E03E36"/>
    <w:rsid w:val="00E043CC"/>
    <w:rsid w:val="00E04407"/>
    <w:rsid w:val="00E05374"/>
    <w:rsid w:val="00E053E5"/>
    <w:rsid w:val="00E054FF"/>
    <w:rsid w:val="00E056F2"/>
    <w:rsid w:val="00E05BB7"/>
    <w:rsid w:val="00E05D16"/>
    <w:rsid w:val="00E05FC8"/>
    <w:rsid w:val="00E05FEB"/>
    <w:rsid w:val="00E062D8"/>
    <w:rsid w:val="00E066A0"/>
    <w:rsid w:val="00E0671D"/>
    <w:rsid w:val="00E07497"/>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BE0"/>
    <w:rsid w:val="00E15DCC"/>
    <w:rsid w:val="00E161B3"/>
    <w:rsid w:val="00E165D1"/>
    <w:rsid w:val="00E1693C"/>
    <w:rsid w:val="00E16F47"/>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F9"/>
    <w:rsid w:val="00E32A08"/>
    <w:rsid w:val="00E32CE5"/>
    <w:rsid w:val="00E332C4"/>
    <w:rsid w:val="00E33948"/>
    <w:rsid w:val="00E33AB4"/>
    <w:rsid w:val="00E33B49"/>
    <w:rsid w:val="00E33B8A"/>
    <w:rsid w:val="00E33DC3"/>
    <w:rsid w:val="00E340A2"/>
    <w:rsid w:val="00E34736"/>
    <w:rsid w:val="00E34A9C"/>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5E6"/>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178"/>
    <w:rsid w:val="00EA743A"/>
    <w:rsid w:val="00EA75AB"/>
    <w:rsid w:val="00EA77CA"/>
    <w:rsid w:val="00EA7893"/>
    <w:rsid w:val="00EA7AA4"/>
    <w:rsid w:val="00EA7F25"/>
    <w:rsid w:val="00EB0297"/>
    <w:rsid w:val="00EB077E"/>
    <w:rsid w:val="00EB1C9A"/>
    <w:rsid w:val="00EB21F8"/>
    <w:rsid w:val="00EB2360"/>
    <w:rsid w:val="00EB2851"/>
    <w:rsid w:val="00EB4B44"/>
    <w:rsid w:val="00EB50ED"/>
    <w:rsid w:val="00EB583A"/>
    <w:rsid w:val="00EB5FD2"/>
    <w:rsid w:val="00EB61C4"/>
    <w:rsid w:val="00EB63B4"/>
    <w:rsid w:val="00EB6841"/>
    <w:rsid w:val="00EB6A52"/>
    <w:rsid w:val="00EB6AE1"/>
    <w:rsid w:val="00EB6F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B8"/>
    <w:rsid w:val="00EF0292"/>
    <w:rsid w:val="00EF02B8"/>
    <w:rsid w:val="00EF0D0F"/>
    <w:rsid w:val="00EF157E"/>
    <w:rsid w:val="00EF170A"/>
    <w:rsid w:val="00EF1E7D"/>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F2F"/>
    <w:rsid w:val="00F1505F"/>
    <w:rsid w:val="00F1520D"/>
    <w:rsid w:val="00F1534D"/>
    <w:rsid w:val="00F15AA0"/>
    <w:rsid w:val="00F16018"/>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87F"/>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F7"/>
    <w:rsid w:val="00F30813"/>
    <w:rsid w:val="00F30849"/>
    <w:rsid w:val="00F30EA3"/>
    <w:rsid w:val="00F30F09"/>
    <w:rsid w:val="00F315DB"/>
    <w:rsid w:val="00F31694"/>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870"/>
    <w:rsid w:val="00F408B7"/>
    <w:rsid w:val="00F415CC"/>
    <w:rsid w:val="00F41633"/>
    <w:rsid w:val="00F42183"/>
    <w:rsid w:val="00F42374"/>
    <w:rsid w:val="00F42CE0"/>
    <w:rsid w:val="00F43593"/>
    <w:rsid w:val="00F436E7"/>
    <w:rsid w:val="00F43A12"/>
    <w:rsid w:val="00F43EFA"/>
    <w:rsid w:val="00F4425D"/>
    <w:rsid w:val="00F445C9"/>
    <w:rsid w:val="00F4508F"/>
    <w:rsid w:val="00F45236"/>
    <w:rsid w:val="00F4528D"/>
    <w:rsid w:val="00F463FE"/>
    <w:rsid w:val="00F46AC3"/>
    <w:rsid w:val="00F46E4F"/>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BA6"/>
    <w:rsid w:val="00F57F23"/>
    <w:rsid w:val="00F6075A"/>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696"/>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B81"/>
    <w:rsid w:val="00F77D3F"/>
    <w:rsid w:val="00F817E4"/>
    <w:rsid w:val="00F818C3"/>
    <w:rsid w:val="00F81A71"/>
    <w:rsid w:val="00F8285E"/>
    <w:rsid w:val="00F833BA"/>
    <w:rsid w:val="00F84123"/>
    <w:rsid w:val="00F84987"/>
    <w:rsid w:val="00F84A4D"/>
    <w:rsid w:val="00F84B15"/>
    <w:rsid w:val="00F8521F"/>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AC2"/>
    <w:rsid w:val="00F97BD4"/>
    <w:rsid w:val="00F97C86"/>
    <w:rsid w:val="00F97F72"/>
    <w:rsid w:val="00FA11D6"/>
    <w:rsid w:val="00FA135E"/>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780"/>
    <w:rsid w:val="00FD4A59"/>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260"/>
    <w:rsid w:val="00FE19FB"/>
    <w:rsid w:val="00FE1D4F"/>
    <w:rsid w:val="00FE21CF"/>
    <w:rsid w:val="00FE2436"/>
    <w:rsid w:val="00FE26DE"/>
    <w:rsid w:val="00FE2D8B"/>
    <w:rsid w:val="00FE2E11"/>
    <w:rsid w:val="00FE33A4"/>
    <w:rsid w:val="00FE375C"/>
    <w:rsid w:val="00FE4C4E"/>
    <w:rsid w:val="00FE5BA2"/>
    <w:rsid w:val="00FE6C16"/>
    <w:rsid w:val="00FE6EF4"/>
    <w:rsid w:val="00FE72EF"/>
    <w:rsid w:val="00FE74DD"/>
    <w:rsid w:val="00FE7ACF"/>
    <w:rsid w:val="00FE7D00"/>
    <w:rsid w:val="00FE7E51"/>
    <w:rsid w:val="00FE7E72"/>
    <w:rsid w:val="00FF0280"/>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15:docId w15:val="{EC892817-3B72-4836-9764-CC1F448E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 Type="http://schemas.openxmlformats.org/officeDocument/2006/relationships/numbering" Target="numbering.xml"/><Relationship Id="rId16" Type="http://schemas.openxmlformats.org/officeDocument/2006/relationships/hyperlink" Target="mailto:mirjana.bandur@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jasminka.mil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tesi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usacbi\Desktop\Plate\2014\Jul\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IndustrijskaProiz_OKTOBAR_2013_GRAFIK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jul%202014\za%20Graf%20I-VII%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VII</c:v>
                  </c:pt>
                  <c:pt idx="1">
                    <c:v>VIII</c:v>
                  </c:pt>
                  <c:pt idx="2">
                    <c:v>IX</c:v>
                  </c:pt>
                  <c:pt idx="3">
                    <c:v>X</c:v>
                  </c:pt>
                  <c:pt idx="4">
                    <c:v>XI</c:v>
                  </c:pt>
                  <c:pt idx="5">
                    <c:v>XII</c:v>
                  </c:pt>
                  <c:pt idx="6">
                    <c:v>I</c:v>
                  </c:pt>
                  <c:pt idx="7">
                    <c:v>II</c:v>
                  </c:pt>
                  <c:pt idx="8">
                    <c:v>III</c:v>
                  </c:pt>
                  <c:pt idx="9">
                    <c:v>IV</c:v>
                  </c:pt>
                  <c:pt idx="10">
                    <c:v>V</c:v>
                  </c:pt>
                  <c:pt idx="11">
                    <c:v>VI</c:v>
                  </c:pt>
                  <c:pt idx="12">
                    <c:v>VII</c:v>
                  </c:pt>
                </c:lvl>
                <c:lvl>
                  <c:pt idx="0">
                    <c:v>2013</c:v>
                  </c:pt>
                  <c:pt idx="6">
                    <c:v>2014</c:v>
                  </c:pt>
                </c:lvl>
              </c:multiLvlStrCache>
            </c:multiLvlStrRef>
          </c:cat>
          <c:val>
            <c:numRef>
              <c:f>'graf 2'!$C$1:$C$13</c:f>
              <c:numCache>
                <c:formatCode>0</c:formatCode>
                <c:ptCount val="13"/>
                <c:pt idx="0">
                  <c:v>803</c:v>
                </c:pt>
                <c:pt idx="1">
                  <c:v>811</c:v>
                </c:pt>
                <c:pt idx="2">
                  <c:v>813</c:v>
                </c:pt>
                <c:pt idx="3">
                  <c:v>808</c:v>
                </c:pt>
                <c:pt idx="4">
                  <c:v>811</c:v>
                </c:pt>
                <c:pt idx="5">
                  <c:v>820</c:v>
                </c:pt>
                <c:pt idx="6">
                  <c:v>810</c:v>
                </c:pt>
                <c:pt idx="7">
                  <c:v>822</c:v>
                </c:pt>
                <c:pt idx="8">
                  <c:v>815</c:v>
                </c:pt>
                <c:pt idx="9">
                  <c:v>821</c:v>
                </c:pt>
                <c:pt idx="10">
                  <c:v>818</c:v>
                </c:pt>
                <c:pt idx="11">
                  <c:v>837</c:v>
                </c:pt>
                <c:pt idx="12">
                  <c:v>830</c:v>
                </c:pt>
              </c:numCache>
            </c:numRef>
          </c:val>
          <c:smooth val="0"/>
        </c:ser>
        <c:dLbls>
          <c:showLegendKey val="0"/>
          <c:showVal val="0"/>
          <c:showCatName val="0"/>
          <c:showSerName val="0"/>
          <c:showPercent val="0"/>
          <c:showBubbleSize val="0"/>
        </c:dLbls>
        <c:smooth val="0"/>
        <c:axId val="208919808"/>
        <c:axId val="208934304"/>
      </c:lineChart>
      <c:catAx>
        <c:axId val="208919808"/>
        <c:scaling>
          <c:orientation val="minMax"/>
        </c:scaling>
        <c:delete val="0"/>
        <c:axPos val="b"/>
        <c:majorGridlines>
          <c:spPr>
            <a:ln w="3175"/>
          </c:spPr>
        </c:majorGridlines>
        <c:minorGridlines/>
        <c:numFmt formatCode="General" sourceLinked="0"/>
        <c:majorTickMark val="out"/>
        <c:minorTickMark val="none"/>
        <c:tickLblPos val="nextTo"/>
        <c:txPr>
          <a:bodyPr/>
          <a:lstStyle/>
          <a:p>
            <a:pPr>
              <a:defRPr sz="800">
                <a:latin typeface="Arial Narrow" pitchFamily="34" charset="0"/>
              </a:defRPr>
            </a:pPr>
            <a:endParaRPr lang="en-US"/>
          </a:p>
        </c:txPr>
        <c:crossAx val="208934304"/>
        <c:crosses val="autoZero"/>
        <c:auto val="1"/>
        <c:lblAlgn val="ctr"/>
        <c:lblOffset val="100"/>
        <c:noMultiLvlLbl val="0"/>
      </c:catAx>
      <c:valAx>
        <c:axId val="208934304"/>
        <c:scaling>
          <c:orientation val="minMax"/>
          <c:max val="900"/>
          <c:min val="600"/>
        </c:scaling>
        <c:delete val="0"/>
        <c:axPos val="l"/>
        <c:majorGridlines>
          <c:spPr>
            <a:ln w="3175"/>
          </c:spPr>
        </c:majorGridlines>
        <c:numFmt formatCode="0" sourceLinked="1"/>
        <c:majorTickMark val="out"/>
        <c:minorTickMark val="none"/>
        <c:tickLblPos val="nextTo"/>
        <c:txPr>
          <a:bodyPr/>
          <a:lstStyle/>
          <a:p>
            <a:pPr>
              <a:defRPr sz="800">
                <a:latin typeface="Arial Narrow" pitchFamily="34" charset="0"/>
              </a:defRPr>
            </a:pPr>
            <a:endParaRPr lang="en-US"/>
          </a:p>
        </c:txPr>
        <c:crossAx val="20891980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VII</c:v>
                  </c:pt>
                  <c:pt idx="1">
                    <c:v>VIII</c:v>
                  </c:pt>
                  <c:pt idx="2">
                    <c:v>IX</c:v>
                  </c:pt>
                  <c:pt idx="3">
                    <c:v>X</c:v>
                  </c:pt>
                  <c:pt idx="4">
                    <c:v>XI</c:v>
                  </c:pt>
                  <c:pt idx="5">
                    <c:v>XII</c:v>
                  </c:pt>
                  <c:pt idx="6">
                    <c:v>I</c:v>
                  </c:pt>
                  <c:pt idx="7">
                    <c:v>II</c:v>
                  </c:pt>
                  <c:pt idx="8">
                    <c:v>III</c:v>
                  </c:pt>
                  <c:pt idx="9">
                    <c:v>IV</c:v>
                  </c:pt>
                  <c:pt idx="10">
                    <c:v>V</c:v>
                  </c:pt>
                  <c:pt idx="11">
                    <c:v>VI</c:v>
                  </c:pt>
                  <c:pt idx="12">
                    <c:v>VII</c:v>
                  </c:pt>
                  <c:pt idx="13">
                    <c:v>VIII</c:v>
                  </c:pt>
                  <c:pt idx="14">
                    <c:v>IX</c:v>
                  </c:pt>
                  <c:pt idx="15">
                    <c:v>X</c:v>
                  </c:pt>
                  <c:pt idx="16">
                    <c:v>XI</c:v>
                  </c:pt>
                  <c:pt idx="17">
                    <c:v>XII</c:v>
                  </c:pt>
                  <c:pt idx="18">
                    <c:v>I</c:v>
                  </c:pt>
                  <c:pt idx="19">
                    <c:v>II</c:v>
                  </c:pt>
                  <c:pt idx="20">
                    <c:v>III</c:v>
                  </c:pt>
                  <c:pt idx="21">
                    <c:v>IV</c:v>
                  </c:pt>
                  <c:pt idx="22">
                    <c:v>V</c:v>
                  </c:pt>
                  <c:pt idx="23">
                    <c:v>VI</c:v>
                  </c:pt>
                  <c:pt idx="24">
                    <c:v>VII</c:v>
                  </c:pt>
                  <c:pt idx="25">
                    <c:v>VIII</c:v>
                  </c:pt>
                  <c:pt idx="26">
                    <c:v>IX</c:v>
                  </c:pt>
                  <c:pt idx="27">
                    <c:v>X</c:v>
                  </c:pt>
                  <c:pt idx="28">
                    <c:v>XI</c:v>
                  </c:pt>
                  <c:pt idx="29">
                    <c:v>XII</c:v>
                  </c:pt>
                  <c:pt idx="30">
                    <c:v>I</c:v>
                  </c:pt>
                  <c:pt idx="31">
                    <c:v>II</c:v>
                  </c:pt>
                  <c:pt idx="32">
                    <c:v>III</c:v>
                  </c:pt>
                  <c:pt idx="33">
                    <c:v>IV</c:v>
                  </c:pt>
                  <c:pt idx="34">
                    <c:v>V</c:v>
                  </c:pt>
                  <c:pt idx="35">
                    <c:v>VI</c:v>
                  </c:pt>
                  <c:pt idx="36">
                    <c:v>VII</c:v>
                  </c:pt>
                  <c:pt idx="37">
                    <c:v>VIII</c:v>
                  </c:pt>
                  <c:pt idx="38">
                    <c:v>IX</c:v>
                  </c:pt>
                  <c:pt idx="39">
                    <c:v>X</c:v>
                  </c:pt>
                  <c:pt idx="40">
                    <c:v>XI</c:v>
                  </c:pt>
                  <c:pt idx="41">
                    <c:v>XII</c:v>
                  </c:pt>
                  <c:pt idx="42">
                    <c:v>I</c:v>
                  </c:pt>
                  <c:pt idx="43">
                    <c:v>II</c:v>
                  </c:pt>
                  <c:pt idx="44">
                    <c:v>III</c:v>
                  </c:pt>
                  <c:pt idx="45">
                    <c:v>IV</c:v>
                  </c:pt>
                  <c:pt idx="46">
                    <c:v>V</c:v>
                  </c:pt>
                  <c:pt idx="47">
                    <c:v>VI</c:v>
                  </c:pt>
                  <c:pt idx="48">
                    <c:v>VII</c:v>
                  </c:pt>
                </c:lvl>
                <c:lvl>
                  <c:pt idx="0">
                    <c:v>2010</c:v>
                  </c:pt>
                  <c:pt idx="6">
                    <c:v>2011</c:v>
                  </c:pt>
                  <c:pt idx="18">
                    <c:v>2012</c:v>
                  </c:pt>
                  <c:pt idx="30">
                    <c:v>2013</c:v>
                  </c:pt>
                  <c:pt idx="42">
                    <c:v>2014</c:v>
                  </c:pt>
                </c:lvl>
              </c:multiLvlStrCache>
            </c:multiLvlStrRef>
          </c:cat>
          <c:val>
            <c:numRef>
              <c:f>Sheet2!$C$2:$C$50</c:f>
              <c:numCache>
                <c:formatCode>General</c:formatCode>
                <c:ptCount val="49"/>
                <c:pt idx="0">
                  <c:v>91.427109047996296</c:v>
                </c:pt>
                <c:pt idx="1">
                  <c:v>98.191217964988724</c:v>
                </c:pt>
                <c:pt idx="2">
                  <c:v>98.72025465536079</c:v>
                </c:pt>
                <c:pt idx="3">
                  <c:v>98.195261441765297</c:v>
                </c:pt>
                <c:pt idx="4">
                  <c:v>102.01328210029195</c:v>
                </c:pt>
                <c:pt idx="5">
                  <c:v>104.15655736462352</c:v>
                </c:pt>
                <c:pt idx="6">
                  <c:v>107.24454467828133</c:v>
                </c:pt>
                <c:pt idx="7">
                  <c:v>101.68698256081655</c:v>
                </c:pt>
                <c:pt idx="8">
                  <c:v>103.50257253810668</c:v>
                </c:pt>
                <c:pt idx="9">
                  <c:v>100.86161280677071</c:v>
                </c:pt>
                <c:pt idx="10">
                  <c:v>103.67809168613846</c:v>
                </c:pt>
                <c:pt idx="11">
                  <c:v>105.75156306820463</c:v>
                </c:pt>
                <c:pt idx="12">
                  <c:v>110.34639248287786</c:v>
                </c:pt>
                <c:pt idx="13">
                  <c:v>107.47188993759228</c:v>
                </c:pt>
                <c:pt idx="14">
                  <c:v>99.426525552140944</c:v>
                </c:pt>
                <c:pt idx="15">
                  <c:v>104.46436475507841</c:v>
                </c:pt>
                <c:pt idx="16">
                  <c:v>103.48097822379565</c:v>
                </c:pt>
                <c:pt idx="17">
                  <c:v>100.02859690044141</c:v>
                </c:pt>
                <c:pt idx="18">
                  <c:v>102.46145446748474</c:v>
                </c:pt>
                <c:pt idx="19">
                  <c:v>97.701416806804218</c:v>
                </c:pt>
                <c:pt idx="20">
                  <c:v>101.23501276593197</c:v>
                </c:pt>
                <c:pt idx="21">
                  <c:v>101.25163055756089</c:v>
                </c:pt>
                <c:pt idx="22">
                  <c:v>99.731828423133194</c:v>
                </c:pt>
                <c:pt idx="23">
                  <c:v>99.819698597805214</c:v>
                </c:pt>
                <c:pt idx="24">
                  <c:v>93.42276869330361</c:v>
                </c:pt>
                <c:pt idx="25">
                  <c:v>98.796446984354546</c:v>
                </c:pt>
                <c:pt idx="26">
                  <c:v>106.27716686612001</c:v>
                </c:pt>
                <c:pt idx="27">
                  <c:v>100.96079041638718</c:v>
                </c:pt>
                <c:pt idx="28">
                  <c:v>99.090431099834248</c:v>
                </c:pt>
                <c:pt idx="29">
                  <c:v>101.40159382789133</c:v>
                </c:pt>
                <c:pt idx="30">
                  <c:v>101.07083112486198</c:v>
                </c:pt>
                <c:pt idx="31">
                  <c:v>101.44787444013807</c:v>
                </c:pt>
                <c:pt idx="32">
                  <c:v>100.50423885926675</c:v>
                </c:pt>
                <c:pt idx="33">
                  <c:v>109.01687271358004</c:v>
                </c:pt>
                <c:pt idx="34">
                  <c:v>103.64529226933297</c:v>
                </c:pt>
                <c:pt idx="35">
                  <c:v>104.99867523326147</c:v>
                </c:pt>
                <c:pt idx="36">
                  <c:v>110.38000935654063</c:v>
                </c:pt>
                <c:pt idx="37">
                  <c:v>104.67365169423364</c:v>
                </c:pt>
                <c:pt idx="38">
                  <c:v>101.500477107975</c:v>
                </c:pt>
                <c:pt idx="39">
                  <c:v>102.45627230737668</c:v>
                </c:pt>
                <c:pt idx="40">
                  <c:v>104.68868406236065</c:v>
                </c:pt>
                <c:pt idx="41">
                  <c:v>104.75493283043009</c:v>
                </c:pt>
                <c:pt idx="42">
                  <c:v>104.79337247768621</c:v>
                </c:pt>
                <c:pt idx="43">
                  <c:v>107.18921577953617</c:v>
                </c:pt>
                <c:pt idx="44">
                  <c:v>102.83734593892341</c:v>
                </c:pt>
                <c:pt idx="45">
                  <c:v>102.86031496482836</c:v>
                </c:pt>
                <c:pt idx="46">
                  <c:v>103.89860073624712</c:v>
                </c:pt>
                <c:pt idx="47">
                  <c:v>104.85170935788683</c:v>
                </c:pt>
                <c:pt idx="48">
                  <c:v>105.70106526852666</c:v>
                </c:pt>
              </c:numCache>
            </c:numRef>
          </c:val>
          <c:smooth val="0"/>
        </c:ser>
        <c:ser>
          <c:idx val="1"/>
          <c:order val="1"/>
          <c:tx>
            <c:strRef>
              <c:f>Sheet2!$D$1</c:f>
              <c:strCache>
                <c:ptCount val="1"/>
                <c:pt idx="0">
                  <c:v>Тренд индекси/
Trend indices</c:v>
                </c:pt>
              </c:strCache>
            </c:strRef>
          </c:tx>
          <c:marker>
            <c:symbol val="none"/>
          </c:marker>
          <c:cat>
            <c:multiLvlStrRef>
              <c:f>Sheet2!$A$2:$B$50</c:f>
              <c:multiLvlStrCache>
                <c:ptCount val="49"/>
                <c:lvl>
                  <c:pt idx="0">
                    <c:v>VII</c:v>
                  </c:pt>
                  <c:pt idx="1">
                    <c:v>VIII</c:v>
                  </c:pt>
                  <c:pt idx="2">
                    <c:v>IX</c:v>
                  </c:pt>
                  <c:pt idx="3">
                    <c:v>X</c:v>
                  </c:pt>
                  <c:pt idx="4">
                    <c:v>XI</c:v>
                  </c:pt>
                  <c:pt idx="5">
                    <c:v>XII</c:v>
                  </c:pt>
                  <c:pt idx="6">
                    <c:v>I</c:v>
                  </c:pt>
                  <c:pt idx="7">
                    <c:v>II</c:v>
                  </c:pt>
                  <c:pt idx="8">
                    <c:v>III</c:v>
                  </c:pt>
                  <c:pt idx="9">
                    <c:v>IV</c:v>
                  </c:pt>
                  <c:pt idx="10">
                    <c:v>V</c:v>
                  </c:pt>
                  <c:pt idx="11">
                    <c:v>VI</c:v>
                  </c:pt>
                  <c:pt idx="12">
                    <c:v>VII</c:v>
                  </c:pt>
                  <c:pt idx="13">
                    <c:v>VIII</c:v>
                  </c:pt>
                  <c:pt idx="14">
                    <c:v>IX</c:v>
                  </c:pt>
                  <c:pt idx="15">
                    <c:v>X</c:v>
                  </c:pt>
                  <c:pt idx="16">
                    <c:v>XI</c:v>
                  </c:pt>
                  <c:pt idx="17">
                    <c:v>XII</c:v>
                  </c:pt>
                  <c:pt idx="18">
                    <c:v>I</c:v>
                  </c:pt>
                  <c:pt idx="19">
                    <c:v>II</c:v>
                  </c:pt>
                  <c:pt idx="20">
                    <c:v>III</c:v>
                  </c:pt>
                  <c:pt idx="21">
                    <c:v>IV</c:v>
                  </c:pt>
                  <c:pt idx="22">
                    <c:v>V</c:v>
                  </c:pt>
                  <c:pt idx="23">
                    <c:v>VI</c:v>
                  </c:pt>
                  <c:pt idx="24">
                    <c:v>VII</c:v>
                  </c:pt>
                  <c:pt idx="25">
                    <c:v>VIII</c:v>
                  </c:pt>
                  <c:pt idx="26">
                    <c:v>IX</c:v>
                  </c:pt>
                  <c:pt idx="27">
                    <c:v>X</c:v>
                  </c:pt>
                  <c:pt idx="28">
                    <c:v>XI</c:v>
                  </c:pt>
                  <c:pt idx="29">
                    <c:v>XII</c:v>
                  </c:pt>
                  <c:pt idx="30">
                    <c:v>I</c:v>
                  </c:pt>
                  <c:pt idx="31">
                    <c:v>II</c:v>
                  </c:pt>
                  <c:pt idx="32">
                    <c:v>III</c:v>
                  </c:pt>
                  <c:pt idx="33">
                    <c:v>IV</c:v>
                  </c:pt>
                  <c:pt idx="34">
                    <c:v>V</c:v>
                  </c:pt>
                  <c:pt idx="35">
                    <c:v>VI</c:v>
                  </c:pt>
                  <c:pt idx="36">
                    <c:v>VII</c:v>
                  </c:pt>
                  <c:pt idx="37">
                    <c:v>VIII</c:v>
                  </c:pt>
                  <c:pt idx="38">
                    <c:v>IX</c:v>
                  </c:pt>
                  <c:pt idx="39">
                    <c:v>X</c:v>
                  </c:pt>
                  <c:pt idx="40">
                    <c:v>XI</c:v>
                  </c:pt>
                  <c:pt idx="41">
                    <c:v>XII</c:v>
                  </c:pt>
                  <c:pt idx="42">
                    <c:v>I</c:v>
                  </c:pt>
                  <c:pt idx="43">
                    <c:v>II</c:v>
                  </c:pt>
                  <c:pt idx="44">
                    <c:v>III</c:v>
                  </c:pt>
                  <c:pt idx="45">
                    <c:v>IV</c:v>
                  </c:pt>
                  <c:pt idx="46">
                    <c:v>V</c:v>
                  </c:pt>
                  <c:pt idx="47">
                    <c:v>VI</c:v>
                  </c:pt>
                  <c:pt idx="48">
                    <c:v>VII</c:v>
                  </c:pt>
                </c:lvl>
                <c:lvl>
                  <c:pt idx="0">
                    <c:v>2010</c:v>
                  </c:pt>
                  <c:pt idx="6">
                    <c:v>2011</c:v>
                  </c:pt>
                  <c:pt idx="18">
                    <c:v>2012</c:v>
                  </c:pt>
                  <c:pt idx="30">
                    <c:v>2013</c:v>
                  </c:pt>
                  <c:pt idx="42">
                    <c:v>2014</c:v>
                  </c:pt>
                </c:lvl>
              </c:multiLvlStrCache>
            </c:multiLvlStrRef>
          </c:cat>
          <c:val>
            <c:numRef>
              <c:f>Sheet2!$D$2:$D$50</c:f>
              <c:numCache>
                <c:formatCode>General</c:formatCode>
                <c:ptCount val="49"/>
                <c:pt idx="0">
                  <c:v>98.717496188336327</c:v>
                </c:pt>
                <c:pt idx="1">
                  <c:v>99.145885328171858</c:v>
                </c:pt>
                <c:pt idx="2">
                  <c:v>99.645096244137633</c:v>
                </c:pt>
                <c:pt idx="3">
                  <c:v>100.17621287047633</c:v>
                </c:pt>
                <c:pt idx="4">
                  <c:v>100.76331336303036</c:v>
                </c:pt>
                <c:pt idx="5">
                  <c:v>101.32542051629805</c:v>
                </c:pt>
                <c:pt idx="6">
                  <c:v>101.75585061513115</c:v>
                </c:pt>
                <c:pt idx="7">
                  <c:v>102.03780005753755</c:v>
                </c:pt>
                <c:pt idx="8">
                  <c:v>102.27470152305077</c:v>
                </c:pt>
                <c:pt idx="9">
                  <c:v>102.50577796674715</c:v>
                </c:pt>
                <c:pt idx="10">
                  <c:v>102.75355024503082</c:v>
                </c:pt>
                <c:pt idx="11">
                  <c:v>102.98466034765973</c:v>
                </c:pt>
                <c:pt idx="12">
                  <c:v>103.09001782929296</c:v>
                </c:pt>
                <c:pt idx="13">
                  <c:v>102.94887168110617</c:v>
                </c:pt>
                <c:pt idx="14">
                  <c:v>102.66955414678179</c:v>
                </c:pt>
                <c:pt idx="15">
                  <c:v>102.45019048598255</c:v>
                </c:pt>
                <c:pt idx="16">
                  <c:v>102.18839014545733</c:v>
                </c:pt>
                <c:pt idx="17">
                  <c:v>101.88580345083454</c:v>
                </c:pt>
                <c:pt idx="18">
                  <c:v>101.61541035507454</c:v>
                </c:pt>
                <c:pt idx="19">
                  <c:v>101.36439285333435</c:v>
                </c:pt>
                <c:pt idx="20">
                  <c:v>101.20193580820732</c:v>
                </c:pt>
                <c:pt idx="21">
                  <c:v>101.06667130403405</c:v>
                </c:pt>
                <c:pt idx="22">
                  <c:v>100.92923501616355</c:v>
                </c:pt>
                <c:pt idx="23">
                  <c:v>100.819806277997</c:v>
                </c:pt>
                <c:pt idx="24">
                  <c:v>100.79245821103081</c:v>
                </c:pt>
                <c:pt idx="25">
                  <c:v>101.00296516451571</c:v>
                </c:pt>
                <c:pt idx="26">
                  <c:v>101.29725638991</c:v>
                </c:pt>
                <c:pt idx="27">
                  <c:v>101.45996817264312</c:v>
                </c:pt>
                <c:pt idx="28">
                  <c:v>101.62556475858557</c:v>
                </c:pt>
                <c:pt idx="29">
                  <c:v>101.87878154588152</c:v>
                </c:pt>
                <c:pt idx="30">
                  <c:v>102.17176634543891</c:v>
                </c:pt>
                <c:pt idx="31">
                  <c:v>102.48980169289229</c:v>
                </c:pt>
                <c:pt idx="32">
                  <c:v>102.88269583104734</c:v>
                </c:pt>
                <c:pt idx="33">
                  <c:v>103.3058142735068</c:v>
                </c:pt>
                <c:pt idx="34">
                  <c:v>103.60114321165128</c:v>
                </c:pt>
                <c:pt idx="35">
                  <c:v>103.85746588882458</c:v>
                </c:pt>
                <c:pt idx="36">
                  <c:v>104.06447334030302</c:v>
                </c:pt>
                <c:pt idx="37">
                  <c:v>104.08762477412877</c:v>
                </c:pt>
                <c:pt idx="38">
                  <c:v>104.07236397274258</c:v>
                </c:pt>
                <c:pt idx="39">
                  <c:v>104.1515446494861</c:v>
                </c:pt>
                <c:pt idx="40">
                  <c:v>104.2915567321114</c:v>
                </c:pt>
                <c:pt idx="41">
                  <c:v>104.42542429271451</c:v>
                </c:pt>
                <c:pt idx="42">
                  <c:v>104.55572292036553</c:v>
                </c:pt>
                <c:pt idx="43">
                  <c:v>104.66046335403261</c:v>
                </c:pt>
                <c:pt idx="44">
                  <c:v>104.711811708281</c:v>
                </c:pt>
                <c:pt idx="45">
                  <c:v>104.80974418000483</c:v>
                </c:pt>
                <c:pt idx="46">
                  <c:v>104.9915189442099</c:v>
                </c:pt>
                <c:pt idx="47">
                  <c:v>105.21551799541773</c:v>
                </c:pt>
                <c:pt idx="48">
                  <c:v>105.45819460824698</c:v>
                </c:pt>
              </c:numCache>
            </c:numRef>
          </c:val>
          <c:smooth val="0"/>
        </c:ser>
        <c:dLbls>
          <c:showLegendKey val="0"/>
          <c:showVal val="0"/>
          <c:showCatName val="0"/>
          <c:showSerName val="0"/>
          <c:showPercent val="0"/>
          <c:showBubbleSize val="0"/>
        </c:dLbls>
        <c:smooth val="0"/>
        <c:axId val="208888224"/>
        <c:axId val="208888608"/>
      </c:lineChart>
      <c:catAx>
        <c:axId val="208888224"/>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600">
                <a:latin typeface="Arial Narrow" pitchFamily="34" charset="0"/>
                <a:ea typeface="Tahoma" pitchFamily="34" charset="0"/>
                <a:cs typeface="Tahoma" pitchFamily="34" charset="0"/>
              </a:defRPr>
            </a:pPr>
            <a:endParaRPr lang="en-US"/>
          </a:p>
        </c:txPr>
        <c:crossAx val="208888608"/>
        <c:crosses val="autoZero"/>
        <c:auto val="1"/>
        <c:lblAlgn val="ctr"/>
        <c:lblOffset val="100"/>
        <c:noMultiLvlLbl val="0"/>
      </c:catAx>
      <c:valAx>
        <c:axId val="208888608"/>
        <c:scaling>
          <c:orientation val="minMax"/>
          <c:max val="115"/>
          <c:min val="80"/>
        </c:scaling>
        <c:delete val="0"/>
        <c:axPos val="l"/>
        <c:majorGridlines>
          <c:spPr>
            <a:ln w="6350">
              <a:solidFill>
                <a:schemeClr val="bg1">
                  <a:lumMod val="65000"/>
                </a:schemeClr>
              </a:solidFill>
            </a:ln>
          </c:spPr>
        </c:majorGridlines>
        <c:numFmt formatCode="General" sourceLinked="1"/>
        <c:majorTickMark val="out"/>
        <c:minorTickMark val="none"/>
        <c:tickLblPos val="nextTo"/>
        <c:spPr>
          <a:ln w="6350">
            <a:solidFill>
              <a:schemeClr val="bg1">
                <a:lumMod val="50000"/>
              </a:schemeClr>
            </a:solidFill>
          </a:ln>
        </c:spPr>
        <c:txPr>
          <a:bodyPr/>
          <a:lstStyle/>
          <a:p>
            <a:pPr>
              <a:defRPr sz="700">
                <a:latin typeface="Arial Narrow" pitchFamily="34" charset="0"/>
                <a:ea typeface="Tahoma" pitchFamily="34" charset="0"/>
                <a:cs typeface="Tahoma" pitchFamily="34" charset="0"/>
              </a:defRPr>
            </a:pPr>
            <a:endParaRPr lang="en-US"/>
          </a:p>
        </c:txPr>
        <c:crossAx val="208888224"/>
        <c:crosses val="autoZero"/>
        <c:crossBetween val="between"/>
        <c:majorUnit val="5"/>
      </c:valAx>
      <c:spPr>
        <a:noFill/>
        <a:ln w="6350">
          <a:solidFill>
            <a:schemeClr val="bg1">
              <a:lumMod val="65000"/>
            </a:schemeClr>
          </a:solidFill>
        </a:ln>
      </c:spPr>
    </c:plotArea>
    <c:legend>
      <c:legendPos val="b"/>
      <c:layout/>
      <c:overlay val="0"/>
      <c:txPr>
        <a:bodyPr/>
        <a:lstStyle/>
        <a:p>
          <a:pPr>
            <a:defRPr sz="800">
              <a:latin typeface="Arial Narrow" pitchFamily="34" charset="0"/>
              <a:ea typeface="Tahoma" pitchFamily="34" charset="0"/>
              <a:cs typeface="Tahoma"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67503223824943703"/>
          <c:h val="0.8326195683872849"/>
        </c:manualLayout>
      </c:layout>
      <c:lineChart>
        <c:grouping val="standard"/>
        <c:varyColors val="0"/>
        <c:ser>
          <c:idx val="0"/>
          <c:order val="0"/>
          <c:tx>
            <c:strRef>
              <c:f>zaJul2014!$A$2</c:f>
              <c:strCache>
                <c:ptCount val="1"/>
                <c:pt idx="0">
                  <c:v>увоз                   </c:v>
                </c:pt>
              </c:strCache>
            </c:strRef>
          </c:tx>
          <c:marker>
            <c:symbol val="none"/>
          </c:marker>
          <c:cat>
            <c:strRef>
              <c:f>zaJul2014!$B$1:$N$1</c:f>
              <c:strCache>
                <c:ptCount val="13"/>
                <c:pt idx="0">
                  <c:v>VII</c:v>
                </c:pt>
                <c:pt idx="1">
                  <c:v>VIII</c:v>
                </c:pt>
                <c:pt idx="2">
                  <c:v>IX</c:v>
                </c:pt>
                <c:pt idx="3">
                  <c:v>X</c:v>
                </c:pt>
                <c:pt idx="4">
                  <c:v>XI</c:v>
                </c:pt>
                <c:pt idx="5">
                  <c:v>XII</c:v>
                </c:pt>
                <c:pt idx="6">
                  <c:v>I</c:v>
                </c:pt>
                <c:pt idx="7">
                  <c:v>II</c:v>
                </c:pt>
                <c:pt idx="8">
                  <c:v>III</c:v>
                </c:pt>
                <c:pt idx="9">
                  <c:v>IV</c:v>
                </c:pt>
                <c:pt idx="10">
                  <c:v>V</c:v>
                </c:pt>
                <c:pt idx="11">
                  <c:v>VI</c:v>
                </c:pt>
                <c:pt idx="12">
                  <c:v>VII</c:v>
                </c:pt>
              </c:strCache>
            </c:strRef>
          </c:cat>
          <c:val>
            <c:numRef>
              <c:f>zaJul2014!$B$2:$N$2</c:f>
              <c:numCache>
                <c:formatCode>General</c:formatCode>
                <c:ptCount val="13"/>
                <c:pt idx="0">
                  <c:v>400481</c:v>
                </c:pt>
                <c:pt idx="1">
                  <c:v>385911</c:v>
                </c:pt>
                <c:pt idx="2">
                  <c:v>390579</c:v>
                </c:pt>
                <c:pt idx="3">
                  <c:v>454480</c:v>
                </c:pt>
                <c:pt idx="4">
                  <c:v>424992</c:v>
                </c:pt>
                <c:pt idx="5">
                  <c:v>391993</c:v>
                </c:pt>
                <c:pt idx="6">
                  <c:v>251909</c:v>
                </c:pt>
                <c:pt idx="7">
                  <c:v>427058</c:v>
                </c:pt>
                <c:pt idx="8">
                  <c:v>422482</c:v>
                </c:pt>
                <c:pt idx="9">
                  <c:v>348992</c:v>
                </c:pt>
                <c:pt idx="10">
                  <c:v>431234</c:v>
                </c:pt>
                <c:pt idx="11">
                  <c:v>415372</c:v>
                </c:pt>
                <c:pt idx="12">
                  <c:v>414200</c:v>
                </c:pt>
              </c:numCache>
            </c:numRef>
          </c:val>
          <c:smooth val="0"/>
        </c:ser>
        <c:ser>
          <c:idx val="1"/>
          <c:order val="1"/>
          <c:tx>
            <c:strRef>
              <c:f>zaJul2014!$A$3</c:f>
              <c:strCache>
                <c:ptCount val="1"/>
                <c:pt idx="0">
                  <c:v>извоз</c:v>
                </c:pt>
              </c:strCache>
            </c:strRef>
          </c:tx>
          <c:marker>
            <c:symbol val="none"/>
          </c:marker>
          <c:cat>
            <c:strRef>
              <c:f>zaJul2014!$B$1:$N$1</c:f>
              <c:strCache>
                <c:ptCount val="13"/>
                <c:pt idx="0">
                  <c:v>VII</c:v>
                </c:pt>
                <c:pt idx="1">
                  <c:v>VIII</c:v>
                </c:pt>
                <c:pt idx="2">
                  <c:v>IX</c:v>
                </c:pt>
                <c:pt idx="3">
                  <c:v>X</c:v>
                </c:pt>
                <c:pt idx="4">
                  <c:v>XI</c:v>
                </c:pt>
                <c:pt idx="5">
                  <c:v>XII</c:v>
                </c:pt>
                <c:pt idx="6">
                  <c:v>I</c:v>
                </c:pt>
                <c:pt idx="7">
                  <c:v>II</c:v>
                </c:pt>
                <c:pt idx="8">
                  <c:v>III</c:v>
                </c:pt>
                <c:pt idx="9">
                  <c:v>IV</c:v>
                </c:pt>
                <c:pt idx="10">
                  <c:v>V</c:v>
                </c:pt>
                <c:pt idx="11">
                  <c:v>VI</c:v>
                </c:pt>
                <c:pt idx="12">
                  <c:v>VII</c:v>
                </c:pt>
              </c:strCache>
            </c:strRef>
          </c:cat>
          <c:val>
            <c:numRef>
              <c:f>zaJul2014!$B$3:$N$3</c:f>
              <c:numCache>
                <c:formatCode>General</c:formatCode>
                <c:ptCount val="13"/>
                <c:pt idx="0">
                  <c:v>242098</c:v>
                </c:pt>
                <c:pt idx="1">
                  <c:v>199427</c:v>
                </c:pt>
                <c:pt idx="2">
                  <c:v>230912</c:v>
                </c:pt>
                <c:pt idx="3">
                  <c:v>221870</c:v>
                </c:pt>
                <c:pt idx="4">
                  <c:v>231500</c:v>
                </c:pt>
                <c:pt idx="5">
                  <c:v>222497</c:v>
                </c:pt>
                <c:pt idx="6">
                  <c:v>196950</c:v>
                </c:pt>
                <c:pt idx="7">
                  <c:v>211260</c:v>
                </c:pt>
                <c:pt idx="8">
                  <c:v>231286</c:v>
                </c:pt>
                <c:pt idx="9">
                  <c:v>219922</c:v>
                </c:pt>
                <c:pt idx="10">
                  <c:v>204593</c:v>
                </c:pt>
                <c:pt idx="11">
                  <c:v>244235</c:v>
                </c:pt>
                <c:pt idx="12">
                  <c:v>260767</c:v>
                </c:pt>
              </c:numCache>
            </c:numRef>
          </c:val>
          <c:smooth val="0"/>
        </c:ser>
        <c:dLbls>
          <c:showLegendKey val="0"/>
          <c:showVal val="0"/>
          <c:showCatName val="0"/>
          <c:showSerName val="0"/>
          <c:showPercent val="0"/>
          <c:showBubbleSize val="0"/>
        </c:dLbls>
        <c:smooth val="0"/>
        <c:axId val="208798608"/>
        <c:axId val="209029912"/>
      </c:lineChart>
      <c:catAx>
        <c:axId val="208798608"/>
        <c:scaling>
          <c:orientation val="minMax"/>
        </c:scaling>
        <c:delete val="0"/>
        <c:axPos val="b"/>
        <c:majorGridlines>
          <c:spPr>
            <a:ln w="3175"/>
          </c:spPr>
        </c:majorGridlines>
        <c:minorGridlines/>
        <c:numFmt formatCode="General" sourceLinked="0"/>
        <c:majorTickMark val="out"/>
        <c:minorTickMark val="none"/>
        <c:tickLblPos val="nextTo"/>
        <c:txPr>
          <a:bodyPr/>
          <a:lstStyle/>
          <a:p>
            <a:pPr>
              <a:defRPr sz="800">
                <a:latin typeface="Arial Narrow" pitchFamily="34" charset="0"/>
              </a:defRPr>
            </a:pPr>
            <a:endParaRPr lang="en-US"/>
          </a:p>
        </c:txPr>
        <c:crossAx val="209029912"/>
        <c:crosses val="autoZero"/>
        <c:auto val="1"/>
        <c:lblAlgn val="ctr"/>
        <c:lblOffset val="100"/>
        <c:noMultiLvlLbl val="0"/>
      </c:catAx>
      <c:valAx>
        <c:axId val="209029912"/>
        <c:scaling>
          <c:orientation val="minMax"/>
        </c:scaling>
        <c:delete val="0"/>
        <c:axPos val="l"/>
        <c:majorGridlines>
          <c:spPr>
            <a:ln w="3175"/>
          </c:spPr>
        </c:majorGridlines>
        <c:numFmt formatCode="#,##0" sourceLinked="0"/>
        <c:majorTickMark val="out"/>
        <c:minorTickMark val="none"/>
        <c:tickLblPos val="nextTo"/>
        <c:txPr>
          <a:bodyPr/>
          <a:lstStyle/>
          <a:p>
            <a:pPr>
              <a:defRPr sz="800">
                <a:latin typeface="Arial Narrow" pitchFamily="34" charset="0"/>
              </a:defRPr>
            </a:pPr>
            <a:endParaRPr lang="en-US"/>
          </a:p>
        </c:txPr>
        <c:crossAx val="208798608"/>
        <c:crosses val="autoZero"/>
        <c:crossBetween val="between"/>
      </c:valAx>
    </c:plotArea>
    <c:legend>
      <c:legendPos val="r"/>
      <c:layout>
        <c:manualLayout>
          <c:xMode val="edge"/>
          <c:yMode val="edge"/>
          <c:x val="0.83345917376765999"/>
          <c:y val="0.34220861281228737"/>
          <c:w val="0.16230180131593139"/>
          <c:h val="0.1901782832701468"/>
        </c:manualLayout>
      </c:layout>
      <c:overlay val="0"/>
      <c:txPr>
        <a:bodyPr/>
        <a:lstStyle/>
        <a:p>
          <a:pPr>
            <a:defRPr sz="800">
              <a:latin typeface="Arial Narrow" pitchFamily="34" charset="0"/>
            </a:defRPr>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0.89016</cdr:x>
      <cdr:y>0.34814</cdr:y>
    </cdr:from>
    <cdr:to>
      <cdr:x>1</cdr:x>
      <cdr:y>0.43424</cdr:y>
    </cdr:to>
    <cdr:sp macro="" textlink="">
      <cdr:nvSpPr>
        <cdr:cNvPr id="2" name="TextBox 1"/>
        <cdr:cNvSpPr txBox="1"/>
      </cdr:nvSpPr>
      <cdr:spPr>
        <a:xfrm xmlns:a="http://schemas.openxmlformats.org/drawingml/2006/main">
          <a:off x="4034439" y="885825"/>
          <a:ext cx="497804" cy="219074"/>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import</a:t>
          </a:r>
        </a:p>
      </cdr:txBody>
    </cdr:sp>
  </cdr:relSizeAnchor>
  <cdr:relSizeAnchor xmlns:cdr="http://schemas.openxmlformats.org/drawingml/2006/chartDrawing">
    <cdr:from>
      <cdr:x>0.89191</cdr:x>
      <cdr:y>0.44173</cdr:y>
    </cdr:from>
    <cdr:to>
      <cdr:x>1</cdr:x>
      <cdr:y>0.54344</cdr:y>
    </cdr:to>
    <cdr:sp macro="" textlink="">
      <cdr:nvSpPr>
        <cdr:cNvPr id="3" name="TextBox 1"/>
        <cdr:cNvSpPr txBox="1"/>
      </cdr:nvSpPr>
      <cdr:spPr>
        <a:xfrm xmlns:a="http://schemas.openxmlformats.org/drawingml/2006/main">
          <a:off x="4042746" y="1123950"/>
          <a:ext cx="489884" cy="25877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DCF14-7F53-45BB-A7A1-29D9E8F8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12304</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Vladan Sibinovic</cp:lastModifiedBy>
  <cp:revision>223</cp:revision>
  <cp:lastPrinted>2014-07-21T12:04:00Z</cp:lastPrinted>
  <dcterms:created xsi:type="dcterms:W3CDTF">2014-03-14T12:01:00Z</dcterms:created>
  <dcterms:modified xsi:type="dcterms:W3CDTF">2014-08-21T10:44:00Z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