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1225F9" w:rsidRPr="001225F9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1225F9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1225F9">
              <w:rPr>
                <w:rFonts w:ascii="Tahoma" w:hAnsi="Tahoma" w:cs="Tahoma"/>
              </w:rPr>
              <w:br w:type="column"/>
            </w:r>
            <w:r w:rsidRPr="001225F9">
              <w:rPr>
                <w:rFonts w:ascii="Tahoma" w:hAnsi="Tahoma" w:cs="Tahoma"/>
              </w:rPr>
              <w:br w:type="column"/>
            </w:r>
            <w:r w:rsidRPr="001225F9">
              <w:rPr>
                <w:rFonts w:ascii="Tahoma" w:hAnsi="Tahoma" w:cs="Tahoma"/>
              </w:rPr>
              <w:br w:type="page"/>
            </w:r>
            <w:r w:rsidRPr="001225F9">
              <w:rPr>
                <w:rFonts w:ascii="Tahoma" w:hAnsi="Tahoma" w:cs="Tahoma"/>
              </w:rPr>
              <w:br w:type="page"/>
            </w:r>
            <w:r w:rsidR="008B47D1" w:rsidRPr="001225F9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5779" cy="685800"/>
                  <wp:effectExtent l="19050" t="0" r="2221" b="0"/>
                  <wp:docPr id="2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vi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162" cy="68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074F6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1225F9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1225F9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1225F9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1225F9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1225F9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5074F6" w:rsidRDefault="009E65CB" w:rsidP="00384405">
            <w:pPr>
              <w:ind w:left="113"/>
              <w:outlineLvl w:val="0"/>
              <w:rPr>
                <w:rFonts w:ascii="Tahoma" w:hAnsi="Tahoma" w:cs="Tahoma"/>
                <w:color w:val="4F81BD" w:themeColor="accent1"/>
                <w:sz w:val="16"/>
                <w:lang w:val="bs-Latn-BA"/>
              </w:rPr>
            </w:pPr>
            <w:r>
              <w:rPr>
                <w:rFonts w:ascii="Tahoma" w:hAnsi="Tahoma" w:cs="Tahoma"/>
                <w:color w:val="4F81BD" w:themeColor="accent1"/>
                <w:sz w:val="16"/>
              </w:rPr>
              <w:t xml:space="preserve">             </w:t>
            </w:r>
            <w:r w:rsidR="00A975F3" w:rsidRPr="005074F6">
              <w:rPr>
                <w:rFonts w:ascii="Tahoma" w:hAnsi="Tahoma" w:cs="Tahoma"/>
                <w:color w:val="4F81BD" w:themeColor="accent1"/>
                <w:sz w:val="16"/>
                <w:lang w:val="sr-Cyrl-BA"/>
              </w:rPr>
              <w:t>2</w:t>
            </w:r>
            <w:r w:rsidR="001225F9" w:rsidRPr="005074F6">
              <w:rPr>
                <w:rFonts w:ascii="Tahoma" w:hAnsi="Tahoma" w:cs="Tahoma"/>
                <w:color w:val="4F81BD" w:themeColor="accent1"/>
                <w:sz w:val="16"/>
                <w:lang w:val="sr-Cyrl-BA"/>
              </w:rPr>
              <w:t>2</w:t>
            </w:r>
            <w:r w:rsidR="00A975F3" w:rsidRPr="005074F6">
              <w:rPr>
                <w:rFonts w:ascii="Tahoma" w:hAnsi="Tahoma" w:cs="Tahoma"/>
                <w:color w:val="4F81BD" w:themeColor="accent1"/>
                <w:sz w:val="16"/>
                <w:lang w:val="bs-Cyrl-BA"/>
              </w:rPr>
              <w:t xml:space="preserve">. </w:t>
            </w:r>
            <w:r w:rsidR="00C836A7" w:rsidRPr="005074F6">
              <w:rPr>
                <w:rFonts w:ascii="Tahoma" w:hAnsi="Tahoma" w:cs="Tahoma"/>
                <w:color w:val="4F81BD" w:themeColor="accent1"/>
                <w:sz w:val="16"/>
                <w:lang w:val="bs-Cyrl-BA"/>
              </w:rPr>
              <w:t>мај</w:t>
            </w:r>
            <w:r w:rsidR="00A975F3" w:rsidRPr="005074F6">
              <w:rPr>
                <w:rFonts w:ascii="Tahoma" w:hAnsi="Tahoma" w:cs="Tahoma"/>
                <w:color w:val="4F81BD" w:themeColor="accent1"/>
                <w:sz w:val="16"/>
                <w:lang w:val="sr-Cyrl-CS"/>
              </w:rPr>
              <w:t xml:space="preserve"> </w:t>
            </w:r>
            <w:r w:rsidR="00A15386" w:rsidRPr="005074F6">
              <w:rPr>
                <w:rFonts w:ascii="Tahoma" w:hAnsi="Tahoma" w:cs="Tahoma"/>
                <w:color w:val="4F81BD" w:themeColor="accent1"/>
                <w:sz w:val="16"/>
                <w:lang w:val="sr-Cyrl-BA"/>
              </w:rPr>
              <w:t>2013</w:t>
            </w:r>
            <w:r w:rsidR="00A975F3" w:rsidRPr="005074F6">
              <w:rPr>
                <w:rFonts w:ascii="Tahoma" w:hAnsi="Tahoma" w:cs="Tahoma"/>
                <w:color w:val="4F81BD" w:themeColor="accent1"/>
                <w:sz w:val="16"/>
                <w:lang w:val="sr-Cyrl-BA"/>
              </w:rPr>
              <w:t xml:space="preserve">.   </w:t>
            </w:r>
            <w:r w:rsidR="00384405" w:rsidRPr="005074F6">
              <w:rPr>
                <w:rFonts w:ascii="Tahoma" w:hAnsi="Tahoma" w:cs="Tahoma"/>
                <w:b/>
                <w:color w:val="4F81BD" w:themeColor="accent1"/>
                <w:sz w:val="32"/>
                <w:szCs w:val="32"/>
                <w:lang w:val="sr-Latn-CS"/>
              </w:rPr>
              <w:t>5</w:t>
            </w:r>
            <w:r w:rsidR="00A975F3" w:rsidRPr="005074F6">
              <w:rPr>
                <w:rFonts w:ascii="Tahoma" w:hAnsi="Tahoma" w:cs="Tahoma"/>
                <w:b/>
                <w:color w:val="4F81BD" w:themeColor="accent1"/>
                <w:sz w:val="32"/>
                <w:szCs w:val="32"/>
                <w:lang w:val="sr-Cyrl-BA"/>
              </w:rPr>
              <w:t>/1</w:t>
            </w:r>
            <w:r w:rsidR="00A15386" w:rsidRPr="005074F6">
              <w:rPr>
                <w:rFonts w:ascii="Tahoma" w:hAnsi="Tahoma" w:cs="Tahoma"/>
                <w:b/>
                <w:color w:val="4F81BD" w:themeColor="accent1"/>
                <w:sz w:val="32"/>
                <w:szCs w:val="32"/>
                <w:lang w:val="sr-Cyrl-CS"/>
              </w:rPr>
              <w:t>3</w:t>
            </w:r>
            <w:r w:rsidR="00A975F3" w:rsidRPr="005074F6">
              <w:rPr>
                <w:rFonts w:ascii="Tahoma" w:hAnsi="Tahoma" w:cs="Tahoma"/>
                <w:color w:val="4F81BD" w:themeColor="accent1"/>
                <w:sz w:val="16"/>
                <w:lang w:val="sr-Cyrl-BA"/>
              </w:rPr>
              <w:t xml:space="preserve"> </w:t>
            </w:r>
          </w:p>
        </w:tc>
      </w:tr>
      <w:tr w:rsidR="001225F9" w:rsidRPr="001225F9" w:rsidTr="005074F6">
        <w:trPr>
          <w:cantSplit/>
        </w:trPr>
        <w:tc>
          <w:tcPr>
            <w:tcW w:w="5251" w:type="dxa"/>
            <w:vAlign w:val="center"/>
          </w:tcPr>
          <w:p w:rsidR="005D5311" w:rsidRPr="001225F9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1225F9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1225F9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1225F9" w:rsidRPr="001225F9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4E7827" w:rsidRDefault="00C836A7" w:rsidP="00CD3349">
            <w:pPr>
              <w:jc w:val="center"/>
              <w:outlineLvl w:val="0"/>
              <w:rPr>
                <w:rFonts w:ascii="Tahoma" w:hAnsi="Tahoma" w:cs="Tahoma"/>
                <w:b/>
                <w:color w:val="FFFFFF" w:themeColor="background1"/>
                <w:sz w:val="32"/>
                <w:szCs w:val="32"/>
                <w:lang w:val="sr-Cyrl-BA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sr-Cyrl-CS"/>
              </w:rPr>
              <w:t>мај</w:t>
            </w:r>
            <w:r w:rsidR="007E158B" w:rsidRPr="004E7827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sr-Cyrl-CS"/>
              </w:rPr>
              <w:t xml:space="preserve"> </w:t>
            </w:r>
            <w:r w:rsidR="00AC7674" w:rsidRPr="004E7827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ru-RU"/>
              </w:rPr>
              <w:t>2013</w:t>
            </w:r>
            <w:r w:rsidR="002F5E38" w:rsidRPr="004E7827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ru-RU"/>
              </w:rPr>
              <w:t>. године</w:t>
            </w:r>
          </w:p>
        </w:tc>
      </w:tr>
      <w:tr w:rsidR="001225F9" w:rsidRPr="001225F9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4E7827" w:rsidRDefault="008728B3" w:rsidP="00EF319F">
            <w:pPr>
              <w:jc w:val="center"/>
              <w:rPr>
                <w:rFonts w:ascii="Tahoma" w:hAnsi="Tahoma" w:cs="Tahoma"/>
                <w:color w:val="FFFFFF" w:themeColor="background1"/>
                <w:sz w:val="24"/>
                <w:szCs w:val="24"/>
                <w:lang w:val="sr-Cyrl-BA"/>
              </w:rPr>
            </w:pPr>
            <w:r w:rsidRPr="004E7827">
              <w:rPr>
                <w:rFonts w:ascii="Tahoma" w:hAnsi="Tahoma" w:cs="Tahoma"/>
                <w:bCs/>
                <w:color w:val="FFFFFF" w:themeColor="background1"/>
                <w:spacing w:val="30"/>
                <w:sz w:val="24"/>
                <w:szCs w:val="24"/>
                <w:lang w:val="ru-RU"/>
              </w:rPr>
              <w:t>САОПШТЕЊЕ ЗА МЕДИЈЕ</w:t>
            </w:r>
          </w:p>
        </w:tc>
      </w:tr>
    </w:tbl>
    <w:p w:rsidR="00E526BF" w:rsidRPr="00D35CD4" w:rsidRDefault="00E526BF" w:rsidP="00E526BF">
      <w:pPr>
        <w:rPr>
          <w:rFonts w:ascii="Tahoma" w:hAnsi="Tahoma" w:cs="Tahoma"/>
          <w:lang w:val="sr-Cyrl-CS" w:eastAsia="sr-Latn-BA"/>
        </w:rPr>
      </w:pPr>
    </w:p>
    <w:p w:rsidR="00D35CD4" w:rsidRPr="003E0BC7" w:rsidRDefault="00D35CD4" w:rsidP="00D35CD4">
      <w:pPr>
        <w:jc w:val="both"/>
        <w:rPr>
          <w:rFonts w:ascii="Tahoma" w:hAnsi="Tahoma" w:cs="Tahoma"/>
          <w:b/>
          <w:sz w:val="28"/>
          <w:szCs w:val="28"/>
          <w:lang w:val="sr-Cyrl-BA"/>
        </w:rPr>
      </w:pPr>
      <w:r w:rsidRPr="003E0BC7">
        <w:rPr>
          <w:rFonts w:ascii="Tahoma" w:hAnsi="Tahoma" w:cs="Tahoma"/>
          <w:b/>
          <w:sz w:val="28"/>
          <w:szCs w:val="28"/>
          <w:lang w:val="sr-Cyrl-BA"/>
        </w:rPr>
        <w:t>Најпрофитабилнија предузећа у 201</w:t>
      </w:r>
      <w:r w:rsidRPr="003E0BC7">
        <w:rPr>
          <w:rFonts w:ascii="Tahoma" w:hAnsi="Tahoma" w:cs="Tahoma"/>
          <w:b/>
          <w:sz w:val="28"/>
          <w:szCs w:val="28"/>
          <w:lang w:val="bs-Latn-BA"/>
        </w:rPr>
        <w:t>1</w:t>
      </w:r>
      <w:r w:rsidRPr="003E0BC7">
        <w:rPr>
          <w:rFonts w:ascii="Tahoma" w:hAnsi="Tahoma" w:cs="Tahoma"/>
          <w:b/>
          <w:sz w:val="28"/>
          <w:szCs w:val="28"/>
          <w:lang w:val="sr-Cyrl-BA"/>
        </w:rPr>
        <w:t xml:space="preserve">. послују у подручјима </w:t>
      </w:r>
      <w:r w:rsidRPr="003E0BC7">
        <w:rPr>
          <w:rFonts w:ascii="Tahoma" w:hAnsi="Tahoma" w:cs="Tahoma"/>
          <w:b/>
          <w:i/>
          <w:sz w:val="28"/>
          <w:szCs w:val="28"/>
          <w:lang w:val="sr-Cyrl-BA"/>
        </w:rPr>
        <w:t>Пословање некретнинама, Вађење руда и камена</w:t>
      </w:r>
      <w:r w:rsidRPr="003E0BC7">
        <w:rPr>
          <w:rFonts w:ascii="Tahoma" w:hAnsi="Tahoma" w:cs="Tahoma"/>
          <w:b/>
          <w:sz w:val="28"/>
          <w:szCs w:val="28"/>
          <w:lang w:val="sr-Cyrl-BA"/>
        </w:rPr>
        <w:t xml:space="preserve"> и </w:t>
      </w:r>
      <w:r w:rsidRPr="003E0BC7">
        <w:rPr>
          <w:rFonts w:ascii="Tahoma" w:hAnsi="Tahoma" w:cs="Tahoma"/>
          <w:b/>
          <w:i/>
          <w:sz w:val="28"/>
          <w:szCs w:val="28"/>
          <w:lang w:val="sr-Cyrl-BA"/>
        </w:rPr>
        <w:t>Производња и снабдијевање електричном енергијом</w:t>
      </w:r>
    </w:p>
    <w:p w:rsidR="00D35CD4" w:rsidRPr="005C4D9D" w:rsidRDefault="00D35CD4" w:rsidP="00D35CD4">
      <w:pPr>
        <w:jc w:val="both"/>
        <w:rPr>
          <w:rFonts w:ascii="Tahoma" w:hAnsi="Tahoma" w:cs="Tahoma"/>
          <w:sz w:val="26"/>
          <w:szCs w:val="26"/>
          <w:lang w:val="sr-Cyrl-BA"/>
        </w:rPr>
      </w:pPr>
      <w:r w:rsidRPr="005C4D9D">
        <w:rPr>
          <w:rFonts w:ascii="Tahoma" w:hAnsi="Tahoma" w:cs="Tahoma"/>
          <w:sz w:val="26"/>
          <w:szCs w:val="26"/>
          <w:lang w:val="sr-Cyrl-BA"/>
        </w:rPr>
        <w:t xml:space="preserve">Највећа продуктивност рада остварује се у </w:t>
      </w:r>
      <w:r w:rsidRPr="005C4D9D">
        <w:rPr>
          <w:rFonts w:ascii="Tahoma" w:hAnsi="Tahoma" w:cs="Tahoma"/>
          <w:i/>
          <w:sz w:val="26"/>
          <w:szCs w:val="26"/>
          <w:lang w:val="sr-Cyrl-BA"/>
        </w:rPr>
        <w:t>Пословању некретнинама</w:t>
      </w:r>
      <w:r w:rsidRPr="005C4D9D">
        <w:rPr>
          <w:rFonts w:ascii="Tahoma" w:hAnsi="Tahoma" w:cs="Tahoma"/>
          <w:sz w:val="26"/>
          <w:szCs w:val="26"/>
          <w:lang w:val="sr-Cyrl-BA"/>
        </w:rPr>
        <w:t xml:space="preserve"> </w:t>
      </w:r>
    </w:p>
    <w:p w:rsidR="00D35CD4" w:rsidRPr="005C4D9D" w:rsidRDefault="00D35CD4" w:rsidP="00D35CD4">
      <w:pPr>
        <w:jc w:val="both"/>
        <w:rPr>
          <w:rFonts w:ascii="Tahoma" w:hAnsi="Tahoma" w:cs="Tahoma"/>
          <w:sz w:val="26"/>
          <w:szCs w:val="26"/>
        </w:rPr>
      </w:pPr>
    </w:p>
    <w:p w:rsidR="00D35CD4" w:rsidRDefault="00645A08" w:rsidP="00145B6B">
      <w:pPr>
        <w:jc w:val="both"/>
        <w:rPr>
          <w:rFonts w:ascii="Tahoma" w:eastAsia="Arial" w:hAnsi="Tahoma" w:cs="Tahoma"/>
        </w:rPr>
      </w:pPr>
      <w:r w:rsidRPr="003E0BC7">
        <w:rPr>
          <w:rFonts w:ascii="Tahoma" w:eastAsia="Arial" w:hAnsi="Tahoma" w:cs="Tahoma"/>
          <w:spacing w:val="1"/>
          <w:lang w:val="sr-Cyrl-BA"/>
        </w:rPr>
        <w:t xml:space="preserve">У 2011. години </w:t>
      </w:r>
      <w:r w:rsidR="00D35CD4" w:rsidRPr="003E0BC7">
        <w:rPr>
          <w:rFonts w:ascii="Tahoma" w:eastAsia="Arial" w:hAnsi="Tahoma" w:cs="Tahoma"/>
          <w:spacing w:val="1"/>
          <w:lang w:val="sr-Cyrl-BA"/>
        </w:rPr>
        <w:t xml:space="preserve">структура активних предузећа показује да је највише предузећа било је у подручју </w:t>
      </w:r>
      <w:r w:rsidR="00D35CD4" w:rsidRPr="003E0BC7">
        <w:rPr>
          <w:rFonts w:ascii="Tahoma" w:eastAsia="Arial" w:hAnsi="Tahoma" w:cs="Tahoma"/>
          <w:i/>
          <w:spacing w:val="1"/>
          <w:lang w:val="sr-Cyrl-BA"/>
        </w:rPr>
        <w:t>Трговина</w:t>
      </w:r>
      <w:r w:rsidR="00145B6B" w:rsidRPr="003E0BC7">
        <w:rPr>
          <w:rFonts w:ascii="Tahoma" w:eastAsia="Arial" w:hAnsi="Tahoma" w:cs="Tahoma"/>
          <w:spacing w:val="1"/>
          <w:lang w:val="sr-Latn-CS"/>
        </w:rPr>
        <w:t xml:space="preserve"> </w:t>
      </w:r>
      <w:r w:rsidR="00D35CD4" w:rsidRPr="003E0BC7">
        <w:rPr>
          <w:rFonts w:ascii="Tahoma" w:eastAsia="Arial" w:hAnsi="Tahoma" w:cs="Tahoma"/>
          <w:spacing w:val="1"/>
          <w:lang w:val="sr-Cyrl-BA"/>
        </w:rPr>
        <w:t xml:space="preserve">(49,2%), а најмање у подручју </w:t>
      </w:r>
      <w:r w:rsidR="00D35CD4" w:rsidRPr="003E0BC7">
        <w:rPr>
          <w:rFonts w:ascii="Tahoma" w:eastAsia="Arial" w:hAnsi="Tahoma" w:cs="Tahoma"/>
          <w:i/>
          <w:lang w:val="sr-Cyrl-BA"/>
        </w:rPr>
        <w:t>Производња и снабдијевање електричном енергијом</w:t>
      </w:r>
      <w:r w:rsidR="00145B6B" w:rsidRPr="003E0BC7">
        <w:rPr>
          <w:rFonts w:ascii="Tahoma" w:eastAsia="Arial" w:hAnsi="Tahoma" w:cs="Tahoma"/>
          <w:lang w:val="sr-Cyrl-BA"/>
        </w:rPr>
        <w:t xml:space="preserve"> (0,9%)</w:t>
      </w:r>
      <w:r w:rsidR="00145B6B" w:rsidRPr="003E0BC7">
        <w:rPr>
          <w:rFonts w:ascii="Tahoma" w:eastAsia="Arial" w:hAnsi="Tahoma" w:cs="Tahoma"/>
          <w:lang w:val="sr-Latn-CS"/>
        </w:rPr>
        <w:t>,</w:t>
      </w:r>
      <w:r w:rsidR="00D35CD4" w:rsidRPr="003E0BC7">
        <w:rPr>
          <w:rFonts w:ascii="Tahoma" w:eastAsia="Arial" w:hAnsi="Tahoma" w:cs="Tahoma"/>
          <w:lang w:val="sr-Cyrl-BA"/>
        </w:rPr>
        <w:t xml:space="preserve"> док структура броја запослених показује да је највише запослених било у индустриј</w:t>
      </w:r>
      <w:r w:rsidR="00F7625A" w:rsidRPr="003E0BC7">
        <w:rPr>
          <w:rFonts w:ascii="Tahoma" w:eastAsia="Arial" w:hAnsi="Tahoma" w:cs="Tahoma"/>
          <w:lang w:val="sr-Cyrl-BA"/>
        </w:rPr>
        <w:t>с</w:t>
      </w:r>
      <w:r w:rsidR="00D35CD4" w:rsidRPr="003E0BC7">
        <w:rPr>
          <w:rFonts w:ascii="Tahoma" w:eastAsia="Arial" w:hAnsi="Tahoma" w:cs="Tahoma"/>
          <w:lang w:val="sr-Cyrl-BA"/>
        </w:rPr>
        <w:t xml:space="preserve">ким дјелатностима (51,8%), затим у </w:t>
      </w:r>
      <w:r w:rsidR="00D35CD4" w:rsidRPr="003E0BC7">
        <w:rPr>
          <w:rFonts w:ascii="Tahoma" w:eastAsia="Arial" w:hAnsi="Tahoma" w:cs="Tahoma"/>
          <w:i/>
          <w:lang w:val="sr-Cyrl-BA"/>
        </w:rPr>
        <w:t>Трговини</w:t>
      </w:r>
      <w:r w:rsidR="00D35CD4" w:rsidRPr="003E0BC7">
        <w:rPr>
          <w:rFonts w:ascii="Tahoma" w:eastAsia="Arial" w:hAnsi="Tahoma" w:cs="Tahoma"/>
          <w:lang w:val="sr-Cyrl-BA"/>
        </w:rPr>
        <w:t xml:space="preserve"> (25,9%), услужним дјелатностима (12,2%) и у </w:t>
      </w:r>
      <w:r w:rsidR="00D35CD4" w:rsidRPr="003E0BC7">
        <w:rPr>
          <w:rFonts w:ascii="Tahoma" w:eastAsia="Arial" w:hAnsi="Tahoma" w:cs="Tahoma"/>
          <w:i/>
          <w:lang w:val="sr-Cyrl-BA"/>
        </w:rPr>
        <w:t>Грађевинарству</w:t>
      </w:r>
      <w:r w:rsidR="00D35CD4" w:rsidRPr="003E0BC7">
        <w:rPr>
          <w:rFonts w:ascii="Tahoma" w:eastAsia="Arial" w:hAnsi="Tahoma" w:cs="Tahoma"/>
          <w:lang w:val="sr-Cyrl-BA"/>
        </w:rPr>
        <w:t xml:space="preserve"> (10,1%).</w:t>
      </w:r>
    </w:p>
    <w:p w:rsidR="009E65CB" w:rsidRPr="009E65CB" w:rsidRDefault="009E65CB" w:rsidP="00145B6B">
      <w:pPr>
        <w:jc w:val="both"/>
        <w:rPr>
          <w:rFonts w:ascii="Tahoma" w:eastAsia="Arial" w:hAnsi="Tahoma" w:cs="Tahoma"/>
        </w:rPr>
      </w:pPr>
    </w:p>
    <w:p w:rsidR="00D35CD4" w:rsidRDefault="00D35CD4" w:rsidP="00145B6B">
      <w:pPr>
        <w:jc w:val="both"/>
        <w:rPr>
          <w:rFonts w:ascii="Tahoma" w:eastAsia="Arial" w:hAnsi="Tahoma" w:cs="Tahoma"/>
        </w:rPr>
      </w:pPr>
      <w:r w:rsidRPr="003E0BC7">
        <w:rPr>
          <w:rFonts w:ascii="Tahoma" w:eastAsia="Arial" w:hAnsi="Tahoma" w:cs="Tahoma"/>
          <w:spacing w:val="1"/>
          <w:lang w:val="sr-Cyrl-BA"/>
        </w:rPr>
        <w:t xml:space="preserve">Највећа </w:t>
      </w:r>
      <w:r w:rsidRPr="003E0BC7">
        <w:rPr>
          <w:rFonts w:ascii="Tahoma" w:eastAsia="Arial" w:hAnsi="Tahoma" w:cs="Tahoma"/>
          <w:lang w:val="sr-Cyrl-BA"/>
        </w:rPr>
        <w:t>продуктивност рада</w:t>
      </w:r>
      <w:r w:rsidRPr="003E0BC7">
        <w:rPr>
          <w:rFonts w:ascii="Tahoma" w:eastAsia="Arial" w:hAnsi="Tahoma" w:cs="Tahoma"/>
        </w:rPr>
        <w:t xml:space="preserve">, </w:t>
      </w:r>
      <w:r w:rsidRPr="003E0BC7">
        <w:rPr>
          <w:rFonts w:ascii="Tahoma" w:eastAsia="Arial" w:hAnsi="Tahoma" w:cs="Tahoma"/>
          <w:lang w:val="bs-Cyrl-BA"/>
        </w:rPr>
        <w:t>мјерена преко</w:t>
      </w:r>
      <w:r w:rsidRPr="003E0BC7">
        <w:rPr>
          <w:rFonts w:ascii="Tahoma" w:eastAsia="Arial" w:hAnsi="Tahoma" w:cs="Tahoma"/>
          <w:spacing w:val="1"/>
          <w:lang w:val="sr-Cyrl-BA"/>
        </w:rPr>
        <w:t xml:space="preserve"> додате вриједности по запосленом лицу, </w:t>
      </w:r>
      <w:r w:rsidRPr="003E0BC7">
        <w:rPr>
          <w:rFonts w:ascii="Tahoma" w:eastAsia="Arial" w:hAnsi="Tahoma" w:cs="Tahoma"/>
          <w:lang w:val="sr-Cyrl-BA"/>
        </w:rPr>
        <w:t xml:space="preserve">остварена је у подручју </w:t>
      </w:r>
      <w:r w:rsidRPr="003E0BC7">
        <w:rPr>
          <w:rFonts w:ascii="Tahoma" w:eastAsia="Arial" w:hAnsi="Tahoma" w:cs="Tahoma"/>
          <w:i/>
          <w:lang w:val="sr-Cyrl-BA"/>
        </w:rPr>
        <w:t>Пословање некретнинама</w:t>
      </w:r>
      <w:r w:rsidRPr="003E0BC7">
        <w:rPr>
          <w:rFonts w:ascii="Tahoma" w:eastAsia="Arial" w:hAnsi="Tahoma" w:cs="Tahoma"/>
          <w:lang w:val="sr-Cyrl-BA"/>
        </w:rPr>
        <w:t xml:space="preserve"> 49</w:t>
      </w:r>
      <w:r w:rsidRPr="003E0BC7">
        <w:rPr>
          <w:rFonts w:ascii="Tahoma" w:eastAsia="Arial" w:hAnsi="Tahoma" w:cs="Tahoma"/>
          <w:lang w:val="bs-Cyrl-BA"/>
        </w:rPr>
        <w:t xml:space="preserve"> </w:t>
      </w:r>
      <w:r w:rsidRPr="003E0BC7">
        <w:rPr>
          <w:rFonts w:ascii="Tahoma" w:eastAsia="Arial" w:hAnsi="Tahoma" w:cs="Tahoma"/>
        </w:rPr>
        <w:t>233</w:t>
      </w:r>
      <w:r w:rsidRPr="003E0BC7">
        <w:rPr>
          <w:rFonts w:ascii="Tahoma" w:eastAsia="Arial" w:hAnsi="Tahoma" w:cs="Tahoma"/>
          <w:lang w:val="sr-Cyrl-BA"/>
        </w:rPr>
        <w:t xml:space="preserve"> КМ, затим у подручјима </w:t>
      </w:r>
      <w:r w:rsidRPr="003E0BC7">
        <w:rPr>
          <w:rFonts w:ascii="Tahoma" w:eastAsia="Arial" w:hAnsi="Tahoma" w:cs="Tahoma"/>
          <w:i/>
          <w:lang w:val="sr-Cyrl-BA"/>
        </w:rPr>
        <w:t>Производња и снабдијевање електричном енергијом</w:t>
      </w:r>
      <w:r w:rsidRPr="003E0BC7">
        <w:rPr>
          <w:rFonts w:ascii="Tahoma" w:eastAsia="Arial" w:hAnsi="Tahoma" w:cs="Tahoma"/>
          <w:lang w:val="sr-Cyrl-BA"/>
        </w:rPr>
        <w:t xml:space="preserve"> 47 27</w:t>
      </w:r>
      <w:r w:rsidRPr="003E0BC7">
        <w:rPr>
          <w:rFonts w:ascii="Tahoma" w:eastAsia="Arial" w:hAnsi="Tahoma" w:cs="Tahoma"/>
        </w:rPr>
        <w:t>4</w:t>
      </w:r>
      <w:r w:rsidRPr="003E0BC7">
        <w:rPr>
          <w:rFonts w:ascii="Tahoma" w:eastAsia="Arial" w:hAnsi="Tahoma" w:cs="Tahoma"/>
          <w:lang w:val="sr-Cyrl-BA"/>
        </w:rPr>
        <w:t xml:space="preserve"> КМ и </w:t>
      </w:r>
      <w:r w:rsidRPr="003E0BC7">
        <w:rPr>
          <w:rFonts w:ascii="Tahoma" w:eastAsia="Arial" w:hAnsi="Tahoma" w:cs="Tahoma"/>
          <w:i/>
          <w:lang w:val="sr-Cyrl-BA"/>
        </w:rPr>
        <w:t>Вађење руда и камена</w:t>
      </w:r>
      <w:r w:rsidRPr="003E0BC7">
        <w:rPr>
          <w:rFonts w:ascii="Tahoma" w:eastAsia="Arial" w:hAnsi="Tahoma" w:cs="Tahoma"/>
          <w:lang w:val="sr-Cyrl-BA"/>
        </w:rPr>
        <w:t xml:space="preserve"> 34 77</w:t>
      </w:r>
      <w:r w:rsidRPr="003E0BC7">
        <w:rPr>
          <w:rFonts w:ascii="Tahoma" w:eastAsia="Arial" w:hAnsi="Tahoma" w:cs="Tahoma"/>
        </w:rPr>
        <w:t>4</w:t>
      </w:r>
      <w:r w:rsidRPr="003E0BC7">
        <w:rPr>
          <w:rFonts w:ascii="Tahoma" w:eastAsia="Arial" w:hAnsi="Tahoma" w:cs="Tahoma"/>
          <w:lang w:val="sr-Cyrl-BA"/>
        </w:rPr>
        <w:t xml:space="preserve"> КМ. Најмању продуктивност имају предузећа из подручја </w:t>
      </w:r>
      <w:r w:rsidRPr="003E0BC7">
        <w:rPr>
          <w:rFonts w:ascii="Tahoma" w:eastAsia="Arial" w:hAnsi="Tahoma" w:cs="Tahoma"/>
          <w:i/>
          <w:lang w:val="sr-Cyrl-BA"/>
        </w:rPr>
        <w:t>Дјелатности пружања смјештаја, припреме и послуживања хране</w:t>
      </w:r>
      <w:r w:rsidRPr="003E0BC7">
        <w:rPr>
          <w:rFonts w:ascii="Tahoma" w:eastAsia="Arial" w:hAnsi="Tahoma" w:cs="Tahoma"/>
          <w:lang w:val="sr-Cyrl-BA"/>
        </w:rPr>
        <w:t xml:space="preserve"> 9 730 КМ и </w:t>
      </w:r>
      <w:r w:rsidRPr="003E0BC7">
        <w:rPr>
          <w:rFonts w:ascii="Tahoma" w:eastAsia="Arial" w:hAnsi="Tahoma" w:cs="Tahoma"/>
          <w:i/>
          <w:lang w:val="sr-Cyrl-BA"/>
        </w:rPr>
        <w:t>Прерађивачка индустрија</w:t>
      </w:r>
      <w:r w:rsidRPr="003E0BC7">
        <w:rPr>
          <w:rFonts w:ascii="Tahoma" w:eastAsia="Arial" w:hAnsi="Tahoma" w:cs="Tahoma"/>
          <w:lang w:val="sr-Cyrl-BA"/>
        </w:rPr>
        <w:t xml:space="preserve"> 16 493 КМ. Посматрано према величини предузећа, највећу продуктивност остварила су велика предузећа 26 031 КМ, а најмању средња предузећа 20 118 КМ.</w:t>
      </w:r>
    </w:p>
    <w:p w:rsidR="009E65CB" w:rsidRPr="009E65CB" w:rsidRDefault="009E65CB" w:rsidP="00145B6B">
      <w:pPr>
        <w:jc w:val="both"/>
        <w:rPr>
          <w:rFonts w:ascii="Tahoma" w:eastAsia="Arial" w:hAnsi="Tahoma" w:cs="Tahoma"/>
        </w:rPr>
      </w:pPr>
    </w:p>
    <w:p w:rsidR="00D35CD4" w:rsidRPr="003E0BC7" w:rsidRDefault="00D35CD4" w:rsidP="00145B6B">
      <w:pPr>
        <w:jc w:val="both"/>
        <w:rPr>
          <w:rFonts w:ascii="Tahoma" w:hAnsi="Tahoma" w:cs="Tahoma"/>
          <w:lang w:val="sr-Cyrl-BA"/>
        </w:rPr>
      </w:pPr>
      <w:r w:rsidRPr="003E0BC7">
        <w:rPr>
          <w:rFonts w:ascii="Tahoma" w:hAnsi="Tahoma" w:cs="Tahoma"/>
          <w:lang w:val="sr-Cyrl-BA"/>
        </w:rPr>
        <w:t>Просјечна стопа профитабилности нефинансијске пословне економије у Републици Српској у 2011. години износила је 7,5%, и већа је у односу на стопу профитабилности у 2010.</w:t>
      </w:r>
      <w:r w:rsidRPr="003E0BC7">
        <w:rPr>
          <w:rFonts w:ascii="Tahoma" w:hAnsi="Tahoma" w:cs="Tahoma"/>
        </w:rPr>
        <w:t xml:space="preserve"> </w:t>
      </w:r>
      <w:r w:rsidRPr="003E0BC7">
        <w:rPr>
          <w:rFonts w:ascii="Tahoma" w:hAnsi="Tahoma" w:cs="Tahoma"/>
          <w:lang w:val="sr-Cyrl-BA"/>
        </w:rPr>
        <w:t>години, која је износила 7,0%. Највећа стопа профитабилности, као показатељ зарађивачке способности и конкурентности предузећа, постигнута је у подручју</w:t>
      </w:r>
      <w:r w:rsidRPr="003E0BC7">
        <w:rPr>
          <w:rFonts w:ascii="Tahoma" w:eastAsia="Arial" w:hAnsi="Tahoma" w:cs="Tahoma"/>
          <w:lang w:val="sr-Cyrl-BA"/>
        </w:rPr>
        <w:t xml:space="preserve"> </w:t>
      </w:r>
      <w:r w:rsidRPr="003E0BC7">
        <w:rPr>
          <w:rFonts w:ascii="Tahoma" w:hAnsi="Tahoma" w:cs="Tahoma"/>
          <w:i/>
          <w:lang w:val="sr-Cyrl-BA"/>
        </w:rPr>
        <w:t>Пословање некретнинама</w:t>
      </w:r>
      <w:r w:rsidRPr="003E0BC7">
        <w:rPr>
          <w:rFonts w:ascii="Tahoma" w:hAnsi="Tahoma" w:cs="Tahoma"/>
          <w:lang w:val="sr-Cyrl-BA"/>
        </w:rPr>
        <w:t xml:space="preserve"> 33,8%, затим у подручју </w:t>
      </w:r>
      <w:r w:rsidRPr="003E0BC7">
        <w:rPr>
          <w:rFonts w:ascii="Tahoma" w:hAnsi="Tahoma" w:cs="Tahoma"/>
          <w:i/>
          <w:lang w:val="sr-Cyrl-BA"/>
        </w:rPr>
        <w:t>Вађење руда</w:t>
      </w:r>
      <w:r w:rsidRPr="003E0BC7">
        <w:rPr>
          <w:rFonts w:ascii="Tahoma" w:hAnsi="Tahoma" w:cs="Tahoma"/>
          <w:lang w:val="sr-Cyrl-BA"/>
        </w:rPr>
        <w:t xml:space="preserve"> </w:t>
      </w:r>
      <w:r w:rsidRPr="003E0BC7">
        <w:rPr>
          <w:rFonts w:ascii="Tahoma" w:hAnsi="Tahoma" w:cs="Tahoma"/>
          <w:i/>
          <w:lang w:val="sr-Cyrl-BA"/>
        </w:rPr>
        <w:t>и камена</w:t>
      </w:r>
      <w:r w:rsidRPr="003E0BC7">
        <w:rPr>
          <w:rFonts w:ascii="Tahoma" w:hAnsi="Tahoma" w:cs="Tahoma"/>
          <w:lang w:val="sr-Cyrl-BA"/>
        </w:rPr>
        <w:t xml:space="preserve"> 15,7% и у подручју</w:t>
      </w:r>
      <w:r w:rsidRPr="003E0BC7">
        <w:rPr>
          <w:rFonts w:ascii="Tahoma" w:eastAsia="Arial" w:hAnsi="Tahoma" w:cs="Tahoma"/>
          <w:lang w:val="sr-Cyrl-BA"/>
        </w:rPr>
        <w:t xml:space="preserve"> </w:t>
      </w:r>
      <w:r w:rsidRPr="003E0BC7">
        <w:rPr>
          <w:rFonts w:ascii="Tahoma" w:hAnsi="Tahoma" w:cs="Tahoma"/>
          <w:i/>
          <w:lang w:val="sr-Cyrl-BA"/>
        </w:rPr>
        <w:t>Производња и снабдијевање електричном енергијом</w:t>
      </w:r>
      <w:r w:rsidRPr="003E0BC7">
        <w:rPr>
          <w:rFonts w:ascii="Tahoma" w:hAnsi="Tahoma" w:cs="Tahoma"/>
          <w:lang w:val="sr-Cyrl-BA"/>
        </w:rPr>
        <w:t xml:space="preserve"> 15,4%. Најмању стопу профитабилности </w:t>
      </w:r>
      <w:r w:rsidRPr="003E0BC7">
        <w:rPr>
          <w:rFonts w:ascii="Tahoma" w:eastAsia="Arial" w:hAnsi="Tahoma" w:cs="Tahoma"/>
          <w:lang w:val="sr-Cyrl-BA"/>
        </w:rPr>
        <w:t xml:space="preserve">имају предузећа из подручја </w:t>
      </w:r>
      <w:r w:rsidRPr="003E0BC7">
        <w:rPr>
          <w:rFonts w:ascii="Tahoma" w:eastAsia="Arial" w:hAnsi="Tahoma" w:cs="Tahoma"/>
          <w:i/>
          <w:lang w:val="sr-Cyrl-BA"/>
        </w:rPr>
        <w:t>Дјелатности пружања смјештаја, припреме и послуживања хране</w:t>
      </w:r>
      <w:r w:rsidRPr="003E0BC7">
        <w:rPr>
          <w:rFonts w:ascii="Tahoma" w:eastAsia="Arial" w:hAnsi="Tahoma" w:cs="Tahoma"/>
          <w:lang w:val="sr-Cyrl-BA"/>
        </w:rPr>
        <w:t xml:space="preserve"> -2,7% и  </w:t>
      </w:r>
      <w:r w:rsidRPr="003E0BC7">
        <w:rPr>
          <w:rFonts w:ascii="Tahoma" w:eastAsia="Arial" w:hAnsi="Tahoma" w:cs="Tahoma"/>
          <w:i/>
          <w:lang w:val="sr-Cyrl-BA"/>
        </w:rPr>
        <w:t>Прерађивачка индустрија</w:t>
      </w:r>
      <w:r w:rsidRPr="003E0BC7">
        <w:rPr>
          <w:rFonts w:ascii="Tahoma" w:eastAsia="Arial" w:hAnsi="Tahoma" w:cs="Tahoma"/>
          <w:lang w:val="sr-Cyrl-BA"/>
        </w:rPr>
        <w:t xml:space="preserve"> 5,4%. Ако се подаци погледају према величини предузећа, н</w:t>
      </w:r>
      <w:r w:rsidR="00A363BE" w:rsidRPr="003E0BC7">
        <w:rPr>
          <w:rFonts w:ascii="Tahoma" w:eastAsia="Arial" w:hAnsi="Tahoma" w:cs="Tahoma"/>
          <w:lang w:val="sr-Latn-CS"/>
        </w:rPr>
        <w:t>a</w:t>
      </w:r>
      <w:r w:rsidRPr="003E0BC7">
        <w:rPr>
          <w:rFonts w:ascii="Tahoma" w:eastAsia="Arial" w:hAnsi="Tahoma" w:cs="Tahoma"/>
          <w:lang w:val="sr-Cyrl-BA"/>
        </w:rPr>
        <w:t>јпрофитабилнија су велика предузећа са стопом од 11,4%, а најмању стопу профитабилности имају средња предузећа 5,1%</w:t>
      </w:r>
    </w:p>
    <w:p w:rsidR="00D35CD4" w:rsidRDefault="00D35CD4" w:rsidP="00D35CD4">
      <w:pPr>
        <w:ind w:firstLine="720"/>
        <w:jc w:val="both"/>
        <w:rPr>
          <w:rFonts w:ascii="Tahoma" w:eastAsia="Arial" w:hAnsi="Tahoma" w:cs="Tahoma"/>
          <w:sz w:val="16"/>
          <w:szCs w:val="16"/>
        </w:rPr>
      </w:pPr>
    </w:p>
    <w:p w:rsidR="00D35CD4" w:rsidRDefault="00D35CD4" w:rsidP="00D35CD4">
      <w:pPr>
        <w:jc w:val="both"/>
        <w:rPr>
          <w:rStyle w:val="hps"/>
          <w:rFonts w:ascii="Arial" w:hAnsi="Arial" w:cs="Arial"/>
          <w:color w:val="333333"/>
          <w:sz w:val="18"/>
          <w:szCs w:val="18"/>
          <w:lang w:val="sr-Latn-CS"/>
        </w:rPr>
      </w:pPr>
    </w:p>
    <w:p w:rsidR="00D35CD4" w:rsidRDefault="00D35CD4" w:rsidP="00D35CD4">
      <w:pPr>
        <w:jc w:val="both"/>
        <w:rPr>
          <w:rFonts w:ascii="Tahoma" w:hAnsi="Tahoma" w:cs="Tahoma"/>
          <w:sz w:val="18"/>
          <w:szCs w:val="18"/>
          <w:lang w:val="sr-Cyrl-BA"/>
        </w:rPr>
      </w:pPr>
      <w:r w:rsidRPr="00B857D7">
        <w:rPr>
          <w:rFonts w:ascii="Tahoma" w:hAnsi="Tahoma" w:cs="Tahoma"/>
          <w:sz w:val="18"/>
          <w:szCs w:val="18"/>
          <w:lang w:val="sr-Cyrl-BA"/>
        </w:rPr>
        <w:t xml:space="preserve"> </w:t>
      </w:r>
    </w:p>
    <w:p w:rsidR="00D35CD4" w:rsidRPr="00AC0AD2" w:rsidRDefault="00D35CD4" w:rsidP="00D35CD4">
      <w:pPr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ab/>
      </w:r>
      <w:r w:rsidRPr="001852F9">
        <w:rPr>
          <w:rFonts w:ascii="Tahoma" w:hAnsi="Tahoma" w:cs="Tahoma"/>
          <w:noProof/>
          <w:sz w:val="18"/>
          <w:szCs w:val="18"/>
        </w:rPr>
        <w:drawing>
          <wp:inline distT="0" distB="0" distL="0" distR="0">
            <wp:extent cx="4800600" cy="1876425"/>
            <wp:effectExtent l="0" t="0" r="0" b="0"/>
            <wp:docPr id="6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27655" w:rsidRDefault="00027655" w:rsidP="00D35CD4">
      <w:pPr>
        <w:jc w:val="center"/>
        <w:rPr>
          <w:rFonts w:ascii="Tahoma" w:eastAsia="Arial" w:hAnsi="Tahoma" w:cs="Tahoma"/>
          <w:noProof/>
          <w:spacing w:val="1"/>
          <w:szCs w:val="16"/>
        </w:rPr>
      </w:pPr>
    </w:p>
    <w:p w:rsidR="00027655" w:rsidRDefault="00027655" w:rsidP="00D35CD4">
      <w:pPr>
        <w:jc w:val="center"/>
        <w:rPr>
          <w:rFonts w:ascii="Tahoma" w:eastAsia="Arial" w:hAnsi="Tahoma" w:cs="Tahoma"/>
          <w:noProof/>
          <w:spacing w:val="1"/>
          <w:szCs w:val="16"/>
        </w:rPr>
      </w:pPr>
    </w:p>
    <w:p w:rsidR="00D35CD4" w:rsidRPr="003E0BC7" w:rsidRDefault="00D35CD4" w:rsidP="00D35CD4">
      <w:pPr>
        <w:jc w:val="center"/>
        <w:rPr>
          <w:sz w:val="24"/>
        </w:rPr>
      </w:pPr>
      <w:r w:rsidRPr="003E0BC7">
        <w:rPr>
          <w:rFonts w:ascii="Tahoma" w:eastAsia="Arial" w:hAnsi="Tahoma" w:cs="Tahoma"/>
          <w:noProof/>
          <w:spacing w:val="1"/>
          <w:szCs w:val="16"/>
          <w:lang w:val="sr-Cyrl-BA"/>
        </w:rPr>
        <w:t>Г</w:t>
      </w:r>
      <w:r w:rsidRPr="003E0BC7">
        <w:rPr>
          <w:rFonts w:ascii="Tahoma" w:eastAsia="Arial" w:hAnsi="Tahoma" w:cs="Tahoma"/>
          <w:noProof/>
          <w:szCs w:val="16"/>
          <w:lang w:val="sr-Cyrl-BA"/>
        </w:rPr>
        <w:t xml:space="preserve">рафикон </w:t>
      </w:r>
      <w:r w:rsidRPr="003E0BC7">
        <w:rPr>
          <w:rFonts w:ascii="Tahoma" w:eastAsia="Arial" w:hAnsi="Tahoma" w:cs="Tahoma"/>
          <w:noProof/>
          <w:spacing w:val="2"/>
          <w:szCs w:val="16"/>
          <w:lang w:val="sr-Cyrl-BA"/>
        </w:rPr>
        <w:t xml:space="preserve"> 1</w:t>
      </w:r>
      <w:r w:rsidRPr="003E0BC7">
        <w:rPr>
          <w:rFonts w:ascii="Tahoma" w:eastAsia="Arial" w:hAnsi="Tahoma" w:cs="Tahoma"/>
          <w:noProof/>
          <w:szCs w:val="16"/>
          <w:lang w:val="sr-Cyrl-BA"/>
        </w:rPr>
        <w:t>.</w:t>
      </w:r>
      <w:r w:rsidRPr="003E0BC7">
        <w:rPr>
          <w:rFonts w:ascii="Tahoma" w:eastAsia="Arial" w:hAnsi="Tahoma" w:cs="Tahoma"/>
          <w:noProof/>
          <w:spacing w:val="-1"/>
          <w:szCs w:val="16"/>
          <w:lang w:val="sr-Cyrl-BA"/>
        </w:rPr>
        <w:t xml:space="preserve"> </w:t>
      </w:r>
      <w:r w:rsidRPr="003E0BC7">
        <w:rPr>
          <w:rFonts w:ascii="Tahoma" w:eastAsia="Arial" w:hAnsi="Tahoma" w:cs="Tahoma"/>
          <w:noProof/>
          <w:spacing w:val="-1"/>
          <w:w w:val="109"/>
          <w:szCs w:val="16"/>
          <w:lang w:val="sr-Cyrl-BA"/>
        </w:rPr>
        <w:t>С</w:t>
      </w:r>
      <w:r w:rsidRPr="003E0BC7">
        <w:rPr>
          <w:rFonts w:ascii="Tahoma" w:eastAsia="Arial" w:hAnsi="Tahoma" w:cs="Tahoma"/>
          <w:noProof/>
          <w:spacing w:val="1"/>
          <w:w w:val="109"/>
          <w:szCs w:val="16"/>
          <w:lang w:val="sr-Cyrl-BA"/>
        </w:rPr>
        <w:t>т</w:t>
      </w:r>
      <w:r w:rsidRPr="003E0BC7">
        <w:rPr>
          <w:rFonts w:ascii="Tahoma" w:eastAsia="Arial" w:hAnsi="Tahoma" w:cs="Tahoma"/>
          <w:noProof/>
          <w:w w:val="109"/>
          <w:szCs w:val="16"/>
          <w:lang w:val="sr-Cyrl-BA"/>
        </w:rPr>
        <w:t>руктура</w:t>
      </w:r>
      <w:r w:rsidRPr="003E0BC7">
        <w:rPr>
          <w:rFonts w:ascii="Tahoma" w:eastAsia="Arial" w:hAnsi="Tahoma" w:cs="Tahoma"/>
          <w:noProof/>
          <w:spacing w:val="-2"/>
          <w:w w:val="109"/>
          <w:szCs w:val="16"/>
          <w:lang w:val="sr-Cyrl-BA"/>
        </w:rPr>
        <w:t xml:space="preserve"> промета</w:t>
      </w:r>
      <w:r w:rsidRPr="003E0BC7">
        <w:rPr>
          <w:rFonts w:ascii="Tahoma" w:eastAsia="Arial" w:hAnsi="Tahoma" w:cs="Tahoma"/>
          <w:noProof/>
          <w:spacing w:val="7"/>
          <w:w w:val="109"/>
          <w:szCs w:val="16"/>
          <w:lang w:val="sr-Cyrl-BA"/>
        </w:rPr>
        <w:t xml:space="preserve"> </w:t>
      </w:r>
      <w:r w:rsidRPr="003E0BC7">
        <w:rPr>
          <w:rFonts w:ascii="Tahoma" w:eastAsia="Arial" w:hAnsi="Tahoma" w:cs="Tahoma"/>
          <w:noProof/>
          <w:szCs w:val="16"/>
          <w:lang w:val="sr-Cyrl-BA"/>
        </w:rPr>
        <w:t>према</w:t>
      </w:r>
      <w:r w:rsidRPr="003E0BC7">
        <w:rPr>
          <w:rFonts w:ascii="Tahoma" w:eastAsia="Arial" w:hAnsi="Tahoma" w:cs="Tahoma"/>
          <w:noProof/>
          <w:spacing w:val="22"/>
          <w:szCs w:val="16"/>
          <w:lang w:val="sr-Cyrl-BA"/>
        </w:rPr>
        <w:t xml:space="preserve"> </w:t>
      </w:r>
      <w:r w:rsidRPr="003E0BC7">
        <w:rPr>
          <w:rFonts w:ascii="Tahoma" w:eastAsia="Arial" w:hAnsi="Tahoma" w:cs="Tahoma"/>
          <w:noProof/>
          <w:szCs w:val="16"/>
          <w:lang w:val="sr-Cyrl-BA"/>
        </w:rPr>
        <w:t>величини предузећа, 2011. година</w:t>
      </w:r>
    </w:p>
    <w:p w:rsidR="00D35CD4" w:rsidRDefault="00D35CD4" w:rsidP="00D35CD4">
      <w:pPr>
        <w:rPr>
          <w:lang w:val="bs-Cyrl-BA"/>
        </w:rPr>
      </w:pPr>
    </w:p>
    <w:p w:rsidR="009B7188" w:rsidRDefault="009B7188" w:rsidP="00D35CD4">
      <w:pPr>
        <w:rPr>
          <w:lang w:val="bs-Cyrl-BA"/>
        </w:rPr>
      </w:pPr>
    </w:p>
    <w:p w:rsidR="009B7188" w:rsidRDefault="009B7188" w:rsidP="00D35CD4">
      <w:pPr>
        <w:rPr>
          <w:lang w:val="bs-Cyrl-BA"/>
        </w:rPr>
      </w:pPr>
    </w:p>
    <w:p w:rsidR="009B7188" w:rsidRDefault="009B7188" w:rsidP="00D35CD4">
      <w:pPr>
        <w:rPr>
          <w:lang w:val="bs-Cyrl-BA"/>
        </w:rPr>
      </w:pPr>
    </w:p>
    <w:p w:rsidR="0076768F" w:rsidRDefault="0076768F">
      <w:pPr>
        <w:rPr>
          <w:lang w:val="bs-Cyrl-BA"/>
        </w:rPr>
      </w:pPr>
      <w:r>
        <w:rPr>
          <w:lang w:val="bs-Cyrl-BA"/>
        </w:rPr>
        <w:br w:type="page"/>
      </w:r>
    </w:p>
    <w:p w:rsidR="00B24475" w:rsidRDefault="00B24475" w:rsidP="00764767">
      <w:pPr>
        <w:jc w:val="both"/>
        <w:rPr>
          <w:rFonts w:ascii="Tahoma" w:hAnsi="Tahoma" w:cs="Tahoma"/>
          <w:b/>
          <w:sz w:val="28"/>
          <w:szCs w:val="28"/>
          <w:lang w:val="sr-Latn-CS"/>
        </w:rPr>
      </w:pPr>
    </w:p>
    <w:p w:rsidR="00764767" w:rsidRPr="003E0BC7" w:rsidRDefault="00764767" w:rsidP="00764767">
      <w:pPr>
        <w:jc w:val="both"/>
        <w:rPr>
          <w:rFonts w:ascii="Tahoma" w:hAnsi="Tahoma" w:cs="Tahoma"/>
          <w:sz w:val="28"/>
          <w:szCs w:val="28"/>
          <w:lang w:val="sr-Cyrl-CS"/>
        </w:rPr>
      </w:pPr>
      <w:r w:rsidRPr="003E0BC7">
        <w:rPr>
          <w:rFonts w:ascii="Tahoma" w:hAnsi="Tahoma" w:cs="Tahoma"/>
          <w:b/>
          <w:sz w:val="28"/>
          <w:szCs w:val="28"/>
          <w:lang w:val="sr-Cyrl-CS"/>
        </w:rPr>
        <w:t>Просјечн</w:t>
      </w:r>
      <w:r w:rsidRPr="003E0BC7">
        <w:rPr>
          <w:rFonts w:ascii="Tahoma" w:hAnsi="Tahoma" w:cs="Tahoma"/>
          <w:b/>
          <w:sz w:val="28"/>
          <w:szCs w:val="28"/>
          <w:lang w:val="ru-RU"/>
        </w:rPr>
        <w:t xml:space="preserve">а </w:t>
      </w:r>
      <w:r w:rsidRPr="003E0BC7">
        <w:rPr>
          <w:rFonts w:ascii="Tahoma" w:hAnsi="Tahoma" w:cs="Tahoma"/>
          <w:b/>
          <w:sz w:val="28"/>
          <w:szCs w:val="28"/>
          <w:lang w:val="sr-Cyrl-CS"/>
        </w:rPr>
        <w:t>нето плата</w:t>
      </w:r>
      <w:r w:rsidRPr="003E0BC7">
        <w:rPr>
          <w:rFonts w:ascii="Tahoma" w:hAnsi="Tahoma" w:cs="Tahoma"/>
          <w:b/>
          <w:sz w:val="28"/>
          <w:szCs w:val="28"/>
          <w:lang w:val="ru-RU"/>
        </w:rPr>
        <w:t xml:space="preserve"> у априлу</w:t>
      </w:r>
      <w:r w:rsidRPr="003E0BC7">
        <w:rPr>
          <w:rFonts w:ascii="Tahoma" w:hAnsi="Tahoma" w:cs="Tahoma"/>
          <w:b/>
          <w:sz w:val="28"/>
          <w:szCs w:val="28"/>
          <w:lang w:val="sr-Cyrl-CS"/>
        </w:rPr>
        <w:t xml:space="preserve"> 798 </w:t>
      </w:r>
      <w:r w:rsidRPr="003E0BC7">
        <w:rPr>
          <w:rFonts w:ascii="Tahoma" w:hAnsi="Tahoma" w:cs="Tahoma"/>
          <w:b/>
          <w:sz w:val="28"/>
          <w:szCs w:val="28"/>
          <w:lang w:val="ru-RU"/>
        </w:rPr>
        <w:t>КМ</w:t>
      </w:r>
    </w:p>
    <w:p w:rsidR="00764767" w:rsidRPr="003E0BC7" w:rsidRDefault="00764767" w:rsidP="00764767">
      <w:pPr>
        <w:tabs>
          <w:tab w:val="left" w:pos="4343"/>
        </w:tabs>
        <w:jc w:val="both"/>
        <w:rPr>
          <w:rFonts w:ascii="Tahoma" w:hAnsi="Tahoma" w:cs="Tahoma"/>
          <w:sz w:val="26"/>
          <w:szCs w:val="26"/>
          <w:lang w:val="ru-RU"/>
        </w:rPr>
      </w:pPr>
      <w:r w:rsidRPr="003E0BC7">
        <w:rPr>
          <w:rFonts w:ascii="Tahoma" w:hAnsi="Tahoma" w:cs="Tahoma"/>
          <w:sz w:val="26"/>
          <w:szCs w:val="26"/>
          <w:lang w:val="ru-RU"/>
        </w:rPr>
        <w:t>Највиша просјечна нето плата у подручју</w:t>
      </w:r>
      <w:r w:rsidRPr="003E0BC7">
        <w:rPr>
          <w:rFonts w:ascii="Tahoma" w:hAnsi="Tahoma" w:cs="Tahoma"/>
          <w:sz w:val="26"/>
          <w:szCs w:val="26"/>
          <w:lang w:val="sr-Cyrl-CS"/>
        </w:rPr>
        <w:t xml:space="preserve"> </w:t>
      </w:r>
      <w:r w:rsidRPr="003E0BC7">
        <w:rPr>
          <w:rFonts w:ascii="Tahoma" w:hAnsi="Tahoma" w:cs="Tahoma"/>
          <w:i/>
          <w:sz w:val="26"/>
          <w:szCs w:val="26"/>
          <w:lang w:val="ru-RU"/>
        </w:rPr>
        <w:t>Финансијске дјелатности и дјелатности осигурања</w:t>
      </w:r>
      <w:r w:rsidRPr="003E0BC7">
        <w:rPr>
          <w:rFonts w:ascii="Tahoma" w:hAnsi="Tahoma" w:cs="Tahoma"/>
          <w:sz w:val="26"/>
          <w:szCs w:val="26"/>
          <w:lang w:val="ru-RU"/>
        </w:rPr>
        <w:t xml:space="preserve"> 1 274 КМ</w:t>
      </w:r>
      <w:r w:rsidRPr="003E0BC7">
        <w:rPr>
          <w:rFonts w:ascii="Tahoma" w:hAnsi="Tahoma" w:cs="Tahoma"/>
          <w:sz w:val="26"/>
          <w:szCs w:val="26"/>
          <w:lang w:val="sr-Cyrl-CS"/>
        </w:rPr>
        <w:t xml:space="preserve">, најнижа у подручју </w:t>
      </w:r>
      <w:r w:rsidRPr="003E0BC7">
        <w:rPr>
          <w:rFonts w:ascii="Tahoma" w:hAnsi="Tahoma" w:cs="Tahoma"/>
          <w:i/>
          <w:sz w:val="26"/>
          <w:szCs w:val="26"/>
          <w:lang w:val="sr-Cyrl-BA"/>
        </w:rPr>
        <w:t>Дјелатности пружања смјештаја, припреме и послуживања хране; хотелијерство и угоститељство</w:t>
      </w:r>
      <w:r w:rsidRPr="003E0BC7">
        <w:rPr>
          <w:rFonts w:ascii="Tahoma" w:hAnsi="Tahoma" w:cs="Tahoma"/>
          <w:i/>
          <w:lang w:val="sr-Cyrl-BA"/>
        </w:rPr>
        <w:t xml:space="preserve"> </w:t>
      </w:r>
      <w:r w:rsidRPr="003E0BC7">
        <w:rPr>
          <w:rFonts w:ascii="Tahoma" w:hAnsi="Tahoma" w:cs="Tahoma"/>
          <w:sz w:val="26"/>
          <w:szCs w:val="26"/>
          <w:lang w:val="sr-Cyrl-CS"/>
        </w:rPr>
        <w:t>536 КМ</w:t>
      </w:r>
    </w:p>
    <w:p w:rsidR="00764767" w:rsidRPr="003E0BC7" w:rsidRDefault="00764767" w:rsidP="00764767">
      <w:pPr>
        <w:tabs>
          <w:tab w:val="left" w:pos="1134"/>
        </w:tabs>
        <w:jc w:val="both"/>
        <w:rPr>
          <w:rFonts w:ascii="Tahoma" w:hAnsi="Tahoma" w:cs="Tahoma"/>
          <w:b/>
          <w:lang w:val="sr-Cyrl-CS"/>
        </w:rPr>
      </w:pPr>
    </w:p>
    <w:p w:rsidR="00295772" w:rsidRDefault="00764767" w:rsidP="00764767">
      <w:pPr>
        <w:tabs>
          <w:tab w:val="left" w:pos="1134"/>
        </w:tabs>
        <w:jc w:val="both"/>
        <w:rPr>
          <w:rFonts w:ascii="Tahoma" w:hAnsi="Tahoma" w:cs="Tahoma"/>
        </w:rPr>
      </w:pPr>
      <w:r w:rsidRPr="003E0BC7">
        <w:rPr>
          <w:rFonts w:ascii="Tahoma" w:hAnsi="Tahoma" w:cs="Tahoma"/>
          <w:lang w:val="sr-Cyrl-BA"/>
        </w:rPr>
        <w:t>П</w:t>
      </w:r>
      <w:r w:rsidRPr="003E0BC7">
        <w:rPr>
          <w:rFonts w:ascii="Tahoma" w:hAnsi="Tahoma" w:cs="Tahoma"/>
          <w:lang w:val="sr-Cyrl-CS"/>
        </w:rPr>
        <w:t>росјечна</w:t>
      </w:r>
      <w:r w:rsidRPr="003E0BC7">
        <w:rPr>
          <w:rFonts w:ascii="Tahoma" w:hAnsi="Tahoma" w:cs="Tahoma"/>
          <w:lang w:val="ru-RU"/>
        </w:rPr>
        <w:t xml:space="preserve"> </w:t>
      </w:r>
      <w:r w:rsidRPr="003E0BC7">
        <w:rPr>
          <w:rFonts w:ascii="Tahoma" w:hAnsi="Tahoma" w:cs="Tahoma"/>
          <w:lang w:val="sr-Cyrl-CS"/>
        </w:rPr>
        <w:t>мјесечна нето плата</w:t>
      </w:r>
      <w:r w:rsidRPr="003E0BC7">
        <w:rPr>
          <w:rFonts w:ascii="Tahoma" w:hAnsi="Tahoma" w:cs="Tahoma"/>
          <w:b/>
          <w:lang w:val="ru-RU"/>
        </w:rPr>
        <w:t xml:space="preserve"> </w:t>
      </w:r>
      <w:r w:rsidRPr="003E0BC7">
        <w:rPr>
          <w:rFonts w:ascii="Tahoma" w:hAnsi="Tahoma" w:cs="Tahoma"/>
          <w:lang w:val="sr-Cyrl-CS"/>
        </w:rPr>
        <w:t>запослених у Републици Српској,</w:t>
      </w:r>
      <w:r w:rsidRPr="003E0BC7">
        <w:rPr>
          <w:rFonts w:ascii="Tahoma" w:hAnsi="Tahoma" w:cs="Tahoma"/>
          <w:b/>
          <w:lang w:val="ru-RU"/>
        </w:rPr>
        <w:t xml:space="preserve"> </w:t>
      </w:r>
      <w:r w:rsidRPr="003E0BC7">
        <w:rPr>
          <w:rFonts w:ascii="Tahoma" w:hAnsi="Tahoma" w:cs="Tahoma"/>
          <w:lang w:val="sr-Cyrl-CS"/>
        </w:rPr>
        <w:t>исплаћена у априлу 2013.</w:t>
      </w:r>
      <w:r w:rsidRPr="003E0BC7">
        <w:rPr>
          <w:rFonts w:ascii="Tahoma" w:hAnsi="Tahoma" w:cs="Tahoma"/>
          <w:lang w:val="ru-RU"/>
        </w:rPr>
        <w:t xml:space="preserve"> </w:t>
      </w:r>
      <w:r w:rsidRPr="003E0BC7">
        <w:rPr>
          <w:rFonts w:ascii="Tahoma" w:hAnsi="Tahoma" w:cs="Tahoma"/>
          <w:lang w:val="sr-Cyrl-CS"/>
        </w:rPr>
        <w:t>године износи</w:t>
      </w:r>
      <w:r w:rsidRPr="003E0BC7">
        <w:rPr>
          <w:rFonts w:ascii="Tahoma" w:hAnsi="Tahoma" w:cs="Tahoma"/>
          <w:b/>
          <w:lang w:val="sr-Cyrl-CS"/>
        </w:rPr>
        <w:t xml:space="preserve"> </w:t>
      </w:r>
      <w:r w:rsidRPr="003E0BC7">
        <w:rPr>
          <w:rFonts w:ascii="Tahoma" w:hAnsi="Tahoma" w:cs="Tahoma"/>
          <w:lang w:val="sr-Cyrl-CS"/>
        </w:rPr>
        <w:t>798 КМ</w:t>
      </w:r>
      <w:r w:rsidRPr="003E0BC7">
        <w:rPr>
          <w:rFonts w:ascii="Tahoma" w:hAnsi="Tahoma" w:cs="Tahoma"/>
          <w:lang w:val="hr-HR"/>
        </w:rPr>
        <w:t>,</w:t>
      </w:r>
      <w:r w:rsidRPr="003E0BC7">
        <w:rPr>
          <w:rFonts w:ascii="Tahoma" w:hAnsi="Tahoma" w:cs="Tahoma"/>
          <w:lang w:val="ru-RU"/>
        </w:rPr>
        <w:t xml:space="preserve"> а п</w:t>
      </w:r>
      <w:r w:rsidRPr="003E0BC7">
        <w:rPr>
          <w:rFonts w:ascii="Tahoma" w:hAnsi="Tahoma" w:cs="Tahoma"/>
          <w:lang w:val="sr-Cyrl-CS"/>
        </w:rPr>
        <w:t>росјечна</w:t>
      </w:r>
      <w:r w:rsidRPr="003E0BC7">
        <w:rPr>
          <w:rFonts w:ascii="Tahoma" w:hAnsi="Tahoma" w:cs="Tahoma"/>
          <w:lang w:val="ru-RU"/>
        </w:rPr>
        <w:t xml:space="preserve"> </w:t>
      </w:r>
      <w:r w:rsidRPr="003E0BC7">
        <w:rPr>
          <w:rFonts w:ascii="Tahoma" w:hAnsi="Tahoma" w:cs="Tahoma"/>
          <w:lang w:val="sr-Cyrl-CS"/>
        </w:rPr>
        <w:t>мјесечна бруто плата</w:t>
      </w:r>
      <w:r w:rsidRPr="003E0BC7">
        <w:rPr>
          <w:rFonts w:ascii="Tahoma" w:hAnsi="Tahoma" w:cs="Tahoma"/>
          <w:lang w:val="ru-RU"/>
        </w:rPr>
        <w:t xml:space="preserve"> </w:t>
      </w:r>
      <w:r w:rsidRPr="003E0BC7">
        <w:rPr>
          <w:rFonts w:ascii="Tahoma" w:hAnsi="Tahoma" w:cs="Tahoma"/>
          <w:lang w:val="sr-Cyrl-CS"/>
        </w:rPr>
        <w:t>1 316 КМ.</w:t>
      </w:r>
    </w:p>
    <w:p w:rsidR="00764767" w:rsidRPr="003E0BC7" w:rsidRDefault="00764767" w:rsidP="00764767">
      <w:pPr>
        <w:tabs>
          <w:tab w:val="left" w:pos="1134"/>
        </w:tabs>
        <w:jc w:val="both"/>
        <w:rPr>
          <w:rFonts w:ascii="Tahoma" w:hAnsi="Tahoma" w:cs="Tahoma"/>
          <w:lang w:val="sr-Cyrl-CS"/>
        </w:rPr>
      </w:pPr>
      <w:r w:rsidRPr="003E0BC7">
        <w:rPr>
          <w:rFonts w:ascii="Tahoma" w:hAnsi="Tahoma" w:cs="Tahoma"/>
          <w:lang w:val="sr-Cyrl-CS"/>
        </w:rPr>
        <w:t xml:space="preserve"> </w:t>
      </w:r>
    </w:p>
    <w:p w:rsidR="00764767" w:rsidRDefault="00764767" w:rsidP="00764767">
      <w:pPr>
        <w:tabs>
          <w:tab w:val="left" w:pos="1134"/>
        </w:tabs>
        <w:spacing w:after="60"/>
        <w:jc w:val="both"/>
        <w:rPr>
          <w:rFonts w:ascii="Tahoma" w:hAnsi="Tahoma" w:cs="Tahoma"/>
        </w:rPr>
      </w:pPr>
      <w:r w:rsidRPr="003E0BC7">
        <w:rPr>
          <w:rFonts w:ascii="Tahoma" w:hAnsi="Tahoma" w:cs="Tahoma"/>
          <w:lang w:val="sr-Cyrl-CS"/>
        </w:rPr>
        <w:t>Просјечна нето плата исплаћена у априлу 2013. годин</w:t>
      </w:r>
      <w:r w:rsidR="00B32799" w:rsidRPr="003E0BC7">
        <w:rPr>
          <w:rFonts w:ascii="Tahoma" w:hAnsi="Tahoma" w:cs="Tahoma"/>
          <w:lang w:val="sr-Cyrl-CS"/>
        </w:rPr>
        <w:t>е у односу на март 2013. године</w:t>
      </w:r>
      <w:r w:rsidRPr="003E0BC7">
        <w:rPr>
          <w:rFonts w:ascii="Tahoma" w:hAnsi="Tahoma" w:cs="Tahoma"/>
          <w:lang w:val="sr-Cyrl-CS"/>
        </w:rPr>
        <w:t xml:space="preserve"> номинално је мања за 0,2%</w:t>
      </w:r>
      <w:r w:rsidR="009B3A4D" w:rsidRPr="003E0BC7">
        <w:rPr>
          <w:rFonts w:ascii="Tahoma" w:hAnsi="Tahoma" w:cs="Tahoma"/>
          <w:lang w:val="sr-Latn-CS"/>
        </w:rPr>
        <w:t>,</w:t>
      </w:r>
      <w:r w:rsidRPr="003E0BC7">
        <w:rPr>
          <w:rFonts w:ascii="Tahoma" w:hAnsi="Tahoma" w:cs="Tahoma"/>
          <w:lang w:val="sr-Cyrl-CS"/>
        </w:rPr>
        <w:t xml:space="preserve"> а реално већа за 0,9%. У односу на просјечну нето плату у 2012. години, просјечна нето плата у априлу 2013. године мања је номинално за 2,4%, а реално за 2,7%. У априлу 2013. </w:t>
      </w:r>
      <w:r w:rsidR="00B32799" w:rsidRPr="003E0BC7">
        <w:rPr>
          <w:rFonts w:ascii="Tahoma" w:hAnsi="Tahoma" w:cs="Tahoma"/>
          <w:lang w:val="sr-Latn-CS"/>
        </w:rPr>
        <w:t>г</w:t>
      </w:r>
      <w:r w:rsidRPr="003E0BC7">
        <w:rPr>
          <w:rFonts w:ascii="Tahoma" w:hAnsi="Tahoma" w:cs="Tahoma"/>
          <w:lang w:val="sr-Cyrl-CS"/>
        </w:rPr>
        <w:t>одине</w:t>
      </w:r>
      <w:r w:rsidR="00B32799" w:rsidRPr="003E0BC7">
        <w:rPr>
          <w:rFonts w:ascii="Tahoma" w:hAnsi="Tahoma" w:cs="Tahoma"/>
          <w:lang w:val="sr-Latn-CS"/>
        </w:rPr>
        <w:t>,</w:t>
      </w:r>
      <w:r w:rsidRPr="003E0BC7">
        <w:rPr>
          <w:rFonts w:ascii="Tahoma" w:hAnsi="Tahoma" w:cs="Tahoma"/>
          <w:lang w:val="sr-Cyrl-CS"/>
        </w:rPr>
        <w:t xml:space="preserve"> у односу на исти мјесец прошле године</w:t>
      </w:r>
      <w:r w:rsidR="00B32799" w:rsidRPr="003E0BC7">
        <w:rPr>
          <w:rFonts w:ascii="Tahoma" w:hAnsi="Tahoma" w:cs="Tahoma"/>
          <w:lang w:val="sr-Cyrl-CS"/>
        </w:rPr>
        <w:t>,</w:t>
      </w:r>
      <w:r w:rsidRPr="003E0BC7">
        <w:rPr>
          <w:rFonts w:ascii="Tahoma" w:hAnsi="Tahoma" w:cs="Tahoma"/>
          <w:lang w:val="sr-Cyrl-CS"/>
        </w:rPr>
        <w:t xml:space="preserve"> просјечна нето плата номинално је мања за 2,3%</w:t>
      </w:r>
      <w:r w:rsidR="00B32799" w:rsidRPr="003E0BC7">
        <w:rPr>
          <w:rFonts w:ascii="Tahoma" w:hAnsi="Tahoma" w:cs="Tahoma"/>
          <w:lang w:val="sr-Cyrl-CS"/>
        </w:rPr>
        <w:t>,</w:t>
      </w:r>
      <w:r w:rsidRPr="003E0BC7">
        <w:rPr>
          <w:rFonts w:ascii="Tahoma" w:hAnsi="Tahoma" w:cs="Tahoma"/>
          <w:lang w:val="sr-Cyrl-CS"/>
        </w:rPr>
        <w:t xml:space="preserve"> </w:t>
      </w:r>
      <w:r w:rsidRPr="003E0BC7">
        <w:rPr>
          <w:rFonts w:ascii="Tahoma" w:hAnsi="Tahoma" w:cs="Tahoma"/>
        </w:rPr>
        <w:t>a</w:t>
      </w:r>
      <w:r w:rsidRPr="003E0BC7">
        <w:rPr>
          <w:rFonts w:ascii="Tahoma" w:hAnsi="Tahoma" w:cs="Tahoma"/>
          <w:lang w:val="sr-Cyrl-CS"/>
        </w:rPr>
        <w:t xml:space="preserve"> </w:t>
      </w:r>
      <w:r w:rsidRPr="003E0BC7">
        <w:rPr>
          <w:rFonts w:ascii="Tahoma" w:hAnsi="Tahoma" w:cs="Tahoma"/>
          <w:lang w:val="sr-Cyrl-BA"/>
        </w:rPr>
        <w:t>реално за 2,6%.</w:t>
      </w:r>
    </w:p>
    <w:p w:rsidR="00295772" w:rsidRPr="00295772" w:rsidRDefault="00295772" w:rsidP="00764767">
      <w:pPr>
        <w:tabs>
          <w:tab w:val="left" w:pos="1134"/>
        </w:tabs>
        <w:spacing w:after="60"/>
        <w:jc w:val="both"/>
        <w:rPr>
          <w:rFonts w:ascii="Tahoma" w:hAnsi="Tahoma" w:cs="Tahoma"/>
        </w:rPr>
      </w:pPr>
    </w:p>
    <w:p w:rsidR="00764767" w:rsidRDefault="00764767" w:rsidP="00764767">
      <w:pPr>
        <w:tabs>
          <w:tab w:val="left" w:pos="1134"/>
        </w:tabs>
        <w:spacing w:after="60"/>
        <w:jc w:val="both"/>
        <w:rPr>
          <w:rFonts w:ascii="Tahoma" w:hAnsi="Tahoma" w:cs="Tahoma"/>
        </w:rPr>
      </w:pPr>
      <w:r w:rsidRPr="003E0BC7">
        <w:rPr>
          <w:rFonts w:ascii="Tahoma" w:hAnsi="Tahoma" w:cs="Tahoma"/>
          <w:lang w:val="sr-Cyrl-CS"/>
        </w:rPr>
        <w:t xml:space="preserve">Највиша просјечна нето плата у марту 2013. године, посматрано по подручјима дјелатности, исплаћена је у подручју </w:t>
      </w:r>
      <w:r w:rsidRPr="003E0BC7">
        <w:rPr>
          <w:rFonts w:ascii="Tahoma" w:hAnsi="Tahoma" w:cs="Tahoma"/>
          <w:i/>
          <w:lang w:val="sr-Cyrl-CS"/>
        </w:rPr>
        <w:t xml:space="preserve">Финансијске дјелатности и дјелатности осигурања </w:t>
      </w:r>
      <w:r w:rsidRPr="003E0BC7">
        <w:rPr>
          <w:rFonts w:ascii="Tahoma" w:hAnsi="Tahoma" w:cs="Tahoma"/>
          <w:lang w:val="sr-Cyrl-CS"/>
        </w:rPr>
        <w:t>и износи 1 274 КМ, а најнижа у подручју</w:t>
      </w:r>
      <w:r w:rsidRPr="003E0BC7">
        <w:rPr>
          <w:rFonts w:ascii="Tahoma" w:hAnsi="Tahoma" w:cs="Tahoma"/>
          <w:i/>
          <w:sz w:val="26"/>
          <w:szCs w:val="26"/>
          <w:lang w:val="sr-Cyrl-BA"/>
        </w:rPr>
        <w:t xml:space="preserve"> </w:t>
      </w:r>
      <w:r w:rsidRPr="003E0BC7">
        <w:rPr>
          <w:rFonts w:ascii="Tahoma" w:hAnsi="Tahoma" w:cs="Tahoma"/>
          <w:i/>
          <w:lang w:val="sr-Cyrl-BA"/>
        </w:rPr>
        <w:t xml:space="preserve">Дјелатности пружања смјештаја, припреме и послуживања хране; хотелијерство и угоститељство </w:t>
      </w:r>
      <w:r w:rsidRPr="003E0BC7">
        <w:rPr>
          <w:rFonts w:ascii="Tahoma" w:hAnsi="Tahoma" w:cs="Tahoma"/>
          <w:lang w:val="sr-Cyrl-CS"/>
        </w:rPr>
        <w:t>536 КМ.</w:t>
      </w:r>
    </w:p>
    <w:p w:rsidR="00295772" w:rsidRPr="00295772" w:rsidRDefault="00295772" w:rsidP="00764767">
      <w:pPr>
        <w:tabs>
          <w:tab w:val="left" w:pos="1134"/>
        </w:tabs>
        <w:spacing w:after="60"/>
        <w:jc w:val="both"/>
        <w:rPr>
          <w:rFonts w:ascii="Tahoma" w:hAnsi="Tahoma" w:cs="Tahoma"/>
        </w:rPr>
      </w:pPr>
    </w:p>
    <w:p w:rsidR="00764767" w:rsidRPr="003E0BC7" w:rsidRDefault="00764767" w:rsidP="00764767">
      <w:pPr>
        <w:jc w:val="both"/>
        <w:rPr>
          <w:rFonts w:ascii="Tahoma" w:hAnsi="Tahoma" w:cs="Tahoma"/>
          <w:i/>
        </w:rPr>
      </w:pPr>
      <w:r w:rsidRPr="003E0BC7">
        <w:rPr>
          <w:rFonts w:ascii="Tahoma" w:hAnsi="Tahoma" w:cs="Tahoma"/>
          <w:lang w:val="sr-Cyrl-CS"/>
        </w:rPr>
        <w:t xml:space="preserve">У априлу </w:t>
      </w:r>
      <w:r w:rsidRPr="003E0BC7">
        <w:rPr>
          <w:rFonts w:ascii="Tahoma" w:hAnsi="Tahoma" w:cs="Tahoma"/>
          <w:lang w:val="ru-RU"/>
        </w:rPr>
        <w:t>2013. године, у односу на март 2013. године, н</w:t>
      </w:r>
      <w:r w:rsidRPr="003E0BC7">
        <w:rPr>
          <w:rFonts w:ascii="Tahoma" w:hAnsi="Tahoma" w:cs="Tahoma"/>
          <w:lang w:val="sr-Cyrl-CS"/>
        </w:rPr>
        <w:t>ајвећи номинални раст нето плате забиљежен је у подручјима</w:t>
      </w:r>
      <w:r w:rsidRPr="003E0BC7">
        <w:rPr>
          <w:rFonts w:ascii="Tahoma" w:hAnsi="Tahoma" w:cs="Tahoma"/>
          <w:i/>
          <w:lang w:val="sr-Cyrl-BA"/>
        </w:rPr>
        <w:t xml:space="preserve"> Дјелатности пружања смјештаја, припреме и послуживања хране; хотелијерство и угоститељство </w:t>
      </w:r>
      <w:r w:rsidRPr="003E0BC7">
        <w:rPr>
          <w:rFonts w:ascii="Tahoma" w:hAnsi="Tahoma" w:cs="Tahoma"/>
          <w:lang w:val="sr-Cyrl-BA"/>
        </w:rPr>
        <w:t>за 5,4%,</w:t>
      </w:r>
      <w:r w:rsidRPr="003E0BC7">
        <w:rPr>
          <w:rFonts w:ascii="Tahoma" w:hAnsi="Tahoma" w:cs="Tahoma"/>
          <w:i/>
          <w:lang w:val="sr-Cyrl-BA"/>
        </w:rPr>
        <w:t xml:space="preserve"> Пољопривреда, шумарство и риболов</w:t>
      </w:r>
      <w:r w:rsidRPr="003E0BC7">
        <w:rPr>
          <w:rFonts w:ascii="Tahoma" w:hAnsi="Tahoma" w:cs="Tahoma"/>
          <w:lang w:val="sr-Cyrl-BA"/>
        </w:rPr>
        <w:t xml:space="preserve"> 3,3%</w:t>
      </w:r>
      <w:r w:rsidRPr="003E0BC7">
        <w:rPr>
          <w:rFonts w:ascii="Tahoma" w:hAnsi="Tahoma" w:cs="Tahoma"/>
          <w:i/>
          <w:lang w:val="sr-Cyrl-BA"/>
        </w:rPr>
        <w:t xml:space="preserve"> </w:t>
      </w:r>
      <w:r w:rsidRPr="003E0BC7">
        <w:rPr>
          <w:rFonts w:ascii="Tahoma" w:hAnsi="Tahoma" w:cs="Tahoma"/>
          <w:lang w:val="sr-Cyrl-BA"/>
        </w:rPr>
        <w:t>и</w:t>
      </w:r>
      <w:r w:rsidRPr="003E0BC7">
        <w:rPr>
          <w:rFonts w:ascii="Tahoma" w:hAnsi="Tahoma" w:cs="Tahoma"/>
          <w:i/>
          <w:lang w:val="sr-Cyrl-BA"/>
        </w:rPr>
        <w:t xml:space="preserve"> Прерађивачка индустрија </w:t>
      </w:r>
      <w:r w:rsidRPr="003E0BC7">
        <w:rPr>
          <w:rFonts w:ascii="Tahoma" w:hAnsi="Tahoma" w:cs="Tahoma"/>
          <w:lang w:val="sr-Cyrl-BA"/>
        </w:rPr>
        <w:t>1,5%</w:t>
      </w:r>
      <w:r w:rsidRPr="003E0BC7">
        <w:rPr>
          <w:rFonts w:ascii="Tahoma" w:hAnsi="Tahoma" w:cs="Tahoma"/>
          <w:i/>
          <w:lang w:val="sr-Cyrl-BA"/>
        </w:rPr>
        <w:t>,</w:t>
      </w:r>
      <w:r w:rsidRPr="003E0BC7">
        <w:rPr>
          <w:rFonts w:ascii="Tahoma" w:hAnsi="Tahoma" w:cs="Tahoma"/>
          <w:i/>
          <w:lang w:val="sr-Cyrl-CS"/>
        </w:rPr>
        <w:t xml:space="preserve"> </w:t>
      </w:r>
      <w:r w:rsidRPr="003E0BC7">
        <w:rPr>
          <w:rFonts w:ascii="Tahoma" w:hAnsi="Tahoma" w:cs="Tahoma"/>
          <w:lang w:val="sr-Cyrl-CS"/>
        </w:rPr>
        <w:t>док је номинално нижа плата у подручјима</w:t>
      </w:r>
      <w:r w:rsidRPr="003E0BC7">
        <w:rPr>
          <w:rFonts w:ascii="Tahoma" w:hAnsi="Tahoma" w:cs="Tahoma"/>
          <w:i/>
          <w:lang w:val="sr-Cyrl-CS"/>
        </w:rPr>
        <w:t xml:space="preserve"> Остале услужне дјелатности</w:t>
      </w:r>
      <w:r w:rsidRPr="003E0BC7">
        <w:rPr>
          <w:rFonts w:ascii="Tahoma" w:hAnsi="Tahoma" w:cs="Tahoma"/>
          <w:i/>
        </w:rPr>
        <w:t xml:space="preserve"> </w:t>
      </w:r>
      <w:r w:rsidRPr="003E0BC7">
        <w:rPr>
          <w:rFonts w:ascii="Tahoma" w:hAnsi="Tahoma" w:cs="Tahoma"/>
          <w:lang w:val="sr-Cyrl-BA"/>
        </w:rPr>
        <w:t>за 5,3 %</w:t>
      </w:r>
      <w:r w:rsidR="009B3A4D" w:rsidRPr="003E0BC7">
        <w:rPr>
          <w:rFonts w:ascii="Tahoma" w:hAnsi="Tahoma" w:cs="Tahoma"/>
          <w:i/>
          <w:lang w:val="sr-Cyrl-BA"/>
        </w:rPr>
        <w:t>,</w:t>
      </w:r>
      <w:r w:rsidRPr="003E0BC7">
        <w:rPr>
          <w:rFonts w:ascii="Tahoma" w:hAnsi="Tahoma" w:cs="Tahoma"/>
          <w:i/>
          <w:lang w:val="sr-Cyrl-BA"/>
        </w:rPr>
        <w:t xml:space="preserve"> </w:t>
      </w:r>
      <w:r w:rsidRPr="003E0BC7">
        <w:rPr>
          <w:rFonts w:ascii="Tahoma" w:hAnsi="Tahoma" w:cs="Tahoma"/>
          <w:i/>
          <w:lang w:val="sr-Cyrl-CS"/>
        </w:rPr>
        <w:t xml:space="preserve">Финансијске дјелатности и дјелатности осигурања </w:t>
      </w:r>
      <w:r w:rsidRPr="003E0BC7">
        <w:rPr>
          <w:rFonts w:ascii="Tahoma" w:hAnsi="Tahoma" w:cs="Tahoma"/>
          <w:lang w:val="sr-Cyrl-CS"/>
        </w:rPr>
        <w:t>за 2,0%</w:t>
      </w:r>
      <w:r w:rsidRPr="003E0BC7">
        <w:rPr>
          <w:rFonts w:ascii="Tahoma" w:hAnsi="Tahoma" w:cs="Tahoma"/>
          <w:i/>
          <w:lang w:val="sr-Cyrl-CS"/>
        </w:rPr>
        <w:t>,</w:t>
      </w:r>
      <w:r w:rsidRPr="003E0BC7">
        <w:rPr>
          <w:rFonts w:ascii="Tahoma" w:hAnsi="Tahoma" w:cs="Tahoma"/>
          <w:i/>
          <w:lang w:val="sr-Cyrl-BA"/>
        </w:rPr>
        <w:t xml:space="preserve"> Грађевинарство </w:t>
      </w:r>
      <w:r w:rsidRPr="003E0BC7">
        <w:rPr>
          <w:rFonts w:ascii="Tahoma" w:hAnsi="Tahoma" w:cs="Tahoma"/>
          <w:lang w:val="sr-Cyrl-BA"/>
        </w:rPr>
        <w:t>за 1,5%</w:t>
      </w:r>
      <w:r w:rsidRPr="003E0BC7">
        <w:rPr>
          <w:rFonts w:ascii="Tahoma" w:hAnsi="Tahoma" w:cs="Tahoma"/>
          <w:i/>
          <w:lang w:val="sr-Cyrl-BA"/>
        </w:rPr>
        <w:t xml:space="preserve"> </w:t>
      </w:r>
      <w:r w:rsidRPr="003E0BC7">
        <w:rPr>
          <w:rFonts w:ascii="Tahoma" w:hAnsi="Tahoma" w:cs="Tahoma"/>
          <w:lang w:val="sr-Cyrl-BA"/>
        </w:rPr>
        <w:t>и</w:t>
      </w:r>
      <w:r w:rsidRPr="003E0BC7">
        <w:rPr>
          <w:rFonts w:ascii="Tahoma" w:hAnsi="Tahoma" w:cs="Tahoma"/>
          <w:i/>
          <w:lang w:val="sr-Cyrl-BA"/>
        </w:rPr>
        <w:t xml:space="preserve"> Дјелатности здравствене заштите и социјалног рада </w:t>
      </w:r>
      <w:r w:rsidRPr="003E0BC7">
        <w:rPr>
          <w:rFonts w:ascii="Tahoma" w:hAnsi="Tahoma" w:cs="Tahoma"/>
          <w:lang w:val="sr-Cyrl-BA"/>
        </w:rPr>
        <w:t>1,0%</w:t>
      </w:r>
      <w:r w:rsidRPr="003E0BC7">
        <w:rPr>
          <w:rFonts w:ascii="Tahoma" w:hAnsi="Tahoma" w:cs="Tahoma"/>
          <w:i/>
        </w:rPr>
        <w:t>.</w:t>
      </w:r>
    </w:p>
    <w:p w:rsidR="00764767" w:rsidRDefault="00764767" w:rsidP="00764767">
      <w:pPr>
        <w:jc w:val="both"/>
        <w:rPr>
          <w:rFonts w:ascii="Tahoma" w:hAnsi="Tahoma" w:cs="Tahoma"/>
          <w:i/>
          <w:lang w:val="sr-Cyrl-CS"/>
        </w:rPr>
      </w:pPr>
    </w:p>
    <w:p w:rsidR="00764767" w:rsidRDefault="00764767" w:rsidP="00764767">
      <w:pPr>
        <w:jc w:val="both"/>
        <w:rPr>
          <w:rFonts w:ascii="Tahoma" w:hAnsi="Tahoma" w:cs="Tahoma"/>
          <w:i/>
        </w:rPr>
      </w:pPr>
    </w:p>
    <w:p w:rsidR="00764767" w:rsidRPr="00A120EE" w:rsidRDefault="00764767" w:rsidP="00764767">
      <w:pPr>
        <w:jc w:val="both"/>
        <w:rPr>
          <w:rFonts w:ascii="Tahoma" w:hAnsi="Tahoma" w:cs="Tahoma"/>
          <w:i/>
        </w:rPr>
      </w:pPr>
    </w:p>
    <w:p w:rsidR="00764767" w:rsidRDefault="00764767" w:rsidP="00764767">
      <w:pPr>
        <w:jc w:val="both"/>
        <w:rPr>
          <w:rFonts w:ascii="Tahoma" w:hAnsi="Tahoma" w:cs="Tahoma"/>
        </w:rPr>
      </w:pPr>
      <w:r w:rsidRPr="00B47AD9">
        <w:rPr>
          <w:rFonts w:ascii="Tahoma" w:hAnsi="Tahoma" w:cs="Tahoma"/>
          <w:i/>
          <w:lang w:val="sr-Cyrl-CS"/>
        </w:rPr>
        <w:t xml:space="preserve"> </w:t>
      </w:r>
      <w:r w:rsidR="00B32799">
        <w:rPr>
          <w:rFonts w:ascii="Tahoma" w:hAnsi="Tahoma" w:cs="Tahoma"/>
          <w:lang w:val="sr-Cyrl-CS"/>
        </w:rPr>
        <w:t xml:space="preserve">          </w:t>
      </w:r>
      <w:r w:rsidR="00C155B7">
        <w:rPr>
          <w:rFonts w:ascii="Tahoma" w:hAnsi="Tahoma" w:cs="Tahoma"/>
        </w:rPr>
        <w:t xml:space="preserve">  </w:t>
      </w:r>
      <w:r w:rsidR="0076768F">
        <w:rPr>
          <w:rFonts w:ascii="Tahoma" w:hAnsi="Tahoma" w:cs="Tahoma"/>
        </w:rPr>
        <w:t xml:space="preserve"> </w:t>
      </w:r>
      <w:r w:rsidR="00B32799" w:rsidRPr="00295772">
        <w:rPr>
          <w:rFonts w:ascii="Tahoma" w:hAnsi="Tahoma" w:cs="Tahoma"/>
          <w:lang w:val="sr-Cyrl-CS"/>
        </w:rPr>
        <w:t>км</w:t>
      </w:r>
    </w:p>
    <w:p w:rsidR="0076768F" w:rsidRPr="0076768F" w:rsidRDefault="0076768F" w:rsidP="00764767">
      <w:pPr>
        <w:jc w:val="both"/>
        <w:rPr>
          <w:rFonts w:ascii="Tahoma" w:hAnsi="Tahoma" w:cs="Tahoma"/>
        </w:rPr>
      </w:pPr>
    </w:p>
    <w:p w:rsidR="00764767" w:rsidRPr="00B47AD9" w:rsidRDefault="00764767" w:rsidP="00764767">
      <w:pPr>
        <w:jc w:val="center"/>
        <w:rPr>
          <w:rFonts w:ascii="Tahoma" w:hAnsi="Tahoma" w:cs="Tahoma"/>
          <w:sz w:val="18"/>
          <w:szCs w:val="18"/>
          <w:lang w:val="sr-Latn-CS"/>
        </w:rPr>
      </w:pPr>
      <w:r w:rsidRPr="00764767">
        <w:rPr>
          <w:rFonts w:ascii="Tahoma" w:hAnsi="Tahoma" w:cs="Tahoma"/>
          <w:noProof/>
          <w:color w:val="FF0000"/>
          <w:sz w:val="18"/>
          <w:szCs w:val="18"/>
        </w:rPr>
        <w:drawing>
          <wp:inline distT="0" distB="0" distL="0" distR="0">
            <wp:extent cx="5694121" cy="2743200"/>
            <wp:effectExtent l="0" t="0" r="0" b="0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154D02">
        <w:rPr>
          <w:rFonts w:ascii="Tahoma" w:hAnsi="Tahoma" w:cs="Tahoma"/>
          <w:noProof/>
          <w:sz w:val="18"/>
          <w:szCs w:val="18"/>
          <w:lang w:val="sr-Cyrl-CS"/>
        </w:rPr>
        <w:t xml:space="preserve">  </w:t>
      </w:r>
    </w:p>
    <w:p w:rsidR="00764767" w:rsidRPr="00B47AD9" w:rsidRDefault="00764767" w:rsidP="00764767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764767" w:rsidRPr="00154D02" w:rsidRDefault="00764767" w:rsidP="00764767">
      <w:pPr>
        <w:ind w:left="-142"/>
        <w:rPr>
          <w:rFonts w:ascii="Tahoma" w:hAnsi="Tahoma" w:cs="Tahoma"/>
          <w:b/>
          <w:sz w:val="28"/>
          <w:szCs w:val="28"/>
          <w:lang w:val="sr-Cyrl-CS"/>
        </w:rPr>
      </w:pPr>
    </w:p>
    <w:p w:rsidR="00D35CD4" w:rsidRPr="00D35CD4" w:rsidRDefault="00D35CD4" w:rsidP="00CF07EF">
      <w:pPr>
        <w:jc w:val="both"/>
        <w:rPr>
          <w:rFonts w:ascii="Tahoma" w:hAnsi="Tahoma" w:cs="Tahoma"/>
          <w:b/>
          <w:lang w:val="sr-Latn-CS"/>
        </w:rPr>
      </w:pPr>
    </w:p>
    <w:p w:rsidR="005665FA" w:rsidRPr="003E0BC7" w:rsidRDefault="00C955CE" w:rsidP="00CE481A">
      <w:pPr>
        <w:jc w:val="center"/>
        <w:outlineLvl w:val="0"/>
        <w:rPr>
          <w:rFonts w:ascii="Tahoma" w:hAnsi="Tahoma" w:cs="Tahoma"/>
          <w:lang w:val="sr-Cyrl-CS"/>
        </w:rPr>
      </w:pPr>
      <w:r w:rsidRPr="003E0BC7">
        <w:rPr>
          <w:rFonts w:ascii="Tahoma" w:hAnsi="Tahoma" w:cs="Tahoma"/>
          <w:lang w:val="sr-Cyrl-BA"/>
        </w:rPr>
        <w:t>Графикон</w:t>
      </w:r>
      <w:r w:rsidR="00B32799" w:rsidRPr="003E0BC7">
        <w:rPr>
          <w:rFonts w:ascii="Tahoma" w:hAnsi="Tahoma" w:cs="Tahoma"/>
          <w:lang w:val="sr-Cyrl-BA"/>
        </w:rPr>
        <w:t xml:space="preserve"> 2.</w:t>
      </w:r>
      <w:r w:rsidRPr="003E0BC7">
        <w:rPr>
          <w:rFonts w:ascii="Tahoma" w:hAnsi="Tahoma" w:cs="Tahoma"/>
          <w:lang w:val="sr-Cyrl-BA"/>
        </w:rPr>
        <w:t xml:space="preserve"> </w:t>
      </w:r>
      <w:r w:rsidRPr="003E0BC7">
        <w:rPr>
          <w:rFonts w:ascii="Tahoma" w:hAnsi="Tahoma" w:cs="Tahoma"/>
          <w:lang w:val="sr-Cyrl-CS"/>
        </w:rPr>
        <w:t>П</w:t>
      </w:r>
      <w:r w:rsidRPr="003E0BC7">
        <w:rPr>
          <w:rFonts w:ascii="Tahoma" w:hAnsi="Tahoma" w:cs="Tahoma"/>
          <w:lang w:val="ru-RU"/>
        </w:rPr>
        <w:t>росјечн</w:t>
      </w:r>
      <w:r w:rsidRPr="003E0BC7">
        <w:rPr>
          <w:rFonts w:ascii="Tahoma" w:hAnsi="Tahoma" w:cs="Tahoma"/>
        </w:rPr>
        <w:t>e</w:t>
      </w:r>
      <w:r w:rsidRPr="003E0BC7">
        <w:rPr>
          <w:rFonts w:ascii="Tahoma" w:hAnsi="Tahoma" w:cs="Tahoma"/>
          <w:lang w:val="ru-RU"/>
        </w:rPr>
        <w:t xml:space="preserve"> нето плат</w:t>
      </w:r>
      <w:r w:rsidRPr="003E0BC7">
        <w:rPr>
          <w:rFonts w:ascii="Tahoma" w:hAnsi="Tahoma" w:cs="Tahoma"/>
        </w:rPr>
        <w:t>e</w:t>
      </w:r>
      <w:r w:rsidRPr="003E0BC7">
        <w:rPr>
          <w:rFonts w:ascii="Tahoma" w:hAnsi="Tahoma" w:cs="Tahoma"/>
          <w:lang w:val="ru-RU"/>
        </w:rPr>
        <w:t xml:space="preserve"> запослених по мјесецима</w:t>
      </w:r>
    </w:p>
    <w:p w:rsidR="005665FA" w:rsidRDefault="005665FA" w:rsidP="00094E6E">
      <w:pPr>
        <w:jc w:val="both"/>
        <w:rPr>
          <w:rFonts w:ascii="Tahoma" w:hAnsi="Tahoma" w:cs="Tahoma"/>
          <w:sz w:val="16"/>
          <w:szCs w:val="16"/>
          <w:lang w:val="sr-Cyrl-BA"/>
        </w:rPr>
      </w:pPr>
    </w:p>
    <w:p w:rsidR="005665FA" w:rsidRDefault="005665FA" w:rsidP="00094E6E">
      <w:pPr>
        <w:jc w:val="both"/>
        <w:rPr>
          <w:rFonts w:ascii="Tahoma" w:hAnsi="Tahoma" w:cs="Tahoma"/>
          <w:sz w:val="16"/>
          <w:szCs w:val="16"/>
          <w:lang w:val="sr-Cyrl-BA"/>
        </w:rPr>
      </w:pPr>
    </w:p>
    <w:p w:rsidR="005665FA" w:rsidRDefault="005665FA" w:rsidP="00094E6E">
      <w:pPr>
        <w:jc w:val="both"/>
        <w:rPr>
          <w:rFonts w:ascii="Tahoma" w:hAnsi="Tahoma" w:cs="Tahoma"/>
          <w:sz w:val="16"/>
          <w:szCs w:val="16"/>
          <w:lang w:val="sr-Cyrl-BA"/>
        </w:rPr>
      </w:pPr>
    </w:p>
    <w:p w:rsidR="005665FA" w:rsidRDefault="005665FA" w:rsidP="00094E6E">
      <w:pPr>
        <w:jc w:val="both"/>
        <w:rPr>
          <w:rFonts w:ascii="Tahoma" w:hAnsi="Tahoma" w:cs="Tahoma"/>
          <w:sz w:val="16"/>
          <w:szCs w:val="16"/>
          <w:lang w:val="sr-Cyrl-BA"/>
        </w:rPr>
      </w:pPr>
    </w:p>
    <w:p w:rsidR="005665FA" w:rsidRDefault="005665FA" w:rsidP="00094E6E">
      <w:pPr>
        <w:jc w:val="both"/>
        <w:rPr>
          <w:rFonts w:ascii="Tahoma" w:hAnsi="Tahoma" w:cs="Tahoma"/>
          <w:sz w:val="16"/>
          <w:szCs w:val="16"/>
          <w:lang w:val="sr-Cyrl-BA"/>
        </w:rPr>
      </w:pPr>
    </w:p>
    <w:p w:rsidR="005665FA" w:rsidRPr="005665FA" w:rsidRDefault="005665FA" w:rsidP="00094E6E">
      <w:pPr>
        <w:jc w:val="both"/>
        <w:rPr>
          <w:rFonts w:ascii="Tahoma" w:hAnsi="Tahoma" w:cs="Tahoma"/>
          <w:sz w:val="16"/>
          <w:szCs w:val="16"/>
          <w:lang w:val="sr-Cyrl-BA"/>
        </w:rPr>
      </w:pPr>
    </w:p>
    <w:p w:rsidR="00B24475" w:rsidRDefault="00B24475" w:rsidP="00A60737">
      <w:pPr>
        <w:rPr>
          <w:rFonts w:ascii="Tahoma" w:hAnsi="Tahoma" w:cs="Tahoma"/>
          <w:b/>
          <w:sz w:val="28"/>
          <w:szCs w:val="28"/>
          <w:lang w:val="sr-Latn-CS"/>
        </w:rPr>
      </w:pPr>
    </w:p>
    <w:p w:rsidR="00A60737" w:rsidRPr="0076768F" w:rsidRDefault="00A60737" w:rsidP="00A60737">
      <w:pPr>
        <w:rPr>
          <w:rFonts w:ascii="Tahoma" w:hAnsi="Tahoma" w:cs="Tahoma"/>
          <w:b/>
          <w:sz w:val="28"/>
          <w:szCs w:val="28"/>
        </w:rPr>
      </w:pPr>
      <w:r w:rsidRPr="003E0BC7">
        <w:rPr>
          <w:rFonts w:ascii="Tahoma" w:hAnsi="Tahoma" w:cs="Tahoma"/>
          <w:b/>
          <w:sz w:val="28"/>
          <w:szCs w:val="28"/>
          <w:lang w:val="sr-Cyrl-BA"/>
        </w:rPr>
        <w:t>Мјесечна инфлација у априлу 201</w:t>
      </w:r>
      <w:r w:rsidRPr="003E0BC7">
        <w:rPr>
          <w:rFonts w:ascii="Tahoma" w:hAnsi="Tahoma" w:cs="Tahoma"/>
          <w:b/>
          <w:sz w:val="28"/>
          <w:szCs w:val="28"/>
        </w:rPr>
        <w:t>3</w:t>
      </w:r>
      <w:r w:rsidR="0076768F">
        <w:rPr>
          <w:rFonts w:ascii="Tahoma" w:hAnsi="Tahoma" w:cs="Tahoma"/>
          <w:b/>
          <w:sz w:val="28"/>
          <w:szCs w:val="28"/>
          <w:lang w:val="sr-Cyrl-BA"/>
        </w:rPr>
        <w:t>. године -1,1%</w:t>
      </w:r>
    </w:p>
    <w:p w:rsidR="00A60737" w:rsidRPr="003E0BC7" w:rsidRDefault="00B32799" w:rsidP="00A60737">
      <w:pPr>
        <w:rPr>
          <w:rFonts w:ascii="Tahoma" w:hAnsi="Tahoma" w:cs="Tahoma"/>
          <w:b/>
          <w:sz w:val="28"/>
          <w:szCs w:val="28"/>
          <w:lang w:val="sr-Cyrl-BA"/>
        </w:rPr>
      </w:pPr>
      <w:r w:rsidRPr="003E0BC7">
        <w:rPr>
          <w:rFonts w:ascii="Tahoma" w:hAnsi="Tahoma" w:cs="Tahoma"/>
          <w:b/>
          <w:sz w:val="28"/>
          <w:szCs w:val="28"/>
          <w:lang w:val="sr-Cyrl-BA"/>
        </w:rPr>
        <w:t>Годишња инфлација (</w:t>
      </w:r>
      <w:r w:rsidRPr="003E0BC7">
        <w:rPr>
          <w:rFonts w:ascii="Tahoma" w:hAnsi="Tahoma" w:cs="Tahoma"/>
          <w:b/>
          <w:sz w:val="28"/>
          <w:szCs w:val="28"/>
          <w:lang w:val="sr-Latn-CS"/>
        </w:rPr>
        <w:t>IV</w:t>
      </w:r>
      <w:r w:rsidRPr="003E0BC7">
        <w:rPr>
          <w:rFonts w:ascii="Tahoma" w:hAnsi="Tahoma" w:cs="Tahoma"/>
          <w:b/>
          <w:sz w:val="28"/>
          <w:szCs w:val="28"/>
          <w:lang w:val="sr-Cyrl-BA"/>
        </w:rPr>
        <w:t xml:space="preserve"> 2013/</w:t>
      </w:r>
      <w:r w:rsidRPr="003E0BC7">
        <w:rPr>
          <w:rFonts w:ascii="Tahoma" w:hAnsi="Tahoma" w:cs="Tahoma"/>
          <w:b/>
          <w:sz w:val="28"/>
          <w:szCs w:val="28"/>
          <w:lang w:val="sr-Latn-CS"/>
        </w:rPr>
        <w:t>IV</w:t>
      </w:r>
      <w:r w:rsidR="00A60737" w:rsidRPr="003E0BC7">
        <w:rPr>
          <w:rFonts w:ascii="Tahoma" w:hAnsi="Tahoma" w:cs="Tahoma"/>
          <w:b/>
          <w:sz w:val="28"/>
          <w:szCs w:val="28"/>
          <w:lang w:val="sr-Cyrl-BA"/>
        </w:rPr>
        <w:t xml:space="preserve"> 2012) 0,3%</w:t>
      </w:r>
    </w:p>
    <w:p w:rsidR="001561A7" w:rsidRPr="003E0BC7" w:rsidRDefault="001561A7" w:rsidP="00094E6E">
      <w:pPr>
        <w:ind w:left="-142"/>
        <w:jc w:val="both"/>
        <w:outlineLvl w:val="0"/>
        <w:rPr>
          <w:rFonts w:ascii="Tahoma" w:hAnsi="Tahoma" w:cs="Tahoma"/>
          <w:lang w:val="sr-Cyrl-CS"/>
        </w:rPr>
      </w:pPr>
    </w:p>
    <w:p w:rsidR="00A60737" w:rsidRPr="003E0BC7" w:rsidRDefault="00A60737" w:rsidP="00983E6E">
      <w:pPr>
        <w:jc w:val="both"/>
        <w:rPr>
          <w:rFonts w:ascii="Tahoma" w:hAnsi="Tahoma" w:cs="Tahoma"/>
          <w:lang w:val="sr-Cyrl-BA"/>
        </w:rPr>
      </w:pPr>
      <w:r w:rsidRPr="003E0BC7">
        <w:rPr>
          <w:rFonts w:ascii="Tahoma" w:hAnsi="Tahoma" w:cs="Tahoma"/>
          <w:lang w:val="sr-Cyrl-BA"/>
        </w:rPr>
        <w:t>Цијене производа и услуга, које се користе за личну потрошњу у Републици Српској, мјерене индексом потрошачких цијена, у априлу 201</w:t>
      </w:r>
      <w:r w:rsidRPr="003E0BC7">
        <w:rPr>
          <w:rFonts w:ascii="Tahoma" w:hAnsi="Tahoma" w:cs="Tahoma"/>
        </w:rPr>
        <w:t>3</w:t>
      </w:r>
      <w:r w:rsidRPr="003E0BC7">
        <w:rPr>
          <w:rFonts w:ascii="Tahoma" w:hAnsi="Tahoma" w:cs="Tahoma"/>
          <w:lang w:val="sr-Cyrl-BA"/>
        </w:rPr>
        <w:t>. године у односу на март 201</w:t>
      </w:r>
      <w:r w:rsidRPr="003E0BC7">
        <w:rPr>
          <w:rFonts w:ascii="Tahoma" w:hAnsi="Tahoma" w:cs="Tahoma"/>
        </w:rPr>
        <w:t>3</w:t>
      </w:r>
      <w:r w:rsidRPr="003E0BC7">
        <w:rPr>
          <w:rFonts w:ascii="Tahoma" w:hAnsi="Tahoma" w:cs="Tahoma"/>
          <w:lang w:val="sr-Cyrl-BA"/>
        </w:rPr>
        <w:t xml:space="preserve">. године, у просјеку су ниже за </w:t>
      </w:r>
      <w:r w:rsidRPr="003E0BC7">
        <w:rPr>
          <w:rFonts w:ascii="Tahoma" w:hAnsi="Tahoma" w:cs="Tahoma"/>
        </w:rPr>
        <w:t>1</w:t>
      </w:r>
      <w:r w:rsidRPr="003E0BC7">
        <w:rPr>
          <w:rFonts w:ascii="Tahoma" w:hAnsi="Tahoma" w:cs="Tahoma"/>
          <w:lang w:val="sr-Cyrl-BA"/>
        </w:rPr>
        <w:t>,</w:t>
      </w:r>
      <w:r w:rsidRPr="003E0BC7">
        <w:rPr>
          <w:rFonts w:ascii="Tahoma" w:hAnsi="Tahoma" w:cs="Tahoma"/>
        </w:rPr>
        <w:t>1</w:t>
      </w:r>
      <w:r w:rsidRPr="003E0BC7">
        <w:rPr>
          <w:rFonts w:ascii="Tahoma" w:hAnsi="Tahoma" w:cs="Tahoma"/>
          <w:lang w:val="sr-Cyrl-BA"/>
        </w:rPr>
        <w:t xml:space="preserve">%. Овакаво кретање цијена резултат је преласка обрачуна електричне енергије са зимске на љетну тарифу, што је узроковало пад цијена у одјељку </w:t>
      </w:r>
      <w:r w:rsidRPr="003E0BC7">
        <w:rPr>
          <w:rFonts w:ascii="Tahoma" w:hAnsi="Tahoma" w:cs="Tahoma"/>
          <w:i/>
          <w:lang w:val="sr-Cyrl-BA"/>
        </w:rPr>
        <w:t>Становање</w:t>
      </w:r>
      <w:r w:rsidRPr="003E0BC7">
        <w:rPr>
          <w:rFonts w:ascii="Tahoma" w:hAnsi="Tahoma" w:cs="Tahoma"/>
          <w:lang w:val="sr-Cyrl-BA"/>
        </w:rPr>
        <w:t xml:space="preserve"> </w:t>
      </w:r>
      <w:r w:rsidRPr="003E0BC7">
        <w:rPr>
          <w:rFonts w:ascii="Tahoma" w:hAnsi="Tahoma" w:cs="Tahoma"/>
        </w:rPr>
        <w:t>10</w:t>
      </w:r>
      <w:r w:rsidRPr="003E0BC7">
        <w:rPr>
          <w:rFonts w:ascii="Tahoma" w:hAnsi="Tahoma" w:cs="Tahoma"/>
          <w:lang w:val="sr-Cyrl-BA"/>
        </w:rPr>
        <w:t>,</w:t>
      </w:r>
      <w:r w:rsidRPr="003E0BC7">
        <w:rPr>
          <w:rFonts w:ascii="Tahoma" w:hAnsi="Tahoma" w:cs="Tahoma"/>
        </w:rPr>
        <w:t>3</w:t>
      </w:r>
      <w:r w:rsidRPr="003E0BC7">
        <w:rPr>
          <w:rFonts w:ascii="Tahoma" w:hAnsi="Tahoma" w:cs="Tahoma"/>
          <w:lang w:val="sr-Cyrl-BA"/>
        </w:rPr>
        <w:t>%.</w:t>
      </w:r>
    </w:p>
    <w:p w:rsidR="00A60737" w:rsidRPr="003E0BC7" w:rsidRDefault="00A60737" w:rsidP="00983E6E">
      <w:pPr>
        <w:jc w:val="both"/>
        <w:rPr>
          <w:rFonts w:ascii="Tahoma" w:hAnsi="Tahoma" w:cs="Tahoma"/>
        </w:rPr>
      </w:pPr>
    </w:p>
    <w:p w:rsidR="00A60737" w:rsidRPr="003E0BC7" w:rsidRDefault="00A60737" w:rsidP="00983E6E">
      <w:pPr>
        <w:jc w:val="both"/>
        <w:rPr>
          <w:rFonts w:ascii="Tahoma" w:hAnsi="Tahoma" w:cs="Tahoma"/>
          <w:i/>
          <w:lang w:val="sr-Cyrl-BA"/>
        </w:rPr>
      </w:pPr>
      <w:r w:rsidRPr="003E0BC7">
        <w:rPr>
          <w:rFonts w:ascii="Tahoma" w:hAnsi="Tahoma" w:cs="Tahoma"/>
          <w:lang w:val="sr-Cyrl-BA"/>
        </w:rPr>
        <w:t xml:space="preserve"> Забиљежен је раст код </w:t>
      </w:r>
      <w:r w:rsidRPr="003E0BC7">
        <w:rPr>
          <w:rFonts w:ascii="Tahoma" w:hAnsi="Tahoma" w:cs="Tahoma"/>
        </w:rPr>
        <w:t>4</w:t>
      </w:r>
      <w:r w:rsidRPr="003E0BC7">
        <w:rPr>
          <w:rFonts w:ascii="Tahoma" w:hAnsi="Tahoma" w:cs="Tahoma"/>
          <w:lang w:val="sr-Cyrl-BA"/>
        </w:rPr>
        <w:t xml:space="preserve"> од укупно 12 одјељака. Раст цијена у априлу забиљежен је у одјељцима </w:t>
      </w:r>
      <w:r w:rsidRPr="003E0BC7">
        <w:rPr>
          <w:rFonts w:ascii="Tahoma" w:hAnsi="Tahoma" w:cs="Tahoma"/>
          <w:i/>
          <w:lang w:val="sr-Cyrl-BA"/>
        </w:rPr>
        <w:t>Намјештај и покућство, Одјећа и об</w:t>
      </w:r>
      <w:r w:rsidR="00983E6E" w:rsidRPr="003E0BC7">
        <w:rPr>
          <w:rFonts w:ascii="Tahoma" w:hAnsi="Tahoma" w:cs="Tahoma"/>
          <w:i/>
          <w:lang w:val="sr-Cyrl-BA"/>
        </w:rPr>
        <w:t xml:space="preserve">ућа, Храна и безалкохолна пића </w:t>
      </w:r>
      <w:r w:rsidR="00983E6E" w:rsidRPr="003E0BC7">
        <w:rPr>
          <w:rFonts w:ascii="Tahoma" w:hAnsi="Tahoma" w:cs="Tahoma"/>
          <w:lang w:val="sr-Cyrl-BA"/>
        </w:rPr>
        <w:t>и</w:t>
      </w:r>
      <w:r w:rsidRPr="003E0BC7">
        <w:rPr>
          <w:rFonts w:ascii="Tahoma" w:hAnsi="Tahoma" w:cs="Tahoma"/>
          <w:i/>
          <w:lang w:val="sr-Cyrl-BA"/>
        </w:rPr>
        <w:t xml:space="preserve"> Алкохолна пића и дуван.</w:t>
      </w:r>
    </w:p>
    <w:p w:rsidR="00A60737" w:rsidRPr="003E0BC7" w:rsidRDefault="00A60737" w:rsidP="00983E6E">
      <w:pPr>
        <w:jc w:val="both"/>
        <w:rPr>
          <w:rFonts w:ascii="Tahoma" w:hAnsi="Tahoma" w:cs="Tahoma"/>
          <w:i/>
          <w:lang w:val="sr-Cyrl-BA"/>
        </w:rPr>
      </w:pPr>
    </w:p>
    <w:p w:rsidR="00A60737" w:rsidRPr="003E0BC7" w:rsidRDefault="00A60737" w:rsidP="00983E6E">
      <w:pPr>
        <w:spacing w:after="120"/>
        <w:jc w:val="both"/>
        <w:rPr>
          <w:rFonts w:ascii="Tahoma" w:hAnsi="Tahoma" w:cs="Tahoma"/>
          <w:lang w:val="sr-Cyrl-BA"/>
        </w:rPr>
      </w:pPr>
      <w:r w:rsidRPr="003E0BC7">
        <w:rPr>
          <w:rFonts w:ascii="Tahoma" w:hAnsi="Tahoma" w:cs="Tahoma"/>
          <w:lang w:val="sr-Cyrl-BA"/>
        </w:rPr>
        <w:t xml:space="preserve">Највећи раст цијена од 1,0% који је забиљежен у одјељку </w:t>
      </w:r>
      <w:r w:rsidRPr="003E0BC7">
        <w:rPr>
          <w:rFonts w:ascii="Tahoma" w:hAnsi="Tahoma" w:cs="Tahoma"/>
          <w:i/>
          <w:lang w:val="sr-Cyrl-BA"/>
        </w:rPr>
        <w:t>Намјештај и покућство</w:t>
      </w:r>
      <w:r w:rsidRPr="003E0BC7">
        <w:rPr>
          <w:rFonts w:ascii="Tahoma" w:hAnsi="Tahoma" w:cs="Tahoma"/>
          <w:lang w:val="sr-Cyrl-BA"/>
        </w:rPr>
        <w:t xml:space="preserve"> настао је због виших цијена производа за чишћење и одржавање куће за 2,4%.</w:t>
      </w:r>
    </w:p>
    <w:p w:rsidR="00A60737" w:rsidRPr="003E0BC7" w:rsidRDefault="00A60737" w:rsidP="00983E6E">
      <w:pPr>
        <w:spacing w:after="120"/>
        <w:jc w:val="both"/>
        <w:rPr>
          <w:rFonts w:ascii="Tahoma" w:hAnsi="Tahoma" w:cs="Tahoma"/>
          <w:lang w:val="sr-Cyrl-BA"/>
        </w:rPr>
      </w:pPr>
      <w:r w:rsidRPr="003E0BC7">
        <w:rPr>
          <w:rFonts w:ascii="Tahoma" w:hAnsi="Tahoma" w:cs="Tahoma"/>
          <w:lang w:val="sr-Cyrl-BA"/>
        </w:rPr>
        <w:t xml:space="preserve">Одјељак </w:t>
      </w:r>
      <w:r w:rsidRPr="003E0BC7">
        <w:rPr>
          <w:rFonts w:ascii="Tahoma" w:hAnsi="Tahoma" w:cs="Tahoma"/>
          <w:i/>
          <w:lang w:val="sr-Cyrl-BA"/>
        </w:rPr>
        <w:t>Одјећа и обућа</w:t>
      </w:r>
      <w:r w:rsidRPr="003E0BC7">
        <w:rPr>
          <w:rFonts w:ascii="Tahoma" w:hAnsi="Tahoma" w:cs="Tahoma"/>
          <w:lang w:val="sr-Cyrl-BA"/>
        </w:rPr>
        <w:t xml:space="preserve"> биљежи раст цијена 0,8% због виших цијена одјеће за 1,2%. </w:t>
      </w:r>
    </w:p>
    <w:p w:rsidR="00A60737" w:rsidRPr="003E0BC7" w:rsidRDefault="00A60737" w:rsidP="00983E6E">
      <w:pPr>
        <w:jc w:val="both"/>
        <w:rPr>
          <w:rFonts w:ascii="Tahoma" w:hAnsi="Tahoma" w:cs="Tahoma"/>
          <w:lang w:val="sr-Latn-CS"/>
        </w:rPr>
      </w:pPr>
      <w:r w:rsidRPr="003E0BC7">
        <w:rPr>
          <w:rFonts w:ascii="Tahoma" w:hAnsi="Tahoma" w:cs="Tahoma"/>
          <w:lang w:val="sr-Cyrl-BA"/>
        </w:rPr>
        <w:t xml:space="preserve">Одјељак </w:t>
      </w:r>
      <w:r w:rsidRPr="003E0BC7">
        <w:rPr>
          <w:rFonts w:ascii="Tahoma" w:hAnsi="Tahoma" w:cs="Tahoma"/>
          <w:i/>
          <w:lang w:val="sr-Cyrl-BA"/>
        </w:rPr>
        <w:t xml:space="preserve">Храна и безалкохолна пића </w:t>
      </w:r>
      <w:r w:rsidRPr="003E0BC7">
        <w:rPr>
          <w:rFonts w:ascii="Tahoma" w:hAnsi="Tahoma" w:cs="Tahoma"/>
          <w:lang w:val="sr-Cyrl-BA"/>
        </w:rPr>
        <w:t>биљежи</w:t>
      </w:r>
      <w:r w:rsidRPr="003E0BC7">
        <w:rPr>
          <w:rFonts w:ascii="Tahoma" w:hAnsi="Tahoma" w:cs="Tahoma"/>
          <w:i/>
          <w:lang w:val="sr-Cyrl-BA"/>
        </w:rPr>
        <w:t xml:space="preserve"> </w:t>
      </w:r>
      <w:r w:rsidRPr="003E0BC7">
        <w:rPr>
          <w:rFonts w:ascii="Tahoma" w:hAnsi="Tahoma" w:cs="Tahoma"/>
          <w:lang w:val="sr-Cyrl-BA"/>
        </w:rPr>
        <w:t xml:space="preserve">раст цијена 0,3%. Група </w:t>
      </w:r>
      <w:r w:rsidRPr="003E0BC7">
        <w:rPr>
          <w:rFonts w:ascii="Tahoma" w:hAnsi="Tahoma" w:cs="Tahoma"/>
          <w:i/>
          <w:lang w:val="sr-Cyrl-BA"/>
        </w:rPr>
        <w:t xml:space="preserve">Храна </w:t>
      </w:r>
      <w:r w:rsidRPr="003E0BC7">
        <w:rPr>
          <w:rFonts w:ascii="Tahoma" w:hAnsi="Tahoma" w:cs="Tahoma"/>
          <w:lang w:val="sr-Cyrl-BA"/>
        </w:rPr>
        <w:t>биљежи</w:t>
      </w:r>
      <w:r w:rsidRPr="003E0BC7">
        <w:rPr>
          <w:rFonts w:ascii="Tahoma" w:hAnsi="Tahoma" w:cs="Tahoma"/>
          <w:i/>
          <w:lang w:val="sr-Cyrl-BA"/>
        </w:rPr>
        <w:t xml:space="preserve"> </w:t>
      </w:r>
      <w:r w:rsidR="007729EF" w:rsidRPr="003E0BC7">
        <w:rPr>
          <w:rFonts w:ascii="Tahoma" w:hAnsi="Tahoma" w:cs="Tahoma"/>
          <w:lang w:val="sr-Cyrl-BA"/>
        </w:rPr>
        <w:t>раст 0,4% и то повећање цијена</w:t>
      </w:r>
      <w:r w:rsidRPr="003E0BC7">
        <w:rPr>
          <w:rFonts w:ascii="Tahoma" w:hAnsi="Tahoma" w:cs="Tahoma"/>
          <w:lang w:val="sr-Cyrl-BA"/>
        </w:rPr>
        <w:t xml:space="preserve"> забиљежено</w:t>
      </w:r>
      <w:r w:rsidR="007729EF" w:rsidRPr="003E0BC7">
        <w:rPr>
          <w:rFonts w:ascii="Tahoma" w:hAnsi="Tahoma" w:cs="Tahoma"/>
          <w:lang w:val="sr-Latn-CS"/>
        </w:rPr>
        <w:t xml:space="preserve"> је</w:t>
      </w:r>
      <w:r w:rsidRPr="003E0BC7">
        <w:rPr>
          <w:rFonts w:ascii="Tahoma" w:hAnsi="Tahoma" w:cs="Tahoma"/>
          <w:lang w:val="sr-Cyrl-BA"/>
        </w:rPr>
        <w:t xml:space="preserve"> код воћа 3,8%, поврћа 3,1%, </w:t>
      </w:r>
      <w:r w:rsidR="008C21A9" w:rsidRPr="003E0BC7">
        <w:rPr>
          <w:rFonts w:ascii="Tahoma" w:hAnsi="Tahoma" w:cs="Tahoma"/>
          <w:lang w:val="sr-Cyrl-BA"/>
        </w:rPr>
        <w:t>чоколаде 2,2%,</w:t>
      </w:r>
      <w:r w:rsidR="008C21A9" w:rsidRPr="003E0BC7">
        <w:rPr>
          <w:rFonts w:ascii="Tahoma" w:hAnsi="Tahoma" w:cs="Tahoma"/>
          <w:lang w:val="sr-Latn-CS"/>
        </w:rPr>
        <w:t xml:space="preserve"> </w:t>
      </w:r>
      <w:r w:rsidR="008C21A9" w:rsidRPr="003E0BC7">
        <w:rPr>
          <w:rFonts w:ascii="Tahoma" w:hAnsi="Tahoma" w:cs="Tahoma"/>
          <w:lang w:val="sr-Cyrl-BA"/>
        </w:rPr>
        <w:t>свињетине 1,2%, замрзнутог лиснатог тијеста 1,1%, кекса 0,8%, свјеже и замрзнуте рибе 0,7%</w:t>
      </w:r>
      <w:r w:rsidR="008C21A9" w:rsidRPr="003E0BC7">
        <w:rPr>
          <w:rFonts w:ascii="Tahoma" w:hAnsi="Tahoma" w:cs="Tahoma"/>
          <w:lang w:val="sr-Latn-CS"/>
        </w:rPr>
        <w:t>.</w:t>
      </w:r>
      <w:r w:rsidR="008C21A9" w:rsidRPr="003E0BC7">
        <w:rPr>
          <w:rFonts w:ascii="Tahoma" w:hAnsi="Tahoma" w:cs="Tahoma"/>
          <w:lang w:val="sr-Cyrl-BA"/>
        </w:rPr>
        <w:t xml:space="preserve"> На групу </w:t>
      </w:r>
      <w:r w:rsidR="008C21A9" w:rsidRPr="003E0BC7">
        <w:rPr>
          <w:rFonts w:ascii="Tahoma" w:hAnsi="Tahoma" w:cs="Tahoma"/>
          <w:i/>
          <w:lang w:val="sr-Cyrl-BA"/>
        </w:rPr>
        <w:t>Храна</w:t>
      </w:r>
      <w:r w:rsidR="008C21A9" w:rsidRPr="003E0BC7">
        <w:rPr>
          <w:rFonts w:ascii="Tahoma" w:hAnsi="Tahoma" w:cs="Tahoma"/>
          <w:lang w:val="sr-Cyrl-BA"/>
        </w:rPr>
        <w:t xml:space="preserve"> утицало је и повећање цијена </w:t>
      </w:r>
      <w:r w:rsidR="00252B09" w:rsidRPr="003E0BC7">
        <w:rPr>
          <w:rFonts w:ascii="Tahoma" w:hAnsi="Tahoma" w:cs="Tahoma"/>
          <w:lang w:val="sr-Cyrl-BA"/>
        </w:rPr>
        <w:t>сосова (сенф, кечап, мајонеза) 0,6%</w:t>
      </w:r>
      <w:r w:rsidR="00252B09" w:rsidRPr="003E0BC7">
        <w:rPr>
          <w:rFonts w:ascii="Tahoma" w:hAnsi="Tahoma" w:cs="Tahoma"/>
          <w:lang w:val="sr-Latn-CS"/>
        </w:rPr>
        <w:t xml:space="preserve">, </w:t>
      </w:r>
      <w:r w:rsidR="008C21A9" w:rsidRPr="003E0BC7">
        <w:rPr>
          <w:rFonts w:ascii="Tahoma" w:hAnsi="Tahoma" w:cs="Tahoma"/>
          <w:lang w:val="sr-Cyrl-BA"/>
        </w:rPr>
        <w:t xml:space="preserve">осталих млијечних производа 0,6%, </w:t>
      </w:r>
      <w:r w:rsidRPr="003E0BC7">
        <w:rPr>
          <w:rFonts w:ascii="Tahoma" w:hAnsi="Tahoma" w:cs="Tahoma"/>
          <w:lang w:val="sr-Cyrl-BA"/>
        </w:rPr>
        <w:t>јагњетине 0,5%, пилетине 0,4%, јогурта 0,3%, кухињске соли 0,3%</w:t>
      </w:r>
      <w:r w:rsidR="008C21A9" w:rsidRPr="003E0BC7">
        <w:rPr>
          <w:rFonts w:ascii="Tahoma" w:hAnsi="Tahoma" w:cs="Tahoma"/>
          <w:lang w:val="sr-Latn-CS"/>
        </w:rPr>
        <w:t>,</w:t>
      </w:r>
      <w:r w:rsidR="008C21A9" w:rsidRPr="003E0BC7">
        <w:rPr>
          <w:rFonts w:ascii="Tahoma" w:hAnsi="Tahoma" w:cs="Tahoma"/>
          <w:lang w:val="sr-Cyrl-BA"/>
        </w:rPr>
        <w:t xml:space="preserve"> свјежег млијека 0,2%, риже 0,2%</w:t>
      </w:r>
      <w:r w:rsidR="008C21A9" w:rsidRPr="003E0BC7">
        <w:rPr>
          <w:rFonts w:ascii="Tahoma" w:hAnsi="Tahoma" w:cs="Tahoma"/>
          <w:lang w:val="sr-Latn-CS"/>
        </w:rPr>
        <w:t xml:space="preserve">, </w:t>
      </w:r>
      <w:r w:rsidR="008C21A9" w:rsidRPr="003E0BC7">
        <w:rPr>
          <w:rFonts w:ascii="Tahoma" w:hAnsi="Tahoma" w:cs="Tahoma"/>
          <w:lang w:val="sr-Cyrl-BA"/>
        </w:rPr>
        <w:t>те меда 0,2%</w:t>
      </w:r>
      <w:r w:rsidR="008C21A9" w:rsidRPr="003E0BC7">
        <w:rPr>
          <w:rFonts w:ascii="Tahoma" w:hAnsi="Tahoma" w:cs="Tahoma"/>
          <w:lang w:val="sr-Latn-CS"/>
        </w:rPr>
        <w:t>.</w:t>
      </w:r>
      <w:r w:rsidRPr="003E0BC7">
        <w:rPr>
          <w:rFonts w:ascii="Tahoma" w:hAnsi="Tahoma" w:cs="Tahoma"/>
          <w:lang w:val="sr-Cyrl-BA"/>
        </w:rPr>
        <w:t xml:space="preserve"> </w:t>
      </w:r>
      <w:r w:rsidRPr="003E0BC7">
        <w:rPr>
          <w:rFonts w:ascii="Tahoma" w:eastAsia="Calibri" w:hAnsi="Tahoma" w:cs="Tahoma"/>
          <w:lang w:val="sr-Cyrl-BA"/>
        </w:rPr>
        <w:t xml:space="preserve">У групи </w:t>
      </w:r>
      <w:r w:rsidRPr="003E0BC7">
        <w:rPr>
          <w:rFonts w:ascii="Tahoma" w:eastAsia="Calibri" w:hAnsi="Tahoma" w:cs="Tahoma"/>
          <w:i/>
          <w:lang w:val="sr-Cyrl-BA"/>
        </w:rPr>
        <w:t xml:space="preserve">Безалкохолних пића </w:t>
      </w:r>
      <w:r w:rsidRPr="003E0BC7">
        <w:rPr>
          <w:rFonts w:ascii="Tahoma" w:eastAsia="Calibri" w:hAnsi="Tahoma" w:cs="Tahoma"/>
          <w:lang w:val="sr-Cyrl-BA"/>
        </w:rPr>
        <w:t>цијене се у просјеку остале непромјењене.</w:t>
      </w:r>
    </w:p>
    <w:p w:rsidR="00A60737" w:rsidRPr="003E0BC7" w:rsidRDefault="00A60737" w:rsidP="00983E6E">
      <w:pPr>
        <w:jc w:val="both"/>
        <w:rPr>
          <w:rFonts w:ascii="Tahoma" w:eastAsia="Calibri" w:hAnsi="Tahoma" w:cs="Tahoma"/>
          <w:lang w:val="sr-Cyrl-BA"/>
        </w:rPr>
      </w:pPr>
    </w:p>
    <w:p w:rsidR="00A60737" w:rsidRPr="003E0BC7" w:rsidRDefault="00A60737" w:rsidP="00983E6E">
      <w:pPr>
        <w:spacing w:after="120"/>
        <w:jc w:val="both"/>
        <w:rPr>
          <w:rFonts w:ascii="Tahoma" w:hAnsi="Tahoma" w:cs="Tahoma"/>
          <w:lang w:val="sr-Cyrl-BA"/>
        </w:rPr>
      </w:pPr>
      <w:r w:rsidRPr="003E0BC7">
        <w:rPr>
          <w:rFonts w:ascii="Tahoma" w:hAnsi="Tahoma" w:cs="Tahoma"/>
          <w:lang w:val="sr-Cyrl-BA"/>
        </w:rPr>
        <w:t>У одјељку</w:t>
      </w:r>
      <w:r w:rsidRPr="003E0BC7">
        <w:rPr>
          <w:rFonts w:ascii="Tahoma" w:hAnsi="Tahoma" w:cs="Tahoma"/>
          <w:i/>
          <w:lang w:val="sr-Cyrl-BA"/>
        </w:rPr>
        <w:t xml:space="preserve"> Алкохолна пића и дуван </w:t>
      </w:r>
      <w:r w:rsidRPr="003E0BC7">
        <w:rPr>
          <w:rFonts w:ascii="Tahoma" w:hAnsi="Tahoma" w:cs="Tahoma"/>
          <w:lang w:val="sr-Cyrl-BA"/>
        </w:rPr>
        <w:t>забиљежен је раст цијена 0,1% усљед повећања цијена вина 1,6% и пива 0,1%.</w:t>
      </w:r>
    </w:p>
    <w:p w:rsidR="00A60737" w:rsidRPr="003E0BC7" w:rsidRDefault="00A60737" w:rsidP="00983E6E">
      <w:pPr>
        <w:jc w:val="both"/>
        <w:rPr>
          <w:rFonts w:ascii="Tahoma" w:hAnsi="Tahoma" w:cs="Tahoma"/>
          <w:lang w:val="sr-Cyrl-BA"/>
        </w:rPr>
      </w:pPr>
      <w:r w:rsidRPr="003E0BC7">
        <w:rPr>
          <w:rFonts w:ascii="Tahoma" w:hAnsi="Tahoma" w:cs="Tahoma"/>
          <w:lang w:val="sr-Cyrl-BA"/>
        </w:rPr>
        <w:t>У одјељцима</w:t>
      </w:r>
      <w:r w:rsidRPr="003E0BC7">
        <w:rPr>
          <w:rFonts w:ascii="Tahoma" w:eastAsia="Calibri" w:hAnsi="Tahoma" w:cs="Tahoma"/>
          <w:i/>
          <w:lang w:val="sr-Cyrl-BA"/>
        </w:rPr>
        <w:t xml:space="preserve"> </w:t>
      </w:r>
      <w:r w:rsidRPr="003E0BC7">
        <w:rPr>
          <w:rFonts w:ascii="Tahoma" w:hAnsi="Tahoma" w:cs="Tahoma"/>
          <w:i/>
          <w:lang w:val="sr-Cyrl-BA"/>
        </w:rPr>
        <w:t xml:space="preserve">Комуникације, Образовање </w:t>
      </w:r>
      <w:r w:rsidRPr="003E0BC7">
        <w:rPr>
          <w:rFonts w:ascii="Tahoma" w:hAnsi="Tahoma" w:cs="Tahoma"/>
          <w:lang w:val="sr-Cyrl-BA"/>
        </w:rPr>
        <w:t>и</w:t>
      </w:r>
      <w:r w:rsidRPr="003E0BC7">
        <w:rPr>
          <w:rFonts w:ascii="Tahoma" w:hAnsi="Tahoma" w:cs="Tahoma"/>
          <w:i/>
          <w:lang w:val="sr-Cyrl-BA"/>
        </w:rPr>
        <w:t xml:space="preserve"> </w:t>
      </w:r>
      <w:r w:rsidRPr="003E0BC7">
        <w:rPr>
          <w:rFonts w:ascii="Tahoma" w:eastAsia="Calibri" w:hAnsi="Tahoma" w:cs="Tahoma"/>
          <w:i/>
          <w:lang w:val="sr-Cyrl-BA"/>
        </w:rPr>
        <w:t>Ресторани и хотели</w:t>
      </w:r>
      <w:r w:rsidRPr="003E0BC7">
        <w:rPr>
          <w:rFonts w:ascii="Tahoma" w:hAnsi="Tahoma" w:cs="Tahoma"/>
          <w:i/>
          <w:lang w:val="sr-Cyrl-BA"/>
        </w:rPr>
        <w:t xml:space="preserve"> </w:t>
      </w:r>
      <w:r w:rsidRPr="003E0BC7">
        <w:rPr>
          <w:rFonts w:ascii="Tahoma" w:hAnsi="Tahoma" w:cs="Tahoma"/>
          <w:lang w:val="sr-Cyrl-BA"/>
        </w:rPr>
        <w:t>цијене су у просјеку остале исте.</w:t>
      </w:r>
    </w:p>
    <w:p w:rsidR="00A60737" w:rsidRPr="003E0BC7" w:rsidRDefault="00A60737" w:rsidP="00983E6E">
      <w:pPr>
        <w:jc w:val="both"/>
        <w:rPr>
          <w:rFonts w:ascii="Tahoma" w:hAnsi="Tahoma" w:cs="Tahoma"/>
          <w:lang w:val="sr-Cyrl-BA"/>
        </w:rPr>
      </w:pPr>
    </w:p>
    <w:p w:rsidR="00A60737" w:rsidRPr="003E0BC7" w:rsidRDefault="00A60737" w:rsidP="00983E6E">
      <w:pPr>
        <w:spacing w:after="120"/>
        <w:jc w:val="both"/>
        <w:rPr>
          <w:rFonts w:ascii="Tahoma" w:eastAsia="Calibri" w:hAnsi="Tahoma" w:cs="Tahoma"/>
          <w:lang w:val="sr-Cyrl-BA"/>
        </w:rPr>
      </w:pPr>
      <w:r w:rsidRPr="003E0BC7">
        <w:rPr>
          <w:rFonts w:ascii="Tahoma" w:eastAsia="Calibri" w:hAnsi="Tahoma" w:cs="Tahoma"/>
          <w:lang w:val="sr-Cyrl-BA"/>
        </w:rPr>
        <w:t xml:space="preserve">У одјељку </w:t>
      </w:r>
      <w:r w:rsidRPr="003E0BC7">
        <w:rPr>
          <w:rFonts w:ascii="Tahoma" w:hAnsi="Tahoma" w:cs="Tahoma"/>
          <w:i/>
          <w:lang w:val="sr-Cyrl-BA"/>
        </w:rPr>
        <w:t>Рекреација и култура</w:t>
      </w:r>
      <w:r w:rsidR="00983E6E" w:rsidRPr="003E0BC7">
        <w:rPr>
          <w:rFonts w:ascii="Tahoma" w:eastAsia="Calibri" w:hAnsi="Tahoma" w:cs="Tahoma"/>
          <w:lang w:val="sr-Cyrl-BA"/>
        </w:rPr>
        <w:t xml:space="preserve"> пад цијена од 0,1%</w:t>
      </w:r>
      <w:r w:rsidRPr="003E0BC7">
        <w:rPr>
          <w:rFonts w:ascii="Tahoma" w:eastAsia="Calibri" w:hAnsi="Tahoma" w:cs="Tahoma"/>
          <w:lang w:val="sr-Cyrl-BA"/>
        </w:rPr>
        <w:t xml:space="preserve"> настао</w:t>
      </w:r>
      <w:r w:rsidR="00983E6E" w:rsidRPr="003E0BC7">
        <w:rPr>
          <w:rFonts w:ascii="Tahoma" w:eastAsia="Calibri" w:hAnsi="Tahoma" w:cs="Tahoma"/>
          <w:lang w:val="sr-Cyrl-BA"/>
        </w:rPr>
        <w:t xml:space="preserve"> је</w:t>
      </w:r>
      <w:r w:rsidRPr="003E0BC7">
        <w:rPr>
          <w:rFonts w:ascii="Tahoma" w:eastAsia="Calibri" w:hAnsi="Tahoma" w:cs="Tahoma"/>
          <w:lang w:val="sr-Cyrl-BA"/>
        </w:rPr>
        <w:t xml:space="preserve"> усљед нижих цијена цвијећа за 1,4%.</w:t>
      </w:r>
    </w:p>
    <w:p w:rsidR="00A60737" w:rsidRPr="003E0BC7" w:rsidRDefault="00A60737" w:rsidP="00983E6E">
      <w:pPr>
        <w:spacing w:after="120"/>
        <w:jc w:val="both"/>
        <w:rPr>
          <w:rFonts w:ascii="Tahoma" w:eastAsia="Calibri" w:hAnsi="Tahoma" w:cs="Tahoma"/>
          <w:lang w:val="sr-Cyrl-BA"/>
        </w:rPr>
      </w:pPr>
      <w:r w:rsidRPr="003E0BC7">
        <w:rPr>
          <w:rFonts w:ascii="Tahoma" w:eastAsia="Calibri" w:hAnsi="Tahoma" w:cs="Tahoma"/>
          <w:lang w:val="sr-Cyrl-BA"/>
        </w:rPr>
        <w:t xml:space="preserve">У одјељку </w:t>
      </w:r>
      <w:r w:rsidRPr="003E0BC7">
        <w:rPr>
          <w:rFonts w:ascii="Tahoma" w:eastAsia="Calibri" w:hAnsi="Tahoma" w:cs="Tahoma"/>
          <w:i/>
          <w:lang w:val="sr-Cyrl-BA"/>
        </w:rPr>
        <w:t>Здравство</w:t>
      </w:r>
      <w:r w:rsidRPr="003E0BC7">
        <w:rPr>
          <w:rFonts w:ascii="Tahoma" w:eastAsia="Calibri" w:hAnsi="Tahoma" w:cs="Tahoma"/>
          <w:lang w:val="sr-Cyrl-BA"/>
        </w:rPr>
        <w:t xml:space="preserve"> пад цијена од 0,3% настао је усљед нижих цијена појединих лијекова.</w:t>
      </w:r>
    </w:p>
    <w:p w:rsidR="00A60737" w:rsidRPr="003E0BC7" w:rsidRDefault="00A60737" w:rsidP="00983E6E">
      <w:pPr>
        <w:spacing w:after="120"/>
        <w:jc w:val="both"/>
        <w:rPr>
          <w:rFonts w:ascii="Tahoma" w:hAnsi="Tahoma" w:cs="Tahoma"/>
          <w:lang w:val="sr-Cyrl-BA" w:eastAsia="sr-Latn-BA"/>
        </w:rPr>
      </w:pPr>
      <w:r w:rsidRPr="003E0BC7">
        <w:rPr>
          <w:rFonts w:ascii="Tahoma" w:hAnsi="Tahoma" w:cs="Tahoma"/>
          <w:lang w:val="sr-Cyrl-BA"/>
        </w:rPr>
        <w:t xml:space="preserve">У одјељку </w:t>
      </w:r>
      <w:r w:rsidRPr="003E0BC7">
        <w:rPr>
          <w:rFonts w:ascii="Tahoma" w:hAnsi="Tahoma" w:cs="Tahoma"/>
          <w:i/>
          <w:lang w:val="sr-Cyrl-BA"/>
        </w:rPr>
        <w:t>Остала добра и услуге</w:t>
      </w:r>
      <w:r w:rsidRPr="003E0BC7">
        <w:rPr>
          <w:rFonts w:ascii="Tahoma" w:hAnsi="Tahoma" w:cs="Tahoma"/>
          <w:lang w:val="sr-Cyrl-BA"/>
        </w:rPr>
        <w:t xml:space="preserve"> такође је забиљежен пад цијена 0,3% усљед нижих</w:t>
      </w:r>
      <w:r w:rsidRPr="003E0BC7">
        <w:rPr>
          <w:rFonts w:ascii="Calibri" w:hAnsi="Calibri" w:cs="Arial"/>
        </w:rPr>
        <w:t xml:space="preserve"> </w:t>
      </w:r>
      <w:r w:rsidRPr="003E0BC7">
        <w:rPr>
          <w:rFonts w:ascii="Tahoma" w:hAnsi="Tahoma" w:cs="Tahoma"/>
          <w:lang w:val="sr-Cyrl-BA"/>
        </w:rPr>
        <w:t>цијена производа за личн</w:t>
      </w:r>
      <w:r w:rsidR="002A379E" w:rsidRPr="003E0BC7">
        <w:rPr>
          <w:rFonts w:ascii="Tahoma" w:hAnsi="Tahoma" w:cs="Tahoma"/>
          <w:lang w:val="sr-Cyrl-BA"/>
        </w:rPr>
        <w:t>у</w:t>
      </w:r>
      <w:r w:rsidRPr="003E0BC7">
        <w:rPr>
          <w:rFonts w:ascii="Tahoma" w:hAnsi="Tahoma" w:cs="Tahoma"/>
          <w:lang w:val="sr-Cyrl-BA"/>
        </w:rPr>
        <w:t xml:space="preserve"> његу (дезодоранси</w:t>
      </w:r>
      <w:r w:rsidRPr="003E0BC7">
        <w:rPr>
          <w:rFonts w:ascii="Tahoma" w:hAnsi="Tahoma" w:cs="Tahoma"/>
          <w:lang w:eastAsia="sr-Latn-BA"/>
        </w:rPr>
        <w:t>,</w:t>
      </w:r>
      <w:r w:rsidRPr="003E0BC7">
        <w:rPr>
          <w:rFonts w:ascii="Tahoma" w:hAnsi="Tahoma" w:cs="Tahoma"/>
          <w:lang w:val="sr-Cyrl-BA" w:eastAsia="sr-Latn-BA"/>
        </w:rPr>
        <w:t xml:space="preserve"> лакови за косу, фарбе за косу, тоалетни п</w:t>
      </w:r>
      <w:r w:rsidR="00543DB1" w:rsidRPr="003E0BC7">
        <w:rPr>
          <w:rFonts w:ascii="Tahoma" w:hAnsi="Tahoma" w:cs="Tahoma"/>
          <w:lang w:val="sr-Cyrl-BA" w:eastAsia="sr-Latn-BA"/>
        </w:rPr>
        <w:t>апир, хигијенски улошци, пелене</w:t>
      </w:r>
      <w:r w:rsidRPr="003E0BC7">
        <w:rPr>
          <w:rFonts w:ascii="Tahoma" w:hAnsi="Tahoma" w:cs="Tahoma"/>
          <w:lang w:val="sr-Cyrl-BA" w:eastAsia="sr-Latn-BA"/>
        </w:rPr>
        <w:t>) за 0,6%.</w:t>
      </w:r>
    </w:p>
    <w:p w:rsidR="005665FA" w:rsidRPr="003E0BC7" w:rsidRDefault="00983E6E" w:rsidP="00983E6E">
      <w:pPr>
        <w:spacing w:after="120"/>
        <w:jc w:val="both"/>
        <w:rPr>
          <w:rFonts w:ascii="Tahoma" w:hAnsi="Tahoma" w:cs="Tahoma"/>
          <w:lang w:val="sr-Cyrl-BA"/>
        </w:rPr>
      </w:pPr>
      <w:r w:rsidRPr="003E0BC7">
        <w:rPr>
          <w:rFonts w:ascii="Tahoma" w:hAnsi="Tahoma" w:cs="Tahoma"/>
          <w:lang w:val="sr-Cyrl-BA"/>
        </w:rPr>
        <w:t>У</w:t>
      </w:r>
      <w:r w:rsidR="00A60737" w:rsidRPr="003E0BC7">
        <w:rPr>
          <w:rFonts w:ascii="Tahoma" w:hAnsi="Tahoma" w:cs="Tahoma"/>
          <w:lang w:val="sr-Cyrl-BA"/>
        </w:rPr>
        <w:t xml:space="preserve"> одјељку </w:t>
      </w:r>
      <w:r w:rsidR="00A60737" w:rsidRPr="003E0BC7">
        <w:rPr>
          <w:rFonts w:ascii="Tahoma" w:hAnsi="Tahoma" w:cs="Tahoma"/>
          <w:i/>
          <w:lang w:val="sr-Cyrl-BA"/>
        </w:rPr>
        <w:t>Превоз</w:t>
      </w:r>
      <w:r w:rsidR="00A60737" w:rsidRPr="003E0BC7">
        <w:rPr>
          <w:rFonts w:ascii="Tahoma" w:hAnsi="Tahoma" w:cs="Tahoma"/>
          <w:lang w:val="sr-Cyrl-BA"/>
        </w:rPr>
        <w:t xml:space="preserve"> забиљежен</w:t>
      </w:r>
      <w:r w:rsidRPr="003E0BC7">
        <w:rPr>
          <w:rFonts w:ascii="Tahoma" w:hAnsi="Tahoma" w:cs="Tahoma"/>
          <w:lang w:val="sr-Cyrl-BA"/>
        </w:rPr>
        <w:t xml:space="preserve"> је</w:t>
      </w:r>
      <w:r w:rsidR="00A60737" w:rsidRPr="003E0BC7">
        <w:rPr>
          <w:rFonts w:ascii="Tahoma" w:hAnsi="Tahoma" w:cs="Tahoma"/>
          <w:lang w:val="sr-Cyrl-BA"/>
        </w:rPr>
        <w:t xml:space="preserve"> пад цијена</w:t>
      </w:r>
      <w:r w:rsidR="00A60737" w:rsidRPr="003E0BC7">
        <w:rPr>
          <w:rFonts w:ascii="Tahoma" w:hAnsi="Tahoma" w:cs="Tahoma"/>
          <w:i/>
          <w:lang w:val="sr-Cyrl-BA"/>
        </w:rPr>
        <w:t xml:space="preserve"> </w:t>
      </w:r>
      <w:r w:rsidR="00A60737" w:rsidRPr="003E0BC7">
        <w:rPr>
          <w:rFonts w:ascii="Tahoma" w:hAnsi="Tahoma" w:cs="Tahoma"/>
          <w:lang w:val="sr-Cyrl-BA"/>
        </w:rPr>
        <w:t xml:space="preserve">0,6% због појефтињења свих врста горива што је утицало на укупан пад цијена у подгрупи </w:t>
      </w:r>
      <w:r w:rsidR="00A60737" w:rsidRPr="003E0BC7">
        <w:rPr>
          <w:rFonts w:ascii="Tahoma" w:hAnsi="Tahoma" w:cs="Tahoma"/>
          <w:i/>
          <w:lang w:val="sr-Cyrl-BA"/>
        </w:rPr>
        <w:t xml:space="preserve">Горива и мазива </w:t>
      </w:r>
      <w:r w:rsidR="00A60737" w:rsidRPr="003E0BC7">
        <w:rPr>
          <w:rFonts w:ascii="Tahoma" w:hAnsi="Tahoma" w:cs="Tahoma"/>
          <w:lang w:val="sr-Cyrl-BA"/>
        </w:rPr>
        <w:t>за</w:t>
      </w:r>
      <w:r w:rsidR="00A60737" w:rsidRPr="003E0BC7">
        <w:rPr>
          <w:rFonts w:ascii="Tahoma" w:hAnsi="Tahoma" w:cs="Tahoma"/>
          <w:i/>
          <w:lang w:val="sr-Cyrl-BA"/>
        </w:rPr>
        <w:t xml:space="preserve"> </w:t>
      </w:r>
      <w:r w:rsidR="00A60737" w:rsidRPr="003E0BC7">
        <w:rPr>
          <w:rFonts w:ascii="Tahoma" w:hAnsi="Tahoma" w:cs="Tahoma"/>
          <w:lang w:val="sr-Cyrl-BA"/>
        </w:rPr>
        <w:t xml:space="preserve">1,1%. </w:t>
      </w:r>
    </w:p>
    <w:p w:rsidR="001561A7" w:rsidRPr="003E0BC7" w:rsidRDefault="001561A7" w:rsidP="00983E6E">
      <w:pPr>
        <w:spacing w:after="120"/>
        <w:jc w:val="both"/>
        <w:rPr>
          <w:rFonts w:ascii="Tahoma" w:hAnsi="Tahoma" w:cs="Tahoma"/>
          <w:lang w:val="sr-Cyrl-BA"/>
        </w:rPr>
      </w:pPr>
      <w:r w:rsidRPr="003E0BC7">
        <w:rPr>
          <w:rFonts w:ascii="Tahoma" w:hAnsi="Tahoma" w:cs="Tahoma"/>
          <w:lang w:val="sr-Cyrl-BA"/>
        </w:rPr>
        <w:t>Цијене производа и услуга</w:t>
      </w:r>
      <w:r w:rsidRPr="003E0BC7">
        <w:rPr>
          <w:rFonts w:ascii="Tahoma" w:hAnsi="Tahoma" w:cs="Tahoma"/>
          <w:lang w:val="sr-Cyrl-CS"/>
        </w:rPr>
        <w:t xml:space="preserve">, </w:t>
      </w:r>
      <w:r w:rsidRPr="003E0BC7">
        <w:rPr>
          <w:rFonts w:ascii="Tahoma" w:hAnsi="Tahoma" w:cs="Tahoma"/>
          <w:lang w:val="sr-Cyrl-BA"/>
        </w:rPr>
        <w:t>кој</w:t>
      </w:r>
      <w:r w:rsidR="00001AA6" w:rsidRPr="003E0BC7">
        <w:rPr>
          <w:rFonts w:ascii="Tahoma" w:hAnsi="Tahoma" w:cs="Tahoma"/>
          <w:lang w:val="sr-Latn-CS"/>
        </w:rPr>
        <w:t>e</w:t>
      </w:r>
      <w:r w:rsidRPr="003E0BC7">
        <w:rPr>
          <w:rFonts w:ascii="Tahoma" w:hAnsi="Tahoma" w:cs="Tahoma"/>
          <w:lang w:val="sr-Cyrl-BA"/>
        </w:rPr>
        <w:t xml:space="preserve"> се користе за личну потрошњу</w:t>
      </w:r>
      <w:r w:rsidRPr="003E0BC7">
        <w:rPr>
          <w:rFonts w:ascii="Tahoma" w:hAnsi="Tahoma" w:cs="Tahoma"/>
          <w:lang w:val="sr-Cyrl-CS"/>
        </w:rPr>
        <w:t xml:space="preserve"> </w:t>
      </w:r>
      <w:r w:rsidRPr="003E0BC7">
        <w:rPr>
          <w:rFonts w:ascii="Tahoma" w:hAnsi="Tahoma" w:cs="Tahoma"/>
          <w:lang w:val="sr-Cyrl-BA"/>
        </w:rPr>
        <w:t>у</w:t>
      </w:r>
      <w:r w:rsidRPr="003E0BC7">
        <w:rPr>
          <w:rFonts w:ascii="Tahoma" w:hAnsi="Tahoma" w:cs="Tahoma"/>
          <w:lang w:val="sr-Cyrl-CS"/>
        </w:rPr>
        <w:t xml:space="preserve"> </w:t>
      </w:r>
      <w:r w:rsidRPr="003E0BC7">
        <w:rPr>
          <w:rFonts w:ascii="Tahoma" w:hAnsi="Tahoma" w:cs="Tahoma"/>
          <w:lang w:val="sr-Cyrl-BA"/>
        </w:rPr>
        <w:t>Републици Српској,</w:t>
      </w:r>
      <w:r w:rsidRPr="003E0BC7">
        <w:rPr>
          <w:rFonts w:ascii="Tahoma" w:hAnsi="Tahoma" w:cs="Tahoma"/>
          <w:lang w:val="sr-Cyrl-CS"/>
        </w:rPr>
        <w:t xml:space="preserve"> </w:t>
      </w:r>
      <w:r w:rsidRPr="003E0BC7">
        <w:rPr>
          <w:rFonts w:ascii="Tahoma" w:hAnsi="Tahoma" w:cs="Tahoma"/>
          <w:lang w:val="sr-Cyrl-BA"/>
        </w:rPr>
        <w:t>у</w:t>
      </w:r>
      <w:r w:rsidRPr="003E0BC7">
        <w:rPr>
          <w:rFonts w:ascii="Tahoma" w:hAnsi="Tahoma" w:cs="Tahoma"/>
          <w:lang w:val="sr-Cyrl-CS"/>
        </w:rPr>
        <w:t xml:space="preserve"> </w:t>
      </w:r>
      <w:r w:rsidR="00A60737" w:rsidRPr="003E0BC7">
        <w:rPr>
          <w:rFonts w:ascii="Tahoma" w:hAnsi="Tahoma" w:cs="Tahoma"/>
          <w:lang w:val="sr-Cyrl-BA"/>
        </w:rPr>
        <w:t>априлу</w:t>
      </w:r>
      <w:r w:rsidR="00B66B55" w:rsidRPr="003E0BC7">
        <w:rPr>
          <w:rFonts w:ascii="Tahoma" w:hAnsi="Tahoma" w:cs="Tahoma"/>
          <w:lang w:val="sr-Cyrl-CS"/>
        </w:rPr>
        <w:t xml:space="preserve"> 2013</w:t>
      </w:r>
      <w:r w:rsidRPr="003E0BC7">
        <w:rPr>
          <w:rFonts w:ascii="Tahoma" w:hAnsi="Tahoma" w:cs="Tahoma"/>
          <w:lang w:val="sr-Cyrl-CS"/>
        </w:rPr>
        <w:t xml:space="preserve">. </w:t>
      </w:r>
      <w:r w:rsidRPr="003E0BC7">
        <w:rPr>
          <w:rFonts w:ascii="Tahoma" w:hAnsi="Tahoma" w:cs="Tahoma"/>
          <w:lang w:val="sr-Cyrl-BA"/>
        </w:rPr>
        <w:t>године</w:t>
      </w:r>
      <w:r w:rsidRPr="003E0BC7">
        <w:rPr>
          <w:rFonts w:ascii="Tahoma" w:hAnsi="Tahoma" w:cs="Tahoma"/>
          <w:lang w:val="sr-Cyrl-CS"/>
        </w:rPr>
        <w:t xml:space="preserve"> </w:t>
      </w:r>
      <w:r w:rsidRPr="003E0BC7">
        <w:rPr>
          <w:rFonts w:ascii="Tahoma" w:hAnsi="Tahoma" w:cs="Tahoma"/>
          <w:lang w:val="sr-Cyrl-BA"/>
        </w:rPr>
        <w:t>у односу на исти мјесец</w:t>
      </w:r>
      <w:r w:rsidR="003C7538" w:rsidRPr="003E0BC7">
        <w:rPr>
          <w:rFonts w:ascii="Tahoma" w:hAnsi="Tahoma" w:cs="Tahoma"/>
          <w:lang w:val="sr-Cyrl-CS"/>
        </w:rPr>
        <w:t xml:space="preserve"> 201</w:t>
      </w:r>
      <w:r w:rsidR="00B66B55" w:rsidRPr="003E0BC7">
        <w:rPr>
          <w:rFonts w:ascii="Tahoma" w:hAnsi="Tahoma" w:cs="Tahoma"/>
          <w:lang w:val="sr-Cyrl-CS"/>
        </w:rPr>
        <w:t>2</w:t>
      </w:r>
      <w:r w:rsidRPr="003E0BC7">
        <w:rPr>
          <w:rFonts w:ascii="Tahoma" w:hAnsi="Tahoma" w:cs="Tahoma"/>
          <w:lang w:val="sr-Cyrl-CS"/>
        </w:rPr>
        <w:t xml:space="preserve">. </w:t>
      </w:r>
      <w:r w:rsidRPr="003E0BC7">
        <w:rPr>
          <w:rFonts w:ascii="Tahoma" w:hAnsi="Tahoma" w:cs="Tahoma"/>
          <w:lang w:val="sr-Cyrl-BA"/>
        </w:rPr>
        <w:t>године,</w:t>
      </w:r>
      <w:r w:rsidRPr="003E0BC7">
        <w:rPr>
          <w:rFonts w:ascii="Tahoma" w:hAnsi="Tahoma" w:cs="Tahoma"/>
          <w:lang w:val="sr-Cyrl-CS"/>
        </w:rPr>
        <w:t xml:space="preserve"> </w:t>
      </w:r>
      <w:r w:rsidRPr="003E0BC7">
        <w:rPr>
          <w:rFonts w:ascii="Tahoma" w:hAnsi="Tahoma" w:cs="Tahoma"/>
          <w:lang w:val="sr-Cyrl-BA"/>
        </w:rPr>
        <w:t>више су у просјеку</w:t>
      </w:r>
      <w:r w:rsidRPr="003E0BC7">
        <w:rPr>
          <w:rFonts w:ascii="Tahoma" w:hAnsi="Tahoma" w:cs="Tahoma"/>
          <w:lang w:val="sr-Cyrl-CS"/>
        </w:rPr>
        <w:t xml:space="preserve"> </w:t>
      </w:r>
      <w:r w:rsidRPr="003E0BC7">
        <w:rPr>
          <w:rFonts w:ascii="Tahoma" w:hAnsi="Tahoma" w:cs="Tahoma"/>
          <w:lang w:val="sr-Cyrl-BA"/>
        </w:rPr>
        <w:t>за</w:t>
      </w:r>
      <w:r w:rsidR="00BB4227" w:rsidRPr="003E0BC7">
        <w:rPr>
          <w:rFonts w:ascii="Tahoma" w:hAnsi="Tahoma" w:cs="Tahoma"/>
          <w:lang w:val="sr-Cyrl-CS"/>
        </w:rPr>
        <w:t xml:space="preserve"> </w:t>
      </w:r>
      <w:r w:rsidR="00844688" w:rsidRPr="003E0BC7">
        <w:rPr>
          <w:rFonts w:ascii="Tahoma" w:hAnsi="Tahoma" w:cs="Tahoma"/>
          <w:lang w:val="sr-Cyrl-CS"/>
        </w:rPr>
        <w:t>0</w:t>
      </w:r>
      <w:r w:rsidRPr="003E0BC7">
        <w:rPr>
          <w:rFonts w:ascii="Tahoma" w:hAnsi="Tahoma" w:cs="Tahoma"/>
          <w:lang w:val="sr-Cyrl-CS"/>
        </w:rPr>
        <w:t>,</w:t>
      </w:r>
      <w:r w:rsidR="00A60737" w:rsidRPr="003E0BC7">
        <w:rPr>
          <w:rFonts w:ascii="Tahoma" w:hAnsi="Tahoma" w:cs="Tahoma"/>
          <w:lang w:val="sr-Cyrl-CS"/>
        </w:rPr>
        <w:t>3</w:t>
      </w:r>
      <w:r w:rsidRPr="003E0BC7">
        <w:rPr>
          <w:rFonts w:ascii="Tahoma" w:hAnsi="Tahoma" w:cs="Tahoma"/>
          <w:lang w:val="sr-Cyrl-CS"/>
        </w:rPr>
        <w:t>%.</w:t>
      </w:r>
    </w:p>
    <w:p w:rsidR="004A08B4" w:rsidRPr="003E0BC7" w:rsidRDefault="001561A7" w:rsidP="00983E6E">
      <w:pPr>
        <w:jc w:val="both"/>
        <w:rPr>
          <w:rFonts w:ascii="Tahoma" w:hAnsi="Tahoma" w:cs="Tahoma"/>
          <w:b/>
          <w:lang w:val="ru-RU"/>
        </w:rPr>
      </w:pPr>
      <w:r w:rsidRPr="003E0BC7">
        <w:rPr>
          <w:rFonts w:ascii="Tahoma" w:hAnsi="Tahoma" w:cs="Tahoma"/>
          <w:lang w:val="sr-Cyrl-BA"/>
        </w:rPr>
        <w:t xml:space="preserve">Посматрано по одјељцима намјене потрошње, у </w:t>
      </w:r>
      <w:r w:rsidR="00A60737" w:rsidRPr="003E0BC7">
        <w:rPr>
          <w:rFonts w:ascii="Tahoma" w:hAnsi="Tahoma" w:cs="Tahoma"/>
          <w:lang w:val="sr-Cyrl-BA"/>
        </w:rPr>
        <w:t>априлу</w:t>
      </w:r>
      <w:r w:rsidR="00844688" w:rsidRPr="003E0BC7">
        <w:rPr>
          <w:rFonts w:ascii="Tahoma" w:hAnsi="Tahoma" w:cs="Tahoma"/>
          <w:lang w:val="sr-Cyrl-BA"/>
        </w:rPr>
        <w:t xml:space="preserve"> </w:t>
      </w:r>
      <w:r w:rsidR="00B66B55" w:rsidRPr="003E0BC7">
        <w:rPr>
          <w:rFonts w:ascii="Tahoma" w:hAnsi="Tahoma" w:cs="Tahoma"/>
          <w:lang w:val="sr-Cyrl-BA"/>
        </w:rPr>
        <w:t>2013</w:t>
      </w:r>
      <w:r w:rsidRPr="003E0BC7">
        <w:rPr>
          <w:rFonts w:ascii="Tahoma" w:hAnsi="Tahoma" w:cs="Tahoma"/>
          <w:lang w:val="sr-Cyrl-BA"/>
        </w:rPr>
        <w:t xml:space="preserve">. године у односу на </w:t>
      </w:r>
      <w:r w:rsidR="00A60737" w:rsidRPr="003E0BC7">
        <w:rPr>
          <w:rFonts w:ascii="Tahoma" w:hAnsi="Tahoma" w:cs="Tahoma"/>
          <w:lang w:val="sr-Cyrl-BA"/>
        </w:rPr>
        <w:t>април</w:t>
      </w:r>
      <w:r w:rsidR="00166C85" w:rsidRPr="003E0BC7">
        <w:rPr>
          <w:rFonts w:ascii="Tahoma" w:hAnsi="Tahoma" w:cs="Tahoma"/>
          <w:lang w:val="sr-Cyrl-BA"/>
        </w:rPr>
        <w:t xml:space="preserve"> </w:t>
      </w:r>
      <w:r w:rsidR="00F463FE" w:rsidRPr="003E0BC7">
        <w:rPr>
          <w:rFonts w:ascii="Tahoma" w:hAnsi="Tahoma" w:cs="Tahoma"/>
          <w:lang w:val="sr-Cyrl-BA"/>
        </w:rPr>
        <w:t>201</w:t>
      </w:r>
      <w:r w:rsidR="00B66B55" w:rsidRPr="003E0BC7">
        <w:rPr>
          <w:rFonts w:ascii="Tahoma" w:hAnsi="Tahoma" w:cs="Tahoma"/>
          <w:lang w:val="sr-Cyrl-BA"/>
        </w:rPr>
        <w:t>2</w:t>
      </w:r>
      <w:r w:rsidRPr="003E0BC7">
        <w:rPr>
          <w:rFonts w:ascii="Tahoma" w:hAnsi="Tahoma" w:cs="Tahoma"/>
          <w:lang w:val="sr-Cyrl-BA"/>
        </w:rPr>
        <w:t>. год</w:t>
      </w:r>
      <w:r w:rsidR="00E96567" w:rsidRPr="003E0BC7">
        <w:rPr>
          <w:rFonts w:ascii="Tahoma" w:hAnsi="Tahoma" w:cs="Tahoma"/>
          <w:lang w:val="sr-Cyrl-BA"/>
        </w:rPr>
        <w:t xml:space="preserve">ине, највиши раст забиљежен је </w:t>
      </w:r>
      <w:r w:rsidRPr="003E0BC7">
        <w:rPr>
          <w:rFonts w:ascii="Tahoma" w:hAnsi="Tahoma" w:cs="Tahoma"/>
          <w:lang w:val="sr-Cyrl-BA"/>
        </w:rPr>
        <w:t>код одјељка</w:t>
      </w:r>
      <w:r w:rsidR="00F463FE" w:rsidRPr="003E0BC7">
        <w:rPr>
          <w:rFonts w:ascii="Tahoma" w:hAnsi="Tahoma" w:cs="Tahoma"/>
          <w:i/>
          <w:lang w:val="sr-Cyrl-BA"/>
        </w:rPr>
        <w:t xml:space="preserve"> Алкохолна пића и дуван</w:t>
      </w:r>
      <w:r w:rsidR="00E54110" w:rsidRPr="003E0BC7">
        <w:rPr>
          <w:rFonts w:ascii="Tahoma" w:hAnsi="Tahoma" w:cs="Tahoma"/>
          <w:lang w:val="sr-Cyrl-BA"/>
        </w:rPr>
        <w:t xml:space="preserve"> </w:t>
      </w:r>
      <w:r w:rsidR="00A60737" w:rsidRPr="003E0BC7">
        <w:rPr>
          <w:rFonts w:ascii="Tahoma" w:hAnsi="Tahoma" w:cs="Tahoma"/>
          <w:lang w:val="sr-Cyrl-BA"/>
        </w:rPr>
        <w:t>5</w:t>
      </w:r>
      <w:r w:rsidR="00166C85" w:rsidRPr="003E0BC7">
        <w:rPr>
          <w:rFonts w:ascii="Tahoma" w:hAnsi="Tahoma" w:cs="Tahoma"/>
          <w:lang w:val="sr-Cyrl-BA"/>
        </w:rPr>
        <w:t>,</w:t>
      </w:r>
      <w:r w:rsidR="00A60737" w:rsidRPr="003E0BC7">
        <w:rPr>
          <w:rFonts w:ascii="Tahoma" w:hAnsi="Tahoma" w:cs="Tahoma"/>
          <w:lang w:val="sr-Cyrl-BA"/>
        </w:rPr>
        <w:t>5%</w:t>
      </w:r>
      <w:r w:rsidR="005665FA" w:rsidRPr="003E0BC7">
        <w:rPr>
          <w:rFonts w:ascii="Tahoma" w:hAnsi="Tahoma" w:cs="Tahoma"/>
          <w:lang w:val="sr-Cyrl-BA"/>
        </w:rPr>
        <w:t>.</w:t>
      </w:r>
    </w:p>
    <w:p w:rsidR="004A08B4" w:rsidRPr="003E0BC7" w:rsidRDefault="004A08B4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E62A34" w:rsidRPr="003E0BC7" w:rsidRDefault="00E62A34" w:rsidP="004641E9">
      <w:pPr>
        <w:rPr>
          <w:rFonts w:ascii="Tahoma" w:hAnsi="Tahoma" w:cs="Tahoma"/>
          <w:b/>
          <w:lang w:val="sr-Latn-CS"/>
        </w:rPr>
      </w:pPr>
    </w:p>
    <w:p w:rsidR="005E0301" w:rsidRPr="003E0BC7" w:rsidRDefault="005E0301" w:rsidP="004641E9">
      <w:pPr>
        <w:rPr>
          <w:rFonts w:ascii="Tahoma" w:hAnsi="Tahoma" w:cs="Tahoma"/>
          <w:b/>
          <w:lang w:val="sr-Cyrl-BA"/>
        </w:rPr>
      </w:pPr>
      <w:r w:rsidRPr="003E0BC7">
        <w:rPr>
          <w:rFonts w:ascii="Tahoma" w:hAnsi="Tahoma" w:cs="Tahoma"/>
          <w:b/>
          <w:sz w:val="28"/>
          <w:szCs w:val="28"/>
          <w:lang w:val="sr-Cyrl-CS"/>
        </w:rPr>
        <w:t>Цијене произвођача индустријских производа</w:t>
      </w:r>
      <w:r w:rsidR="00F24C99" w:rsidRPr="003E0BC7">
        <w:rPr>
          <w:rFonts w:ascii="Tahoma" w:hAnsi="Tahoma" w:cs="Tahoma"/>
          <w:b/>
          <w:sz w:val="28"/>
          <w:szCs w:val="28"/>
          <w:lang w:val="sr-Cyrl-CS"/>
        </w:rPr>
        <w:t xml:space="preserve"> на домаћем тржишту</w:t>
      </w:r>
      <w:r w:rsidRPr="003E0BC7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="00825667" w:rsidRPr="003E0BC7">
        <w:rPr>
          <w:rFonts w:ascii="Tahoma" w:hAnsi="Tahoma" w:cs="Tahoma"/>
          <w:b/>
          <w:sz w:val="28"/>
          <w:szCs w:val="28"/>
          <w:lang w:val="sr-Cyrl-CS"/>
        </w:rPr>
        <w:t>(</w:t>
      </w:r>
      <w:r w:rsidR="00D070A9" w:rsidRPr="003E0BC7">
        <w:rPr>
          <w:rFonts w:ascii="Tahoma" w:hAnsi="Tahoma" w:cs="Tahoma"/>
          <w:b/>
          <w:sz w:val="28"/>
          <w:szCs w:val="28"/>
        </w:rPr>
        <w:t>I</w:t>
      </w:r>
      <w:r w:rsidR="007D1A13" w:rsidRPr="003E0BC7">
        <w:rPr>
          <w:rFonts w:ascii="Tahoma" w:hAnsi="Tahoma" w:cs="Tahoma"/>
          <w:b/>
          <w:sz w:val="28"/>
          <w:szCs w:val="28"/>
          <w:lang w:val="sr-Latn-CS"/>
        </w:rPr>
        <w:t>V</w:t>
      </w:r>
      <w:r w:rsidR="00BE5202" w:rsidRPr="003E0BC7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="00B6250B" w:rsidRPr="003E0BC7">
        <w:rPr>
          <w:rFonts w:ascii="Tahoma" w:hAnsi="Tahoma" w:cs="Tahoma"/>
          <w:b/>
          <w:sz w:val="28"/>
          <w:szCs w:val="28"/>
          <w:lang w:val="sr-Cyrl-CS"/>
        </w:rPr>
        <w:t>201</w:t>
      </w:r>
      <w:r w:rsidR="0038415D" w:rsidRPr="003E0BC7">
        <w:rPr>
          <w:rFonts w:ascii="Tahoma" w:hAnsi="Tahoma" w:cs="Tahoma"/>
          <w:b/>
          <w:sz w:val="28"/>
          <w:szCs w:val="28"/>
          <w:lang w:val="sr-Latn-CS"/>
        </w:rPr>
        <w:t>3</w:t>
      </w:r>
      <w:r w:rsidR="0009483B" w:rsidRPr="003E0BC7">
        <w:rPr>
          <w:rFonts w:ascii="Tahoma" w:hAnsi="Tahoma" w:cs="Tahoma"/>
          <w:b/>
          <w:sz w:val="28"/>
          <w:szCs w:val="28"/>
          <w:lang w:val="sr-Cyrl-CS"/>
        </w:rPr>
        <w:t>/</w:t>
      </w:r>
      <w:r w:rsidR="0038415D" w:rsidRPr="003E0BC7">
        <w:rPr>
          <w:rFonts w:ascii="Tahoma" w:hAnsi="Tahoma" w:cs="Tahoma"/>
          <w:b/>
          <w:sz w:val="28"/>
          <w:szCs w:val="28"/>
          <w:lang w:val="sr-Latn-CS"/>
        </w:rPr>
        <w:t>I</w:t>
      </w:r>
      <w:r w:rsidR="00D070A9" w:rsidRPr="003E0BC7">
        <w:rPr>
          <w:rFonts w:ascii="Tahoma" w:hAnsi="Tahoma" w:cs="Tahoma"/>
          <w:b/>
          <w:sz w:val="28"/>
          <w:szCs w:val="28"/>
          <w:lang w:val="sr-Latn-CS"/>
        </w:rPr>
        <w:t>I</w:t>
      </w:r>
      <w:r w:rsidR="007D1A13" w:rsidRPr="003E0BC7">
        <w:rPr>
          <w:rFonts w:ascii="Tahoma" w:hAnsi="Tahoma" w:cs="Tahoma"/>
          <w:b/>
          <w:sz w:val="28"/>
          <w:szCs w:val="28"/>
          <w:lang w:val="sr-Latn-CS"/>
        </w:rPr>
        <w:t>I</w:t>
      </w:r>
      <w:r w:rsidR="0009483B" w:rsidRPr="003E0BC7">
        <w:rPr>
          <w:rFonts w:ascii="Tahoma" w:hAnsi="Tahoma" w:cs="Tahoma"/>
          <w:b/>
          <w:sz w:val="28"/>
          <w:szCs w:val="28"/>
          <w:lang w:val="sr-Cyrl-CS"/>
        </w:rPr>
        <w:t xml:space="preserve"> 201</w:t>
      </w:r>
      <w:r w:rsidR="00F24C99" w:rsidRPr="003E0BC7">
        <w:rPr>
          <w:rFonts w:ascii="Tahoma" w:hAnsi="Tahoma" w:cs="Tahoma"/>
          <w:b/>
          <w:sz w:val="28"/>
          <w:szCs w:val="28"/>
          <w:lang w:val="sr-Latn-CS"/>
        </w:rPr>
        <w:t>3</w:t>
      </w:r>
      <w:r w:rsidR="00153234" w:rsidRPr="003E0BC7">
        <w:rPr>
          <w:rFonts w:ascii="Tahoma" w:hAnsi="Tahoma" w:cs="Tahoma"/>
          <w:b/>
          <w:sz w:val="28"/>
          <w:szCs w:val="28"/>
          <w:lang w:val="sr-Cyrl-CS"/>
        </w:rPr>
        <w:t>)</w:t>
      </w:r>
      <w:r w:rsidR="007A44D9" w:rsidRPr="003E0BC7">
        <w:rPr>
          <w:rFonts w:ascii="Tahoma" w:hAnsi="Tahoma" w:cs="Tahoma"/>
          <w:b/>
          <w:sz w:val="28"/>
          <w:szCs w:val="28"/>
          <w:lang w:val="sr-Latn-CS"/>
        </w:rPr>
        <w:t xml:space="preserve"> </w:t>
      </w:r>
      <w:r w:rsidR="00690920" w:rsidRPr="003E0BC7">
        <w:rPr>
          <w:rFonts w:ascii="Tahoma" w:hAnsi="Tahoma" w:cs="Tahoma"/>
          <w:b/>
          <w:sz w:val="28"/>
          <w:szCs w:val="28"/>
          <w:lang w:val="sr-Cyrl-CS"/>
        </w:rPr>
        <w:t xml:space="preserve">у просјеку </w:t>
      </w:r>
      <w:r w:rsidR="00D070A9" w:rsidRPr="003E0BC7">
        <w:rPr>
          <w:rFonts w:ascii="Tahoma" w:hAnsi="Tahoma" w:cs="Tahoma"/>
          <w:b/>
          <w:sz w:val="28"/>
          <w:szCs w:val="28"/>
          <w:lang w:val="sr-Cyrl-CS"/>
        </w:rPr>
        <w:t>ниже</w:t>
      </w:r>
      <w:r w:rsidR="00FF2941" w:rsidRPr="003E0BC7">
        <w:rPr>
          <w:rFonts w:ascii="Tahoma" w:hAnsi="Tahoma" w:cs="Tahoma"/>
          <w:b/>
          <w:sz w:val="28"/>
          <w:szCs w:val="28"/>
          <w:lang w:val="sr-Cyrl-CS"/>
        </w:rPr>
        <w:t xml:space="preserve"> 0,</w:t>
      </w:r>
      <w:r w:rsidR="00076AB1" w:rsidRPr="003E0BC7">
        <w:rPr>
          <w:rFonts w:ascii="Tahoma" w:hAnsi="Tahoma" w:cs="Tahoma"/>
          <w:b/>
          <w:sz w:val="28"/>
          <w:szCs w:val="28"/>
          <w:lang w:val="sr-Latn-CS"/>
        </w:rPr>
        <w:t>2</w:t>
      </w:r>
      <w:r w:rsidR="001B32B9" w:rsidRPr="003E0BC7">
        <w:rPr>
          <w:rFonts w:ascii="Tahoma" w:hAnsi="Tahoma" w:cs="Tahoma"/>
          <w:b/>
          <w:sz w:val="28"/>
          <w:szCs w:val="28"/>
          <w:lang w:val="sr-Cyrl-CS"/>
        </w:rPr>
        <w:t>%</w:t>
      </w:r>
    </w:p>
    <w:p w:rsidR="001A1901" w:rsidRPr="003E0BC7" w:rsidRDefault="001A1901" w:rsidP="001A1901">
      <w:pPr>
        <w:ind w:right="68"/>
        <w:jc w:val="both"/>
        <w:rPr>
          <w:rFonts w:ascii="Tahoma" w:hAnsi="Tahoma" w:cs="Tahoma"/>
          <w:lang w:val="sr-Latn-CS"/>
        </w:rPr>
      </w:pPr>
    </w:p>
    <w:p w:rsidR="005A5687" w:rsidRPr="003E0BC7" w:rsidRDefault="00076AB1" w:rsidP="00CF3976">
      <w:pPr>
        <w:spacing w:after="120"/>
        <w:ind w:right="68"/>
        <w:jc w:val="both"/>
        <w:rPr>
          <w:rFonts w:ascii="Tahoma" w:hAnsi="Tahoma" w:cs="Tahoma"/>
          <w:lang w:val="sr-Cyrl-CS"/>
        </w:rPr>
      </w:pPr>
      <w:r w:rsidRPr="003E0BC7">
        <w:rPr>
          <w:rFonts w:ascii="Tahoma" w:hAnsi="Tahoma" w:cs="Tahoma"/>
          <w:lang w:val="sr-Cyrl-CS"/>
        </w:rPr>
        <w:t>Цијен</w:t>
      </w:r>
      <w:r w:rsidRPr="003E0BC7">
        <w:rPr>
          <w:rFonts w:ascii="Tahoma" w:hAnsi="Tahoma" w:cs="Tahoma"/>
        </w:rPr>
        <w:t>e</w:t>
      </w:r>
      <w:r w:rsidRPr="003E0BC7">
        <w:rPr>
          <w:rFonts w:ascii="Tahoma" w:hAnsi="Tahoma" w:cs="Tahoma"/>
          <w:lang w:val="sr-Cyrl-CS"/>
        </w:rPr>
        <w:t xml:space="preserve"> произвођач</w:t>
      </w:r>
      <w:r w:rsidRPr="003E0BC7">
        <w:rPr>
          <w:rFonts w:ascii="Tahoma" w:hAnsi="Tahoma" w:cs="Tahoma"/>
        </w:rPr>
        <w:t xml:space="preserve">a </w:t>
      </w:r>
      <w:r w:rsidRPr="003E0BC7">
        <w:rPr>
          <w:rFonts w:ascii="Tahoma" w:hAnsi="Tahoma" w:cs="Tahoma"/>
          <w:lang w:val="sr-Cyrl-CS"/>
        </w:rPr>
        <w:t>индустријских производа на домаћем тржишту</w:t>
      </w:r>
      <w:r w:rsidRPr="003E0BC7">
        <w:rPr>
          <w:rFonts w:ascii="Tahoma" w:hAnsi="Tahoma" w:cs="Tahoma"/>
          <w:lang w:val="hr-HR"/>
        </w:rPr>
        <w:t xml:space="preserve"> у </w:t>
      </w:r>
      <w:r w:rsidRPr="003E0BC7">
        <w:rPr>
          <w:rFonts w:ascii="Tahoma" w:hAnsi="Tahoma" w:cs="Tahoma"/>
          <w:lang w:val="sr-Cyrl-CS"/>
        </w:rPr>
        <w:t xml:space="preserve">априлу </w:t>
      </w:r>
      <w:r w:rsidRPr="003E0BC7">
        <w:rPr>
          <w:rFonts w:ascii="Tahoma" w:hAnsi="Tahoma" w:cs="Tahoma"/>
          <w:lang w:val="hr-HR"/>
        </w:rPr>
        <w:t>20</w:t>
      </w:r>
      <w:r w:rsidRPr="003E0BC7">
        <w:rPr>
          <w:rFonts w:ascii="Tahoma" w:hAnsi="Tahoma" w:cs="Tahoma"/>
          <w:lang w:val="sr-Cyrl-CS"/>
        </w:rPr>
        <w:t>13</w:t>
      </w:r>
      <w:r w:rsidRPr="003E0BC7">
        <w:rPr>
          <w:rFonts w:ascii="Tahoma" w:hAnsi="Tahoma" w:cs="Tahoma"/>
          <w:lang w:val="hr-HR"/>
        </w:rPr>
        <w:t xml:space="preserve">. </w:t>
      </w:r>
      <w:r w:rsidRPr="003E0BC7">
        <w:rPr>
          <w:rFonts w:ascii="Tahoma" w:hAnsi="Tahoma" w:cs="Tahoma"/>
          <w:lang w:val="sr-Cyrl-CS"/>
        </w:rPr>
        <w:t xml:space="preserve">године </w:t>
      </w:r>
      <w:r w:rsidRPr="003E0BC7">
        <w:rPr>
          <w:rFonts w:ascii="Tahoma" w:hAnsi="Tahoma" w:cs="Tahoma"/>
          <w:lang w:val="hr-HR"/>
        </w:rPr>
        <w:t>у односу на</w:t>
      </w:r>
      <w:r w:rsidRPr="003E0BC7">
        <w:rPr>
          <w:rFonts w:ascii="Tahoma" w:hAnsi="Tahoma" w:cs="Tahoma"/>
          <w:lang w:val="sr-Cyrl-CS"/>
        </w:rPr>
        <w:t xml:space="preserve"> март </w:t>
      </w:r>
      <w:r w:rsidRPr="003E0BC7">
        <w:rPr>
          <w:rFonts w:ascii="Tahoma" w:hAnsi="Tahoma" w:cs="Tahoma"/>
          <w:lang w:val="hr-HR"/>
        </w:rPr>
        <w:t>201</w:t>
      </w:r>
      <w:r w:rsidRPr="003E0BC7">
        <w:rPr>
          <w:rFonts w:ascii="Tahoma" w:hAnsi="Tahoma" w:cs="Tahoma"/>
          <w:lang w:val="sr-Cyrl-CS"/>
        </w:rPr>
        <w:t>3</w:t>
      </w:r>
      <w:r w:rsidRPr="003E0BC7">
        <w:rPr>
          <w:rFonts w:ascii="Tahoma" w:hAnsi="Tahoma" w:cs="Tahoma"/>
          <w:lang w:val="hr-HR"/>
        </w:rPr>
        <w:t>.</w:t>
      </w:r>
      <w:r w:rsidRPr="003E0BC7">
        <w:rPr>
          <w:rFonts w:ascii="Tahoma" w:hAnsi="Tahoma" w:cs="Tahoma"/>
          <w:lang w:val="sr-Cyrl-CS"/>
        </w:rPr>
        <w:t xml:space="preserve"> године у просјеку су ниже за 0</w:t>
      </w:r>
      <w:r w:rsidRPr="003E0BC7">
        <w:rPr>
          <w:rFonts w:ascii="Tahoma" w:hAnsi="Tahoma" w:cs="Tahoma"/>
          <w:lang w:val="sr-Latn-CS"/>
        </w:rPr>
        <w:t>,</w:t>
      </w:r>
      <w:r w:rsidRPr="003E0BC7">
        <w:rPr>
          <w:rFonts w:ascii="Tahoma" w:hAnsi="Tahoma" w:cs="Tahoma"/>
          <w:lang w:val="sr-Cyrl-CS"/>
        </w:rPr>
        <w:t xml:space="preserve">2%, у односу на април 2012. године више су за </w:t>
      </w:r>
      <w:r w:rsidRPr="003E0BC7">
        <w:rPr>
          <w:rFonts w:ascii="Tahoma" w:hAnsi="Tahoma" w:cs="Tahoma"/>
          <w:lang w:val="sr-Latn-CS"/>
        </w:rPr>
        <w:t>1,0</w:t>
      </w:r>
      <w:r w:rsidRPr="003E0BC7">
        <w:rPr>
          <w:rFonts w:ascii="Tahoma" w:hAnsi="Tahoma" w:cs="Tahoma"/>
          <w:lang w:val="sr-Cyrl-CS"/>
        </w:rPr>
        <w:t>%, док су у односу на децембар 2012. године у просјеку ниже за 0</w:t>
      </w:r>
      <w:r w:rsidRPr="003E0BC7">
        <w:rPr>
          <w:rFonts w:ascii="Tahoma" w:hAnsi="Tahoma" w:cs="Tahoma"/>
          <w:lang w:val="sr-Latn-CS"/>
        </w:rPr>
        <w:t>,3</w:t>
      </w:r>
      <w:r w:rsidRPr="003E0BC7">
        <w:rPr>
          <w:rFonts w:ascii="Tahoma" w:hAnsi="Tahoma" w:cs="Tahoma"/>
          <w:lang w:val="sr-Cyrl-CS"/>
        </w:rPr>
        <w:t>%.</w:t>
      </w:r>
    </w:p>
    <w:p w:rsidR="0038415D" w:rsidRPr="003E0BC7" w:rsidRDefault="00EC4B52" w:rsidP="00CF3976">
      <w:pPr>
        <w:spacing w:after="120"/>
        <w:ind w:right="68"/>
        <w:jc w:val="both"/>
        <w:rPr>
          <w:rFonts w:ascii="Tahoma" w:hAnsi="Tahoma" w:cs="Tahoma"/>
          <w:lang w:val="sr-Cyrl-CS"/>
        </w:rPr>
      </w:pPr>
      <w:r w:rsidRPr="003E0BC7">
        <w:rPr>
          <w:rFonts w:ascii="Tahoma" w:hAnsi="Tahoma" w:cs="Tahoma"/>
          <w:lang w:val="hr-HR"/>
        </w:rPr>
        <w:t>Посматрано</w:t>
      </w:r>
      <w:r w:rsidRPr="003E0BC7">
        <w:rPr>
          <w:rFonts w:ascii="Tahoma" w:hAnsi="Tahoma" w:cs="Tahoma"/>
          <w:lang w:val="sr-Cyrl-CS"/>
        </w:rPr>
        <w:t xml:space="preserve"> п</w:t>
      </w:r>
      <w:r w:rsidRPr="003E0BC7">
        <w:rPr>
          <w:rFonts w:ascii="Tahoma" w:hAnsi="Tahoma" w:cs="Tahoma"/>
          <w:lang w:val="hr-HR"/>
        </w:rPr>
        <w:t>о</w:t>
      </w:r>
      <w:r w:rsidRPr="003E0BC7">
        <w:rPr>
          <w:rFonts w:ascii="Tahoma" w:hAnsi="Tahoma" w:cs="Tahoma"/>
          <w:lang w:val="sr-Cyrl-CS"/>
        </w:rPr>
        <w:t xml:space="preserve"> намјени потрошње, </w:t>
      </w:r>
      <w:r w:rsidRPr="003E0BC7">
        <w:rPr>
          <w:rFonts w:ascii="Tahoma" w:hAnsi="Tahoma" w:cs="Tahoma"/>
          <w:lang w:val="hr-HR"/>
        </w:rPr>
        <w:t>у</w:t>
      </w:r>
      <w:r w:rsidRPr="003E0BC7">
        <w:rPr>
          <w:rFonts w:ascii="Tahoma" w:hAnsi="Tahoma" w:cs="Tahoma"/>
          <w:lang w:val="sr-Cyrl-CS"/>
        </w:rPr>
        <w:t xml:space="preserve"> априлу </w:t>
      </w:r>
      <w:r w:rsidRPr="003E0BC7">
        <w:rPr>
          <w:rFonts w:ascii="Tahoma" w:hAnsi="Tahoma" w:cs="Tahoma"/>
          <w:lang w:val="hr-HR"/>
        </w:rPr>
        <w:t>20</w:t>
      </w:r>
      <w:r w:rsidRPr="003E0BC7">
        <w:rPr>
          <w:rFonts w:ascii="Tahoma" w:hAnsi="Tahoma" w:cs="Tahoma"/>
          <w:lang w:val="sr-Cyrl-CS"/>
        </w:rPr>
        <w:t>13</w:t>
      </w:r>
      <w:r w:rsidRPr="003E0BC7">
        <w:rPr>
          <w:rFonts w:ascii="Tahoma" w:hAnsi="Tahoma" w:cs="Tahoma"/>
          <w:lang w:val="hr-HR"/>
        </w:rPr>
        <w:t xml:space="preserve">. </w:t>
      </w:r>
      <w:r w:rsidRPr="003E0BC7">
        <w:rPr>
          <w:rFonts w:ascii="Tahoma" w:hAnsi="Tahoma" w:cs="Tahoma"/>
          <w:lang w:val="sr-Cyrl-CS"/>
        </w:rPr>
        <w:t xml:space="preserve">године </w:t>
      </w:r>
      <w:r w:rsidRPr="003E0BC7">
        <w:rPr>
          <w:rFonts w:ascii="Tahoma" w:hAnsi="Tahoma" w:cs="Tahoma"/>
          <w:lang w:val="hr-HR"/>
        </w:rPr>
        <w:t>у односу на</w:t>
      </w:r>
      <w:r w:rsidRPr="003E0BC7">
        <w:rPr>
          <w:rFonts w:ascii="Tahoma" w:hAnsi="Tahoma" w:cs="Tahoma"/>
          <w:lang w:val="sr-Cyrl-CS"/>
        </w:rPr>
        <w:t xml:space="preserve"> март</w:t>
      </w:r>
      <w:r w:rsidRPr="003E0BC7">
        <w:rPr>
          <w:rFonts w:ascii="Tahoma" w:hAnsi="Tahoma" w:cs="Tahoma"/>
          <w:lang w:val="sr-Latn-CS"/>
        </w:rPr>
        <w:t xml:space="preserve"> </w:t>
      </w:r>
      <w:r w:rsidRPr="003E0BC7">
        <w:rPr>
          <w:rFonts w:ascii="Tahoma" w:hAnsi="Tahoma" w:cs="Tahoma"/>
          <w:lang w:val="hr-HR"/>
        </w:rPr>
        <w:t>201</w:t>
      </w:r>
      <w:r w:rsidRPr="003E0BC7">
        <w:rPr>
          <w:rFonts w:ascii="Tahoma" w:hAnsi="Tahoma" w:cs="Tahoma"/>
          <w:lang w:val="sr-Cyrl-CS"/>
        </w:rPr>
        <w:t>3. године</w:t>
      </w:r>
      <w:r w:rsidRPr="003E0BC7">
        <w:rPr>
          <w:rFonts w:ascii="Tahoma" w:hAnsi="Tahoma" w:cs="Tahoma"/>
          <w:lang w:val="sr-Latn-CS"/>
        </w:rPr>
        <w:t>,</w:t>
      </w:r>
      <w:r w:rsidRPr="003E0BC7">
        <w:rPr>
          <w:rFonts w:ascii="Tahoma" w:hAnsi="Tahoma" w:cs="Tahoma"/>
          <w:lang w:val="sr-Cyrl-CS"/>
        </w:rPr>
        <w:t xml:space="preserve"> цијене</w:t>
      </w:r>
      <w:r w:rsidRPr="003E0BC7">
        <w:rPr>
          <w:rFonts w:ascii="Tahoma" w:hAnsi="Tahoma" w:cs="Tahoma"/>
          <w:lang w:val="sr-Latn-CS"/>
        </w:rPr>
        <w:t xml:space="preserve"> </w:t>
      </w:r>
      <w:r w:rsidRPr="003E0BC7">
        <w:rPr>
          <w:rFonts w:ascii="Tahoma" w:hAnsi="Tahoma" w:cs="Tahoma"/>
          <w:lang w:val="sr-Cyrl-CS"/>
        </w:rPr>
        <w:t>трајних производа за широку потрошњу</w:t>
      </w:r>
      <w:r w:rsidRPr="003E0BC7">
        <w:rPr>
          <w:rFonts w:ascii="Tahoma" w:hAnsi="Tahoma" w:cs="Tahoma"/>
          <w:lang w:val="sr-Latn-BA"/>
        </w:rPr>
        <w:t xml:space="preserve"> </w:t>
      </w:r>
      <w:r w:rsidRPr="003E0BC7">
        <w:rPr>
          <w:rFonts w:ascii="Tahoma" w:hAnsi="Tahoma" w:cs="Tahoma"/>
          <w:lang w:val="sr-Cyrl-CS"/>
        </w:rPr>
        <w:t>у просјеку</w:t>
      </w:r>
      <w:r w:rsidRPr="003E0BC7">
        <w:rPr>
          <w:rFonts w:ascii="Tahoma" w:hAnsi="Tahoma" w:cs="Tahoma"/>
          <w:lang w:val="sr-Latn-BA"/>
        </w:rPr>
        <w:t xml:space="preserve"> </w:t>
      </w:r>
      <w:r w:rsidRPr="003E0BC7">
        <w:rPr>
          <w:rFonts w:ascii="Tahoma" w:hAnsi="Tahoma" w:cs="Tahoma"/>
          <w:lang w:val="sr-Cyrl-CS"/>
        </w:rPr>
        <w:t>су више</w:t>
      </w:r>
      <w:r w:rsidRPr="003E0BC7">
        <w:rPr>
          <w:rFonts w:ascii="Tahoma" w:hAnsi="Tahoma" w:cs="Tahoma"/>
          <w:lang w:val="sr-Latn-BA"/>
        </w:rPr>
        <w:t xml:space="preserve"> </w:t>
      </w:r>
      <w:r w:rsidRPr="003E0BC7">
        <w:rPr>
          <w:rFonts w:ascii="Tahoma" w:hAnsi="Tahoma" w:cs="Tahoma"/>
          <w:lang w:val="sr-Cyrl-CS"/>
        </w:rPr>
        <w:t>за</w:t>
      </w:r>
      <w:r w:rsidRPr="003E0BC7">
        <w:rPr>
          <w:rFonts w:ascii="Tahoma" w:hAnsi="Tahoma" w:cs="Tahoma"/>
          <w:lang w:val="sr-Latn-CS"/>
        </w:rPr>
        <w:t xml:space="preserve"> </w:t>
      </w:r>
      <w:r w:rsidRPr="003E0BC7">
        <w:rPr>
          <w:rFonts w:ascii="Tahoma" w:hAnsi="Tahoma" w:cs="Tahoma"/>
          <w:lang w:val="sr-Cyrl-CS"/>
        </w:rPr>
        <w:t>0,6</w:t>
      </w:r>
      <w:r w:rsidRPr="003E0BC7">
        <w:rPr>
          <w:rFonts w:ascii="Tahoma" w:hAnsi="Tahoma" w:cs="Tahoma"/>
          <w:lang w:val="sr-Latn-CS"/>
        </w:rPr>
        <w:t>%</w:t>
      </w:r>
      <w:r w:rsidRPr="003E0BC7">
        <w:rPr>
          <w:rFonts w:ascii="Tahoma" w:hAnsi="Tahoma" w:cs="Tahoma"/>
          <w:lang w:val="sr-Cyrl-CS"/>
        </w:rPr>
        <w:t>, цијене капиталних прозвода у просјеку</w:t>
      </w:r>
      <w:r w:rsidRPr="003E0BC7">
        <w:rPr>
          <w:rFonts w:ascii="Tahoma" w:hAnsi="Tahoma" w:cs="Tahoma"/>
          <w:lang w:val="sr-Latn-BA"/>
        </w:rPr>
        <w:t xml:space="preserve"> </w:t>
      </w:r>
      <w:r w:rsidRPr="003E0BC7">
        <w:rPr>
          <w:rFonts w:ascii="Tahoma" w:hAnsi="Tahoma" w:cs="Tahoma"/>
          <w:lang w:val="sr-Cyrl-CS"/>
        </w:rPr>
        <w:t>су ниже за 0,7%</w:t>
      </w:r>
      <w:r w:rsidR="00705ECC" w:rsidRPr="003E0BC7">
        <w:rPr>
          <w:rFonts w:ascii="Tahoma" w:hAnsi="Tahoma" w:cs="Tahoma"/>
          <w:lang w:val="sr-Latn-CS"/>
        </w:rPr>
        <w:t>,</w:t>
      </w:r>
      <w:r w:rsidRPr="003E0BC7">
        <w:rPr>
          <w:rFonts w:ascii="Tahoma" w:hAnsi="Tahoma" w:cs="Tahoma"/>
          <w:lang w:val="sr-Cyrl-CS"/>
        </w:rPr>
        <w:t xml:space="preserve"> цијене интермедијарних производа као и цијене нетрајних производа за широку потрошњу за 0,2%</w:t>
      </w:r>
      <w:r w:rsidR="00705ECC" w:rsidRPr="003E0BC7">
        <w:rPr>
          <w:rFonts w:ascii="Tahoma" w:hAnsi="Tahoma" w:cs="Tahoma"/>
          <w:lang w:val="sr-Latn-CS"/>
        </w:rPr>
        <w:t>,</w:t>
      </w:r>
      <w:r w:rsidRPr="003E0BC7">
        <w:rPr>
          <w:rFonts w:ascii="Tahoma" w:hAnsi="Tahoma" w:cs="Tahoma"/>
          <w:lang w:val="sr-Cyrl-CS"/>
        </w:rPr>
        <w:t xml:space="preserve"> док</w:t>
      </w:r>
      <w:r w:rsidR="00705ECC" w:rsidRPr="003E0BC7">
        <w:rPr>
          <w:rFonts w:ascii="Tahoma" w:hAnsi="Tahoma" w:cs="Tahoma"/>
          <w:lang w:val="sr-Cyrl-CS"/>
        </w:rPr>
        <w:t xml:space="preserve"> су цијене енергије у просјеку </w:t>
      </w:r>
      <w:r w:rsidRPr="003E0BC7">
        <w:rPr>
          <w:rFonts w:ascii="Tahoma" w:hAnsi="Tahoma" w:cs="Tahoma"/>
          <w:lang w:val="sr-Cyrl-CS"/>
        </w:rPr>
        <w:t>остале на истом нивоу.</w:t>
      </w:r>
    </w:p>
    <w:p w:rsidR="00C155B7" w:rsidRDefault="00C155B7">
      <w:pPr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br w:type="page"/>
      </w:r>
    </w:p>
    <w:p w:rsidR="00C155B7" w:rsidRDefault="00C155B7" w:rsidP="00705ECC">
      <w:pPr>
        <w:spacing w:after="120"/>
        <w:ind w:right="68"/>
        <w:jc w:val="both"/>
        <w:rPr>
          <w:rFonts w:ascii="Tahoma" w:hAnsi="Tahoma" w:cs="Tahoma"/>
        </w:rPr>
      </w:pPr>
    </w:p>
    <w:p w:rsidR="00CB271B" w:rsidRPr="003E0BC7" w:rsidRDefault="005E0301" w:rsidP="00705ECC">
      <w:pPr>
        <w:spacing w:after="120"/>
        <w:ind w:right="68"/>
        <w:jc w:val="both"/>
        <w:rPr>
          <w:rFonts w:ascii="Tahoma" w:hAnsi="Tahoma" w:cs="Tahoma"/>
          <w:lang w:val="sr-Cyrl-CS"/>
        </w:rPr>
      </w:pPr>
      <w:r w:rsidRPr="003E0BC7">
        <w:rPr>
          <w:rFonts w:ascii="Tahoma" w:hAnsi="Tahoma" w:cs="Tahoma"/>
          <w:lang w:val="sr-Cyrl-CS"/>
        </w:rPr>
        <w:t xml:space="preserve">Цијене </w:t>
      </w:r>
      <w:r w:rsidR="001A1901" w:rsidRPr="003E0BC7">
        <w:rPr>
          <w:rFonts w:ascii="Tahoma" w:hAnsi="Tahoma" w:cs="Tahoma"/>
          <w:lang w:val="sr-Cyrl-CS"/>
        </w:rPr>
        <w:t>интермедијарних производа</w:t>
      </w:r>
      <w:r w:rsidRPr="003E0BC7">
        <w:rPr>
          <w:rFonts w:ascii="Tahoma" w:hAnsi="Tahoma" w:cs="Tahoma"/>
          <w:lang w:val="sr-Cyrl-CS"/>
        </w:rPr>
        <w:t>, п</w:t>
      </w:r>
      <w:r w:rsidRPr="003E0BC7">
        <w:rPr>
          <w:rFonts w:ascii="Tahoma" w:hAnsi="Tahoma" w:cs="Tahoma"/>
          <w:lang w:val="hr-HR"/>
        </w:rPr>
        <w:t>осматрано</w:t>
      </w:r>
      <w:r w:rsidRPr="003E0BC7">
        <w:rPr>
          <w:rFonts w:ascii="Tahoma" w:hAnsi="Tahoma" w:cs="Tahoma"/>
          <w:lang w:val="sr-Cyrl-CS"/>
        </w:rPr>
        <w:t xml:space="preserve"> п</w:t>
      </w:r>
      <w:r w:rsidRPr="003E0BC7">
        <w:rPr>
          <w:rFonts w:ascii="Tahoma" w:hAnsi="Tahoma" w:cs="Tahoma"/>
          <w:lang w:val="hr-HR"/>
        </w:rPr>
        <w:t>о</w:t>
      </w:r>
      <w:r w:rsidRPr="003E0BC7">
        <w:rPr>
          <w:rFonts w:ascii="Tahoma" w:hAnsi="Tahoma" w:cs="Tahoma"/>
          <w:lang w:val="sr-Cyrl-CS"/>
        </w:rPr>
        <w:t xml:space="preserve"> намјени потрошње,</w:t>
      </w:r>
      <w:r w:rsidRPr="003E0BC7">
        <w:rPr>
          <w:rFonts w:ascii="Tahoma" w:hAnsi="Tahoma" w:cs="Tahoma"/>
          <w:lang w:val="hr-HR"/>
        </w:rPr>
        <w:t xml:space="preserve"> у</w:t>
      </w:r>
      <w:r w:rsidRPr="003E0BC7">
        <w:rPr>
          <w:rFonts w:ascii="Tahoma" w:hAnsi="Tahoma" w:cs="Tahoma"/>
          <w:lang w:val="sr-Cyrl-CS"/>
        </w:rPr>
        <w:t xml:space="preserve"> </w:t>
      </w:r>
      <w:r w:rsidR="007D1A13" w:rsidRPr="003E0BC7">
        <w:rPr>
          <w:rFonts w:ascii="Tahoma" w:hAnsi="Tahoma" w:cs="Tahoma"/>
          <w:lang w:val="sr-Cyrl-CS"/>
        </w:rPr>
        <w:t>априлу</w:t>
      </w:r>
      <w:r w:rsidR="00CB271B" w:rsidRPr="003E0BC7">
        <w:rPr>
          <w:rFonts w:ascii="Tahoma" w:hAnsi="Tahoma" w:cs="Tahoma"/>
          <w:lang w:val="sr-Cyrl-CS"/>
        </w:rPr>
        <w:t xml:space="preserve"> </w:t>
      </w:r>
      <w:r w:rsidRPr="003E0BC7">
        <w:rPr>
          <w:rFonts w:ascii="Tahoma" w:hAnsi="Tahoma" w:cs="Tahoma"/>
          <w:lang w:val="hr-HR"/>
        </w:rPr>
        <w:t>20</w:t>
      </w:r>
      <w:r w:rsidR="0038415D" w:rsidRPr="003E0BC7">
        <w:rPr>
          <w:rFonts w:ascii="Tahoma" w:hAnsi="Tahoma" w:cs="Tahoma"/>
          <w:lang w:val="sr-Cyrl-CS"/>
        </w:rPr>
        <w:t>13</w:t>
      </w:r>
      <w:r w:rsidRPr="003E0BC7">
        <w:rPr>
          <w:rFonts w:ascii="Tahoma" w:hAnsi="Tahoma" w:cs="Tahoma"/>
          <w:lang w:val="hr-HR"/>
        </w:rPr>
        <w:t xml:space="preserve">. </w:t>
      </w:r>
      <w:r w:rsidRPr="003E0BC7">
        <w:rPr>
          <w:rFonts w:ascii="Tahoma" w:hAnsi="Tahoma" w:cs="Tahoma"/>
          <w:lang w:val="sr-Cyrl-CS"/>
        </w:rPr>
        <w:t xml:space="preserve">године </w:t>
      </w:r>
      <w:r w:rsidRPr="003E0BC7">
        <w:rPr>
          <w:rFonts w:ascii="Tahoma" w:hAnsi="Tahoma" w:cs="Tahoma"/>
          <w:lang w:val="hr-HR"/>
        </w:rPr>
        <w:t>у односу на</w:t>
      </w:r>
      <w:r w:rsidR="00AA2389" w:rsidRPr="003E0BC7">
        <w:rPr>
          <w:rFonts w:ascii="Tahoma" w:hAnsi="Tahoma" w:cs="Tahoma"/>
          <w:lang w:val="sr-Cyrl-CS"/>
        </w:rPr>
        <w:t xml:space="preserve"> </w:t>
      </w:r>
      <w:r w:rsidR="007D1A13" w:rsidRPr="003E0BC7">
        <w:rPr>
          <w:rFonts w:ascii="Tahoma" w:hAnsi="Tahoma" w:cs="Tahoma"/>
          <w:lang w:val="sr-Cyrl-CS"/>
        </w:rPr>
        <w:t>април</w:t>
      </w:r>
      <w:r w:rsidR="0038415D" w:rsidRPr="003E0BC7">
        <w:rPr>
          <w:rFonts w:ascii="Tahoma" w:hAnsi="Tahoma" w:cs="Tahoma"/>
          <w:lang w:val="sr-Cyrl-CS"/>
        </w:rPr>
        <w:t xml:space="preserve"> 2012</w:t>
      </w:r>
      <w:r w:rsidRPr="003E0BC7">
        <w:rPr>
          <w:rFonts w:ascii="Tahoma" w:hAnsi="Tahoma" w:cs="Tahoma"/>
          <w:lang w:val="sr-Cyrl-CS"/>
        </w:rPr>
        <w:t xml:space="preserve">. </w:t>
      </w:r>
      <w:r w:rsidR="00AA2389" w:rsidRPr="003E0BC7">
        <w:rPr>
          <w:rFonts w:ascii="Tahoma" w:hAnsi="Tahoma" w:cs="Tahoma"/>
          <w:lang w:val="sr-Cyrl-CS"/>
        </w:rPr>
        <w:t>г</w:t>
      </w:r>
      <w:r w:rsidRPr="003E0BC7">
        <w:rPr>
          <w:rFonts w:ascii="Tahoma" w:hAnsi="Tahoma" w:cs="Tahoma"/>
          <w:lang w:val="sr-Cyrl-CS"/>
        </w:rPr>
        <w:t>одине</w:t>
      </w:r>
      <w:r w:rsidR="00153234" w:rsidRPr="003E0BC7">
        <w:rPr>
          <w:rFonts w:ascii="Tahoma" w:hAnsi="Tahoma" w:cs="Tahoma"/>
          <w:lang w:val="sr-Cyrl-CS"/>
        </w:rPr>
        <w:t>,</w:t>
      </w:r>
      <w:r w:rsidRPr="003E0BC7">
        <w:rPr>
          <w:rFonts w:ascii="Tahoma" w:hAnsi="Tahoma" w:cs="Tahoma"/>
          <w:lang w:val="sr-Cyrl-CS"/>
        </w:rPr>
        <w:t xml:space="preserve"> у просјеку</w:t>
      </w:r>
      <w:r w:rsidRPr="003E0BC7">
        <w:rPr>
          <w:rFonts w:ascii="Tahoma" w:hAnsi="Tahoma" w:cs="Tahoma"/>
          <w:lang w:val="sr-Latn-BA"/>
        </w:rPr>
        <w:t xml:space="preserve"> </w:t>
      </w:r>
      <w:r w:rsidRPr="003E0BC7">
        <w:rPr>
          <w:rFonts w:ascii="Tahoma" w:hAnsi="Tahoma" w:cs="Tahoma"/>
          <w:lang w:val="sr-Cyrl-CS"/>
        </w:rPr>
        <w:t>су више</w:t>
      </w:r>
      <w:r w:rsidRPr="003E0BC7">
        <w:rPr>
          <w:rFonts w:ascii="Tahoma" w:hAnsi="Tahoma" w:cs="Tahoma"/>
          <w:lang w:val="sr-Latn-BA"/>
        </w:rPr>
        <w:t xml:space="preserve"> </w:t>
      </w:r>
      <w:r w:rsidR="002C2F32" w:rsidRPr="003E0BC7">
        <w:rPr>
          <w:rFonts w:ascii="Tahoma" w:hAnsi="Tahoma" w:cs="Tahoma"/>
          <w:lang w:val="sr-Cyrl-CS"/>
        </w:rPr>
        <w:t xml:space="preserve">за </w:t>
      </w:r>
      <w:r w:rsidR="007D1A13" w:rsidRPr="003E0BC7">
        <w:rPr>
          <w:rFonts w:ascii="Tahoma" w:hAnsi="Tahoma" w:cs="Tahoma"/>
          <w:lang w:val="sr-Cyrl-CS"/>
        </w:rPr>
        <w:t>2,7</w:t>
      </w:r>
      <w:r w:rsidRPr="003E0BC7">
        <w:rPr>
          <w:rFonts w:ascii="Tahoma" w:hAnsi="Tahoma" w:cs="Tahoma"/>
          <w:lang w:val="sr-Cyrl-CS"/>
        </w:rPr>
        <w:t>%</w:t>
      </w:r>
      <w:r w:rsidR="00153234" w:rsidRPr="003E0BC7">
        <w:rPr>
          <w:rFonts w:ascii="Tahoma" w:hAnsi="Tahoma" w:cs="Tahoma"/>
          <w:lang w:val="sr-Cyrl-CS"/>
        </w:rPr>
        <w:t>,</w:t>
      </w:r>
      <w:r w:rsidR="00D070A9" w:rsidRPr="003E0BC7">
        <w:rPr>
          <w:rFonts w:ascii="Tahoma" w:hAnsi="Tahoma" w:cs="Tahoma"/>
          <w:lang w:val="sr-Cyrl-CS"/>
        </w:rPr>
        <w:t xml:space="preserve"> цијене енергије за 0,4</w:t>
      </w:r>
      <w:r w:rsidR="005D441C" w:rsidRPr="003E0BC7">
        <w:rPr>
          <w:rFonts w:ascii="Tahoma" w:hAnsi="Tahoma" w:cs="Tahoma"/>
          <w:lang w:val="sr-Cyrl-CS"/>
        </w:rPr>
        <w:t>%,</w:t>
      </w:r>
      <w:r w:rsidR="001A1901" w:rsidRPr="003E0BC7">
        <w:rPr>
          <w:rFonts w:ascii="Tahoma" w:hAnsi="Tahoma" w:cs="Tahoma"/>
          <w:lang w:val="sr-Cyrl-CS"/>
        </w:rPr>
        <w:t xml:space="preserve"> </w:t>
      </w:r>
      <w:r w:rsidR="0038415D" w:rsidRPr="003E0BC7">
        <w:rPr>
          <w:rFonts w:ascii="Tahoma" w:hAnsi="Tahoma" w:cs="Tahoma"/>
          <w:lang w:val="sr-Cyrl-CS"/>
        </w:rPr>
        <w:t>цијене нетрајних про</w:t>
      </w:r>
      <w:r w:rsidR="00D070A9" w:rsidRPr="003E0BC7">
        <w:rPr>
          <w:rFonts w:ascii="Tahoma" w:hAnsi="Tahoma" w:cs="Tahoma"/>
          <w:lang w:val="sr-Cyrl-CS"/>
        </w:rPr>
        <w:t>из</w:t>
      </w:r>
      <w:r w:rsidR="007D1A13" w:rsidRPr="003E0BC7">
        <w:rPr>
          <w:rFonts w:ascii="Tahoma" w:hAnsi="Tahoma" w:cs="Tahoma"/>
          <w:lang w:val="sr-Cyrl-CS"/>
        </w:rPr>
        <w:t>вода за широку потрошњу за 0,3</w:t>
      </w:r>
      <w:r w:rsidR="006C7B78" w:rsidRPr="003E0BC7">
        <w:rPr>
          <w:rFonts w:ascii="Tahoma" w:hAnsi="Tahoma" w:cs="Tahoma"/>
          <w:lang w:val="sr-Cyrl-CS"/>
        </w:rPr>
        <w:t>%</w:t>
      </w:r>
      <w:r w:rsidR="006C7B78" w:rsidRPr="003E0BC7">
        <w:rPr>
          <w:rFonts w:ascii="Tahoma" w:hAnsi="Tahoma" w:cs="Tahoma"/>
          <w:lang w:val="sr-Latn-CS"/>
        </w:rPr>
        <w:t>,</w:t>
      </w:r>
      <w:r w:rsidR="007D1A13" w:rsidRPr="003E0BC7">
        <w:rPr>
          <w:rFonts w:ascii="Tahoma" w:hAnsi="Tahoma" w:cs="Tahoma"/>
          <w:lang w:val="sr-Cyrl-CS"/>
        </w:rPr>
        <w:t xml:space="preserve"> док су</w:t>
      </w:r>
      <w:r w:rsidR="0038415D" w:rsidRPr="003E0BC7">
        <w:rPr>
          <w:rFonts w:ascii="Tahoma" w:hAnsi="Tahoma" w:cs="Tahoma"/>
          <w:lang w:val="sr-Cyrl-CS"/>
        </w:rPr>
        <w:t xml:space="preserve"> </w:t>
      </w:r>
      <w:r w:rsidR="007D1A13" w:rsidRPr="003E0BC7">
        <w:rPr>
          <w:rFonts w:ascii="Tahoma" w:hAnsi="Tahoma" w:cs="Tahoma"/>
          <w:lang w:val="sr-Cyrl-CS"/>
        </w:rPr>
        <w:t>цијене капиталних прозвода у просјеку ниже за 0,8%</w:t>
      </w:r>
      <w:r w:rsidR="00B33FA4" w:rsidRPr="003E0BC7">
        <w:rPr>
          <w:rFonts w:ascii="Tahoma" w:hAnsi="Tahoma" w:cs="Tahoma"/>
          <w:lang w:val="sr-Latn-CS"/>
        </w:rPr>
        <w:t>,</w:t>
      </w:r>
      <w:r w:rsidR="007D1A13" w:rsidRPr="003E0BC7">
        <w:rPr>
          <w:rFonts w:ascii="Tahoma" w:hAnsi="Tahoma" w:cs="Tahoma"/>
          <w:lang w:val="sr-Cyrl-CS"/>
        </w:rPr>
        <w:t xml:space="preserve"> </w:t>
      </w:r>
      <w:r w:rsidR="00B33FA4" w:rsidRPr="003E0BC7">
        <w:rPr>
          <w:rFonts w:ascii="Tahoma" w:hAnsi="Tahoma" w:cs="Tahoma"/>
          <w:lang w:val="sr-Cyrl-CS"/>
        </w:rPr>
        <w:t>а</w:t>
      </w:r>
      <w:r w:rsidR="007D1A13" w:rsidRPr="003E0BC7">
        <w:rPr>
          <w:rFonts w:ascii="Tahoma" w:hAnsi="Tahoma" w:cs="Tahoma"/>
          <w:lang w:val="sr-Cyrl-CS"/>
        </w:rPr>
        <w:t xml:space="preserve"> </w:t>
      </w:r>
      <w:r w:rsidR="001A1901" w:rsidRPr="003E0BC7">
        <w:rPr>
          <w:rFonts w:ascii="Tahoma" w:hAnsi="Tahoma" w:cs="Tahoma"/>
          <w:lang w:val="sr-Cyrl-CS"/>
        </w:rPr>
        <w:t>цијене</w:t>
      </w:r>
      <w:r w:rsidR="00552353" w:rsidRPr="003E0BC7">
        <w:rPr>
          <w:rFonts w:ascii="Tahoma" w:hAnsi="Tahoma" w:cs="Tahoma"/>
          <w:lang w:val="sr-Cyrl-CS"/>
        </w:rPr>
        <w:t xml:space="preserve"> </w:t>
      </w:r>
      <w:r w:rsidR="001A1901" w:rsidRPr="003E0BC7">
        <w:rPr>
          <w:rFonts w:ascii="Tahoma" w:hAnsi="Tahoma" w:cs="Tahoma"/>
          <w:lang w:val="sr-Cyrl-CS"/>
        </w:rPr>
        <w:t>трајних производа за широку потрошњу</w:t>
      </w:r>
      <w:r w:rsidR="0038415D" w:rsidRPr="003E0BC7">
        <w:rPr>
          <w:rFonts w:ascii="Tahoma" w:hAnsi="Tahoma" w:cs="Tahoma"/>
          <w:lang w:val="sr-Cyrl-CS"/>
        </w:rPr>
        <w:t xml:space="preserve"> </w:t>
      </w:r>
      <w:r w:rsidR="007D1A13" w:rsidRPr="003E0BC7">
        <w:rPr>
          <w:rFonts w:ascii="Tahoma" w:hAnsi="Tahoma" w:cs="Tahoma"/>
          <w:lang w:val="sr-Cyrl-CS"/>
        </w:rPr>
        <w:t>за 0,3</w:t>
      </w:r>
      <w:r w:rsidR="00F14F2F" w:rsidRPr="003E0BC7">
        <w:rPr>
          <w:rFonts w:ascii="Tahoma" w:hAnsi="Tahoma" w:cs="Tahoma"/>
          <w:lang w:val="sr-Cyrl-CS"/>
        </w:rPr>
        <w:t>%</w:t>
      </w:r>
      <w:r w:rsidR="007D1A13" w:rsidRPr="003E0BC7">
        <w:rPr>
          <w:rFonts w:ascii="Tahoma" w:hAnsi="Tahoma" w:cs="Tahoma"/>
          <w:lang w:val="sr-Cyrl-CS"/>
        </w:rPr>
        <w:t>.</w:t>
      </w:r>
      <w:r w:rsidR="00D070A9" w:rsidRPr="003E0BC7">
        <w:rPr>
          <w:rFonts w:ascii="Tahoma" w:hAnsi="Tahoma" w:cs="Tahoma"/>
          <w:lang w:val="sr-Cyrl-CS"/>
        </w:rPr>
        <w:t xml:space="preserve"> </w:t>
      </w:r>
    </w:p>
    <w:p w:rsidR="00D070A9" w:rsidRPr="003E0BC7" w:rsidRDefault="007D1A13" w:rsidP="00D070A9">
      <w:pPr>
        <w:spacing w:after="120"/>
        <w:ind w:right="68"/>
        <w:jc w:val="both"/>
        <w:rPr>
          <w:rFonts w:ascii="Tahoma" w:hAnsi="Tahoma" w:cs="Tahoma"/>
          <w:lang w:val="sr-Cyrl-CS"/>
        </w:rPr>
      </w:pPr>
      <w:r w:rsidRPr="003E0BC7">
        <w:rPr>
          <w:rFonts w:ascii="Tahoma" w:hAnsi="Tahoma" w:cs="Tahoma"/>
          <w:lang w:val="hr-HR"/>
        </w:rPr>
        <w:t xml:space="preserve">Посматрано по </w:t>
      </w:r>
      <w:r w:rsidRPr="003E0BC7">
        <w:rPr>
          <w:rFonts w:ascii="Tahoma" w:hAnsi="Tahoma" w:cs="Tahoma"/>
          <w:lang w:val="sr-Cyrl-CS"/>
        </w:rPr>
        <w:t>подручјима</w:t>
      </w:r>
      <w:r w:rsidRPr="003E0BC7">
        <w:rPr>
          <w:rFonts w:ascii="Tahoma" w:hAnsi="Tahoma" w:cs="Tahoma"/>
          <w:lang w:val="hr-HR"/>
        </w:rPr>
        <w:t xml:space="preserve"> </w:t>
      </w:r>
      <w:r w:rsidRPr="003E0BC7">
        <w:rPr>
          <w:rFonts w:ascii="Tahoma" w:hAnsi="Tahoma" w:cs="Tahoma"/>
          <w:lang w:val="sr-Cyrl-CS"/>
        </w:rPr>
        <w:t>индустријске производње</w:t>
      </w:r>
      <w:r w:rsidRPr="003E0BC7">
        <w:rPr>
          <w:rFonts w:ascii="Tahoma" w:hAnsi="Tahoma" w:cs="Tahoma"/>
          <w:lang w:val="hr-HR"/>
        </w:rPr>
        <w:t xml:space="preserve"> (</w:t>
      </w:r>
      <w:r w:rsidRPr="003E0BC7">
        <w:rPr>
          <w:rFonts w:ascii="Tahoma" w:hAnsi="Tahoma" w:cs="Tahoma"/>
          <w:lang w:val="sr-Cyrl-CS"/>
        </w:rPr>
        <w:t>PRODCOM</w:t>
      </w:r>
      <w:r w:rsidRPr="003E0BC7">
        <w:rPr>
          <w:rFonts w:ascii="Tahoma" w:hAnsi="Tahoma" w:cs="Tahoma"/>
          <w:lang w:val="hr-HR"/>
        </w:rPr>
        <w:t>)</w:t>
      </w:r>
      <w:r w:rsidRPr="003E0BC7">
        <w:rPr>
          <w:rFonts w:ascii="Tahoma" w:hAnsi="Tahoma" w:cs="Tahoma"/>
          <w:lang w:val="sr-Cyrl-CS"/>
        </w:rPr>
        <w:t>,</w:t>
      </w:r>
      <w:r w:rsidRPr="003E0BC7">
        <w:rPr>
          <w:rFonts w:ascii="Tahoma" w:hAnsi="Tahoma" w:cs="Tahoma"/>
          <w:lang w:val="hr-HR"/>
        </w:rPr>
        <w:t xml:space="preserve"> </w:t>
      </w:r>
      <w:r w:rsidRPr="003E0BC7">
        <w:rPr>
          <w:rFonts w:ascii="Tahoma" w:hAnsi="Tahoma" w:cs="Tahoma"/>
          <w:lang w:val="sr-Cyrl-CS"/>
        </w:rPr>
        <w:t>цијене</w:t>
      </w:r>
      <w:r w:rsidRPr="003E0BC7">
        <w:rPr>
          <w:rFonts w:ascii="Tahoma" w:hAnsi="Tahoma" w:cs="Tahoma"/>
        </w:rPr>
        <w:t xml:space="preserve"> </w:t>
      </w:r>
      <w:r w:rsidRPr="003E0BC7">
        <w:rPr>
          <w:rFonts w:ascii="Tahoma" w:hAnsi="Tahoma" w:cs="Tahoma"/>
          <w:lang w:val="sr-Cyrl-CS"/>
        </w:rPr>
        <w:t xml:space="preserve">подручја (Ц) прерађивачка индустрија </w:t>
      </w:r>
      <w:r w:rsidRPr="003E0BC7">
        <w:rPr>
          <w:rFonts w:ascii="Tahoma" w:hAnsi="Tahoma" w:cs="Tahoma"/>
          <w:lang w:val="hr-HR"/>
        </w:rPr>
        <w:t>у</w:t>
      </w:r>
      <w:r w:rsidRPr="003E0BC7">
        <w:rPr>
          <w:rFonts w:ascii="Tahoma" w:hAnsi="Tahoma" w:cs="Tahoma"/>
          <w:lang w:val="sr-Cyrl-CS"/>
        </w:rPr>
        <w:t xml:space="preserve"> априлу </w:t>
      </w:r>
      <w:r w:rsidRPr="003E0BC7">
        <w:rPr>
          <w:rFonts w:ascii="Tahoma" w:hAnsi="Tahoma" w:cs="Tahoma"/>
          <w:lang w:val="hr-HR"/>
        </w:rPr>
        <w:t>20</w:t>
      </w:r>
      <w:r w:rsidRPr="003E0BC7">
        <w:rPr>
          <w:rFonts w:ascii="Tahoma" w:hAnsi="Tahoma" w:cs="Tahoma"/>
          <w:lang w:val="sr-Cyrl-CS"/>
        </w:rPr>
        <w:t>13</w:t>
      </w:r>
      <w:r w:rsidRPr="003E0BC7">
        <w:rPr>
          <w:rFonts w:ascii="Tahoma" w:hAnsi="Tahoma" w:cs="Tahoma"/>
          <w:lang w:val="hr-HR"/>
        </w:rPr>
        <w:t xml:space="preserve">. </w:t>
      </w:r>
      <w:r w:rsidRPr="003E0BC7">
        <w:rPr>
          <w:rFonts w:ascii="Tahoma" w:hAnsi="Tahoma" w:cs="Tahoma"/>
          <w:lang w:val="sr-Cyrl-CS"/>
        </w:rPr>
        <w:t>године у</w:t>
      </w:r>
      <w:r w:rsidRPr="003E0BC7">
        <w:rPr>
          <w:rFonts w:ascii="Tahoma" w:hAnsi="Tahoma" w:cs="Tahoma"/>
          <w:lang w:val="hr-HR"/>
        </w:rPr>
        <w:t xml:space="preserve"> односу на</w:t>
      </w:r>
      <w:r w:rsidRPr="003E0BC7">
        <w:rPr>
          <w:rFonts w:ascii="Tahoma" w:hAnsi="Tahoma" w:cs="Tahoma"/>
          <w:lang w:val="sr-Cyrl-CS"/>
        </w:rPr>
        <w:t xml:space="preserve"> март</w:t>
      </w:r>
      <w:r w:rsidRPr="003E0BC7">
        <w:rPr>
          <w:rFonts w:ascii="Tahoma" w:hAnsi="Tahoma" w:cs="Tahoma"/>
          <w:lang w:val="hr-HR"/>
        </w:rPr>
        <w:t xml:space="preserve"> 201</w:t>
      </w:r>
      <w:r w:rsidRPr="003E0BC7">
        <w:rPr>
          <w:rFonts w:ascii="Tahoma" w:hAnsi="Tahoma" w:cs="Tahoma"/>
          <w:lang w:val="sr-Cyrl-CS"/>
        </w:rPr>
        <w:t>3</w:t>
      </w:r>
      <w:r w:rsidRPr="003E0BC7">
        <w:rPr>
          <w:rFonts w:ascii="Tahoma" w:hAnsi="Tahoma" w:cs="Tahoma"/>
          <w:lang w:val="hr-HR"/>
        </w:rPr>
        <w:t>.</w:t>
      </w:r>
      <w:r w:rsidRPr="003E0BC7">
        <w:rPr>
          <w:rFonts w:ascii="Tahoma" w:hAnsi="Tahoma" w:cs="Tahoma"/>
          <w:lang w:val="sr-Cyrl-CS"/>
        </w:rPr>
        <w:t xml:space="preserve"> године у просјеку су ниже за 0,3%, док су цијене подручја (Б)</w:t>
      </w:r>
      <w:r w:rsidRPr="003E0BC7">
        <w:rPr>
          <w:rFonts w:ascii="Tahoma" w:hAnsi="Tahoma" w:cs="Tahoma"/>
          <w:lang w:val="hr-HR"/>
        </w:rPr>
        <w:t xml:space="preserve"> </w:t>
      </w:r>
      <w:r w:rsidRPr="003E0BC7">
        <w:rPr>
          <w:rFonts w:ascii="Tahoma" w:hAnsi="Tahoma" w:cs="Tahoma"/>
          <w:lang w:val="sr-Cyrl-CS"/>
        </w:rPr>
        <w:t>вађење руда и камена као и цијене подручја (Д) производња и снабдијевање електричном енергијом, гасом</w:t>
      </w:r>
      <w:r w:rsidR="003F28F6" w:rsidRPr="003E0BC7">
        <w:rPr>
          <w:rFonts w:ascii="Tahoma" w:hAnsi="Tahoma" w:cs="Tahoma"/>
          <w:lang w:val="sr-Cyrl-CS"/>
        </w:rPr>
        <w:t>,</w:t>
      </w:r>
      <w:r w:rsidRPr="003E0BC7">
        <w:rPr>
          <w:rFonts w:ascii="Tahoma" w:hAnsi="Tahoma" w:cs="Tahoma"/>
          <w:lang w:val="sr-Cyrl-CS"/>
        </w:rPr>
        <w:t xml:space="preserve"> паром и климатизација, у просјеку остале на истом нивоу.</w:t>
      </w:r>
    </w:p>
    <w:p w:rsidR="00B33FA4" w:rsidRPr="003E0BC7" w:rsidRDefault="00B33FA4" w:rsidP="00094E6E">
      <w:pPr>
        <w:jc w:val="both"/>
        <w:rPr>
          <w:rFonts w:ascii="Tahoma" w:hAnsi="Tahoma" w:cs="Tahoma"/>
          <w:lang w:val="bs-Cyrl-BA"/>
        </w:rPr>
      </w:pPr>
    </w:p>
    <w:p w:rsidR="002874ED" w:rsidRPr="003E0BC7" w:rsidRDefault="005E0301" w:rsidP="00094E6E">
      <w:pPr>
        <w:jc w:val="both"/>
        <w:rPr>
          <w:rFonts w:ascii="Tahoma" w:hAnsi="Tahoma" w:cs="Tahoma"/>
          <w:lang w:val="sr-Cyrl-CS"/>
        </w:rPr>
      </w:pPr>
      <w:r w:rsidRPr="003E0BC7">
        <w:rPr>
          <w:rFonts w:ascii="Tahoma" w:hAnsi="Tahoma" w:cs="Tahoma"/>
          <w:lang w:val="bs-Cyrl-BA"/>
        </w:rPr>
        <w:t>У</w:t>
      </w:r>
      <w:r w:rsidRPr="003E0BC7">
        <w:rPr>
          <w:rFonts w:ascii="Tahoma" w:hAnsi="Tahoma" w:cs="Tahoma"/>
          <w:lang w:val="sr-Cyrl-CS"/>
        </w:rPr>
        <w:t xml:space="preserve"> </w:t>
      </w:r>
      <w:r w:rsidR="007D1A13" w:rsidRPr="003E0BC7">
        <w:rPr>
          <w:rFonts w:ascii="Tahoma" w:hAnsi="Tahoma" w:cs="Tahoma"/>
          <w:lang w:val="sr-Cyrl-CS"/>
        </w:rPr>
        <w:t>априлу</w:t>
      </w:r>
      <w:r w:rsidR="0038415D" w:rsidRPr="003E0BC7">
        <w:rPr>
          <w:rFonts w:ascii="Tahoma" w:hAnsi="Tahoma" w:cs="Tahoma"/>
          <w:lang w:val="sr-Cyrl-CS"/>
        </w:rPr>
        <w:t xml:space="preserve"> </w:t>
      </w:r>
      <w:r w:rsidRPr="003E0BC7">
        <w:rPr>
          <w:rFonts w:ascii="Tahoma" w:hAnsi="Tahoma" w:cs="Tahoma"/>
          <w:lang w:val="hr-HR"/>
        </w:rPr>
        <w:t>20</w:t>
      </w:r>
      <w:r w:rsidR="0038415D" w:rsidRPr="003E0BC7">
        <w:rPr>
          <w:rFonts w:ascii="Tahoma" w:hAnsi="Tahoma" w:cs="Tahoma"/>
          <w:lang w:val="sr-Cyrl-CS"/>
        </w:rPr>
        <w:t>13</w:t>
      </w:r>
      <w:r w:rsidRPr="003E0BC7">
        <w:rPr>
          <w:rFonts w:ascii="Tahoma" w:hAnsi="Tahoma" w:cs="Tahoma"/>
          <w:lang w:val="hr-HR"/>
        </w:rPr>
        <w:t xml:space="preserve">. </w:t>
      </w:r>
      <w:r w:rsidR="00E11FDF" w:rsidRPr="003E0BC7">
        <w:rPr>
          <w:rFonts w:ascii="Tahoma" w:hAnsi="Tahoma" w:cs="Tahoma"/>
          <w:lang w:val="sr-Cyrl-CS"/>
        </w:rPr>
        <w:t>г</w:t>
      </w:r>
      <w:r w:rsidRPr="003E0BC7">
        <w:rPr>
          <w:rFonts w:ascii="Tahoma" w:hAnsi="Tahoma" w:cs="Tahoma"/>
          <w:lang w:val="sr-Cyrl-CS"/>
        </w:rPr>
        <w:t>одине</w:t>
      </w:r>
      <w:r w:rsidR="001F5630" w:rsidRPr="003E0BC7">
        <w:rPr>
          <w:rFonts w:ascii="Tahoma" w:hAnsi="Tahoma" w:cs="Tahoma"/>
          <w:lang w:val="sr-Cyrl-CS"/>
        </w:rPr>
        <w:t>,</w:t>
      </w:r>
      <w:r w:rsidRPr="003E0BC7">
        <w:rPr>
          <w:rFonts w:ascii="Tahoma" w:hAnsi="Tahoma" w:cs="Tahoma"/>
          <w:lang w:val="sr-Cyrl-CS"/>
        </w:rPr>
        <w:t xml:space="preserve"> </w:t>
      </w:r>
      <w:r w:rsidRPr="003E0BC7">
        <w:rPr>
          <w:rFonts w:ascii="Tahoma" w:hAnsi="Tahoma" w:cs="Tahoma"/>
          <w:lang w:val="hr-HR"/>
        </w:rPr>
        <w:t>у односу на</w:t>
      </w:r>
      <w:r w:rsidR="00CD26F2" w:rsidRPr="003E0BC7">
        <w:rPr>
          <w:rFonts w:ascii="Tahoma" w:hAnsi="Tahoma" w:cs="Tahoma"/>
          <w:lang w:val="sr-Cyrl-CS"/>
        </w:rPr>
        <w:t xml:space="preserve"> </w:t>
      </w:r>
      <w:r w:rsidR="007D1A13" w:rsidRPr="003E0BC7">
        <w:rPr>
          <w:rFonts w:ascii="Tahoma" w:hAnsi="Tahoma" w:cs="Tahoma"/>
          <w:lang w:val="sr-Cyrl-CS"/>
        </w:rPr>
        <w:t xml:space="preserve">април </w:t>
      </w:r>
      <w:r w:rsidRPr="003E0BC7">
        <w:rPr>
          <w:rFonts w:ascii="Tahoma" w:hAnsi="Tahoma" w:cs="Tahoma"/>
          <w:lang w:val="hr-HR"/>
        </w:rPr>
        <w:t>20</w:t>
      </w:r>
      <w:r w:rsidR="0038415D" w:rsidRPr="003E0BC7">
        <w:rPr>
          <w:rFonts w:ascii="Tahoma" w:hAnsi="Tahoma" w:cs="Tahoma"/>
          <w:lang w:val="sr-Cyrl-CS"/>
        </w:rPr>
        <w:t>12</w:t>
      </w:r>
      <w:r w:rsidRPr="003E0BC7">
        <w:rPr>
          <w:rFonts w:ascii="Tahoma" w:hAnsi="Tahoma" w:cs="Tahoma"/>
          <w:lang w:val="hr-HR"/>
        </w:rPr>
        <w:t>.</w:t>
      </w:r>
      <w:r w:rsidRPr="003E0BC7">
        <w:rPr>
          <w:rFonts w:ascii="Tahoma" w:hAnsi="Tahoma" w:cs="Tahoma"/>
          <w:lang w:val="sr-Cyrl-CS"/>
        </w:rPr>
        <w:t xml:space="preserve"> године,</w:t>
      </w:r>
      <w:r w:rsidRPr="003E0BC7">
        <w:rPr>
          <w:rFonts w:ascii="Tahoma" w:hAnsi="Tahoma" w:cs="Tahoma"/>
          <w:lang w:val="sr-Cyrl-BA"/>
        </w:rPr>
        <w:t xml:space="preserve"> </w:t>
      </w:r>
      <w:r w:rsidR="0036123C" w:rsidRPr="003E0BC7">
        <w:rPr>
          <w:rFonts w:ascii="Tahoma" w:hAnsi="Tahoma" w:cs="Tahoma"/>
          <w:bCs/>
          <w:lang w:val="sr-Cyrl-CS"/>
        </w:rPr>
        <w:t>цијене подручја</w:t>
      </w:r>
      <w:r w:rsidR="0036123C" w:rsidRPr="003E0BC7">
        <w:rPr>
          <w:rFonts w:ascii="Tahoma" w:hAnsi="Tahoma" w:cs="Tahoma"/>
          <w:i/>
          <w:lang w:val="sr-Cyrl-CS"/>
        </w:rPr>
        <w:t xml:space="preserve"> </w:t>
      </w:r>
      <w:r w:rsidR="0036123C" w:rsidRPr="003E0BC7">
        <w:rPr>
          <w:rFonts w:ascii="Tahoma" w:hAnsi="Tahoma" w:cs="Tahoma"/>
          <w:bCs/>
          <w:i/>
          <w:lang w:val="sr-Cyrl-CS"/>
        </w:rPr>
        <w:t>Прерађивачка индустрија</w:t>
      </w:r>
      <w:r w:rsidR="0036123C" w:rsidRPr="003E0BC7">
        <w:rPr>
          <w:rFonts w:ascii="Tahoma" w:hAnsi="Tahoma" w:cs="Tahoma"/>
          <w:lang w:val="sr-Cyrl-CS"/>
        </w:rPr>
        <w:t xml:space="preserve"> више су за </w:t>
      </w:r>
      <w:r w:rsidR="00D070A9" w:rsidRPr="003E0BC7">
        <w:rPr>
          <w:rFonts w:ascii="Tahoma" w:hAnsi="Tahoma" w:cs="Tahoma"/>
          <w:lang w:val="sr-Cyrl-CS"/>
        </w:rPr>
        <w:t>1,</w:t>
      </w:r>
      <w:r w:rsidR="007D1A13" w:rsidRPr="003E0BC7">
        <w:rPr>
          <w:rFonts w:ascii="Tahoma" w:hAnsi="Tahoma" w:cs="Tahoma"/>
          <w:lang w:val="sr-Cyrl-CS"/>
        </w:rPr>
        <w:t>6</w:t>
      </w:r>
      <w:r w:rsidR="0036123C" w:rsidRPr="003E0BC7">
        <w:rPr>
          <w:rFonts w:ascii="Tahoma" w:hAnsi="Tahoma" w:cs="Tahoma"/>
          <w:lang w:val="sr-Cyrl-CS"/>
        </w:rPr>
        <w:t xml:space="preserve">%, </w:t>
      </w:r>
      <w:r w:rsidRPr="003E0BC7">
        <w:rPr>
          <w:rFonts w:ascii="Tahoma" w:hAnsi="Tahoma" w:cs="Tahoma"/>
          <w:lang w:val="sr-Cyrl-CS"/>
        </w:rPr>
        <w:t>цијене подруч</w:t>
      </w:r>
      <w:r w:rsidRPr="003E0BC7">
        <w:rPr>
          <w:rFonts w:ascii="Tahoma" w:hAnsi="Tahoma" w:cs="Tahoma"/>
        </w:rPr>
        <w:t>j</w:t>
      </w:r>
      <w:r w:rsidRPr="003E0BC7">
        <w:rPr>
          <w:rFonts w:ascii="Tahoma" w:hAnsi="Tahoma" w:cs="Tahoma"/>
          <w:lang w:val="sr-Cyrl-CS"/>
        </w:rPr>
        <w:t xml:space="preserve">а </w:t>
      </w:r>
      <w:r w:rsidR="003A4D8B" w:rsidRPr="003E0BC7">
        <w:rPr>
          <w:rFonts w:ascii="Tahoma" w:hAnsi="Tahoma" w:cs="Tahoma"/>
          <w:i/>
          <w:lang w:val="sr-Cyrl-CS"/>
        </w:rPr>
        <w:t xml:space="preserve">Вађење руда и камена </w:t>
      </w:r>
      <w:r w:rsidR="0036123C" w:rsidRPr="003E0BC7">
        <w:rPr>
          <w:rFonts w:ascii="Tahoma" w:hAnsi="Tahoma" w:cs="Tahoma"/>
          <w:lang w:val="sr-Cyrl-CS"/>
        </w:rPr>
        <w:t xml:space="preserve">за </w:t>
      </w:r>
      <w:r w:rsidR="007D1A13" w:rsidRPr="003E0BC7">
        <w:rPr>
          <w:rFonts w:ascii="Tahoma" w:hAnsi="Tahoma" w:cs="Tahoma"/>
          <w:lang w:val="sr-Cyrl-CS"/>
        </w:rPr>
        <w:t>1,1</w:t>
      </w:r>
      <w:r w:rsidR="0038415D" w:rsidRPr="003E0BC7">
        <w:rPr>
          <w:rFonts w:ascii="Tahoma" w:hAnsi="Tahoma" w:cs="Tahoma"/>
          <w:lang w:val="sr-Cyrl-CS"/>
        </w:rPr>
        <w:t xml:space="preserve">%, </w:t>
      </w:r>
      <w:r w:rsidR="003A4D8B" w:rsidRPr="003E0BC7">
        <w:rPr>
          <w:rFonts w:ascii="Tahoma" w:hAnsi="Tahoma" w:cs="Tahoma"/>
          <w:lang w:val="sr-Cyrl-CS"/>
        </w:rPr>
        <w:t>док су</w:t>
      </w:r>
      <w:r w:rsidR="00F364E1" w:rsidRPr="003E0BC7">
        <w:rPr>
          <w:rFonts w:ascii="Tahoma" w:hAnsi="Tahoma" w:cs="Tahoma"/>
          <w:i/>
          <w:lang w:val="sr-Cyrl-CS"/>
        </w:rPr>
        <w:t xml:space="preserve"> </w:t>
      </w:r>
      <w:r w:rsidR="009A4953" w:rsidRPr="003E0BC7">
        <w:rPr>
          <w:rFonts w:ascii="Tahoma" w:hAnsi="Tahoma" w:cs="Tahoma"/>
          <w:lang w:val="sr-Cyrl-CS"/>
        </w:rPr>
        <w:t xml:space="preserve">цијене </w:t>
      </w:r>
      <w:r w:rsidR="00F364E1" w:rsidRPr="003E0BC7">
        <w:rPr>
          <w:rFonts w:ascii="Tahoma" w:hAnsi="Tahoma" w:cs="Tahoma"/>
          <w:lang w:val="sr-Cyrl-CS"/>
        </w:rPr>
        <w:t>подручја</w:t>
      </w:r>
      <w:r w:rsidR="00310650" w:rsidRPr="003E0BC7">
        <w:rPr>
          <w:rFonts w:ascii="Tahoma" w:hAnsi="Tahoma" w:cs="Tahoma"/>
          <w:bCs/>
          <w:i/>
          <w:lang w:val="sr-Cyrl-CS"/>
        </w:rPr>
        <w:t xml:space="preserve"> </w:t>
      </w:r>
      <w:r w:rsidR="008F77F6" w:rsidRPr="003E0BC7">
        <w:rPr>
          <w:rFonts w:ascii="Tahoma" w:hAnsi="Tahoma" w:cs="Tahoma"/>
          <w:lang w:val="sr-Cyrl-CS"/>
        </w:rPr>
        <w:t>производња и снабдијевање електричном енергијом, гасом</w:t>
      </w:r>
      <w:r w:rsidR="003F28F6" w:rsidRPr="003E0BC7">
        <w:rPr>
          <w:rFonts w:ascii="Tahoma" w:hAnsi="Tahoma" w:cs="Tahoma"/>
          <w:lang w:val="sr-Cyrl-CS"/>
        </w:rPr>
        <w:t>,</w:t>
      </w:r>
      <w:r w:rsidR="008F77F6" w:rsidRPr="003E0BC7">
        <w:rPr>
          <w:rFonts w:ascii="Tahoma" w:hAnsi="Tahoma" w:cs="Tahoma"/>
          <w:lang w:val="sr-Cyrl-CS"/>
        </w:rPr>
        <w:t xml:space="preserve"> паром и климатизација </w:t>
      </w:r>
      <w:r w:rsidR="007E6760" w:rsidRPr="003E0BC7">
        <w:rPr>
          <w:rFonts w:ascii="Tahoma" w:hAnsi="Tahoma" w:cs="Tahoma"/>
          <w:lang w:val="sr-Cyrl-CS"/>
        </w:rPr>
        <w:t>у просјеку остале на истом нивоу.</w:t>
      </w:r>
    </w:p>
    <w:p w:rsidR="006B3FBB" w:rsidRPr="003E0BC7" w:rsidRDefault="006B3FBB" w:rsidP="00094E6E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C155B7" w:rsidRDefault="00C155B7" w:rsidP="00517795">
      <w:pPr>
        <w:tabs>
          <w:tab w:val="left" w:pos="0"/>
          <w:tab w:val="left" w:pos="1100"/>
        </w:tabs>
        <w:jc w:val="both"/>
        <w:rPr>
          <w:rFonts w:ascii="Tahoma" w:hAnsi="Tahoma" w:cs="Tahoma"/>
          <w:b/>
          <w:spacing w:val="-4"/>
          <w:sz w:val="28"/>
          <w:szCs w:val="28"/>
        </w:rPr>
      </w:pPr>
    </w:p>
    <w:p w:rsidR="00517795" w:rsidRPr="003E0BC7" w:rsidRDefault="00517795" w:rsidP="00517795">
      <w:pPr>
        <w:tabs>
          <w:tab w:val="left" w:pos="0"/>
          <w:tab w:val="left" w:pos="1100"/>
        </w:tabs>
        <w:jc w:val="both"/>
        <w:rPr>
          <w:rFonts w:ascii="Tahoma" w:hAnsi="Tahoma" w:cs="Tahoma"/>
          <w:b/>
          <w:spacing w:val="-4"/>
          <w:sz w:val="28"/>
          <w:szCs w:val="28"/>
          <w:lang w:val="ru-RU"/>
        </w:rPr>
      </w:pPr>
      <w:r w:rsidRPr="003E0BC7">
        <w:rPr>
          <w:rFonts w:ascii="Tahoma" w:hAnsi="Tahoma" w:cs="Tahoma"/>
          <w:b/>
          <w:spacing w:val="-4"/>
          <w:sz w:val="28"/>
          <w:szCs w:val="28"/>
          <w:lang w:val="sr-Cyrl-CS"/>
        </w:rPr>
        <w:t xml:space="preserve">Десезонирана </w:t>
      </w:r>
      <w:r w:rsidRPr="003E0BC7">
        <w:rPr>
          <w:rFonts w:ascii="Tahoma" w:hAnsi="Tahoma" w:cs="Tahoma"/>
          <w:b/>
          <w:spacing w:val="-4"/>
          <w:sz w:val="28"/>
          <w:szCs w:val="28"/>
          <w:lang w:val="ru-RU"/>
        </w:rPr>
        <w:t xml:space="preserve">индустријска производња </w:t>
      </w:r>
      <w:r w:rsidRPr="003E0BC7">
        <w:rPr>
          <w:rFonts w:ascii="Tahoma" w:hAnsi="Tahoma" w:cs="Tahoma"/>
          <w:b/>
          <w:spacing w:val="-4"/>
          <w:sz w:val="28"/>
          <w:szCs w:val="28"/>
          <w:lang w:val="hr-HR"/>
        </w:rPr>
        <w:t>(IV</w:t>
      </w:r>
      <w:r w:rsidR="0010528B" w:rsidRPr="003E0BC7">
        <w:rPr>
          <w:rFonts w:ascii="Tahoma" w:hAnsi="Tahoma" w:cs="Tahoma"/>
          <w:b/>
          <w:spacing w:val="-4"/>
          <w:sz w:val="28"/>
          <w:szCs w:val="28"/>
          <w:lang w:val="sr-Cyrl-CS"/>
        </w:rPr>
        <w:t xml:space="preserve"> </w:t>
      </w:r>
      <w:r w:rsidRPr="003E0BC7">
        <w:rPr>
          <w:rFonts w:ascii="Tahoma" w:hAnsi="Tahoma" w:cs="Tahoma"/>
          <w:b/>
          <w:spacing w:val="-4"/>
          <w:sz w:val="28"/>
          <w:szCs w:val="28"/>
          <w:lang w:val="hr-HR"/>
        </w:rPr>
        <w:t>201</w:t>
      </w:r>
      <w:r w:rsidRPr="003E0BC7">
        <w:rPr>
          <w:rFonts w:ascii="Tahoma" w:hAnsi="Tahoma" w:cs="Tahoma"/>
          <w:b/>
          <w:spacing w:val="-4"/>
          <w:sz w:val="28"/>
          <w:szCs w:val="28"/>
          <w:lang w:val="sr-Cyrl-CS"/>
        </w:rPr>
        <w:t>3</w:t>
      </w:r>
      <w:r w:rsidRPr="003E0BC7">
        <w:rPr>
          <w:rFonts w:ascii="Tahoma" w:hAnsi="Tahoma" w:cs="Tahoma"/>
          <w:b/>
          <w:spacing w:val="-4"/>
          <w:sz w:val="28"/>
          <w:szCs w:val="28"/>
          <w:lang w:val="hr-HR"/>
        </w:rPr>
        <w:t>/III</w:t>
      </w:r>
      <w:r w:rsidR="0010528B" w:rsidRPr="003E0BC7">
        <w:rPr>
          <w:rFonts w:ascii="Tahoma" w:hAnsi="Tahoma" w:cs="Tahoma"/>
          <w:b/>
          <w:spacing w:val="-4"/>
          <w:sz w:val="28"/>
          <w:szCs w:val="28"/>
          <w:lang w:val="sr-Cyrl-CS"/>
        </w:rPr>
        <w:t xml:space="preserve"> </w:t>
      </w:r>
      <w:r w:rsidRPr="003E0BC7">
        <w:rPr>
          <w:rFonts w:ascii="Tahoma" w:hAnsi="Tahoma" w:cs="Tahoma"/>
          <w:b/>
          <w:bCs/>
          <w:spacing w:val="-4"/>
          <w:sz w:val="28"/>
          <w:szCs w:val="28"/>
          <w:lang w:val="ru-RU"/>
        </w:rPr>
        <w:t>20</w:t>
      </w:r>
      <w:r w:rsidRPr="003E0BC7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>13</w:t>
      </w:r>
      <w:r w:rsidRPr="003E0BC7">
        <w:rPr>
          <w:rFonts w:ascii="Tahoma" w:hAnsi="Tahoma" w:cs="Tahoma"/>
          <w:b/>
          <w:bCs/>
          <w:spacing w:val="-4"/>
          <w:sz w:val="28"/>
          <w:szCs w:val="28"/>
          <w:lang w:val="hr-HR"/>
        </w:rPr>
        <w:t xml:space="preserve">) </w:t>
      </w:r>
      <w:r w:rsidRPr="003E0BC7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>већа</w:t>
      </w:r>
      <w:r w:rsidRPr="003E0BC7">
        <w:rPr>
          <w:rFonts w:ascii="Tahoma" w:hAnsi="Tahoma" w:cs="Tahoma"/>
          <w:b/>
          <w:bCs/>
          <w:spacing w:val="-4"/>
          <w:sz w:val="28"/>
          <w:szCs w:val="28"/>
          <w:lang w:val="sr-Cyrl-BA"/>
        </w:rPr>
        <w:t xml:space="preserve"> </w:t>
      </w:r>
      <w:r w:rsidRPr="003E0BC7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>8</w:t>
      </w:r>
      <w:r w:rsidRPr="003E0BC7">
        <w:rPr>
          <w:rFonts w:ascii="Tahoma" w:hAnsi="Tahoma" w:cs="Tahoma"/>
          <w:b/>
          <w:bCs/>
          <w:spacing w:val="-4"/>
          <w:sz w:val="28"/>
          <w:szCs w:val="28"/>
          <w:lang w:val="sr-Cyrl-BA"/>
        </w:rPr>
        <w:t>,8</w:t>
      </w:r>
      <w:r w:rsidRPr="003E0BC7">
        <w:rPr>
          <w:rFonts w:ascii="Tahoma" w:hAnsi="Tahoma" w:cs="Tahoma"/>
          <w:b/>
          <w:spacing w:val="-4"/>
          <w:sz w:val="28"/>
          <w:szCs w:val="28"/>
          <w:lang w:val="ru-RU"/>
        </w:rPr>
        <w:t>%</w:t>
      </w:r>
    </w:p>
    <w:p w:rsidR="00517795" w:rsidRPr="0076768F" w:rsidRDefault="00517795" w:rsidP="00517795">
      <w:pPr>
        <w:tabs>
          <w:tab w:val="left" w:pos="0"/>
          <w:tab w:val="left" w:pos="1100"/>
        </w:tabs>
        <w:jc w:val="both"/>
        <w:rPr>
          <w:rFonts w:ascii="Tahoma" w:hAnsi="Tahoma" w:cs="Tahoma"/>
          <w:spacing w:val="-4"/>
          <w:sz w:val="26"/>
          <w:szCs w:val="26"/>
          <w:lang w:val="ru-RU"/>
        </w:rPr>
      </w:pPr>
      <w:r w:rsidRPr="0076768F">
        <w:rPr>
          <w:rFonts w:ascii="Tahoma" w:hAnsi="Tahoma" w:cs="Tahoma"/>
          <w:spacing w:val="-4"/>
          <w:sz w:val="26"/>
          <w:szCs w:val="26"/>
          <w:lang w:val="sr-Cyrl-CS"/>
        </w:rPr>
        <w:t xml:space="preserve">Календарски пилагођена </w:t>
      </w:r>
      <w:r w:rsidRPr="0076768F">
        <w:rPr>
          <w:rFonts w:ascii="Tahoma" w:hAnsi="Tahoma" w:cs="Tahoma"/>
          <w:spacing w:val="-4"/>
          <w:sz w:val="26"/>
          <w:szCs w:val="26"/>
          <w:lang w:val="ru-RU"/>
        </w:rPr>
        <w:t xml:space="preserve">индустријска производња </w:t>
      </w:r>
      <w:r w:rsidRPr="0076768F">
        <w:rPr>
          <w:rFonts w:ascii="Tahoma" w:hAnsi="Tahoma" w:cs="Tahoma"/>
          <w:spacing w:val="-4"/>
          <w:sz w:val="26"/>
          <w:szCs w:val="26"/>
          <w:lang w:val="hr-HR"/>
        </w:rPr>
        <w:t>(IV</w:t>
      </w:r>
      <w:r w:rsidR="0010528B" w:rsidRPr="0076768F">
        <w:rPr>
          <w:rFonts w:ascii="Tahoma" w:hAnsi="Tahoma" w:cs="Tahoma"/>
          <w:spacing w:val="-4"/>
          <w:sz w:val="26"/>
          <w:szCs w:val="26"/>
          <w:lang w:val="sr-Cyrl-CS"/>
        </w:rPr>
        <w:t xml:space="preserve"> </w:t>
      </w:r>
      <w:r w:rsidRPr="0076768F">
        <w:rPr>
          <w:rFonts w:ascii="Tahoma" w:hAnsi="Tahoma" w:cs="Tahoma"/>
          <w:spacing w:val="-4"/>
          <w:sz w:val="26"/>
          <w:szCs w:val="26"/>
          <w:lang w:val="hr-HR"/>
        </w:rPr>
        <w:t>201</w:t>
      </w:r>
      <w:r w:rsidRPr="0076768F">
        <w:rPr>
          <w:rFonts w:ascii="Tahoma" w:hAnsi="Tahoma" w:cs="Tahoma"/>
          <w:spacing w:val="-4"/>
          <w:sz w:val="26"/>
          <w:szCs w:val="26"/>
          <w:lang w:val="sr-Cyrl-CS"/>
        </w:rPr>
        <w:t>3</w:t>
      </w:r>
      <w:r w:rsidR="0010528B" w:rsidRPr="0076768F">
        <w:rPr>
          <w:rFonts w:ascii="Tahoma" w:hAnsi="Tahoma" w:cs="Tahoma"/>
          <w:spacing w:val="-4"/>
          <w:sz w:val="26"/>
          <w:szCs w:val="26"/>
          <w:lang w:val="hr-HR"/>
        </w:rPr>
        <w:t>/</w:t>
      </w:r>
      <w:r w:rsidRPr="0076768F">
        <w:rPr>
          <w:rFonts w:ascii="Tahoma" w:hAnsi="Tahoma" w:cs="Tahoma"/>
          <w:spacing w:val="-4"/>
          <w:sz w:val="26"/>
          <w:szCs w:val="26"/>
          <w:lang w:val="hr-HR"/>
        </w:rPr>
        <w:t>IV</w:t>
      </w:r>
      <w:r w:rsidRPr="0076768F">
        <w:rPr>
          <w:rFonts w:ascii="Tahoma" w:hAnsi="Tahoma" w:cs="Tahoma"/>
          <w:bCs/>
          <w:spacing w:val="-4"/>
          <w:sz w:val="26"/>
          <w:szCs w:val="26"/>
          <w:lang w:val="ru-RU"/>
        </w:rPr>
        <w:t xml:space="preserve"> 20</w:t>
      </w:r>
      <w:r w:rsidR="0010528B" w:rsidRPr="0076768F">
        <w:rPr>
          <w:rFonts w:ascii="Tahoma" w:hAnsi="Tahoma" w:cs="Tahoma"/>
          <w:bCs/>
          <w:spacing w:val="-4"/>
          <w:sz w:val="26"/>
          <w:szCs w:val="26"/>
          <w:lang w:val="sr-Cyrl-CS"/>
        </w:rPr>
        <w:t>12</w:t>
      </w:r>
      <w:r w:rsidRPr="0076768F">
        <w:rPr>
          <w:rFonts w:ascii="Tahoma" w:hAnsi="Tahoma" w:cs="Tahoma"/>
          <w:bCs/>
          <w:spacing w:val="-4"/>
          <w:sz w:val="26"/>
          <w:szCs w:val="26"/>
          <w:lang w:val="hr-HR"/>
        </w:rPr>
        <w:t xml:space="preserve">) </w:t>
      </w:r>
      <w:r w:rsidRPr="0076768F">
        <w:rPr>
          <w:rFonts w:ascii="Tahoma" w:hAnsi="Tahoma" w:cs="Tahoma"/>
          <w:bCs/>
          <w:spacing w:val="-4"/>
          <w:sz w:val="26"/>
          <w:szCs w:val="26"/>
          <w:lang w:val="sr-Cyrl-CS"/>
        </w:rPr>
        <w:t>већа</w:t>
      </w:r>
      <w:r w:rsidRPr="0076768F">
        <w:rPr>
          <w:rFonts w:ascii="Tahoma" w:hAnsi="Tahoma" w:cs="Tahoma"/>
          <w:bCs/>
          <w:spacing w:val="-4"/>
          <w:sz w:val="26"/>
          <w:szCs w:val="26"/>
          <w:lang w:val="sr-Cyrl-BA"/>
        </w:rPr>
        <w:t xml:space="preserve"> </w:t>
      </w:r>
      <w:r w:rsidRPr="0076768F">
        <w:rPr>
          <w:rFonts w:ascii="Tahoma" w:hAnsi="Tahoma" w:cs="Tahoma"/>
          <w:bCs/>
          <w:spacing w:val="-4"/>
          <w:sz w:val="26"/>
          <w:szCs w:val="26"/>
          <w:lang w:val="sr-Cyrl-CS"/>
        </w:rPr>
        <w:t>9</w:t>
      </w:r>
      <w:r w:rsidRPr="0076768F">
        <w:rPr>
          <w:rFonts w:ascii="Tahoma" w:hAnsi="Tahoma" w:cs="Tahoma"/>
          <w:bCs/>
          <w:spacing w:val="-4"/>
          <w:sz w:val="26"/>
          <w:szCs w:val="26"/>
          <w:lang w:val="sr-Cyrl-BA"/>
        </w:rPr>
        <w:t>,4</w:t>
      </w:r>
      <w:r w:rsidRPr="0076768F">
        <w:rPr>
          <w:rFonts w:ascii="Tahoma" w:hAnsi="Tahoma" w:cs="Tahoma"/>
          <w:spacing w:val="-4"/>
          <w:sz w:val="26"/>
          <w:szCs w:val="26"/>
          <w:lang w:val="ru-RU"/>
        </w:rPr>
        <w:t>%</w:t>
      </w:r>
    </w:p>
    <w:p w:rsidR="00517795" w:rsidRPr="0076768F" w:rsidRDefault="00517795" w:rsidP="00517795">
      <w:pPr>
        <w:tabs>
          <w:tab w:val="left" w:pos="0"/>
          <w:tab w:val="left" w:pos="1100"/>
        </w:tabs>
        <w:jc w:val="both"/>
        <w:rPr>
          <w:rFonts w:ascii="Tahoma" w:hAnsi="Tahoma" w:cs="Tahoma"/>
          <w:sz w:val="26"/>
          <w:szCs w:val="26"/>
          <w:lang w:val="sr-Cyrl-CS"/>
        </w:rPr>
      </w:pPr>
      <w:r w:rsidRPr="0076768F">
        <w:rPr>
          <w:rFonts w:ascii="Tahoma" w:hAnsi="Tahoma" w:cs="Tahoma"/>
          <w:sz w:val="26"/>
          <w:szCs w:val="26"/>
          <w:lang w:val="ru-RU"/>
        </w:rPr>
        <w:t>Индекс запослених у индустрији</w:t>
      </w:r>
      <w:r w:rsidRPr="0076768F">
        <w:rPr>
          <w:rFonts w:ascii="Tahoma" w:hAnsi="Tahoma" w:cs="Tahoma"/>
          <w:sz w:val="26"/>
          <w:szCs w:val="26"/>
          <w:lang w:val="sr-Latn-BA"/>
        </w:rPr>
        <w:t xml:space="preserve"> (</w:t>
      </w:r>
      <w:r w:rsidRPr="0076768F">
        <w:rPr>
          <w:rFonts w:ascii="Tahoma" w:hAnsi="Tahoma" w:cs="Tahoma"/>
          <w:sz w:val="26"/>
          <w:szCs w:val="26"/>
        </w:rPr>
        <w:t>IV</w:t>
      </w:r>
      <w:r w:rsidRPr="0076768F">
        <w:rPr>
          <w:rFonts w:ascii="Tahoma" w:hAnsi="Tahoma" w:cs="Tahoma"/>
          <w:sz w:val="26"/>
          <w:szCs w:val="26"/>
          <w:lang w:val="sr-Latn-BA"/>
        </w:rPr>
        <w:t xml:space="preserve"> 20</w:t>
      </w:r>
      <w:r w:rsidRPr="0076768F">
        <w:rPr>
          <w:rFonts w:ascii="Tahoma" w:hAnsi="Tahoma" w:cs="Tahoma"/>
          <w:sz w:val="26"/>
          <w:szCs w:val="26"/>
          <w:lang w:val="sr-Cyrl-CS"/>
        </w:rPr>
        <w:t>13</w:t>
      </w:r>
      <w:r w:rsidRPr="0076768F">
        <w:rPr>
          <w:rFonts w:ascii="Tahoma" w:hAnsi="Tahoma" w:cs="Tahoma"/>
          <w:sz w:val="26"/>
          <w:szCs w:val="26"/>
          <w:lang w:val="sr-Latn-BA"/>
        </w:rPr>
        <w:t>/</w:t>
      </w:r>
      <w:r w:rsidR="00CC1A0D" w:rsidRPr="0076768F">
        <w:rPr>
          <w:rFonts w:ascii="Tahoma" w:hAnsi="Tahoma" w:cs="Tahoma"/>
          <w:bCs/>
          <w:sz w:val="26"/>
          <w:szCs w:val="26"/>
        </w:rPr>
        <w:t>III</w:t>
      </w:r>
      <w:r w:rsidRPr="0076768F">
        <w:rPr>
          <w:rFonts w:ascii="Tahoma" w:hAnsi="Tahoma" w:cs="Tahoma"/>
          <w:bCs/>
          <w:sz w:val="26"/>
          <w:szCs w:val="26"/>
          <w:lang w:val="sr-Cyrl-CS"/>
        </w:rPr>
        <w:t xml:space="preserve"> </w:t>
      </w:r>
      <w:r w:rsidR="00CC1A0D" w:rsidRPr="0076768F">
        <w:rPr>
          <w:rFonts w:ascii="Tahoma" w:hAnsi="Tahoma" w:cs="Tahoma"/>
          <w:bCs/>
          <w:sz w:val="26"/>
          <w:szCs w:val="26"/>
          <w:lang w:val="ru-RU"/>
        </w:rPr>
        <w:t>201</w:t>
      </w:r>
      <w:r w:rsidR="00CC1A0D" w:rsidRPr="0076768F">
        <w:rPr>
          <w:rFonts w:ascii="Tahoma" w:hAnsi="Tahoma" w:cs="Tahoma"/>
          <w:bCs/>
          <w:sz w:val="26"/>
          <w:szCs w:val="26"/>
          <w:lang w:val="sr-Latn-CS"/>
        </w:rPr>
        <w:t>3</w:t>
      </w:r>
      <w:r w:rsidRPr="0076768F">
        <w:rPr>
          <w:rFonts w:ascii="Tahoma" w:hAnsi="Tahoma" w:cs="Tahoma"/>
          <w:bCs/>
          <w:sz w:val="26"/>
          <w:szCs w:val="26"/>
          <w:lang w:val="hr-HR"/>
        </w:rPr>
        <w:t>)</w:t>
      </w:r>
      <w:r w:rsidRPr="0076768F">
        <w:rPr>
          <w:rFonts w:ascii="Tahoma" w:hAnsi="Tahoma" w:cs="Tahoma"/>
          <w:sz w:val="26"/>
          <w:szCs w:val="26"/>
          <w:lang w:val="sr-Latn-BA"/>
        </w:rPr>
        <w:t xml:space="preserve"> </w:t>
      </w:r>
      <w:r w:rsidR="00CC1A0D" w:rsidRPr="0076768F">
        <w:rPr>
          <w:rFonts w:ascii="Tahoma" w:hAnsi="Tahoma" w:cs="Tahoma"/>
          <w:sz w:val="26"/>
          <w:szCs w:val="26"/>
          <w:lang w:val="sr-Cyrl-CS"/>
        </w:rPr>
        <w:t>већи</w:t>
      </w:r>
      <w:r w:rsidRPr="0076768F">
        <w:rPr>
          <w:rFonts w:ascii="Tahoma" w:hAnsi="Tahoma" w:cs="Tahoma"/>
          <w:sz w:val="26"/>
          <w:szCs w:val="26"/>
          <w:lang w:val="ru-RU"/>
        </w:rPr>
        <w:t xml:space="preserve"> 0</w:t>
      </w:r>
      <w:r w:rsidR="00CC1A0D" w:rsidRPr="0076768F">
        <w:rPr>
          <w:rFonts w:ascii="Tahoma" w:hAnsi="Tahoma" w:cs="Tahoma"/>
          <w:sz w:val="26"/>
          <w:szCs w:val="26"/>
          <w:lang w:val="sr-Cyrl-BA"/>
        </w:rPr>
        <w:t>,6</w:t>
      </w:r>
      <w:r w:rsidRPr="0076768F">
        <w:rPr>
          <w:rFonts w:ascii="Tahoma" w:hAnsi="Tahoma" w:cs="Tahoma"/>
          <w:sz w:val="26"/>
          <w:szCs w:val="26"/>
          <w:lang w:val="ru-RU"/>
        </w:rPr>
        <w:t>%</w:t>
      </w:r>
    </w:p>
    <w:p w:rsidR="00517795" w:rsidRPr="003E0BC7" w:rsidRDefault="00517795" w:rsidP="00517795">
      <w:pPr>
        <w:tabs>
          <w:tab w:val="left" w:pos="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517795" w:rsidRDefault="00517795" w:rsidP="00517795">
      <w:pPr>
        <w:jc w:val="both"/>
        <w:rPr>
          <w:rFonts w:ascii="Tahoma" w:hAnsi="Tahoma" w:cs="Tahoma"/>
        </w:rPr>
      </w:pPr>
      <w:r w:rsidRPr="00732F02">
        <w:rPr>
          <w:rFonts w:ascii="Tahoma" w:hAnsi="Tahoma" w:cs="Tahoma"/>
          <w:b/>
          <w:lang w:val="sr-Cyrl-CS"/>
        </w:rPr>
        <w:t>Д</w:t>
      </w:r>
      <w:proofErr w:type="spellStart"/>
      <w:r w:rsidRPr="00732F02">
        <w:rPr>
          <w:rFonts w:ascii="Tahoma" w:hAnsi="Tahoma" w:cs="Tahoma"/>
          <w:b/>
        </w:rPr>
        <w:t>есезонирана</w:t>
      </w:r>
      <w:proofErr w:type="spellEnd"/>
      <w:r w:rsidRPr="00732F02">
        <w:rPr>
          <w:rFonts w:ascii="Tahoma" w:hAnsi="Tahoma" w:cs="Tahoma"/>
          <w:b/>
        </w:rPr>
        <w:t xml:space="preserve"> </w:t>
      </w:r>
      <w:proofErr w:type="spellStart"/>
      <w:r w:rsidRPr="00732F02">
        <w:rPr>
          <w:rFonts w:ascii="Tahoma" w:hAnsi="Tahoma" w:cs="Tahoma"/>
          <w:b/>
        </w:rPr>
        <w:t>индустријска</w:t>
      </w:r>
      <w:proofErr w:type="spellEnd"/>
      <w:r w:rsidRPr="00732F02">
        <w:rPr>
          <w:rFonts w:ascii="Tahoma" w:hAnsi="Tahoma" w:cs="Tahoma"/>
          <w:b/>
        </w:rPr>
        <w:t xml:space="preserve"> </w:t>
      </w:r>
      <w:proofErr w:type="spellStart"/>
      <w:r w:rsidRPr="00732F02">
        <w:rPr>
          <w:rFonts w:ascii="Tahoma" w:hAnsi="Tahoma" w:cs="Tahoma"/>
          <w:b/>
        </w:rPr>
        <w:t>производња</w:t>
      </w:r>
      <w:proofErr w:type="spellEnd"/>
      <w:r w:rsidRPr="003E0BC7">
        <w:rPr>
          <w:rFonts w:ascii="Tahoma" w:hAnsi="Tahoma" w:cs="Tahoma"/>
        </w:rPr>
        <w:t xml:space="preserve"> у </w:t>
      </w:r>
      <w:r w:rsidRPr="003E0BC7">
        <w:rPr>
          <w:rFonts w:ascii="Tahoma" w:hAnsi="Tahoma" w:cs="Tahoma"/>
          <w:spacing w:val="-2"/>
          <w:lang w:val="sr-Cyrl-CS"/>
        </w:rPr>
        <w:t>априлу</w:t>
      </w:r>
      <w:r w:rsidRPr="003E0BC7">
        <w:rPr>
          <w:rFonts w:ascii="Tahoma" w:hAnsi="Tahoma" w:cs="Tahoma"/>
          <w:spacing w:val="-2"/>
        </w:rPr>
        <w:t xml:space="preserve"> </w:t>
      </w:r>
      <w:r w:rsidRPr="003E0BC7">
        <w:rPr>
          <w:rFonts w:ascii="Tahoma" w:hAnsi="Tahoma" w:cs="Tahoma"/>
        </w:rPr>
        <w:t xml:space="preserve">2013. </w:t>
      </w:r>
      <w:r w:rsidRPr="003E0BC7">
        <w:rPr>
          <w:rFonts w:ascii="Tahoma" w:hAnsi="Tahoma" w:cs="Tahoma"/>
          <w:lang w:val="sr-Cyrl-BA"/>
        </w:rPr>
        <w:t>г</w:t>
      </w:r>
      <w:proofErr w:type="spellStart"/>
      <w:r w:rsidRPr="003E0BC7">
        <w:rPr>
          <w:rFonts w:ascii="Tahoma" w:hAnsi="Tahoma" w:cs="Tahoma"/>
        </w:rPr>
        <w:t>одине</w:t>
      </w:r>
      <w:proofErr w:type="spellEnd"/>
      <w:r w:rsidRPr="003E0BC7">
        <w:rPr>
          <w:rFonts w:ascii="Tahoma" w:hAnsi="Tahoma" w:cs="Tahoma"/>
          <w:spacing w:val="-4"/>
          <w:lang w:val="sr-Cyrl-BA"/>
        </w:rPr>
        <w:t xml:space="preserve"> </w:t>
      </w:r>
      <w:r w:rsidRPr="003E0BC7">
        <w:rPr>
          <w:rFonts w:ascii="Tahoma" w:hAnsi="Tahoma" w:cs="Tahoma"/>
        </w:rPr>
        <w:t xml:space="preserve">у </w:t>
      </w:r>
      <w:proofErr w:type="spellStart"/>
      <w:r w:rsidRPr="003E0BC7">
        <w:rPr>
          <w:rFonts w:ascii="Tahoma" w:hAnsi="Tahoma" w:cs="Tahoma"/>
        </w:rPr>
        <w:t>поређењу</w:t>
      </w:r>
      <w:proofErr w:type="spellEnd"/>
      <w:r w:rsidRPr="003E0BC7">
        <w:rPr>
          <w:rFonts w:ascii="Tahoma" w:hAnsi="Tahoma" w:cs="Tahoma"/>
        </w:rPr>
        <w:t xml:space="preserve"> </w:t>
      </w:r>
      <w:r w:rsidRPr="003E0BC7">
        <w:rPr>
          <w:rFonts w:ascii="Tahoma" w:hAnsi="Tahoma" w:cs="Tahoma"/>
          <w:lang w:val="sr-Cyrl-BA"/>
        </w:rPr>
        <w:t xml:space="preserve">са </w:t>
      </w:r>
      <w:r w:rsidRPr="003E0BC7">
        <w:rPr>
          <w:rFonts w:ascii="Tahoma" w:hAnsi="Tahoma" w:cs="Tahoma"/>
          <w:lang w:val="ru-RU"/>
        </w:rPr>
        <w:t>мартом 2013.</w:t>
      </w:r>
      <w:r w:rsidRPr="003E0BC7">
        <w:rPr>
          <w:rFonts w:ascii="Tahoma" w:hAnsi="Tahoma" w:cs="Tahoma"/>
        </w:rPr>
        <w:t xml:space="preserve"> </w:t>
      </w:r>
      <w:proofErr w:type="spellStart"/>
      <w:r w:rsidRPr="003E0BC7">
        <w:rPr>
          <w:rFonts w:ascii="Tahoma" w:hAnsi="Tahoma" w:cs="Tahoma"/>
        </w:rPr>
        <w:t>године</w:t>
      </w:r>
      <w:proofErr w:type="spellEnd"/>
      <w:r w:rsidRPr="003E0BC7">
        <w:rPr>
          <w:rFonts w:ascii="Tahoma" w:hAnsi="Tahoma" w:cs="Tahoma"/>
        </w:rPr>
        <w:t xml:space="preserve">, у </w:t>
      </w:r>
      <w:proofErr w:type="spellStart"/>
      <w:r w:rsidRPr="003E0BC7">
        <w:rPr>
          <w:rFonts w:ascii="Tahoma" w:hAnsi="Tahoma" w:cs="Tahoma"/>
          <w:i/>
        </w:rPr>
        <w:t>Прерађивачкој</w:t>
      </w:r>
      <w:proofErr w:type="spellEnd"/>
      <w:r w:rsidRPr="003E0BC7">
        <w:rPr>
          <w:rFonts w:ascii="Tahoma" w:hAnsi="Tahoma" w:cs="Tahoma"/>
          <w:i/>
        </w:rPr>
        <w:t xml:space="preserve"> </w:t>
      </w:r>
      <w:proofErr w:type="spellStart"/>
      <w:r w:rsidRPr="003E0BC7">
        <w:rPr>
          <w:rFonts w:ascii="Tahoma" w:hAnsi="Tahoma" w:cs="Tahoma"/>
          <w:i/>
        </w:rPr>
        <w:t>индустрији</w:t>
      </w:r>
      <w:proofErr w:type="spellEnd"/>
      <w:r w:rsidRPr="003E0BC7">
        <w:rPr>
          <w:rFonts w:ascii="Tahoma" w:hAnsi="Tahoma" w:cs="Tahoma"/>
        </w:rPr>
        <w:t xml:space="preserve"> </w:t>
      </w:r>
      <w:proofErr w:type="spellStart"/>
      <w:r w:rsidRPr="003E0BC7">
        <w:rPr>
          <w:rFonts w:ascii="Tahoma" w:hAnsi="Tahoma" w:cs="Tahoma"/>
        </w:rPr>
        <w:t>биљежи</w:t>
      </w:r>
      <w:proofErr w:type="spellEnd"/>
      <w:r w:rsidRPr="003E0BC7">
        <w:rPr>
          <w:rFonts w:ascii="Tahoma" w:hAnsi="Tahoma" w:cs="Tahoma"/>
        </w:rPr>
        <w:t xml:space="preserve"> </w:t>
      </w:r>
      <w:r w:rsidRPr="003E0BC7">
        <w:rPr>
          <w:rFonts w:ascii="Tahoma" w:hAnsi="Tahoma" w:cs="Tahoma"/>
          <w:lang w:val="sr-Cyrl-CS"/>
        </w:rPr>
        <w:t>раст</w:t>
      </w:r>
      <w:r w:rsidRPr="003E0BC7">
        <w:rPr>
          <w:rFonts w:ascii="Tahoma" w:hAnsi="Tahoma" w:cs="Tahoma"/>
        </w:rPr>
        <w:t xml:space="preserve"> </w:t>
      </w:r>
      <w:r w:rsidRPr="003E0BC7">
        <w:rPr>
          <w:rFonts w:ascii="Tahoma" w:hAnsi="Tahoma" w:cs="Tahoma"/>
          <w:lang w:val="sr-Cyrl-BA"/>
        </w:rPr>
        <w:t>од</w:t>
      </w:r>
      <w:r w:rsidRPr="003E0BC7">
        <w:rPr>
          <w:rFonts w:ascii="Tahoma" w:hAnsi="Tahoma" w:cs="Tahoma"/>
        </w:rPr>
        <w:t xml:space="preserve"> </w:t>
      </w:r>
      <w:r w:rsidRPr="003E0BC7">
        <w:rPr>
          <w:rFonts w:ascii="Tahoma" w:hAnsi="Tahoma" w:cs="Tahoma"/>
          <w:lang w:val="sr-Cyrl-CS"/>
        </w:rPr>
        <w:t>15</w:t>
      </w:r>
      <w:r w:rsidRPr="003E0BC7">
        <w:rPr>
          <w:rFonts w:ascii="Tahoma" w:hAnsi="Tahoma" w:cs="Tahoma"/>
        </w:rPr>
        <w:t>,</w:t>
      </w:r>
      <w:r w:rsidRPr="003E0BC7">
        <w:rPr>
          <w:rFonts w:ascii="Tahoma" w:hAnsi="Tahoma" w:cs="Tahoma"/>
          <w:lang w:val="sr-Cyrl-CS"/>
        </w:rPr>
        <w:t>3</w:t>
      </w:r>
      <w:r w:rsidRPr="003E0BC7">
        <w:rPr>
          <w:rFonts w:ascii="Tahoma" w:hAnsi="Tahoma" w:cs="Tahoma"/>
        </w:rPr>
        <w:t>%</w:t>
      </w:r>
      <w:r w:rsidRPr="003E0BC7">
        <w:rPr>
          <w:rFonts w:ascii="Tahoma" w:hAnsi="Tahoma" w:cs="Tahoma"/>
          <w:lang w:val="sr-Cyrl-CS"/>
        </w:rPr>
        <w:t>,</w:t>
      </w:r>
      <w:r w:rsidRPr="003E0BC7">
        <w:rPr>
          <w:rFonts w:ascii="Tahoma" w:hAnsi="Tahoma" w:cs="Tahoma"/>
        </w:rPr>
        <w:t xml:space="preserve"> </w:t>
      </w:r>
      <w:r w:rsidRPr="003E0BC7">
        <w:rPr>
          <w:rFonts w:ascii="Tahoma" w:hAnsi="Tahoma" w:cs="Tahoma"/>
          <w:lang w:val="sr-Cyrl-BA"/>
        </w:rPr>
        <w:t xml:space="preserve">у подручју </w:t>
      </w:r>
      <w:proofErr w:type="spellStart"/>
      <w:r w:rsidRPr="003E0BC7">
        <w:rPr>
          <w:rFonts w:ascii="Tahoma" w:hAnsi="Tahoma" w:cs="Tahoma"/>
          <w:i/>
        </w:rPr>
        <w:t>Вађењ</w:t>
      </w:r>
      <w:proofErr w:type="spellEnd"/>
      <w:r w:rsidRPr="003E0BC7">
        <w:rPr>
          <w:rFonts w:ascii="Tahoma" w:hAnsi="Tahoma" w:cs="Tahoma"/>
          <w:i/>
          <w:lang w:val="sr-Cyrl-BA"/>
        </w:rPr>
        <w:t>а</w:t>
      </w:r>
      <w:r w:rsidRPr="003E0BC7">
        <w:rPr>
          <w:rFonts w:ascii="Tahoma" w:hAnsi="Tahoma" w:cs="Tahoma"/>
          <w:i/>
        </w:rPr>
        <w:t xml:space="preserve"> </w:t>
      </w:r>
      <w:proofErr w:type="spellStart"/>
      <w:r w:rsidRPr="003E0BC7">
        <w:rPr>
          <w:rFonts w:ascii="Tahoma" w:hAnsi="Tahoma" w:cs="Tahoma"/>
          <w:i/>
        </w:rPr>
        <w:t>руда</w:t>
      </w:r>
      <w:proofErr w:type="spellEnd"/>
      <w:r w:rsidRPr="003E0BC7">
        <w:rPr>
          <w:rFonts w:ascii="Tahoma" w:hAnsi="Tahoma" w:cs="Tahoma"/>
          <w:i/>
        </w:rPr>
        <w:t xml:space="preserve"> и </w:t>
      </w:r>
      <w:proofErr w:type="spellStart"/>
      <w:r w:rsidRPr="003E0BC7">
        <w:rPr>
          <w:rFonts w:ascii="Tahoma" w:hAnsi="Tahoma" w:cs="Tahoma"/>
          <w:i/>
        </w:rPr>
        <w:t>камена</w:t>
      </w:r>
      <w:proofErr w:type="spellEnd"/>
      <w:r w:rsidRPr="003E0BC7">
        <w:rPr>
          <w:rFonts w:ascii="Tahoma" w:hAnsi="Tahoma" w:cs="Tahoma"/>
        </w:rPr>
        <w:t xml:space="preserve"> </w:t>
      </w:r>
      <w:r w:rsidRPr="003E0BC7">
        <w:rPr>
          <w:rFonts w:ascii="Tahoma" w:hAnsi="Tahoma" w:cs="Tahoma"/>
          <w:lang w:val="sr-Cyrl-CS"/>
        </w:rPr>
        <w:t>раст</w:t>
      </w:r>
      <w:r w:rsidRPr="003E0BC7">
        <w:rPr>
          <w:rFonts w:ascii="Tahoma" w:hAnsi="Tahoma" w:cs="Tahoma"/>
        </w:rPr>
        <w:t xml:space="preserve"> </w:t>
      </w:r>
      <w:r w:rsidRPr="003E0BC7">
        <w:rPr>
          <w:rFonts w:ascii="Tahoma" w:hAnsi="Tahoma" w:cs="Tahoma"/>
          <w:lang w:val="sr-Cyrl-BA"/>
        </w:rPr>
        <w:t>од</w:t>
      </w:r>
      <w:r w:rsidRPr="003E0BC7">
        <w:rPr>
          <w:rFonts w:ascii="Tahoma" w:hAnsi="Tahoma" w:cs="Tahoma"/>
        </w:rPr>
        <w:t xml:space="preserve"> </w:t>
      </w:r>
      <w:r w:rsidRPr="003E0BC7">
        <w:rPr>
          <w:rFonts w:ascii="Tahoma" w:hAnsi="Tahoma" w:cs="Tahoma"/>
          <w:lang w:val="sr-Cyrl-CS"/>
        </w:rPr>
        <w:t>11</w:t>
      </w:r>
      <w:r w:rsidRPr="003E0BC7">
        <w:rPr>
          <w:rFonts w:ascii="Tahoma" w:hAnsi="Tahoma" w:cs="Tahoma"/>
        </w:rPr>
        <w:t>,</w:t>
      </w:r>
      <w:r w:rsidRPr="003E0BC7">
        <w:rPr>
          <w:rFonts w:ascii="Tahoma" w:hAnsi="Tahoma" w:cs="Tahoma"/>
          <w:lang w:val="sr-Cyrl-CS"/>
        </w:rPr>
        <w:t>1</w:t>
      </w:r>
      <w:r w:rsidRPr="003E0BC7">
        <w:rPr>
          <w:rFonts w:ascii="Tahoma" w:hAnsi="Tahoma" w:cs="Tahoma"/>
        </w:rPr>
        <w:t>%</w:t>
      </w:r>
      <w:r w:rsidRPr="003E0BC7">
        <w:rPr>
          <w:rFonts w:ascii="Tahoma" w:hAnsi="Tahoma" w:cs="Tahoma"/>
          <w:lang w:val="sr-Cyrl-CS"/>
        </w:rPr>
        <w:t xml:space="preserve"> и</w:t>
      </w:r>
      <w:r w:rsidRPr="003E0BC7">
        <w:rPr>
          <w:rFonts w:ascii="Tahoma" w:hAnsi="Tahoma" w:cs="Tahoma"/>
          <w:lang w:val="sr-Cyrl-BA"/>
        </w:rPr>
        <w:t xml:space="preserve"> </w:t>
      </w:r>
      <w:r w:rsidRPr="003E0BC7">
        <w:rPr>
          <w:rFonts w:ascii="Tahoma" w:hAnsi="Tahoma" w:cs="Tahoma"/>
        </w:rPr>
        <w:t xml:space="preserve">у </w:t>
      </w:r>
      <w:proofErr w:type="spellStart"/>
      <w:r w:rsidRPr="003E0BC7">
        <w:rPr>
          <w:rFonts w:ascii="Tahoma" w:hAnsi="Tahoma" w:cs="Tahoma"/>
          <w:i/>
        </w:rPr>
        <w:t>Производњ</w:t>
      </w:r>
      <w:proofErr w:type="spellEnd"/>
      <w:r w:rsidRPr="003E0BC7">
        <w:rPr>
          <w:rFonts w:ascii="Tahoma" w:hAnsi="Tahoma" w:cs="Tahoma"/>
          <w:i/>
          <w:lang w:val="sr-Cyrl-CS"/>
        </w:rPr>
        <w:t>и</w:t>
      </w:r>
      <w:r w:rsidRPr="003E0BC7">
        <w:rPr>
          <w:rFonts w:ascii="Tahoma" w:hAnsi="Tahoma" w:cs="Tahoma"/>
          <w:i/>
        </w:rPr>
        <w:t xml:space="preserve"> и </w:t>
      </w:r>
      <w:proofErr w:type="spellStart"/>
      <w:r w:rsidRPr="003E0BC7">
        <w:rPr>
          <w:rFonts w:ascii="Tahoma" w:hAnsi="Tahoma" w:cs="Tahoma"/>
          <w:i/>
        </w:rPr>
        <w:t>снабдијевањ</w:t>
      </w:r>
      <w:proofErr w:type="spellEnd"/>
      <w:r w:rsidRPr="003E0BC7">
        <w:rPr>
          <w:rFonts w:ascii="Tahoma" w:hAnsi="Tahoma" w:cs="Tahoma"/>
          <w:i/>
          <w:lang w:val="sr-Cyrl-CS"/>
        </w:rPr>
        <w:t>у</w:t>
      </w:r>
      <w:r w:rsidRPr="003E0BC7">
        <w:rPr>
          <w:rFonts w:ascii="Tahoma" w:hAnsi="Tahoma" w:cs="Tahoma"/>
          <w:i/>
        </w:rPr>
        <w:t xml:space="preserve"> </w:t>
      </w:r>
      <w:proofErr w:type="spellStart"/>
      <w:r w:rsidRPr="003E0BC7">
        <w:rPr>
          <w:rFonts w:ascii="Tahoma" w:hAnsi="Tahoma" w:cs="Tahoma"/>
          <w:i/>
        </w:rPr>
        <w:t>електричном</w:t>
      </w:r>
      <w:proofErr w:type="spellEnd"/>
      <w:r w:rsidRPr="003E0BC7">
        <w:rPr>
          <w:rFonts w:ascii="Tahoma" w:hAnsi="Tahoma" w:cs="Tahoma"/>
          <w:i/>
        </w:rPr>
        <w:t xml:space="preserve"> </w:t>
      </w:r>
      <w:proofErr w:type="spellStart"/>
      <w:r w:rsidRPr="003E0BC7">
        <w:rPr>
          <w:rFonts w:ascii="Tahoma" w:hAnsi="Tahoma" w:cs="Tahoma"/>
          <w:i/>
        </w:rPr>
        <w:t>енергијом</w:t>
      </w:r>
      <w:proofErr w:type="spellEnd"/>
      <w:r w:rsidRPr="003E0BC7">
        <w:rPr>
          <w:rFonts w:ascii="Tahoma" w:hAnsi="Tahoma" w:cs="Tahoma"/>
          <w:i/>
        </w:rPr>
        <w:t xml:space="preserve">, </w:t>
      </w:r>
      <w:proofErr w:type="spellStart"/>
      <w:r w:rsidRPr="003E0BC7">
        <w:rPr>
          <w:rFonts w:ascii="Tahoma" w:hAnsi="Tahoma" w:cs="Tahoma"/>
          <w:i/>
        </w:rPr>
        <w:t>гасом</w:t>
      </w:r>
      <w:proofErr w:type="spellEnd"/>
      <w:r w:rsidRPr="003E0BC7">
        <w:rPr>
          <w:rFonts w:ascii="Tahoma" w:hAnsi="Tahoma" w:cs="Tahoma"/>
          <w:i/>
        </w:rPr>
        <w:t xml:space="preserve">, </w:t>
      </w:r>
      <w:proofErr w:type="spellStart"/>
      <w:r w:rsidRPr="003E0BC7">
        <w:rPr>
          <w:rFonts w:ascii="Tahoma" w:hAnsi="Tahoma" w:cs="Tahoma"/>
          <w:i/>
        </w:rPr>
        <w:t>паром</w:t>
      </w:r>
      <w:proofErr w:type="spellEnd"/>
      <w:r w:rsidRPr="003E0BC7">
        <w:rPr>
          <w:rFonts w:ascii="Tahoma" w:hAnsi="Tahoma" w:cs="Tahoma"/>
          <w:i/>
        </w:rPr>
        <w:t xml:space="preserve"> и </w:t>
      </w:r>
      <w:proofErr w:type="spellStart"/>
      <w:r w:rsidRPr="003E0BC7">
        <w:rPr>
          <w:rFonts w:ascii="Tahoma" w:hAnsi="Tahoma" w:cs="Tahoma"/>
          <w:i/>
        </w:rPr>
        <w:t>климатизацији</w:t>
      </w:r>
      <w:proofErr w:type="spellEnd"/>
      <w:r w:rsidRPr="003E0BC7">
        <w:rPr>
          <w:rFonts w:ascii="Tahoma" w:hAnsi="Tahoma" w:cs="Tahoma"/>
        </w:rPr>
        <w:t xml:space="preserve"> </w:t>
      </w:r>
      <w:proofErr w:type="spellStart"/>
      <w:r w:rsidRPr="003E0BC7">
        <w:rPr>
          <w:rFonts w:ascii="Tahoma" w:hAnsi="Tahoma" w:cs="Tahoma"/>
        </w:rPr>
        <w:t>раст</w:t>
      </w:r>
      <w:proofErr w:type="spellEnd"/>
      <w:r w:rsidRPr="003E0BC7">
        <w:rPr>
          <w:rFonts w:ascii="Tahoma" w:hAnsi="Tahoma" w:cs="Tahoma"/>
        </w:rPr>
        <w:t xml:space="preserve"> </w:t>
      </w:r>
      <w:r w:rsidRPr="003E0BC7">
        <w:rPr>
          <w:rFonts w:ascii="Tahoma" w:hAnsi="Tahoma" w:cs="Tahoma"/>
          <w:lang w:val="sr-Cyrl-CS"/>
        </w:rPr>
        <w:t>од</w:t>
      </w:r>
      <w:r w:rsidRPr="003E0BC7">
        <w:rPr>
          <w:rFonts w:ascii="Tahoma" w:hAnsi="Tahoma" w:cs="Tahoma"/>
        </w:rPr>
        <w:t xml:space="preserve"> </w:t>
      </w:r>
      <w:r w:rsidRPr="003E0BC7">
        <w:rPr>
          <w:rFonts w:ascii="Tahoma" w:hAnsi="Tahoma" w:cs="Tahoma"/>
          <w:lang w:val="sr-Cyrl-CS"/>
        </w:rPr>
        <w:t>5</w:t>
      </w:r>
      <w:r w:rsidRPr="003E0BC7">
        <w:rPr>
          <w:rFonts w:ascii="Tahoma" w:hAnsi="Tahoma" w:cs="Tahoma"/>
        </w:rPr>
        <w:t>,</w:t>
      </w:r>
      <w:r w:rsidRPr="003E0BC7">
        <w:rPr>
          <w:rFonts w:ascii="Tahoma" w:hAnsi="Tahoma" w:cs="Tahoma"/>
          <w:lang w:val="sr-Cyrl-CS"/>
        </w:rPr>
        <w:t>6</w:t>
      </w:r>
      <w:r w:rsidRPr="003E0BC7">
        <w:rPr>
          <w:rFonts w:ascii="Tahoma" w:hAnsi="Tahoma" w:cs="Tahoma"/>
        </w:rPr>
        <w:t>%.</w:t>
      </w:r>
    </w:p>
    <w:p w:rsidR="00295772" w:rsidRPr="003E0BC7" w:rsidRDefault="00295772" w:rsidP="00517795">
      <w:pPr>
        <w:jc w:val="both"/>
        <w:rPr>
          <w:rFonts w:ascii="Tahoma" w:hAnsi="Tahoma" w:cs="Tahoma"/>
          <w:lang w:val="sr-Cyrl-CS"/>
        </w:rPr>
      </w:pPr>
    </w:p>
    <w:p w:rsidR="00517795" w:rsidRPr="003E0BC7" w:rsidRDefault="00517795" w:rsidP="00517795">
      <w:pPr>
        <w:jc w:val="both"/>
        <w:rPr>
          <w:rFonts w:ascii="Tahoma" w:hAnsi="Tahoma" w:cs="Tahoma"/>
          <w:lang w:val="sr-Cyrl-CS"/>
        </w:rPr>
      </w:pPr>
      <w:r w:rsidRPr="003E0BC7">
        <w:rPr>
          <w:rFonts w:ascii="Tahoma" w:hAnsi="Tahoma" w:cs="Tahoma"/>
          <w:spacing w:val="-2"/>
          <w:lang w:val="sr-Cyrl-CS"/>
        </w:rPr>
        <w:t>Посматрано према главним индустријским групама по основу економске намјене производа,</w:t>
      </w:r>
      <w:r w:rsidRPr="003E0BC7">
        <w:rPr>
          <w:rFonts w:ascii="Tahoma" w:hAnsi="Tahoma" w:cs="Tahoma"/>
          <w:spacing w:val="-2"/>
          <w:lang w:val="sr-Cyrl-BA"/>
        </w:rPr>
        <w:t xml:space="preserve"> десезонирана производња</w:t>
      </w:r>
      <w:r w:rsidRPr="003E0BC7">
        <w:rPr>
          <w:rFonts w:ascii="Tahoma" w:hAnsi="Tahoma" w:cs="Tahoma"/>
          <w:spacing w:val="-2"/>
        </w:rPr>
        <w:t xml:space="preserve"> </w:t>
      </w:r>
      <w:r w:rsidRPr="003E0BC7">
        <w:rPr>
          <w:rFonts w:ascii="Tahoma" w:hAnsi="Tahoma" w:cs="Tahoma"/>
          <w:lang w:val="sr-Cyrl-CS"/>
        </w:rPr>
        <w:t>енергије већа је за 23,1%</w:t>
      </w:r>
      <w:r w:rsidRPr="003E0BC7">
        <w:rPr>
          <w:rFonts w:ascii="Tahoma" w:hAnsi="Tahoma" w:cs="Tahoma"/>
        </w:rPr>
        <w:t xml:space="preserve">, </w:t>
      </w:r>
      <w:r w:rsidRPr="003E0BC7">
        <w:rPr>
          <w:rFonts w:ascii="Tahoma" w:hAnsi="Tahoma" w:cs="Tahoma"/>
          <w:lang w:val="sr-Cyrl-CS"/>
        </w:rPr>
        <w:t>нетрајних производа за широку потрошњу за 21,2%, интермедијарних производа за 5,9% и трајних производа за широку потрошњу за 3</w:t>
      </w:r>
      <w:r w:rsidRPr="003E0BC7">
        <w:rPr>
          <w:rFonts w:ascii="Tahoma" w:hAnsi="Tahoma" w:cs="Tahoma"/>
          <w:lang w:val="bs-Latn-BA"/>
        </w:rPr>
        <w:t>,</w:t>
      </w:r>
      <w:r w:rsidRPr="003E0BC7">
        <w:rPr>
          <w:rFonts w:ascii="Tahoma" w:hAnsi="Tahoma" w:cs="Tahoma"/>
          <w:lang w:val="sr-Cyrl-CS"/>
        </w:rPr>
        <w:t>4%,</w:t>
      </w:r>
      <w:r w:rsidRPr="003E0BC7">
        <w:rPr>
          <w:rFonts w:ascii="Tahoma" w:hAnsi="Tahoma" w:cs="Tahoma"/>
          <w:spacing w:val="-2"/>
        </w:rPr>
        <w:t xml:space="preserve"> </w:t>
      </w:r>
      <w:r w:rsidRPr="003E0BC7">
        <w:rPr>
          <w:rFonts w:ascii="Tahoma" w:hAnsi="Tahoma" w:cs="Tahoma"/>
          <w:lang w:val="sr-Cyrl-CS"/>
        </w:rPr>
        <w:t>док је производња капиталних производа</w:t>
      </w:r>
      <w:r w:rsidRPr="003E0BC7">
        <w:rPr>
          <w:rFonts w:ascii="Tahoma" w:hAnsi="Tahoma" w:cs="Tahoma"/>
          <w:lang w:val="sr-Cyrl-BA"/>
        </w:rPr>
        <w:t xml:space="preserve"> </w:t>
      </w:r>
      <w:r w:rsidRPr="003E0BC7">
        <w:rPr>
          <w:rFonts w:ascii="Tahoma" w:hAnsi="Tahoma" w:cs="Tahoma"/>
          <w:lang w:val="sr-Cyrl-CS"/>
        </w:rPr>
        <w:t>мања за 6</w:t>
      </w:r>
      <w:r w:rsidRPr="003E0BC7">
        <w:rPr>
          <w:rFonts w:ascii="Tahoma" w:hAnsi="Tahoma" w:cs="Tahoma"/>
          <w:lang w:val="bs-Latn-BA"/>
        </w:rPr>
        <w:t>,</w:t>
      </w:r>
      <w:r w:rsidRPr="003E0BC7">
        <w:rPr>
          <w:rFonts w:ascii="Tahoma" w:hAnsi="Tahoma" w:cs="Tahoma"/>
          <w:lang w:val="sr-Cyrl-CS"/>
        </w:rPr>
        <w:t>4%.</w:t>
      </w:r>
    </w:p>
    <w:p w:rsidR="00517795" w:rsidRPr="003E0BC7" w:rsidRDefault="00517795" w:rsidP="00517795">
      <w:pPr>
        <w:jc w:val="both"/>
        <w:rPr>
          <w:rFonts w:ascii="Tahoma" w:hAnsi="Tahoma" w:cs="Tahoma"/>
          <w:lang w:val="sr-Cyrl-CS"/>
        </w:rPr>
      </w:pPr>
    </w:p>
    <w:p w:rsidR="00517795" w:rsidRDefault="00517795" w:rsidP="00517795">
      <w:pPr>
        <w:jc w:val="both"/>
        <w:rPr>
          <w:rFonts w:ascii="Tahoma" w:hAnsi="Tahoma" w:cs="Tahoma"/>
        </w:rPr>
      </w:pPr>
      <w:r w:rsidRPr="00732F02">
        <w:rPr>
          <w:rFonts w:ascii="Tahoma" w:hAnsi="Tahoma" w:cs="Tahoma"/>
          <w:b/>
          <w:spacing w:val="-4"/>
          <w:lang w:val="sr-Cyrl-BA"/>
        </w:rPr>
        <w:t>Календарски прилагођена индустријска производња</w:t>
      </w:r>
      <w:r w:rsidRPr="003E0BC7">
        <w:rPr>
          <w:rFonts w:ascii="Tahoma" w:hAnsi="Tahoma" w:cs="Tahoma"/>
          <w:spacing w:val="-4"/>
          <w:lang w:val="sr-Cyrl-BA"/>
        </w:rPr>
        <w:t xml:space="preserve"> у</w:t>
      </w:r>
      <w:r w:rsidRPr="003E0BC7">
        <w:rPr>
          <w:rFonts w:ascii="Tahoma" w:hAnsi="Tahoma" w:cs="Tahoma"/>
        </w:rPr>
        <w:t xml:space="preserve"> </w:t>
      </w:r>
      <w:r w:rsidRPr="003E0BC7">
        <w:rPr>
          <w:rFonts w:ascii="Tahoma" w:hAnsi="Tahoma" w:cs="Tahoma"/>
          <w:spacing w:val="-2"/>
          <w:lang w:val="sr-Cyrl-CS"/>
        </w:rPr>
        <w:t>априлу</w:t>
      </w:r>
      <w:r w:rsidRPr="003E0BC7">
        <w:rPr>
          <w:rFonts w:ascii="Tahoma" w:hAnsi="Tahoma" w:cs="Tahoma"/>
          <w:spacing w:val="-2"/>
        </w:rPr>
        <w:t xml:space="preserve"> </w:t>
      </w:r>
      <w:r w:rsidRPr="003E0BC7">
        <w:rPr>
          <w:rFonts w:ascii="Tahoma" w:hAnsi="Tahoma" w:cs="Tahoma"/>
        </w:rPr>
        <w:t xml:space="preserve">2013. </w:t>
      </w:r>
      <w:proofErr w:type="spellStart"/>
      <w:proofErr w:type="gramStart"/>
      <w:r w:rsidRPr="003E0BC7">
        <w:rPr>
          <w:rFonts w:ascii="Tahoma" w:hAnsi="Tahoma" w:cs="Tahoma"/>
        </w:rPr>
        <w:t>године</w:t>
      </w:r>
      <w:proofErr w:type="spellEnd"/>
      <w:proofErr w:type="gramEnd"/>
      <w:r w:rsidRPr="003E0BC7">
        <w:rPr>
          <w:rFonts w:ascii="Tahoma" w:hAnsi="Tahoma" w:cs="Tahoma"/>
        </w:rPr>
        <w:t xml:space="preserve"> у </w:t>
      </w:r>
      <w:proofErr w:type="spellStart"/>
      <w:r w:rsidRPr="003E0BC7">
        <w:rPr>
          <w:rFonts w:ascii="Tahoma" w:hAnsi="Tahoma" w:cs="Tahoma"/>
        </w:rPr>
        <w:t>поређењу</w:t>
      </w:r>
      <w:proofErr w:type="spellEnd"/>
      <w:r w:rsidRPr="003E0BC7">
        <w:rPr>
          <w:rFonts w:ascii="Tahoma" w:hAnsi="Tahoma" w:cs="Tahoma"/>
        </w:rPr>
        <w:t xml:space="preserve"> </w:t>
      </w:r>
      <w:proofErr w:type="spellStart"/>
      <w:r w:rsidRPr="003E0BC7">
        <w:rPr>
          <w:rFonts w:ascii="Tahoma" w:hAnsi="Tahoma" w:cs="Tahoma"/>
        </w:rPr>
        <w:t>са</w:t>
      </w:r>
      <w:proofErr w:type="spellEnd"/>
      <w:r w:rsidRPr="003E0BC7">
        <w:rPr>
          <w:rFonts w:ascii="Tahoma" w:hAnsi="Tahoma" w:cs="Tahoma"/>
        </w:rPr>
        <w:t xml:space="preserve"> </w:t>
      </w:r>
      <w:r w:rsidRPr="003E0BC7">
        <w:rPr>
          <w:rFonts w:ascii="Tahoma" w:hAnsi="Tahoma" w:cs="Tahoma"/>
          <w:lang w:val="sr-Cyrl-CS"/>
        </w:rPr>
        <w:t>априлом</w:t>
      </w:r>
      <w:r w:rsidRPr="003E0BC7">
        <w:rPr>
          <w:rFonts w:ascii="Tahoma" w:hAnsi="Tahoma" w:cs="Tahoma"/>
        </w:rPr>
        <w:t xml:space="preserve"> 2012. </w:t>
      </w:r>
      <w:proofErr w:type="spellStart"/>
      <w:r w:rsidRPr="003E0BC7">
        <w:rPr>
          <w:rFonts w:ascii="Tahoma" w:hAnsi="Tahoma" w:cs="Tahoma"/>
        </w:rPr>
        <w:t>године</w:t>
      </w:r>
      <w:proofErr w:type="spellEnd"/>
      <w:r w:rsidRPr="003E0BC7">
        <w:rPr>
          <w:rFonts w:ascii="Tahoma" w:hAnsi="Tahoma" w:cs="Tahoma"/>
        </w:rPr>
        <w:t>,</w:t>
      </w:r>
      <w:r w:rsidRPr="003E0BC7">
        <w:rPr>
          <w:rFonts w:ascii="Tahoma" w:hAnsi="Tahoma" w:cs="Tahoma"/>
          <w:lang w:val="sr-Cyrl-BA"/>
        </w:rPr>
        <w:t xml:space="preserve"> </w:t>
      </w:r>
      <w:r w:rsidRPr="003E0BC7">
        <w:rPr>
          <w:rFonts w:ascii="Tahoma" w:hAnsi="Tahoma" w:cs="Tahoma"/>
        </w:rPr>
        <w:t>у</w:t>
      </w:r>
      <w:r w:rsidRPr="003E0BC7">
        <w:rPr>
          <w:rFonts w:ascii="Tahoma" w:hAnsi="Tahoma" w:cs="Tahoma"/>
          <w:lang w:val="sr-Cyrl-CS"/>
        </w:rPr>
        <w:t xml:space="preserve"> подручју</w:t>
      </w:r>
      <w:r w:rsidRPr="003E0BC7">
        <w:rPr>
          <w:rFonts w:ascii="Tahoma" w:hAnsi="Tahoma" w:cs="Tahoma"/>
        </w:rPr>
        <w:t xml:space="preserve"> </w:t>
      </w:r>
      <w:proofErr w:type="spellStart"/>
      <w:r w:rsidRPr="003E0BC7">
        <w:rPr>
          <w:rFonts w:ascii="Tahoma" w:hAnsi="Tahoma" w:cs="Tahoma"/>
          <w:i/>
        </w:rPr>
        <w:t>Прерађивачк</w:t>
      </w:r>
      <w:proofErr w:type="spellEnd"/>
      <w:r w:rsidRPr="003E0BC7">
        <w:rPr>
          <w:rFonts w:ascii="Tahoma" w:hAnsi="Tahoma" w:cs="Tahoma"/>
          <w:i/>
          <w:lang w:val="sr-Cyrl-CS"/>
        </w:rPr>
        <w:t>е</w:t>
      </w:r>
      <w:r w:rsidRPr="003E0BC7">
        <w:rPr>
          <w:rFonts w:ascii="Tahoma" w:hAnsi="Tahoma" w:cs="Tahoma"/>
          <w:i/>
        </w:rPr>
        <w:t xml:space="preserve"> </w:t>
      </w:r>
      <w:proofErr w:type="spellStart"/>
      <w:r w:rsidRPr="003E0BC7">
        <w:rPr>
          <w:rFonts w:ascii="Tahoma" w:hAnsi="Tahoma" w:cs="Tahoma"/>
          <w:i/>
        </w:rPr>
        <w:t>индустриј</w:t>
      </w:r>
      <w:proofErr w:type="spellEnd"/>
      <w:r w:rsidRPr="003E0BC7">
        <w:rPr>
          <w:rFonts w:ascii="Tahoma" w:hAnsi="Tahoma" w:cs="Tahoma"/>
          <w:i/>
          <w:lang w:val="sr-Cyrl-CS"/>
        </w:rPr>
        <w:t>е</w:t>
      </w:r>
      <w:r w:rsidRPr="003E0BC7">
        <w:rPr>
          <w:rFonts w:ascii="Tahoma" w:hAnsi="Tahoma" w:cs="Tahoma"/>
        </w:rPr>
        <w:t xml:space="preserve"> </w:t>
      </w:r>
      <w:proofErr w:type="spellStart"/>
      <w:r w:rsidRPr="003E0BC7">
        <w:rPr>
          <w:rFonts w:ascii="Tahoma" w:hAnsi="Tahoma" w:cs="Tahoma"/>
        </w:rPr>
        <w:t>биљежи</w:t>
      </w:r>
      <w:proofErr w:type="spellEnd"/>
      <w:r w:rsidRPr="003E0BC7">
        <w:rPr>
          <w:rFonts w:ascii="Tahoma" w:hAnsi="Tahoma" w:cs="Tahoma"/>
        </w:rPr>
        <w:t xml:space="preserve"> </w:t>
      </w:r>
      <w:r w:rsidRPr="003E0BC7">
        <w:rPr>
          <w:rFonts w:ascii="Tahoma" w:hAnsi="Tahoma" w:cs="Tahoma"/>
          <w:lang w:val="sr-Cyrl-CS"/>
        </w:rPr>
        <w:t>раст од 9</w:t>
      </w:r>
      <w:r w:rsidRPr="003E0BC7">
        <w:rPr>
          <w:rFonts w:ascii="Tahoma" w:hAnsi="Tahoma" w:cs="Tahoma"/>
        </w:rPr>
        <w:t>,</w:t>
      </w:r>
      <w:r w:rsidRPr="003E0BC7">
        <w:rPr>
          <w:rFonts w:ascii="Tahoma" w:hAnsi="Tahoma" w:cs="Tahoma"/>
          <w:lang w:val="sr-Cyrl-CS"/>
        </w:rPr>
        <w:t>1</w:t>
      </w:r>
      <w:r w:rsidRPr="003E0BC7">
        <w:rPr>
          <w:rFonts w:ascii="Tahoma" w:hAnsi="Tahoma" w:cs="Tahoma"/>
        </w:rPr>
        <w:t>%</w:t>
      </w:r>
      <w:r w:rsidRPr="003E0BC7">
        <w:rPr>
          <w:rFonts w:ascii="Tahoma" w:hAnsi="Tahoma" w:cs="Tahoma"/>
          <w:lang w:val="sr-Cyrl-CS"/>
        </w:rPr>
        <w:t xml:space="preserve">, </w:t>
      </w:r>
      <w:r w:rsidRPr="003E0BC7">
        <w:rPr>
          <w:rFonts w:ascii="Tahoma" w:hAnsi="Tahoma" w:cs="Tahoma"/>
          <w:lang w:val="sr-Cyrl-BA"/>
        </w:rPr>
        <w:t>у</w:t>
      </w:r>
      <w:r w:rsidRPr="003E0BC7">
        <w:rPr>
          <w:rFonts w:ascii="Tahoma" w:hAnsi="Tahoma" w:cs="Tahoma"/>
        </w:rPr>
        <w:t xml:space="preserve"> </w:t>
      </w:r>
      <w:proofErr w:type="spellStart"/>
      <w:r w:rsidRPr="003E0BC7">
        <w:rPr>
          <w:rFonts w:ascii="Tahoma" w:hAnsi="Tahoma" w:cs="Tahoma"/>
          <w:i/>
        </w:rPr>
        <w:t>Производњи</w:t>
      </w:r>
      <w:proofErr w:type="spellEnd"/>
      <w:r w:rsidRPr="003E0BC7">
        <w:rPr>
          <w:rFonts w:ascii="Tahoma" w:hAnsi="Tahoma" w:cs="Tahoma"/>
          <w:i/>
        </w:rPr>
        <w:t xml:space="preserve"> и </w:t>
      </w:r>
      <w:proofErr w:type="spellStart"/>
      <w:r w:rsidRPr="003E0BC7">
        <w:rPr>
          <w:rFonts w:ascii="Tahoma" w:hAnsi="Tahoma" w:cs="Tahoma"/>
          <w:i/>
        </w:rPr>
        <w:t>снабдијевању</w:t>
      </w:r>
      <w:proofErr w:type="spellEnd"/>
      <w:r w:rsidRPr="003E0BC7">
        <w:rPr>
          <w:rFonts w:ascii="Tahoma" w:hAnsi="Tahoma" w:cs="Tahoma"/>
          <w:i/>
        </w:rPr>
        <w:t xml:space="preserve"> </w:t>
      </w:r>
      <w:proofErr w:type="spellStart"/>
      <w:r w:rsidRPr="003E0BC7">
        <w:rPr>
          <w:rFonts w:ascii="Tahoma" w:hAnsi="Tahoma" w:cs="Tahoma"/>
          <w:i/>
        </w:rPr>
        <w:t>електричном</w:t>
      </w:r>
      <w:proofErr w:type="spellEnd"/>
      <w:r w:rsidRPr="003E0BC7">
        <w:rPr>
          <w:rFonts w:ascii="Tahoma" w:hAnsi="Tahoma" w:cs="Tahoma"/>
          <w:i/>
        </w:rPr>
        <w:t xml:space="preserve"> </w:t>
      </w:r>
      <w:proofErr w:type="spellStart"/>
      <w:r w:rsidRPr="003E0BC7">
        <w:rPr>
          <w:rFonts w:ascii="Tahoma" w:hAnsi="Tahoma" w:cs="Tahoma"/>
          <w:i/>
        </w:rPr>
        <w:t>енергијом</w:t>
      </w:r>
      <w:proofErr w:type="spellEnd"/>
      <w:r w:rsidRPr="003E0BC7">
        <w:rPr>
          <w:rFonts w:ascii="Tahoma" w:hAnsi="Tahoma" w:cs="Tahoma"/>
          <w:i/>
        </w:rPr>
        <w:t xml:space="preserve">, </w:t>
      </w:r>
      <w:proofErr w:type="spellStart"/>
      <w:r w:rsidRPr="003E0BC7">
        <w:rPr>
          <w:rFonts w:ascii="Tahoma" w:hAnsi="Tahoma" w:cs="Tahoma"/>
          <w:i/>
        </w:rPr>
        <w:t>гасом</w:t>
      </w:r>
      <w:proofErr w:type="spellEnd"/>
      <w:r w:rsidRPr="003E0BC7">
        <w:rPr>
          <w:rFonts w:ascii="Tahoma" w:hAnsi="Tahoma" w:cs="Tahoma"/>
          <w:i/>
        </w:rPr>
        <w:t xml:space="preserve">, </w:t>
      </w:r>
      <w:proofErr w:type="spellStart"/>
      <w:r w:rsidRPr="003E0BC7">
        <w:rPr>
          <w:rFonts w:ascii="Tahoma" w:hAnsi="Tahoma" w:cs="Tahoma"/>
          <w:i/>
        </w:rPr>
        <w:t>паром</w:t>
      </w:r>
      <w:proofErr w:type="spellEnd"/>
      <w:r w:rsidRPr="003E0BC7">
        <w:rPr>
          <w:rFonts w:ascii="Tahoma" w:hAnsi="Tahoma" w:cs="Tahoma"/>
          <w:i/>
        </w:rPr>
        <w:t xml:space="preserve"> и </w:t>
      </w:r>
      <w:proofErr w:type="spellStart"/>
      <w:r w:rsidRPr="003E0BC7">
        <w:rPr>
          <w:rFonts w:ascii="Tahoma" w:hAnsi="Tahoma" w:cs="Tahoma"/>
          <w:i/>
        </w:rPr>
        <w:t>климатизацији</w:t>
      </w:r>
      <w:proofErr w:type="spellEnd"/>
      <w:r w:rsidRPr="003E0BC7">
        <w:rPr>
          <w:rFonts w:ascii="Tahoma" w:hAnsi="Tahoma" w:cs="Tahoma"/>
        </w:rPr>
        <w:t xml:space="preserve"> </w:t>
      </w:r>
      <w:r w:rsidRPr="003E0BC7">
        <w:rPr>
          <w:rFonts w:ascii="Tahoma" w:hAnsi="Tahoma" w:cs="Tahoma"/>
          <w:lang w:val="sr-Cyrl-CS"/>
        </w:rPr>
        <w:t>раст од</w:t>
      </w:r>
      <w:r w:rsidRPr="003E0BC7">
        <w:rPr>
          <w:rFonts w:ascii="Tahoma" w:hAnsi="Tahoma" w:cs="Tahoma"/>
          <w:lang w:val="sr-Cyrl-BA"/>
        </w:rPr>
        <w:t xml:space="preserve"> 7</w:t>
      </w:r>
      <w:r w:rsidRPr="003E0BC7">
        <w:rPr>
          <w:rFonts w:ascii="Tahoma" w:hAnsi="Tahoma" w:cs="Tahoma"/>
        </w:rPr>
        <w:t>,</w:t>
      </w:r>
      <w:r w:rsidRPr="003E0BC7">
        <w:rPr>
          <w:rFonts w:ascii="Tahoma" w:hAnsi="Tahoma" w:cs="Tahoma"/>
          <w:lang w:val="sr-Cyrl-CS"/>
        </w:rPr>
        <w:t>6</w:t>
      </w:r>
      <w:r w:rsidRPr="003E0BC7">
        <w:rPr>
          <w:rFonts w:ascii="Tahoma" w:hAnsi="Tahoma" w:cs="Tahoma"/>
        </w:rPr>
        <w:t>%</w:t>
      </w:r>
      <w:r w:rsidRPr="003E0BC7">
        <w:rPr>
          <w:rFonts w:ascii="Tahoma" w:hAnsi="Tahoma" w:cs="Tahoma"/>
          <w:lang w:val="sr-Cyrl-CS"/>
        </w:rPr>
        <w:t xml:space="preserve"> и</w:t>
      </w:r>
      <w:r w:rsidRPr="003E0BC7">
        <w:rPr>
          <w:rFonts w:ascii="Tahoma" w:hAnsi="Tahoma" w:cs="Tahoma"/>
          <w:lang w:val="sr-Cyrl-BA"/>
        </w:rPr>
        <w:t xml:space="preserve"> </w:t>
      </w:r>
      <w:r w:rsidRPr="003E0BC7">
        <w:rPr>
          <w:rFonts w:ascii="Tahoma" w:hAnsi="Tahoma" w:cs="Tahoma"/>
        </w:rPr>
        <w:t xml:space="preserve">у </w:t>
      </w:r>
      <w:r w:rsidRPr="003E0BC7">
        <w:rPr>
          <w:rFonts w:ascii="Tahoma" w:hAnsi="Tahoma" w:cs="Tahoma"/>
          <w:lang w:val="sr-Cyrl-BA"/>
        </w:rPr>
        <w:t xml:space="preserve">подручју </w:t>
      </w:r>
      <w:proofErr w:type="spellStart"/>
      <w:r w:rsidRPr="003E0BC7">
        <w:rPr>
          <w:rFonts w:ascii="Tahoma" w:hAnsi="Tahoma" w:cs="Tahoma"/>
          <w:i/>
        </w:rPr>
        <w:t>Вађењ</w:t>
      </w:r>
      <w:proofErr w:type="spellEnd"/>
      <w:r w:rsidRPr="003E0BC7">
        <w:rPr>
          <w:rFonts w:ascii="Tahoma" w:hAnsi="Tahoma" w:cs="Tahoma"/>
          <w:i/>
          <w:lang w:val="sr-Cyrl-BA"/>
        </w:rPr>
        <w:t>а</w:t>
      </w:r>
      <w:r w:rsidRPr="003E0BC7">
        <w:rPr>
          <w:rFonts w:ascii="Tahoma" w:hAnsi="Tahoma" w:cs="Tahoma"/>
          <w:i/>
        </w:rPr>
        <w:t xml:space="preserve"> </w:t>
      </w:r>
      <w:proofErr w:type="spellStart"/>
      <w:r w:rsidRPr="003E0BC7">
        <w:rPr>
          <w:rFonts w:ascii="Tahoma" w:hAnsi="Tahoma" w:cs="Tahoma"/>
          <w:i/>
        </w:rPr>
        <w:t>руда</w:t>
      </w:r>
      <w:proofErr w:type="spellEnd"/>
      <w:r w:rsidRPr="003E0BC7">
        <w:rPr>
          <w:rFonts w:ascii="Tahoma" w:hAnsi="Tahoma" w:cs="Tahoma"/>
          <w:i/>
        </w:rPr>
        <w:t xml:space="preserve"> и </w:t>
      </w:r>
      <w:proofErr w:type="spellStart"/>
      <w:r w:rsidRPr="003E0BC7">
        <w:rPr>
          <w:rFonts w:ascii="Tahoma" w:hAnsi="Tahoma" w:cs="Tahoma"/>
          <w:i/>
        </w:rPr>
        <w:t>камена</w:t>
      </w:r>
      <w:proofErr w:type="spellEnd"/>
      <w:r w:rsidRPr="003E0BC7">
        <w:rPr>
          <w:rFonts w:ascii="Tahoma" w:hAnsi="Tahoma" w:cs="Tahoma"/>
          <w:i/>
        </w:rPr>
        <w:t xml:space="preserve"> </w:t>
      </w:r>
      <w:r w:rsidRPr="003E0BC7">
        <w:rPr>
          <w:rFonts w:ascii="Tahoma" w:hAnsi="Tahoma" w:cs="Tahoma"/>
          <w:lang w:val="sr-Cyrl-CS"/>
        </w:rPr>
        <w:t>раст од</w:t>
      </w:r>
      <w:r w:rsidRPr="003E0BC7">
        <w:rPr>
          <w:rFonts w:ascii="Tahoma" w:hAnsi="Tahoma" w:cs="Tahoma"/>
        </w:rPr>
        <w:t xml:space="preserve"> </w:t>
      </w:r>
      <w:r w:rsidRPr="003E0BC7">
        <w:rPr>
          <w:rFonts w:ascii="Tahoma" w:hAnsi="Tahoma" w:cs="Tahoma"/>
          <w:lang w:val="sr-Cyrl-CS"/>
        </w:rPr>
        <w:t>6</w:t>
      </w:r>
      <w:r w:rsidRPr="003E0BC7">
        <w:rPr>
          <w:rFonts w:ascii="Tahoma" w:hAnsi="Tahoma" w:cs="Tahoma"/>
        </w:rPr>
        <w:t>,</w:t>
      </w:r>
      <w:r w:rsidRPr="003E0BC7">
        <w:rPr>
          <w:rFonts w:ascii="Tahoma" w:hAnsi="Tahoma" w:cs="Tahoma"/>
          <w:lang w:val="sr-Cyrl-CS"/>
        </w:rPr>
        <w:t>3</w:t>
      </w:r>
      <w:r w:rsidRPr="003E0BC7">
        <w:rPr>
          <w:rFonts w:ascii="Tahoma" w:hAnsi="Tahoma" w:cs="Tahoma"/>
        </w:rPr>
        <w:t>%.</w:t>
      </w:r>
    </w:p>
    <w:p w:rsidR="00295772" w:rsidRPr="003E0BC7" w:rsidRDefault="00295772" w:rsidP="00517795">
      <w:pPr>
        <w:jc w:val="both"/>
        <w:rPr>
          <w:rFonts w:ascii="Tahoma" w:hAnsi="Tahoma" w:cs="Tahoma"/>
          <w:lang w:val="sr-Cyrl-CS"/>
        </w:rPr>
      </w:pPr>
    </w:p>
    <w:p w:rsidR="00517795" w:rsidRPr="003E0BC7" w:rsidRDefault="00517795" w:rsidP="00517795">
      <w:pPr>
        <w:jc w:val="both"/>
        <w:rPr>
          <w:rFonts w:ascii="Tahoma" w:hAnsi="Tahoma" w:cs="Tahoma"/>
          <w:lang w:val="sr-Cyrl-CS"/>
        </w:rPr>
      </w:pPr>
      <w:r w:rsidRPr="003E0BC7">
        <w:rPr>
          <w:rFonts w:ascii="Tahoma" w:hAnsi="Tahoma" w:cs="Tahoma"/>
          <w:lang w:val="sr-Cyrl-BA"/>
        </w:rPr>
        <w:t xml:space="preserve">Календарски прилагођена </w:t>
      </w:r>
      <w:r w:rsidRPr="003E0BC7">
        <w:rPr>
          <w:rFonts w:ascii="Tahoma" w:hAnsi="Tahoma" w:cs="Tahoma"/>
          <w:spacing w:val="-2"/>
          <w:lang w:val="sr-Cyrl-BA"/>
        </w:rPr>
        <w:t xml:space="preserve">производња </w:t>
      </w:r>
      <w:r w:rsidRPr="003E0BC7">
        <w:rPr>
          <w:rFonts w:ascii="Tahoma" w:hAnsi="Tahoma" w:cs="Tahoma"/>
          <w:lang w:val="sr-Cyrl-CS"/>
        </w:rPr>
        <w:t>нетрајних производа за широку потрошњу, у</w:t>
      </w:r>
      <w:r w:rsidRPr="003E0BC7">
        <w:rPr>
          <w:rFonts w:ascii="Tahoma" w:hAnsi="Tahoma" w:cs="Tahoma"/>
          <w:spacing w:val="-2"/>
        </w:rPr>
        <w:t xml:space="preserve"> </w:t>
      </w:r>
      <w:r w:rsidRPr="003E0BC7">
        <w:rPr>
          <w:rFonts w:ascii="Tahoma" w:hAnsi="Tahoma" w:cs="Tahoma"/>
          <w:spacing w:val="-2"/>
          <w:lang w:val="sr-Cyrl-CS"/>
        </w:rPr>
        <w:t>априлу</w:t>
      </w:r>
      <w:r w:rsidRPr="003E0BC7">
        <w:rPr>
          <w:rFonts w:ascii="Tahoma" w:hAnsi="Tahoma" w:cs="Tahoma"/>
          <w:spacing w:val="-2"/>
        </w:rPr>
        <w:t xml:space="preserve"> 2013. </w:t>
      </w:r>
      <w:proofErr w:type="spellStart"/>
      <w:proofErr w:type="gramStart"/>
      <w:r w:rsidRPr="003E0BC7">
        <w:rPr>
          <w:rFonts w:ascii="Tahoma" w:hAnsi="Tahoma" w:cs="Tahoma"/>
          <w:spacing w:val="-2"/>
        </w:rPr>
        <w:t>године</w:t>
      </w:r>
      <w:proofErr w:type="spellEnd"/>
      <w:proofErr w:type="gramEnd"/>
      <w:r w:rsidRPr="003E0BC7">
        <w:rPr>
          <w:rFonts w:ascii="Tahoma" w:hAnsi="Tahoma" w:cs="Tahoma"/>
          <w:spacing w:val="-2"/>
        </w:rPr>
        <w:t xml:space="preserve"> у </w:t>
      </w:r>
      <w:proofErr w:type="spellStart"/>
      <w:r w:rsidRPr="003E0BC7">
        <w:rPr>
          <w:rFonts w:ascii="Tahoma" w:hAnsi="Tahoma" w:cs="Tahoma"/>
          <w:spacing w:val="-2"/>
        </w:rPr>
        <w:t>односу</w:t>
      </w:r>
      <w:proofErr w:type="spellEnd"/>
      <w:r w:rsidRPr="003E0BC7">
        <w:rPr>
          <w:rFonts w:ascii="Tahoma" w:hAnsi="Tahoma" w:cs="Tahoma"/>
          <w:spacing w:val="-2"/>
        </w:rPr>
        <w:t xml:space="preserve"> </w:t>
      </w:r>
      <w:proofErr w:type="spellStart"/>
      <w:r w:rsidRPr="003E0BC7">
        <w:rPr>
          <w:rFonts w:ascii="Tahoma" w:hAnsi="Tahoma" w:cs="Tahoma"/>
          <w:spacing w:val="-2"/>
        </w:rPr>
        <w:t>на</w:t>
      </w:r>
      <w:proofErr w:type="spellEnd"/>
      <w:r w:rsidRPr="003E0BC7">
        <w:rPr>
          <w:rFonts w:ascii="Tahoma" w:hAnsi="Tahoma" w:cs="Tahoma"/>
          <w:spacing w:val="-2"/>
        </w:rPr>
        <w:t xml:space="preserve"> </w:t>
      </w:r>
      <w:r w:rsidRPr="003E0BC7">
        <w:rPr>
          <w:rFonts w:ascii="Tahoma" w:hAnsi="Tahoma" w:cs="Tahoma"/>
          <w:spacing w:val="-2"/>
          <w:lang w:val="sr-Cyrl-CS"/>
        </w:rPr>
        <w:t>април</w:t>
      </w:r>
      <w:r w:rsidRPr="003E0BC7">
        <w:rPr>
          <w:rFonts w:ascii="Tahoma" w:hAnsi="Tahoma" w:cs="Tahoma"/>
          <w:spacing w:val="-2"/>
        </w:rPr>
        <w:t xml:space="preserve"> 2012</w:t>
      </w:r>
      <w:r w:rsidRPr="003E0BC7">
        <w:rPr>
          <w:rFonts w:ascii="Tahoma" w:hAnsi="Tahoma" w:cs="Tahoma"/>
          <w:spacing w:val="-2"/>
          <w:lang w:val="sr-Cyrl-CS"/>
        </w:rPr>
        <w:t>.</w:t>
      </w:r>
      <w:r w:rsidRPr="003E0BC7">
        <w:rPr>
          <w:rFonts w:ascii="Tahoma" w:hAnsi="Tahoma" w:cs="Tahoma"/>
          <w:spacing w:val="-2"/>
        </w:rPr>
        <w:t xml:space="preserve"> </w:t>
      </w:r>
      <w:r w:rsidRPr="003E0BC7">
        <w:rPr>
          <w:rFonts w:ascii="Tahoma" w:hAnsi="Tahoma" w:cs="Tahoma"/>
          <w:spacing w:val="-2"/>
          <w:lang w:val="sr-Cyrl-BA"/>
        </w:rPr>
        <w:t>г</w:t>
      </w:r>
      <w:proofErr w:type="spellStart"/>
      <w:r w:rsidRPr="003E0BC7">
        <w:rPr>
          <w:rFonts w:ascii="Tahoma" w:hAnsi="Tahoma" w:cs="Tahoma"/>
          <w:spacing w:val="-2"/>
        </w:rPr>
        <w:t>одине</w:t>
      </w:r>
      <w:proofErr w:type="spellEnd"/>
      <w:r w:rsidRPr="003E0BC7">
        <w:rPr>
          <w:rFonts w:ascii="Tahoma" w:hAnsi="Tahoma" w:cs="Tahoma"/>
          <w:spacing w:val="-2"/>
          <w:lang w:val="sr-Cyrl-CS"/>
        </w:rPr>
        <w:t>,</w:t>
      </w:r>
      <w:r w:rsidRPr="003E0BC7">
        <w:rPr>
          <w:rFonts w:ascii="Tahoma" w:hAnsi="Tahoma" w:cs="Tahoma"/>
          <w:spacing w:val="-2"/>
          <w:lang w:val="sr-Cyrl-BA"/>
        </w:rPr>
        <w:t xml:space="preserve"> </w:t>
      </w:r>
      <w:r w:rsidRPr="003E0BC7">
        <w:rPr>
          <w:rFonts w:ascii="Tahoma" w:hAnsi="Tahoma" w:cs="Tahoma"/>
          <w:lang w:val="sr-Cyrl-CS"/>
        </w:rPr>
        <w:t>већа је за 37,9%</w:t>
      </w:r>
      <w:r w:rsidRPr="003E0BC7">
        <w:rPr>
          <w:rFonts w:ascii="Tahoma" w:hAnsi="Tahoma" w:cs="Tahoma"/>
        </w:rPr>
        <w:t xml:space="preserve">, </w:t>
      </w:r>
      <w:r w:rsidRPr="003E0BC7">
        <w:rPr>
          <w:rFonts w:ascii="Tahoma" w:hAnsi="Tahoma" w:cs="Tahoma"/>
          <w:lang w:val="sr-Cyrl-CS"/>
        </w:rPr>
        <w:t>енергије за 15,1% и интермедијарних производа за 5,3%, док је производња трајних производа за широку потрошњу мања за 19</w:t>
      </w:r>
      <w:r w:rsidRPr="003E0BC7">
        <w:rPr>
          <w:rFonts w:ascii="Tahoma" w:hAnsi="Tahoma" w:cs="Tahoma"/>
          <w:lang w:val="bs-Latn-BA"/>
        </w:rPr>
        <w:t>,</w:t>
      </w:r>
      <w:r w:rsidRPr="003E0BC7">
        <w:rPr>
          <w:rFonts w:ascii="Tahoma" w:hAnsi="Tahoma" w:cs="Tahoma"/>
          <w:lang w:val="sr-Cyrl-CS"/>
        </w:rPr>
        <w:t>9% и капиталних производа</w:t>
      </w:r>
      <w:r w:rsidRPr="003E0BC7">
        <w:rPr>
          <w:rFonts w:ascii="Tahoma" w:hAnsi="Tahoma" w:cs="Tahoma"/>
          <w:lang w:val="sr-Cyrl-BA"/>
        </w:rPr>
        <w:t xml:space="preserve"> </w:t>
      </w:r>
      <w:r w:rsidRPr="003E0BC7">
        <w:rPr>
          <w:rFonts w:ascii="Tahoma" w:hAnsi="Tahoma" w:cs="Tahoma"/>
          <w:lang w:val="sr-Cyrl-CS"/>
        </w:rPr>
        <w:t>за 33</w:t>
      </w:r>
      <w:r w:rsidRPr="003E0BC7">
        <w:rPr>
          <w:rFonts w:ascii="Tahoma" w:hAnsi="Tahoma" w:cs="Tahoma"/>
          <w:lang w:val="bs-Latn-BA"/>
        </w:rPr>
        <w:t>,</w:t>
      </w:r>
      <w:r w:rsidRPr="003E0BC7">
        <w:rPr>
          <w:rFonts w:ascii="Tahoma" w:hAnsi="Tahoma" w:cs="Tahoma"/>
          <w:lang w:val="sr-Cyrl-CS"/>
        </w:rPr>
        <w:t>6%.</w:t>
      </w:r>
    </w:p>
    <w:p w:rsidR="00517795" w:rsidRPr="003E0BC7" w:rsidRDefault="00517795" w:rsidP="00517795">
      <w:pPr>
        <w:jc w:val="both"/>
        <w:rPr>
          <w:rFonts w:ascii="Tahoma" w:hAnsi="Tahoma" w:cs="Tahoma"/>
          <w:b/>
          <w:lang w:val="sr-Cyrl-CS"/>
        </w:rPr>
      </w:pPr>
    </w:p>
    <w:p w:rsidR="00517795" w:rsidRPr="003E0BC7" w:rsidRDefault="00517795" w:rsidP="00247472">
      <w:pPr>
        <w:jc w:val="both"/>
        <w:rPr>
          <w:rFonts w:ascii="Tahoma" w:hAnsi="Tahoma" w:cs="Tahoma"/>
          <w:lang w:val="ru-RU"/>
        </w:rPr>
      </w:pPr>
      <w:r w:rsidRPr="003E0BC7">
        <w:rPr>
          <w:rFonts w:ascii="Tahoma" w:hAnsi="Tahoma" w:cs="Tahoma"/>
          <w:b/>
          <w:lang w:val="ru-RU"/>
        </w:rPr>
        <w:t>Број запослених у индустрији</w:t>
      </w:r>
      <w:r w:rsidRPr="003E0BC7">
        <w:rPr>
          <w:rFonts w:ascii="Tahoma" w:hAnsi="Tahoma" w:cs="Tahoma"/>
          <w:lang w:val="ru-RU"/>
        </w:rPr>
        <w:t xml:space="preserve"> у </w:t>
      </w:r>
      <w:r w:rsidRPr="003E0BC7">
        <w:rPr>
          <w:rFonts w:ascii="Tahoma" w:hAnsi="Tahoma" w:cs="Tahoma"/>
          <w:lang w:val="sr-Cyrl-CS"/>
        </w:rPr>
        <w:t>априлу</w:t>
      </w:r>
      <w:r w:rsidRPr="003E0BC7">
        <w:rPr>
          <w:rFonts w:ascii="Tahoma" w:hAnsi="Tahoma" w:cs="Tahoma"/>
          <w:lang w:val="ru-RU"/>
        </w:rPr>
        <w:t xml:space="preserve"> 2013. године </w:t>
      </w:r>
      <w:r w:rsidRPr="003E0BC7">
        <w:rPr>
          <w:rFonts w:ascii="Tahoma" w:hAnsi="Tahoma" w:cs="Tahoma"/>
          <w:lang w:val="sr-Cyrl-CS"/>
        </w:rPr>
        <w:t xml:space="preserve">у </w:t>
      </w:r>
      <w:r w:rsidRPr="003E0BC7">
        <w:rPr>
          <w:rFonts w:ascii="Tahoma" w:hAnsi="Tahoma" w:cs="Tahoma"/>
          <w:lang w:val="ru-RU"/>
        </w:rPr>
        <w:t>односу на март</w:t>
      </w:r>
      <w:r w:rsidRPr="003E0BC7">
        <w:rPr>
          <w:rFonts w:ascii="Tahoma" w:hAnsi="Tahoma" w:cs="Tahoma"/>
          <w:lang w:val="sr-Cyrl-CS"/>
        </w:rPr>
        <w:t xml:space="preserve"> 2013.</w:t>
      </w:r>
      <w:r w:rsidRPr="003E0BC7">
        <w:rPr>
          <w:rFonts w:ascii="Tahoma" w:hAnsi="Tahoma" w:cs="Tahoma"/>
          <w:lang w:val="ru-RU"/>
        </w:rPr>
        <w:t xml:space="preserve"> године већи је за 0,6%.</w:t>
      </w:r>
    </w:p>
    <w:p w:rsidR="00517795" w:rsidRPr="003E0BC7" w:rsidRDefault="00517795" w:rsidP="00517795">
      <w:pPr>
        <w:jc w:val="both"/>
        <w:rPr>
          <w:rFonts w:ascii="Tahoma" w:hAnsi="Tahoma" w:cs="Tahoma"/>
          <w:lang w:val="ru-RU"/>
        </w:rPr>
      </w:pPr>
    </w:p>
    <w:p w:rsidR="00517795" w:rsidRPr="003E0BC7" w:rsidRDefault="00517795" w:rsidP="00517795">
      <w:pPr>
        <w:jc w:val="both"/>
        <w:rPr>
          <w:rFonts w:ascii="Tahoma" w:hAnsi="Tahoma" w:cs="Tahoma"/>
          <w:lang w:val="ru-RU"/>
        </w:rPr>
      </w:pPr>
      <w:r w:rsidRPr="003E0BC7">
        <w:rPr>
          <w:rFonts w:ascii="Tahoma" w:hAnsi="Tahoma" w:cs="Tahoma"/>
          <w:lang w:val="sr-Cyrl-CS"/>
        </w:rPr>
        <w:t xml:space="preserve">Укупан број запослених у индустрији у </w:t>
      </w:r>
      <w:r w:rsidRPr="003E0BC7">
        <w:rPr>
          <w:rFonts w:ascii="Tahoma" w:hAnsi="Tahoma" w:cs="Tahoma"/>
          <w:lang w:val="ru-RU"/>
        </w:rPr>
        <w:t>периоду јануар - април</w:t>
      </w:r>
      <w:r w:rsidRPr="003E0BC7">
        <w:rPr>
          <w:rFonts w:ascii="Tahoma" w:hAnsi="Tahoma" w:cs="Tahoma"/>
          <w:lang w:val="sr-Cyrl-CS"/>
        </w:rPr>
        <w:t xml:space="preserve"> 2013. године у поређењу са истим периодом прошле године мањи је за 0,1%</w:t>
      </w:r>
      <w:r w:rsidRPr="003E0BC7">
        <w:rPr>
          <w:rFonts w:ascii="Tahoma" w:hAnsi="Tahoma" w:cs="Tahoma"/>
          <w:lang w:val="ru-RU"/>
        </w:rPr>
        <w:t xml:space="preserve">, при чему је </w:t>
      </w:r>
      <w:r w:rsidRPr="003E0BC7">
        <w:rPr>
          <w:rFonts w:ascii="Tahoma" w:hAnsi="Tahoma" w:cs="Tahoma"/>
          <w:lang w:val="sr-Cyrl-CS"/>
        </w:rPr>
        <w:t xml:space="preserve">у подручју </w:t>
      </w:r>
      <w:r w:rsidRPr="003E0BC7">
        <w:rPr>
          <w:rFonts w:ascii="Tahoma" w:hAnsi="Tahoma" w:cs="Tahoma"/>
          <w:i/>
          <w:lang w:val="ru-RU"/>
        </w:rPr>
        <w:t>Производња и снабдијевање електричном енергијом</w:t>
      </w:r>
      <w:r w:rsidRPr="003E0BC7">
        <w:rPr>
          <w:rFonts w:ascii="Tahoma" w:hAnsi="Tahoma" w:cs="Tahoma"/>
          <w:lang w:val="sr-Cyrl-CS"/>
        </w:rPr>
        <w:t xml:space="preserve"> остварен раст од 3</w:t>
      </w:r>
      <w:r w:rsidRPr="003E0BC7">
        <w:rPr>
          <w:rFonts w:ascii="Tahoma" w:hAnsi="Tahoma" w:cs="Tahoma"/>
          <w:lang w:val="ru-RU"/>
        </w:rPr>
        <w:t xml:space="preserve">,5% и у подручју </w:t>
      </w:r>
      <w:r w:rsidRPr="003E0BC7">
        <w:rPr>
          <w:rFonts w:ascii="Tahoma" w:hAnsi="Tahoma" w:cs="Tahoma"/>
          <w:i/>
          <w:lang w:val="sr-Cyrl-CS"/>
        </w:rPr>
        <w:t>Вађење руда и камена</w:t>
      </w:r>
      <w:r w:rsidRPr="003E0BC7">
        <w:rPr>
          <w:rFonts w:ascii="Tahoma" w:hAnsi="Tahoma" w:cs="Tahoma"/>
          <w:i/>
          <w:lang w:val="ru-RU"/>
        </w:rPr>
        <w:t xml:space="preserve"> </w:t>
      </w:r>
      <w:r w:rsidRPr="003E0BC7">
        <w:rPr>
          <w:rFonts w:ascii="Tahoma" w:hAnsi="Tahoma" w:cs="Tahoma"/>
          <w:lang w:val="ru-RU"/>
        </w:rPr>
        <w:t xml:space="preserve">раст </w:t>
      </w:r>
      <w:r w:rsidRPr="003E0BC7">
        <w:rPr>
          <w:rFonts w:ascii="Tahoma" w:hAnsi="Tahoma" w:cs="Tahoma"/>
          <w:lang w:val="sr-Cyrl-CS"/>
        </w:rPr>
        <w:t>од 0,4</w:t>
      </w:r>
      <w:r w:rsidRPr="003E0BC7">
        <w:rPr>
          <w:rFonts w:ascii="Tahoma" w:hAnsi="Tahoma" w:cs="Tahoma"/>
          <w:lang w:val="ru-RU"/>
        </w:rPr>
        <w:t xml:space="preserve">%, док је у подручју </w:t>
      </w:r>
      <w:r w:rsidRPr="003E0BC7">
        <w:rPr>
          <w:rFonts w:ascii="Tahoma" w:hAnsi="Tahoma" w:cs="Tahoma"/>
          <w:i/>
          <w:lang w:val="ru-RU"/>
        </w:rPr>
        <w:t>Прерађивачка индустрија</w:t>
      </w:r>
      <w:r w:rsidRPr="003E0BC7">
        <w:rPr>
          <w:rFonts w:ascii="Tahoma" w:hAnsi="Tahoma" w:cs="Tahoma"/>
          <w:lang w:val="ru-RU"/>
        </w:rPr>
        <w:t xml:space="preserve"> забиљежен пад </w:t>
      </w:r>
      <w:r w:rsidRPr="003E0BC7">
        <w:rPr>
          <w:rFonts w:ascii="Tahoma" w:hAnsi="Tahoma" w:cs="Tahoma"/>
          <w:lang w:val="sr-Cyrl-CS"/>
        </w:rPr>
        <w:t xml:space="preserve">броја запослених </w:t>
      </w:r>
      <w:r w:rsidRPr="003E0BC7">
        <w:rPr>
          <w:rFonts w:ascii="Tahoma" w:hAnsi="Tahoma" w:cs="Tahoma"/>
          <w:lang w:val="ru-RU"/>
        </w:rPr>
        <w:t xml:space="preserve">од 0,7%. </w:t>
      </w:r>
    </w:p>
    <w:p w:rsidR="00561E71" w:rsidRPr="003E0BC7" w:rsidRDefault="00561E71" w:rsidP="006B3FBB">
      <w:pPr>
        <w:ind w:right="68"/>
        <w:jc w:val="both"/>
        <w:rPr>
          <w:rFonts w:ascii="Tahoma" w:hAnsi="Tahoma" w:cs="Tahoma"/>
          <w:sz w:val="18"/>
          <w:szCs w:val="18"/>
          <w:lang w:val="sr-Latn-CS"/>
        </w:rPr>
      </w:pPr>
    </w:p>
    <w:p w:rsidR="00E62A34" w:rsidRDefault="00E62A34" w:rsidP="00E62A34">
      <w:pPr>
        <w:rPr>
          <w:rFonts w:ascii="Tahoma" w:hAnsi="Tahoma" w:cs="Tahoma"/>
          <w:b/>
          <w:spacing w:val="-4"/>
          <w:sz w:val="28"/>
          <w:szCs w:val="28"/>
          <w:lang w:val="sr-Cyrl-CS"/>
        </w:rPr>
      </w:pPr>
    </w:p>
    <w:p w:rsidR="0054179E" w:rsidRDefault="0054179E" w:rsidP="00E62A34">
      <w:pPr>
        <w:rPr>
          <w:rFonts w:ascii="Tahoma" w:hAnsi="Tahoma" w:cs="Tahoma"/>
          <w:b/>
          <w:spacing w:val="-4"/>
          <w:sz w:val="28"/>
          <w:szCs w:val="28"/>
          <w:lang w:val="sr-Cyrl-CS"/>
        </w:rPr>
      </w:pPr>
    </w:p>
    <w:p w:rsidR="0054179E" w:rsidRDefault="0054179E" w:rsidP="00E62A34">
      <w:pPr>
        <w:rPr>
          <w:rFonts w:ascii="Tahoma" w:hAnsi="Tahoma" w:cs="Tahoma"/>
          <w:b/>
          <w:spacing w:val="-4"/>
          <w:sz w:val="28"/>
          <w:szCs w:val="28"/>
          <w:lang w:val="sr-Cyrl-CS"/>
        </w:rPr>
      </w:pPr>
    </w:p>
    <w:p w:rsidR="0054179E" w:rsidRDefault="0054179E" w:rsidP="00E62A34">
      <w:pPr>
        <w:rPr>
          <w:rFonts w:ascii="Tahoma" w:hAnsi="Tahoma" w:cs="Tahoma"/>
          <w:b/>
          <w:spacing w:val="-4"/>
          <w:sz w:val="28"/>
          <w:szCs w:val="28"/>
          <w:lang w:val="sr-Cyrl-CS"/>
        </w:rPr>
      </w:pPr>
    </w:p>
    <w:p w:rsidR="0054179E" w:rsidRDefault="0054179E" w:rsidP="00E62A34">
      <w:pPr>
        <w:rPr>
          <w:rFonts w:ascii="Tahoma" w:hAnsi="Tahoma" w:cs="Tahoma"/>
          <w:b/>
          <w:spacing w:val="-4"/>
          <w:sz w:val="28"/>
          <w:szCs w:val="28"/>
          <w:lang w:val="sr-Cyrl-CS"/>
        </w:rPr>
      </w:pPr>
    </w:p>
    <w:p w:rsidR="0054179E" w:rsidRDefault="0054179E" w:rsidP="00E62A34">
      <w:pPr>
        <w:rPr>
          <w:rFonts w:ascii="Tahoma" w:hAnsi="Tahoma" w:cs="Tahoma"/>
          <w:b/>
          <w:spacing w:val="-4"/>
          <w:sz w:val="28"/>
          <w:szCs w:val="28"/>
          <w:lang w:val="sr-Cyrl-CS"/>
        </w:rPr>
      </w:pPr>
    </w:p>
    <w:p w:rsidR="0054179E" w:rsidRDefault="0054179E" w:rsidP="00E62A34">
      <w:pPr>
        <w:rPr>
          <w:rFonts w:ascii="Tahoma" w:hAnsi="Tahoma" w:cs="Tahoma"/>
          <w:b/>
          <w:spacing w:val="-4"/>
          <w:sz w:val="28"/>
          <w:szCs w:val="28"/>
          <w:lang w:val="sr-Cyrl-CS"/>
        </w:rPr>
      </w:pPr>
    </w:p>
    <w:p w:rsidR="0054179E" w:rsidRDefault="0054179E" w:rsidP="00E62A34">
      <w:pPr>
        <w:rPr>
          <w:rFonts w:ascii="Tahoma" w:hAnsi="Tahoma" w:cs="Tahoma"/>
          <w:b/>
          <w:spacing w:val="-4"/>
          <w:sz w:val="28"/>
          <w:szCs w:val="28"/>
          <w:lang w:val="sr-Cyrl-CS"/>
        </w:rPr>
      </w:pPr>
    </w:p>
    <w:p w:rsidR="0054179E" w:rsidRDefault="0054179E" w:rsidP="00E62A34">
      <w:pPr>
        <w:rPr>
          <w:rFonts w:ascii="Tahoma" w:hAnsi="Tahoma" w:cs="Tahoma"/>
          <w:b/>
          <w:spacing w:val="-4"/>
          <w:sz w:val="28"/>
          <w:szCs w:val="28"/>
          <w:lang w:val="sr-Cyrl-CS"/>
        </w:rPr>
      </w:pPr>
    </w:p>
    <w:p w:rsidR="0054179E" w:rsidRDefault="0054179E" w:rsidP="00E62A34">
      <w:pPr>
        <w:rPr>
          <w:rFonts w:ascii="Tahoma" w:hAnsi="Tahoma" w:cs="Tahoma"/>
          <w:b/>
          <w:spacing w:val="-4"/>
          <w:sz w:val="28"/>
          <w:szCs w:val="28"/>
          <w:lang w:val="sr-Cyrl-CS"/>
        </w:rPr>
      </w:pPr>
      <w:r w:rsidRPr="0054179E">
        <w:rPr>
          <w:rFonts w:ascii="Tahoma" w:hAnsi="Tahoma" w:cs="Tahoma"/>
          <w:b/>
          <w:noProof/>
          <w:spacing w:val="-4"/>
          <w:sz w:val="28"/>
          <w:szCs w:val="28"/>
        </w:rPr>
        <w:drawing>
          <wp:inline distT="0" distB="0" distL="0" distR="0">
            <wp:extent cx="6206821" cy="3069203"/>
            <wp:effectExtent l="0" t="0" r="0" b="0"/>
            <wp:docPr id="5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4179E" w:rsidRPr="0054179E" w:rsidRDefault="0054179E" w:rsidP="0054179E">
      <w:pPr>
        <w:jc w:val="center"/>
        <w:rPr>
          <w:rFonts w:ascii="Tahoma" w:hAnsi="Tahoma" w:cs="Tahoma"/>
          <w:lang w:val="sr-Latn-CS"/>
        </w:rPr>
      </w:pPr>
      <w:r w:rsidRPr="0054179E">
        <w:rPr>
          <w:rFonts w:ascii="Tahoma" w:hAnsi="Tahoma" w:cs="Tahoma"/>
          <w:lang w:val="sr-Latn-CS"/>
        </w:rPr>
        <w:t xml:space="preserve">Графикон </w:t>
      </w:r>
      <w:r w:rsidRPr="0054179E">
        <w:rPr>
          <w:rFonts w:ascii="Tahoma" w:hAnsi="Tahoma" w:cs="Tahoma"/>
          <w:lang w:val="sr-Cyrl-CS"/>
        </w:rPr>
        <w:t>3</w:t>
      </w:r>
      <w:r w:rsidRPr="0054179E">
        <w:rPr>
          <w:rFonts w:ascii="Tahoma" w:hAnsi="Tahoma" w:cs="Tahoma"/>
          <w:lang w:val="sr-Latn-CS"/>
        </w:rPr>
        <w:t>. Индекси индустријске производње,  јануар 2009. – април 2013.  (</w:t>
      </w:r>
      <w:r w:rsidRPr="0054179E">
        <w:rPr>
          <w:rFonts w:ascii="Tahoma" w:hAnsi="Tahoma" w:cs="Tahoma"/>
          <w:lang w:val="sr-Latn-CS"/>
        </w:rPr>
        <w:sym w:font="Symbol" w:char="F0C6"/>
      </w:r>
      <w:r w:rsidRPr="0054179E">
        <w:rPr>
          <w:rFonts w:ascii="Tahoma" w:hAnsi="Tahoma" w:cs="Tahoma"/>
          <w:lang w:val="sr-Latn-CS"/>
        </w:rPr>
        <w:t>2010=100)</w:t>
      </w:r>
    </w:p>
    <w:p w:rsidR="0054179E" w:rsidRDefault="0054179E" w:rsidP="00E62A34">
      <w:pPr>
        <w:rPr>
          <w:rFonts w:ascii="Tahoma" w:hAnsi="Tahoma" w:cs="Tahoma"/>
          <w:b/>
          <w:spacing w:val="-4"/>
          <w:sz w:val="28"/>
          <w:szCs w:val="28"/>
          <w:lang w:val="sr-Cyrl-CS"/>
        </w:rPr>
      </w:pPr>
    </w:p>
    <w:p w:rsidR="0054179E" w:rsidRDefault="0054179E" w:rsidP="00E62A34">
      <w:pPr>
        <w:rPr>
          <w:rFonts w:ascii="Tahoma" w:hAnsi="Tahoma" w:cs="Tahoma"/>
          <w:b/>
          <w:spacing w:val="-4"/>
          <w:sz w:val="28"/>
          <w:szCs w:val="28"/>
          <w:lang w:val="sr-Cyrl-CS"/>
        </w:rPr>
      </w:pPr>
    </w:p>
    <w:p w:rsidR="0054179E" w:rsidRPr="0054179E" w:rsidRDefault="0054179E" w:rsidP="00E62A34">
      <w:pPr>
        <w:rPr>
          <w:rFonts w:ascii="Tahoma" w:hAnsi="Tahoma" w:cs="Tahoma"/>
          <w:b/>
          <w:spacing w:val="-4"/>
          <w:sz w:val="28"/>
          <w:szCs w:val="28"/>
          <w:lang w:val="sr-Cyrl-CS"/>
        </w:rPr>
      </w:pPr>
    </w:p>
    <w:p w:rsidR="00115CDB" w:rsidRPr="003E0BC7" w:rsidRDefault="00115CDB" w:rsidP="00E62A34">
      <w:pPr>
        <w:rPr>
          <w:rFonts w:ascii="Tahoma" w:hAnsi="Tahoma" w:cs="Tahoma"/>
          <w:b/>
          <w:sz w:val="28"/>
          <w:szCs w:val="28"/>
          <w:lang w:val="sr-Cyrl-CS"/>
        </w:rPr>
      </w:pPr>
      <w:r w:rsidRPr="003E0BC7">
        <w:rPr>
          <w:rFonts w:ascii="Tahoma" w:hAnsi="Tahoma" w:cs="Tahoma"/>
          <w:b/>
          <w:sz w:val="28"/>
          <w:szCs w:val="28"/>
          <w:lang w:val="bs-Cyrl-BA"/>
        </w:rPr>
        <w:t>П</w:t>
      </w:r>
      <w:r w:rsidRPr="003E0BC7">
        <w:rPr>
          <w:rFonts w:ascii="Tahoma" w:hAnsi="Tahoma" w:cs="Tahoma"/>
          <w:b/>
          <w:sz w:val="28"/>
          <w:szCs w:val="28"/>
          <w:lang w:val="ru-RU"/>
        </w:rPr>
        <w:t>окривеност увоза извозом</w:t>
      </w:r>
      <w:r w:rsidRPr="003E0BC7">
        <w:rPr>
          <w:rFonts w:ascii="Tahoma" w:hAnsi="Tahoma" w:cs="Tahoma"/>
          <w:b/>
          <w:sz w:val="28"/>
          <w:szCs w:val="28"/>
          <w:lang w:val="sr-Cyrl-BA"/>
        </w:rPr>
        <w:t xml:space="preserve"> (у периоду </w:t>
      </w:r>
      <w:r w:rsidRPr="003E0BC7">
        <w:rPr>
          <w:rFonts w:ascii="Tahoma" w:hAnsi="Tahoma" w:cs="Tahoma"/>
          <w:b/>
          <w:sz w:val="28"/>
          <w:szCs w:val="28"/>
          <w:lang w:val="sr-Latn-CS"/>
        </w:rPr>
        <w:t>I-I</w:t>
      </w:r>
      <w:r w:rsidR="00C22059" w:rsidRPr="003E0BC7">
        <w:rPr>
          <w:rFonts w:ascii="Tahoma" w:hAnsi="Tahoma" w:cs="Tahoma"/>
          <w:b/>
          <w:sz w:val="28"/>
          <w:szCs w:val="28"/>
          <w:lang w:val="sr-Latn-CS"/>
        </w:rPr>
        <w:t>V</w:t>
      </w:r>
      <w:r w:rsidRPr="003E0BC7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Pr="003E0BC7">
        <w:rPr>
          <w:rFonts w:ascii="Tahoma" w:hAnsi="Tahoma" w:cs="Tahoma"/>
          <w:b/>
          <w:sz w:val="28"/>
          <w:szCs w:val="28"/>
          <w:lang w:val="ru-RU"/>
        </w:rPr>
        <w:t>201</w:t>
      </w:r>
      <w:r w:rsidRPr="003E0BC7">
        <w:rPr>
          <w:rFonts w:ascii="Tahoma" w:hAnsi="Tahoma" w:cs="Tahoma"/>
          <w:b/>
          <w:sz w:val="28"/>
          <w:szCs w:val="28"/>
        </w:rPr>
        <w:t>3</w:t>
      </w:r>
      <w:r w:rsidRPr="003E0BC7">
        <w:rPr>
          <w:rFonts w:ascii="Tahoma" w:hAnsi="Tahoma" w:cs="Tahoma"/>
          <w:b/>
          <w:sz w:val="28"/>
          <w:szCs w:val="28"/>
          <w:lang w:val="sr-Cyrl-BA"/>
        </w:rPr>
        <w:t>)</w:t>
      </w:r>
      <w:r w:rsidRPr="003E0BC7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Pr="003E0BC7">
        <w:rPr>
          <w:rFonts w:ascii="Tahoma" w:hAnsi="Tahoma" w:cs="Tahoma"/>
          <w:b/>
          <w:sz w:val="28"/>
          <w:szCs w:val="28"/>
          <w:lang w:val="hr-HR"/>
        </w:rPr>
        <w:t>5</w:t>
      </w:r>
      <w:r w:rsidR="00C22059" w:rsidRPr="003E0BC7">
        <w:rPr>
          <w:rFonts w:ascii="Tahoma" w:hAnsi="Tahoma" w:cs="Tahoma"/>
          <w:b/>
          <w:sz w:val="28"/>
          <w:szCs w:val="28"/>
          <w:lang w:val="hr-HR"/>
        </w:rPr>
        <w:t>6</w:t>
      </w:r>
      <w:r w:rsidRPr="003E0BC7">
        <w:rPr>
          <w:rFonts w:ascii="Tahoma" w:hAnsi="Tahoma" w:cs="Tahoma"/>
          <w:b/>
          <w:sz w:val="28"/>
          <w:szCs w:val="28"/>
          <w:lang w:val="ru-RU"/>
        </w:rPr>
        <w:t>,</w:t>
      </w:r>
      <w:r w:rsidR="00C22059" w:rsidRPr="003E0BC7">
        <w:rPr>
          <w:rFonts w:ascii="Tahoma" w:hAnsi="Tahoma" w:cs="Tahoma"/>
          <w:b/>
          <w:sz w:val="28"/>
          <w:szCs w:val="28"/>
        </w:rPr>
        <w:t>9</w:t>
      </w:r>
      <w:r w:rsidRPr="003E0BC7">
        <w:rPr>
          <w:rFonts w:ascii="Tahoma" w:hAnsi="Tahoma" w:cs="Tahoma"/>
          <w:b/>
          <w:sz w:val="28"/>
          <w:szCs w:val="28"/>
          <w:lang w:val="ru-RU"/>
        </w:rPr>
        <w:t xml:space="preserve">% </w:t>
      </w:r>
    </w:p>
    <w:p w:rsidR="00115CDB" w:rsidRPr="003E0BC7" w:rsidRDefault="00115CDB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24"/>
          <w:szCs w:val="24"/>
          <w:lang w:val="ru-RU"/>
        </w:rPr>
      </w:pPr>
      <w:r w:rsidRPr="003E0BC7">
        <w:rPr>
          <w:rFonts w:ascii="Tahoma" w:hAnsi="Tahoma" w:cs="Tahoma"/>
          <w:sz w:val="24"/>
          <w:szCs w:val="24"/>
          <w:lang w:val="sr-Cyrl-CS"/>
        </w:rPr>
        <w:t xml:space="preserve">Извоз </w:t>
      </w:r>
      <w:r w:rsidRPr="003E0BC7">
        <w:rPr>
          <w:rFonts w:ascii="Tahoma" w:hAnsi="Tahoma" w:cs="Tahoma"/>
          <w:sz w:val="24"/>
          <w:szCs w:val="24"/>
          <w:lang w:val="hr-HR"/>
        </w:rPr>
        <w:t>(I-I</w:t>
      </w:r>
      <w:r w:rsidR="00C22059" w:rsidRPr="003E0BC7">
        <w:rPr>
          <w:rFonts w:ascii="Tahoma" w:hAnsi="Tahoma" w:cs="Tahoma"/>
          <w:sz w:val="24"/>
          <w:szCs w:val="24"/>
          <w:lang w:val="hr-HR"/>
        </w:rPr>
        <w:t>V 2013/I-IV</w:t>
      </w:r>
      <w:r w:rsidRPr="003E0BC7">
        <w:rPr>
          <w:rFonts w:ascii="Tahoma" w:hAnsi="Tahoma" w:cs="Tahoma"/>
          <w:sz w:val="24"/>
          <w:szCs w:val="24"/>
          <w:lang w:val="hr-HR"/>
        </w:rPr>
        <w:t xml:space="preserve"> 2012) </w:t>
      </w:r>
      <w:r w:rsidRPr="003E0BC7">
        <w:rPr>
          <w:rFonts w:ascii="Tahoma" w:hAnsi="Tahoma" w:cs="Tahoma"/>
          <w:sz w:val="24"/>
          <w:szCs w:val="24"/>
          <w:lang w:val="sr-Cyrl-BA"/>
        </w:rPr>
        <w:t xml:space="preserve">повећан </w:t>
      </w:r>
      <w:r w:rsidR="00C22059" w:rsidRPr="003E0BC7">
        <w:rPr>
          <w:rFonts w:ascii="Tahoma" w:hAnsi="Tahoma" w:cs="Tahoma"/>
          <w:sz w:val="24"/>
          <w:szCs w:val="24"/>
          <w:lang w:val="sr-Latn-BA"/>
        </w:rPr>
        <w:t>8</w:t>
      </w:r>
      <w:r w:rsidRPr="003E0BC7">
        <w:rPr>
          <w:rFonts w:ascii="Tahoma" w:hAnsi="Tahoma" w:cs="Tahoma"/>
          <w:sz w:val="24"/>
          <w:szCs w:val="24"/>
          <w:lang w:val="ru-RU"/>
        </w:rPr>
        <w:t>,</w:t>
      </w:r>
      <w:r w:rsidR="00C22059" w:rsidRPr="003E0BC7">
        <w:rPr>
          <w:rFonts w:ascii="Tahoma" w:hAnsi="Tahoma" w:cs="Tahoma"/>
          <w:sz w:val="24"/>
          <w:szCs w:val="24"/>
        </w:rPr>
        <w:t>2</w:t>
      </w:r>
      <w:r w:rsidRPr="003E0BC7">
        <w:rPr>
          <w:rFonts w:ascii="Tahoma" w:hAnsi="Tahoma" w:cs="Tahoma"/>
          <w:sz w:val="24"/>
          <w:szCs w:val="24"/>
          <w:lang w:val="ru-RU"/>
        </w:rPr>
        <w:t>%</w:t>
      </w:r>
    </w:p>
    <w:p w:rsidR="00115CDB" w:rsidRPr="003E0BC7" w:rsidRDefault="00115CDB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115CDB" w:rsidRPr="003E0BC7" w:rsidRDefault="00115CDB" w:rsidP="00780C4A">
      <w:pPr>
        <w:jc w:val="both"/>
        <w:rPr>
          <w:rFonts w:ascii="Tahoma" w:hAnsi="Tahoma" w:cs="Tahoma"/>
          <w:lang w:val="sr-Cyrl-BA"/>
        </w:rPr>
      </w:pPr>
      <w:r w:rsidRPr="003E0BC7">
        <w:rPr>
          <w:rFonts w:ascii="Tahoma" w:hAnsi="Tahoma" w:cs="Tahoma"/>
          <w:lang w:val="sr-Cyrl-BA"/>
        </w:rPr>
        <w:t xml:space="preserve">У </w:t>
      </w:r>
      <w:r w:rsidR="00C22059" w:rsidRPr="003E0BC7">
        <w:rPr>
          <w:rFonts w:ascii="Tahoma" w:hAnsi="Tahoma" w:cs="Tahoma"/>
          <w:lang w:val="sr-Cyrl-BA"/>
        </w:rPr>
        <w:t>априлу</w:t>
      </w:r>
      <w:r w:rsidRPr="003E0BC7">
        <w:rPr>
          <w:rFonts w:ascii="Tahoma" w:hAnsi="Tahoma" w:cs="Tahoma"/>
          <w:lang w:val="sr-Cyrl-BA"/>
        </w:rPr>
        <w:t xml:space="preserve"> 2013. године, ос</w:t>
      </w:r>
      <w:r w:rsidR="00C22059" w:rsidRPr="003E0BC7">
        <w:rPr>
          <w:rFonts w:ascii="Tahoma" w:hAnsi="Tahoma" w:cs="Tahoma"/>
          <w:lang w:val="sr-Cyrl-BA"/>
        </w:rPr>
        <w:t>тварен је извоз у вриједности 239</w:t>
      </w:r>
      <w:r w:rsidRPr="003E0BC7">
        <w:rPr>
          <w:rFonts w:ascii="Tahoma" w:hAnsi="Tahoma" w:cs="Tahoma"/>
          <w:lang w:val="sr-Cyrl-BA"/>
        </w:rPr>
        <w:t xml:space="preserve"> мили</w:t>
      </w:r>
      <w:r w:rsidR="00C22059" w:rsidRPr="003E0BC7">
        <w:rPr>
          <w:rFonts w:ascii="Tahoma" w:hAnsi="Tahoma" w:cs="Tahoma"/>
          <w:lang w:val="sr-Cyrl-BA"/>
        </w:rPr>
        <w:t>она КМ и увоз у вриједности од 380</w:t>
      </w:r>
      <w:r w:rsidR="008A4A30" w:rsidRPr="003E0BC7">
        <w:rPr>
          <w:rFonts w:ascii="Tahoma" w:hAnsi="Tahoma" w:cs="Tahoma"/>
          <w:lang w:val="sr-Cyrl-BA"/>
        </w:rPr>
        <w:t xml:space="preserve"> милиона КМ.</w:t>
      </w:r>
    </w:p>
    <w:p w:rsidR="00115CDB" w:rsidRPr="003E0BC7" w:rsidRDefault="00115CDB" w:rsidP="00780C4A">
      <w:pPr>
        <w:jc w:val="both"/>
        <w:rPr>
          <w:rFonts w:ascii="Tahoma" w:hAnsi="Tahoma" w:cs="Tahoma"/>
          <w:lang w:val="sr-Cyrl-BA"/>
        </w:rPr>
      </w:pPr>
    </w:p>
    <w:p w:rsidR="00115CDB" w:rsidRPr="003E0BC7" w:rsidRDefault="00115CDB" w:rsidP="00780C4A">
      <w:pPr>
        <w:jc w:val="both"/>
        <w:rPr>
          <w:rFonts w:ascii="Tahoma" w:hAnsi="Tahoma" w:cs="Tahoma"/>
          <w:lang w:val="sr-Cyrl-BA"/>
        </w:rPr>
      </w:pPr>
      <w:r w:rsidRPr="003E0BC7">
        <w:rPr>
          <w:rFonts w:ascii="Tahoma" w:hAnsi="Tahoma" w:cs="Tahoma"/>
          <w:lang w:val="sr-Cyrl-BA"/>
        </w:rPr>
        <w:t>У оквиру укупно остварен</w:t>
      </w:r>
      <w:r w:rsidRPr="003E0BC7">
        <w:rPr>
          <w:rFonts w:ascii="Tahoma" w:hAnsi="Tahoma" w:cs="Tahoma"/>
          <w:lang w:val="bs-Cyrl-BA"/>
        </w:rPr>
        <w:t>е</w:t>
      </w:r>
      <w:r w:rsidRPr="003E0BC7">
        <w:rPr>
          <w:rFonts w:ascii="Tahoma" w:hAnsi="Tahoma" w:cs="Tahoma"/>
          <w:lang w:val="sr-Cyrl-BA"/>
        </w:rPr>
        <w:t xml:space="preserve"> робне размјене Р</w:t>
      </w:r>
      <w:r w:rsidRPr="003E0BC7">
        <w:rPr>
          <w:rFonts w:ascii="Tahoma" w:hAnsi="Tahoma" w:cs="Tahoma"/>
          <w:lang w:val="bs-Cyrl-BA"/>
        </w:rPr>
        <w:t xml:space="preserve">епублике </w:t>
      </w:r>
      <w:r w:rsidRPr="003E0BC7">
        <w:rPr>
          <w:rFonts w:ascii="Tahoma" w:hAnsi="Tahoma" w:cs="Tahoma"/>
          <w:lang w:val="sr-Cyrl-BA"/>
        </w:rPr>
        <w:t xml:space="preserve">Српске са иностранством у </w:t>
      </w:r>
      <w:r w:rsidR="00C22059" w:rsidRPr="003E0BC7">
        <w:rPr>
          <w:rFonts w:ascii="Tahoma" w:hAnsi="Tahoma" w:cs="Tahoma"/>
          <w:lang w:val="sr-Cyrl-BA"/>
        </w:rPr>
        <w:t xml:space="preserve">априлу </w:t>
      </w:r>
      <w:r w:rsidRPr="003E0BC7">
        <w:rPr>
          <w:rFonts w:ascii="Tahoma" w:hAnsi="Tahoma" w:cs="Tahoma"/>
          <w:lang w:val="sr-Cyrl-BA"/>
        </w:rPr>
        <w:t xml:space="preserve">ове године, проценат покривености увоза извозом износио је </w:t>
      </w:r>
      <w:r w:rsidR="00C22059" w:rsidRPr="003E0BC7">
        <w:rPr>
          <w:rFonts w:ascii="Tahoma" w:hAnsi="Tahoma" w:cs="Tahoma"/>
          <w:lang w:val="sr-Cyrl-BA"/>
        </w:rPr>
        <w:t>62</w:t>
      </w:r>
      <w:r w:rsidRPr="003E0BC7">
        <w:rPr>
          <w:rFonts w:ascii="Tahoma" w:hAnsi="Tahoma" w:cs="Tahoma"/>
          <w:lang w:val="sr-Cyrl-BA"/>
        </w:rPr>
        <w:t>,</w:t>
      </w:r>
      <w:r w:rsidR="00C22059" w:rsidRPr="003E0BC7">
        <w:rPr>
          <w:rFonts w:ascii="Tahoma" w:hAnsi="Tahoma" w:cs="Tahoma"/>
          <w:lang w:val="sr-Cyrl-BA"/>
        </w:rPr>
        <w:t>9</w:t>
      </w:r>
      <w:r w:rsidRPr="003E0BC7">
        <w:rPr>
          <w:rFonts w:ascii="Tahoma" w:hAnsi="Tahoma" w:cs="Tahoma"/>
          <w:lang w:val="sr-Cyrl-BA"/>
        </w:rPr>
        <w:t>%.</w:t>
      </w:r>
    </w:p>
    <w:p w:rsidR="00115CDB" w:rsidRPr="003E0BC7" w:rsidRDefault="00115CDB" w:rsidP="00780C4A">
      <w:pPr>
        <w:jc w:val="both"/>
        <w:rPr>
          <w:rFonts w:ascii="Tahoma" w:hAnsi="Tahoma" w:cs="Tahoma"/>
        </w:rPr>
      </w:pPr>
    </w:p>
    <w:p w:rsidR="00115CDB" w:rsidRPr="003E0BC7" w:rsidRDefault="00C754B9" w:rsidP="00780C4A">
      <w:pPr>
        <w:jc w:val="both"/>
        <w:rPr>
          <w:rFonts w:ascii="Tahoma" w:hAnsi="Tahoma" w:cs="Tahoma"/>
          <w:lang w:val="ru-RU"/>
        </w:rPr>
      </w:pPr>
      <w:r w:rsidRPr="003E0BC7">
        <w:rPr>
          <w:rFonts w:ascii="Tahoma" w:hAnsi="Tahoma" w:cs="Tahoma"/>
          <w:lang w:val="ru-RU"/>
        </w:rPr>
        <w:t xml:space="preserve">У периоду јануар - </w:t>
      </w:r>
      <w:r w:rsidR="00C22059" w:rsidRPr="003E0BC7">
        <w:rPr>
          <w:rFonts w:ascii="Tahoma" w:hAnsi="Tahoma" w:cs="Tahoma"/>
          <w:lang w:val="ru-RU"/>
        </w:rPr>
        <w:t>април</w:t>
      </w:r>
      <w:r w:rsidR="00115CDB" w:rsidRPr="003E0BC7">
        <w:rPr>
          <w:rFonts w:ascii="Tahoma" w:hAnsi="Tahoma" w:cs="Tahoma"/>
          <w:lang w:val="ru-RU"/>
        </w:rPr>
        <w:t xml:space="preserve"> 2013. године остварен је извоз у вриједности од </w:t>
      </w:r>
      <w:r w:rsidR="007A47BD" w:rsidRPr="003E0BC7">
        <w:rPr>
          <w:rFonts w:ascii="Tahoma" w:hAnsi="Tahoma" w:cs="Tahoma"/>
          <w:lang w:val="ru-RU"/>
        </w:rPr>
        <w:t>799 милиона КМ, што је за 8</w:t>
      </w:r>
      <w:r w:rsidR="00115CDB" w:rsidRPr="003E0BC7">
        <w:rPr>
          <w:rFonts w:ascii="Tahoma" w:hAnsi="Tahoma" w:cs="Tahoma"/>
          <w:lang w:val="ru-RU"/>
        </w:rPr>
        <w:t>,</w:t>
      </w:r>
      <w:r w:rsidR="007A47BD" w:rsidRPr="003E0BC7">
        <w:rPr>
          <w:rFonts w:ascii="Tahoma" w:hAnsi="Tahoma" w:cs="Tahoma"/>
          <w:lang w:val="ru-RU"/>
        </w:rPr>
        <w:t>2</w:t>
      </w:r>
      <w:r w:rsidR="00115CDB" w:rsidRPr="003E0BC7">
        <w:rPr>
          <w:rFonts w:ascii="Tahoma" w:hAnsi="Tahoma" w:cs="Tahoma"/>
          <w:lang w:val="ru-RU"/>
        </w:rPr>
        <w:t>% више у односу на исти период претходне године. Уво</w:t>
      </w:r>
      <w:r w:rsidR="0089510C" w:rsidRPr="003E0BC7">
        <w:rPr>
          <w:rFonts w:ascii="Tahoma" w:hAnsi="Tahoma" w:cs="Tahoma"/>
          <w:lang w:val="ru-RU"/>
        </w:rPr>
        <w:t>з је, у истом периоду, износио милијарду и</w:t>
      </w:r>
      <w:r w:rsidR="00115CDB" w:rsidRPr="003E0BC7">
        <w:rPr>
          <w:rFonts w:ascii="Tahoma" w:hAnsi="Tahoma" w:cs="Tahoma"/>
          <w:lang w:val="ru-RU"/>
        </w:rPr>
        <w:t xml:space="preserve"> </w:t>
      </w:r>
      <w:r w:rsidR="007A47BD" w:rsidRPr="003E0BC7">
        <w:rPr>
          <w:rFonts w:ascii="Tahoma" w:hAnsi="Tahoma" w:cs="Tahoma"/>
          <w:lang w:val="ru-RU"/>
        </w:rPr>
        <w:t>405</w:t>
      </w:r>
      <w:r w:rsidR="00115CDB" w:rsidRPr="003E0BC7">
        <w:rPr>
          <w:rFonts w:ascii="Tahoma" w:hAnsi="Tahoma" w:cs="Tahoma"/>
          <w:lang w:val="ru-RU"/>
        </w:rPr>
        <w:t xml:space="preserve"> милиона КМ, што је за 1,8% више у односу на исти период претходне године.</w:t>
      </w:r>
    </w:p>
    <w:p w:rsidR="00115CDB" w:rsidRPr="003E0BC7" w:rsidRDefault="00115CDB" w:rsidP="00780C4A">
      <w:pPr>
        <w:jc w:val="both"/>
        <w:rPr>
          <w:rFonts w:ascii="Tahoma" w:hAnsi="Tahoma" w:cs="Tahoma"/>
          <w:lang w:val="ru-RU"/>
        </w:rPr>
      </w:pPr>
    </w:p>
    <w:p w:rsidR="00115CDB" w:rsidRPr="003E0BC7" w:rsidRDefault="00115CDB" w:rsidP="00780C4A">
      <w:pPr>
        <w:jc w:val="both"/>
        <w:rPr>
          <w:rFonts w:ascii="Tahoma" w:hAnsi="Tahoma" w:cs="Tahoma"/>
          <w:lang w:val="ru-RU"/>
        </w:rPr>
      </w:pPr>
      <w:r w:rsidRPr="003E0BC7">
        <w:rPr>
          <w:rFonts w:ascii="Tahoma" w:hAnsi="Tahoma" w:cs="Tahoma"/>
          <w:lang w:val="ru-RU"/>
        </w:rPr>
        <w:t xml:space="preserve">Проценат покривености увоза извозом за прва </w:t>
      </w:r>
      <w:r w:rsidR="00C43E73" w:rsidRPr="003E0BC7">
        <w:rPr>
          <w:rFonts w:ascii="Tahoma" w:hAnsi="Tahoma" w:cs="Tahoma"/>
          <w:lang w:val="ru-RU"/>
        </w:rPr>
        <w:t>четири</w:t>
      </w:r>
      <w:r w:rsidRPr="003E0BC7">
        <w:rPr>
          <w:rFonts w:ascii="Tahoma" w:hAnsi="Tahoma" w:cs="Tahoma"/>
          <w:lang w:val="ru-RU"/>
        </w:rPr>
        <w:t xml:space="preserve"> мјесеца текуће године износио је 5</w:t>
      </w:r>
      <w:r w:rsidR="0089510C" w:rsidRPr="003E0BC7">
        <w:rPr>
          <w:rFonts w:ascii="Tahoma" w:hAnsi="Tahoma" w:cs="Tahoma"/>
          <w:lang w:val="ru-RU"/>
        </w:rPr>
        <w:t>6</w:t>
      </w:r>
      <w:r w:rsidRPr="003E0BC7">
        <w:rPr>
          <w:rFonts w:ascii="Tahoma" w:hAnsi="Tahoma" w:cs="Tahoma"/>
          <w:lang w:val="ru-RU"/>
        </w:rPr>
        <w:t>,</w:t>
      </w:r>
      <w:r w:rsidR="0089510C" w:rsidRPr="003E0BC7">
        <w:rPr>
          <w:rFonts w:ascii="Tahoma" w:hAnsi="Tahoma" w:cs="Tahoma"/>
          <w:lang w:val="ru-RU"/>
        </w:rPr>
        <w:t>9</w:t>
      </w:r>
      <w:r w:rsidRPr="003E0BC7">
        <w:rPr>
          <w:rFonts w:ascii="Tahoma" w:hAnsi="Tahoma" w:cs="Tahoma"/>
          <w:lang w:val="ru-RU"/>
        </w:rPr>
        <w:t>%, док је спољнотрговински робн</w:t>
      </w:r>
      <w:r w:rsidR="0089510C" w:rsidRPr="003E0BC7">
        <w:rPr>
          <w:rFonts w:ascii="Tahoma" w:hAnsi="Tahoma" w:cs="Tahoma"/>
          <w:lang w:val="ru-RU"/>
        </w:rPr>
        <w:t>и дефицит износио 606</w:t>
      </w:r>
      <w:r w:rsidRPr="003E0BC7">
        <w:rPr>
          <w:rFonts w:ascii="Tahoma" w:hAnsi="Tahoma" w:cs="Tahoma"/>
          <w:lang w:val="ru-RU"/>
        </w:rPr>
        <w:t xml:space="preserve"> милиона КМ.</w:t>
      </w:r>
    </w:p>
    <w:p w:rsidR="00247472" w:rsidRDefault="00247472" w:rsidP="00C43E73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ru-RU"/>
        </w:rPr>
      </w:pPr>
    </w:p>
    <w:p w:rsidR="00115CDB" w:rsidRPr="003E0BC7" w:rsidRDefault="00115CDB" w:rsidP="00C43E73">
      <w:pPr>
        <w:tabs>
          <w:tab w:val="left" w:pos="300"/>
          <w:tab w:val="left" w:pos="1100"/>
        </w:tabs>
        <w:jc w:val="both"/>
        <w:rPr>
          <w:rFonts w:ascii="Tahoma" w:hAnsi="Tahoma" w:cs="Tahoma"/>
          <w:lang w:val="sr-Cyrl-CS"/>
        </w:rPr>
      </w:pPr>
      <w:r w:rsidRPr="003E0BC7">
        <w:rPr>
          <w:rFonts w:ascii="Tahoma" w:hAnsi="Tahoma" w:cs="Tahoma"/>
          <w:lang w:val="ru-RU"/>
        </w:rPr>
        <w:t>У погледу географске дистрибуције робне размјене Републик</w:t>
      </w:r>
      <w:r w:rsidRPr="003E0BC7">
        <w:rPr>
          <w:rFonts w:ascii="Tahoma" w:hAnsi="Tahoma" w:cs="Tahoma"/>
        </w:rPr>
        <w:t>e</w:t>
      </w:r>
      <w:r w:rsidRPr="003E0BC7">
        <w:rPr>
          <w:rFonts w:ascii="Tahoma" w:hAnsi="Tahoma" w:cs="Tahoma"/>
          <w:lang w:val="ru-RU"/>
        </w:rPr>
        <w:t xml:space="preserve"> Српск</w:t>
      </w:r>
      <w:r w:rsidRPr="003E0BC7">
        <w:rPr>
          <w:rFonts w:ascii="Tahoma" w:hAnsi="Tahoma" w:cs="Tahoma"/>
        </w:rPr>
        <w:t>e</w:t>
      </w:r>
      <w:r w:rsidRPr="003E0BC7">
        <w:rPr>
          <w:rFonts w:ascii="Tahoma" w:hAnsi="Tahoma" w:cs="Tahoma"/>
          <w:lang w:val="ru-RU"/>
        </w:rPr>
        <w:t xml:space="preserve"> са иностранством, у периоду </w:t>
      </w:r>
      <w:r w:rsidR="00C43E73" w:rsidRPr="003E0BC7">
        <w:rPr>
          <w:rFonts w:ascii="Tahoma" w:hAnsi="Tahoma" w:cs="Tahoma"/>
          <w:lang w:val="ru-RU"/>
        </w:rPr>
        <w:br/>
      </w:r>
      <w:r w:rsidRPr="003E0BC7">
        <w:rPr>
          <w:rFonts w:ascii="Tahoma" w:hAnsi="Tahoma" w:cs="Tahoma"/>
          <w:lang w:val="ru-RU"/>
        </w:rPr>
        <w:t xml:space="preserve">јануар - </w:t>
      </w:r>
      <w:r w:rsidR="00C43E73" w:rsidRPr="003E0BC7">
        <w:rPr>
          <w:rFonts w:ascii="Tahoma" w:hAnsi="Tahoma" w:cs="Tahoma"/>
          <w:lang w:val="ru-RU"/>
        </w:rPr>
        <w:t xml:space="preserve">април  </w:t>
      </w:r>
      <w:r w:rsidRPr="003E0BC7">
        <w:rPr>
          <w:rFonts w:ascii="Tahoma" w:hAnsi="Tahoma" w:cs="Tahoma"/>
          <w:lang w:val="sr-Cyrl-CS"/>
        </w:rPr>
        <w:t xml:space="preserve">2013. године, највише се извозило у Италију и то у вриједности од </w:t>
      </w:r>
      <w:r w:rsidR="00B61A05" w:rsidRPr="003E0BC7">
        <w:rPr>
          <w:rFonts w:ascii="Tahoma" w:hAnsi="Tahoma" w:cs="Tahoma"/>
          <w:lang w:val="sr-Cyrl-CS"/>
        </w:rPr>
        <w:t>121 милион</w:t>
      </w:r>
      <w:r w:rsidR="0025537B" w:rsidRPr="003E0BC7">
        <w:rPr>
          <w:rFonts w:ascii="Tahoma" w:hAnsi="Tahoma" w:cs="Tahoma"/>
          <w:lang w:val="sr-Cyrl-CS"/>
        </w:rPr>
        <w:t xml:space="preserve"> КМ, односно 15,1</w:t>
      </w:r>
      <w:r w:rsidRPr="003E0BC7">
        <w:rPr>
          <w:rFonts w:ascii="Tahoma" w:hAnsi="Tahoma" w:cs="Tahoma"/>
          <w:lang w:val="sr-Cyrl-CS"/>
        </w:rPr>
        <w:t>%</w:t>
      </w:r>
      <w:r w:rsidRPr="003E0BC7">
        <w:rPr>
          <w:rFonts w:ascii="Tahoma" w:hAnsi="Tahoma" w:cs="Tahoma"/>
          <w:lang w:val="ru-RU"/>
        </w:rPr>
        <w:t xml:space="preserve">, </w:t>
      </w:r>
      <w:r w:rsidRPr="003E0BC7">
        <w:rPr>
          <w:rFonts w:ascii="Tahoma" w:hAnsi="Tahoma" w:cs="Tahoma"/>
          <w:lang w:val="sr-Cyrl-CS"/>
        </w:rPr>
        <w:t xml:space="preserve">те у Србију </w:t>
      </w:r>
      <w:r w:rsidR="0025537B" w:rsidRPr="003E0BC7">
        <w:rPr>
          <w:rFonts w:ascii="Tahoma" w:hAnsi="Tahoma" w:cs="Tahoma"/>
          <w:lang w:val="sr-Cyrl-CS"/>
        </w:rPr>
        <w:t>115</w:t>
      </w:r>
      <w:r w:rsidRPr="003E0BC7">
        <w:rPr>
          <w:rFonts w:ascii="Tahoma" w:hAnsi="Tahoma" w:cs="Tahoma"/>
          <w:lang w:val="sr-Cyrl-CS"/>
        </w:rPr>
        <w:t xml:space="preserve"> милиона КМ, односно</w:t>
      </w:r>
      <w:r w:rsidR="00FB71E8" w:rsidRPr="003E0BC7">
        <w:rPr>
          <w:rFonts w:ascii="Tahoma" w:hAnsi="Tahoma" w:cs="Tahoma"/>
          <w:lang w:val="sr-Cyrl-CS"/>
        </w:rPr>
        <w:t xml:space="preserve"> 1</w:t>
      </w:r>
      <w:r w:rsidR="0025537B" w:rsidRPr="003E0BC7">
        <w:rPr>
          <w:rFonts w:ascii="Tahoma" w:hAnsi="Tahoma" w:cs="Tahoma"/>
          <w:lang w:val="sr-Cyrl-CS"/>
        </w:rPr>
        <w:t>4</w:t>
      </w:r>
      <w:r w:rsidR="00FB71E8" w:rsidRPr="003E0BC7">
        <w:rPr>
          <w:rFonts w:ascii="Tahoma" w:hAnsi="Tahoma" w:cs="Tahoma"/>
          <w:lang w:val="sr-Cyrl-CS"/>
        </w:rPr>
        <w:t>,</w:t>
      </w:r>
      <w:r w:rsidR="0025537B" w:rsidRPr="003E0BC7">
        <w:rPr>
          <w:rFonts w:ascii="Tahoma" w:hAnsi="Tahoma" w:cs="Tahoma"/>
          <w:lang w:val="sr-Cyrl-CS"/>
        </w:rPr>
        <w:t>4</w:t>
      </w:r>
      <w:r w:rsidR="00FB71E8" w:rsidRPr="003E0BC7">
        <w:rPr>
          <w:rFonts w:ascii="Tahoma" w:hAnsi="Tahoma" w:cs="Tahoma"/>
          <w:lang w:val="sr-Cyrl-CS"/>
        </w:rPr>
        <w:t>%</w:t>
      </w:r>
      <w:r w:rsidRPr="003E0BC7">
        <w:rPr>
          <w:rFonts w:ascii="Tahoma" w:hAnsi="Tahoma" w:cs="Tahoma"/>
          <w:lang w:val="sr-Cyrl-CS"/>
        </w:rPr>
        <w:t xml:space="preserve"> од укупног оствареног извоза.</w:t>
      </w:r>
    </w:p>
    <w:p w:rsidR="00115CDB" w:rsidRPr="003E0BC7" w:rsidRDefault="00115CDB" w:rsidP="00780C4A">
      <w:pPr>
        <w:pStyle w:val="Body2"/>
        <w:tabs>
          <w:tab w:val="left" w:pos="408"/>
        </w:tabs>
        <w:ind w:firstLine="0"/>
        <w:rPr>
          <w:rFonts w:ascii="Tahoma" w:hAnsi="Tahoma" w:cs="Tahoma"/>
          <w:sz w:val="20"/>
          <w:lang w:val="sr-Cyrl-CS"/>
        </w:rPr>
      </w:pPr>
    </w:p>
    <w:p w:rsidR="00115CDB" w:rsidRPr="003E0BC7" w:rsidRDefault="00115CDB" w:rsidP="00780C4A">
      <w:pPr>
        <w:tabs>
          <w:tab w:val="left" w:pos="300"/>
          <w:tab w:val="left" w:pos="1100"/>
        </w:tabs>
        <w:jc w:val="both"/>
        <w:rPr>
          <w:rFonts w:ascii="Tahoma" w:hAnsi="Tahoma" w:cs="Tahoma"/>
          <w:lang w:val="sr-Cyrl-CS"/>
        </w:rPr>
      </w:pPr>
      <w:r w:rsidRPr="003E0BC7">
        <w:rPr>
          <w:rFonts w:ascii="Tahoma" w:hAnsi="Tahoma" w:cs="Tahoma"/>
          <w:lang w:val="sr-Cyrl-CS"/>
        </w:rPr>
        <w:t xml:space="preserve">У истом периоду, </w:t>
      </w:r>
      <w:r w:rsidRPr="003E0BC7">
        <w:rPr>
          <w:rFonts w:ascii="Tahoma" w:hAnsi="Tahoma" w:cs="Tahoma"/>
          <w:lang w:val="sr-Cyrl-BA"/>
        </w:rPr>
        <w:t>н</w:t>
      </w:r>
      <w:r w:rsidRPr="003E0BC7">
        <w:rPr>
          <w:rFonts w:ascii="Tahoma" w:hAnsi="Tahoma" w:cs="Tahoma"/>
          <w:lang w:val="sr-Cyrl-CS"/>
        </w:rPr>
        <w:t>ајвише се увозило из Русије и то у вриједности од 3</w:t>
      </w:r>
      <w:r w:rsidR="0025537B" w:rsidRPr="003E0BC7">
        <w:rPr>
          <w:rFonts w:ascii="Tahoma" w:hAnsi="Tahoma" w:cs="Tahoma"/>
          <w:lang w:val="sr-Cyrl-CS"/>
        </w:rPr>
        <w:t>94 милиона КМ, односно 28</w:t>
      </w:r>
      <w:r w:rsidRPr="003E0BC7">
        <w:rPr>
          <w:rFonts w:ascii="Tahoma" w:hAnsi="Tahoma" w:cs="Tahoma"/>
          <w:lang w:val="sr-Cyrl-CS"/>
        </w:rPr>
        <w:t>,</w:t>
      </w:r>
      <w:r w:rsidR="0025537B" w:rsidRPr="003E0BC7">
        <w:rPr>
          <w:rFonts w:ascii="Tahoma" w:hAnsi="Tahoma" w:cs="Tahoma"/>
          <w:lang w:val="sr-Cyrl-CS"/>
        </w:rPr>
        <w:t>0</w:t>
      </w:r>
      <w:r w:rsidRPr="003E0BC7">
        <w:rPr>
          <w:rFonts w:ascii="Tahoma" w:hAnsi="Tahoma" w:cs="Tahoma"/>
          <w:lang w:val="sr-Cyrl-CS"/>
        </w:rPr>
        <w:t xml:space="preserve">% и из Србије, у вриједности од </w:t>
      </w:r>
      <w:r w:rsidR="0025537B" w:rsidRPr="003E0BC7">
        <w:rPr>
          <w:rFonts w:ascii="Tahoma" w:hAnsi="Tahoma" w:cs="Tahoma"/>
          <w:lang w:val="sr-Cyrl-CS"/>
        </w:rPr>
        <w:t>217</w:t>
      </w:r>
      <w:r w:rsidRPr="003E0BC7">
        <w:rPr>
          <w:rFonts w:ascii="Tahoma" w:hAnsi="Tahoma" w:cs="Tahoma"/>
          <w:lang w:val="sr-Cyrl-CS"/>
        </w:rPr>
        <w:t xml:space="preserve"> милиона КМ, односно 1</w:t>
      </w:r>
      <w:r w:rsidR="0025537B" w:rsidRPr="003E0BC7">
        <w:rPr>
          <w:rFonts w:ascii="Tahoma" w:hAnsi="Tahoma" w:cs="Tahoma"/>
          <w:lang w:val="sr-Cyrl-CS"/>
        </w:rPr>
        <w:t>5</w:t>
      </w:r>
      <w:r w:rsidRPr="003E0BC7">
        <w:rPr>
          <w:rFonts w:ascii="Tahoma" w:hAnsi="Tahoma" w:cs="Tahoma"/>
          <w:lang w:val="sr-Cyrl-CS"/>
        </w:rPr>
        <w:t>,5% од укупно оствареног увоза.</w:t>
      </w:r>
    </w:p>
    <w:p w:rsidR="00115CDB" w:rsidRPr="003E0BC7" w:rsidRDefault="00115CDB" w:rsidP="00780C4A">
      <w:pPr>
        <w:tabs>
          <w:tab w:val="left" w:pos="300"/>
          <w:tab w:val="left" w:pos="1100"/>
        </w:tabs>
        <w:jc w:val="both"/>
        <w:rPr>
          <w:rFonts w:ascii="Tahoma" w:hAnsi="Tahoma" w:cs="Tahoma"/>
          <w:lang w:val="sr-Cyrl-CS"/>
        </w:rPr>
      </w:pPr>
    </w:p>
    <w:p w:rsidR="00115CDB" w:rsidRPr="003E0BC7" w:rsidRDefault="00115CDB" w:rsidP="00780C4A">
      <w:pPr>
        <w:tabs>
          <w:tab w:val="left" w:pos="300"/>
          <w:tab w:val="left" w:pos="1100"/>
        </w:tabs>
        <w:jc w:val="both"/>
        <w:rPr>
          <w:rFonts w:ascii="Tahoma" w:eastAsia="+mn-ea" w:hAnsi="Tahoma" w:cs="Tahoma"/>
          <w:kern w:val="24"/>
          <w:lang w:val="ru-RU"/>
        </w:rPr>
      </w:pPr>
      <w:r w:rsidRPr="003E0BC7">
        <w:rPr>
          <w:rFonts w:ascii="Tahoma" w:hAnsi="Tahoma" w:cs="Tahoma"/>
          <w:bCs/>
          <w:lang w:val="ru-RU"/>
        </w:rPr>
        <w:t xml:space="preserve">Посматрано по групама производа, у периоду </w:t>
      </w:r>
      <w:r w:rsidRPr="003E0BC7">
        <w:rPr>
          <w:rFonts w:ascii="Tahoma" w:hAnsi="Tahoma" w:cs="Tahoma"/>
          <w:lang w:val="ru-RU"/>
        </w:rPr>
        <w:t xml:space="preserve">јануар </w:t>
      </w:r>
      <w:r w:rsidR="0016574C" w:rsidRPr="003E0BC7">
        <w:rPr>
          <w:rFonts w:ascii="Tahoma" w:hAnsi="Tahoma" w:cs="Tahoma"/>
          <w:lang w:val="ru-RU"/>
        </w:rPr>
        <w:t xml:space="preserve">- </w:t>
      </w:r>
      <w:r w:rsidR="00C43E73" w:rsidRPr="003E0BC7">
        <w:rPr>
          <w:rFonts w:ascii="Tahoma" w:hAnsi="Tahoma" w:cs="Tahoma"/>
          <w:lang w:val="ru-RU"/>
        </w:rPr>
        <w:t xml:space="preserve">април </w:t>
      </w:r>
      <w:r w:rsidRPr="003E0BC7">
        <w:rPr>
          <w:rFonts w:ascii="Tahoma" w:hAnsi="Tahoma" w:cs="Tahoma"/>
          <w:lang w:val="sr-Cyrl-CS"/>
        </w:rPr>
        <w:t xml:space="preserve">2013. године, највеће учешће у извозу остварује </w:t>
      </w:r>
      <w:r w:rsidRPr="003E0BC7">
        <w:rPr>
          <w:rFonts w:ascii="Tahoma" w:hAnsi="Tahoma" w:cs="Tahoma"/>
          <w:lang w:val="ru-RU"/>
        </w:rPr>
        <w:t xml:space="preserve">електрична енергија </w:t>
      </w:r>
      <w:r w:rsidRPr="003E0BC7">
        <w:rPr>
          <w:rFonts w:ascii="Tahoma" w:hAnsi="Tahoma" w:cs="Tahoma"/>
          <w:lang w:val="sr-Cyrl-CS"/>
        </w:rPr>
        <w:t xml:space="preserve">са укупном вриједношћу од </w:t>
      </w:r>
      <w:r w:rsidR="00587077" w:rsidRPr="003E0BC7">
        <w:rPr>
          <w:rFonts w:ascii="Tahoma" w:hAnsi="Tahoma" w:cs="Tahoma"/>
          <w:lang w:val="sr-Cyrl-CS"/>
        </w:rPr>
        <w:t>79 милиона КМ, што износи 9,8</w:t>
      </w:r>
      <w:r w:rsidRPr="003E0BC7">
        <w:rPr>
          <w:rFonts w:ascii="Tahoma" w:hAnsi="Tahoma" w:cs="Tahoma"/>
          <w:lang w:val="sr-Cyrl-CS"/>
        </w:rPr>
        <w:t xml:space="preserve">% од укупног извоза, док највеће учешће у увозу остварује </w:t>
      </w:r>
      <w:r w:rsidRPr="003E0BC7">
        <w:rPr>
          <w:rFonts w:ascii="Tahoma" w:hAnsi="Tahoma" w:cs="Tahoma"/>
          <w:lang w:val="sr-Cyrl-BA"/>
        </w:rPr>
        <w:t>н</w:t>
      </w:r>
      <w:r w:rsidRPr="003E0BC7">
        <w:rPr>
          <w:rFonts w:ascii="Tahoma" w:hAnsi="Tahoma" w:cs="Tahoma"/>
          <w:lang w:val="ru-RU"/>
        </w:rPr>
        <w:t>афт</w:t>
      </w:r>
      <w:r w:rsidRPr="003E0BC7">
        <w:rPr>
          <w:rFonts w:ascii="Tahoma" w:hAnsi="Tahoma" w:cs="Tahoma"/>
          <w:lang w:val="sr-Cyrl-BA"/>
        </w:rPr>
        <w:t xml:space="preserve">а и </w:t>
      </w:r>
      <w:r w:rsidRPr="003E0BC7">
        <w:rPr>
          <w:rFonts w:ascii="Tahoma" w:hAnsi="Tahoma" w:cs="Tahoma"/>
          <w:lang w:val="ru-RU"/>
        </w:rPr>
        <w:t>уља добијена од битуменозних минерала</w:t>
      </w:r>
      <w:r w:rsidRPr="003E0BC7">
        <w:rPr>
          <w:rFonts w:ascii="Tahoma" w:hAnsi="Tahoma" w:cs="Tahoma"/>
          <w:lang w:val="sr-Cyrl-BA"/>
        </w:rPr>
        <w:t xml:space="preserve"> (</w:t>
      </w:r>
      <w:r w:rsidRPr="003E0BC7">
        <w:rPr>
          <w:rFonts w:ascii="Tahoma" w:hAnsi="Tahoma" w:cs="Tahoma"/>
          <w:lang w:val="ru-RU"/>
        </w:rPr>
        <w:t>сиров</w:t>
      </w:r>
      <w:r w:rsidRPr="003E0BC7">
        <w:rPr>
          <w:rFonts w:ascii="Tahoma" w:hAnsi="Tahoma" w:cs="Tahoma"/>
          <w:lang w:val="sr-Cyrl-BA"/>
        </w:rPr>
        <w:t xml:space="preserve">а), са укупном вриједношћу од </w:t>
      </w:r>
      <w:r w:rsidR="00587077" w:rsidRPr="003E0BC7">
        <w:rPr>
          <w:rFonts w:ascii="Tahoma" w:hAnsi="Tahoma" w:cs="Tahoma"/>
          <w:lang w:val="sr-Latn-BA"/>
        </w:rPr>
        <w:t>3</w:t>
      </w:r>
      <w:r w:rsidR="00587077" w:rsidRPr="003E0BC7">
        <w:rPr>
          <w:rFonts w:ascii="Tahoma" w:hAnsi="Tahoma" w:cs="Tahoma"/>
          <w:lang w:val="sr-Cyrl-BA"/>
        </w:rPr>
        <w:t>8</w:t>
      </w:r>
      <w:r w:rsidRPr="003E0BC7">
        <w:rPr>
          <w:rFonts w:ascii="Tahoma" w:hAnsi="Tahoma" w:cs="Tahoma"/>
          <w:lang w:val="sr-Latn-BA"/>
        </w:rPr>
        <w:t>8</w:t>
      </w:r>
      <w:r w:rsidR="00587077" w:rsidRPr="003E0BC7">
        <w:rPr>
          <w:rFonts w:ascii="Tahoma" w:hAnsi="Tahoma" w:cs="Tahoma"/>
          <w:lang w:val="sr-Cyrl-BA"/>
        </w:rPr>
        <w:t xml:space="preserve"> милиона КМ, што износи 27</w:t>
      </w:r>
      <w:r w:rsidRPr="003E0BC7">
        <w:rPr>
          <w:rFonts w:ascii="Tahoma" w:hAnsi="Tahoma" w:cs="Tahoma"/>
          <w:lang w:val="sr-Cyrl-BA"/>
        </w:rPr>
        <w:t>,</w:t>
      </w:r>
      <w:r w:rsidR="00587077" w:rsidRPr="003E0BC7">
        <w:rPr>
          <w:rFonts w:ascii="Tahoma" w:hAnsi="Tahoma" w:cs="Tahoma"/>
          <w:lang w:val="sr-Cyrl-BA"/>
        </w:rPr>
        <w:t>6</w:t>
      </w:r>
      <w:r w:rsidRPr="003E0BC7">
        <w:rPr>
          <w:rFonts w:ascii="Tahoma" w:hAnsi="Tahoma" w:cs="Tahoma"/>
          <w:lang w:val="sr-Cyrl-BA"/>
        </w:rPr>
        <w:t>% од укупног увоза.</w:t>
      </w:r>
      <w:r w:rsidRPr="003E0BC7">
        <w:rPr>
          <w:rFonts w:ascii="Tahoma" w:eastAsia="+mn-ea" w:hAnsi="Tahoma" w:cs="Tahoma"/>
          <w:kern w:val="24"/>
          <w:lang w:val="ru-RU"/>
        </w:rPr>
        <w:t xml:space="preserve"> </w:t>
      </w:r>
    </w:p>
    <w:p w:rsidR="00115CDB" w:rsidRPr="003E0BC7" w:rsidRDefault="00115CDB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76768F" w:rsidRDefault="0076768F">
      <w:pPr>
        <w:rPr>
          <w:rFonts w:ascii="Tahoma" w:hAnsi="Tahoma" w:cs="Tahoma"/>
          <w:color w:val="FF0000"/>
          <w:sz w:val="18"/>
          <w:szCs w:val="18"/>
          <w:lang w:val="sr-Cyrl-CS"/>
        </w:rPr>
      </w:pPr>
      <w:r>
        <w:rPr>
          <w:rFonts w:ascii="Tahoma" w:hAnsi="Tahoma" w:cs="Tahoma"/>
          <w:color w:val="FF0000"/>
          <w:sz w:val="18"/>
          <w:szCs w:val="18"/>
          <w:lang w:val="sr-Cyrl-CS"/>
        </w:rPr>
        <w:br w:type="page"/>
      </w:r>
    </w:p>
    <w:p w:rsidR="00115CDB" w:rsidRPr="00115CDB" w:rsidRDefault="00115CDB" w:rsidP="00115CDB">
      <w:pPr>
        <w:tabs>
          <w:tab w:val="left" w:pos="300"/>
          <w:tab w:val="left" w:pos="1100"/>
        </w:tabs>
        <w:jc w:val="center"/>
        <w:rPr>
          <w:rFonts w:ascii="Tahoma" w:hAnsi="Tahoma" w:cs="Tahoma"/>
          <w:color w:val="FF0000"/>
          <w:sz w:val="18"/>
          <w:szCs w:val="18"/>
          <w:lang w:val="sr-Cyrl-CS"/>
        </w:rPr>
      </w:pPr>
    </w:p>
    <w:p w:rsidR="00115CDB" w:rsidRPr="00115CDB" w:rsidRDefault="0076768F" w:rsidP="00115CDB">
      <w:pPr>
        <w:tabs>
          <w:tab w:val="left" w:pos="300"/>
          <w:tab w:val="left" w:pos="1100"/>
        </w:tabs>
        <w:jc w:val="center"/>
        <w:rPr>
          <w:rFonts w:ascii="Tahoma" w:hAnsi="Tahoma" w:cs="Tahoma"/>
          <w:b/>
          <w:color w:val="FF0000"/>
          <w:sz w:val="18"/>
          <w:szCs w:val="18"/>
          <w:lang w:val="sr-Cyrl-CS"/>
        </w:rPr>
      </w:pPr>
      <w:r>
        <w:rPr>
          <w:rFonts w:ascii="Tahoma" w:hAnsi="Tahoma" w:cs="Tahoma"/>
          <w:noProof/>
          <w:color w:val="FF0000"/>
          <w:sz w:val="18"/>
          <w:szCs w:val="1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335.95pt;margin-top:.6pt;width:61.05pt;height:19.75pt;z-index:251664384;mso-width-relative:margin;mso-height-relative:margin" stroked="f">
            <v:textbox style="mso-next-textbox:#_x0000_s1068">
              <w:txbxContent>
                <w:p w:rsidR="009E2A9A" w:rsidRPr="001631DD" w:rsidRDefault="009E2A9A" w:rsidP="00115CDB">
                  <w:pPr>
                    <w:rPr>
                      <w:rFonts w:ascii="Tahoma" w:hAnsi="Tahoma" w:cs="Tahoma"/>
                      <w:lang w:val="bs-Cyrl-BA"/>
                    </w:rPr>
                  </w:pPr>
                  <w:r w:rsidRPr="001631DD">
                    <w:rPr>
                      <w:rFonts w:ascii="Tahoma" w:hAnsi="Tahoma" w:cs="Tahoma"/>
                      <w:lang w:val="bs-Cyrl-BA"/>
                    </w:rPr>
                    <w:t>хиљ. КМ</w:t>
                  </w:r>
                </w:p>
              </w:txbxContent>
            </v:textbox>
          </v:shape>
        </w:pict>
      </w:r>
    </w:p>
    <w:p w:rsidR="00115CDB" w:rsidRPr="001225F9" w:rsidRDefault="00B61A05" w:rsidP="00115CDB">
      <w:pPr>
        <w:tabs>
          <w:tab w:val="left" w:pos="4545"/>
        </w:tabs>
        <w:jc w:val="center"/>
        <w:rPr>
          <w:rFonts w:ascii="Tahoma" w:hAnsi="Tahoma" w:cs="Tahoma"/>
          <w:b/>
        </w:rPr>
      </w:pPr>
      <w:r w:rsidRPr="00B61A05">
        <w:rPr>
          <w:rFonts w:ascii="Tahoma" w:hAnsi="Tahoma" w:cs="Tahoma"/>
          <w:b/>
          <w:noProof/>
        </w:rPr>
        <w:drawing>
          <wp:inline distT="0" distB="0" distL="0" distR="0">
            <wp:extent cx="5365630" cy="3096883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15CDB" w:rsidRDefault="0076768F" w:rsidP="00115CDB">
      <w:pPr>
        <w:tabs>
          <w:tab w:val="left" w:pos="2535"/>
        </w:tabs>
        <w:jc w:val="center"/>
        <w:rPr>
          <w:rFonts w:ascii="Tahoma" w:hAnsi="Tahoma" w:cs="Tahoma"/>
          <w:sz w:val="16"/>
          <w:szCs w:val="16"/>
          <w:lang w:val="ru-RU"/>
        </w:rPr>
      </w:pPr>
      <w:r>
        <w:rPr>
          <w:rFonts w:ascii="Tahoma" w:hAnsi="Tahoma" w:cs="Tahoma"/>
          <w:b/>
          <w:noProof/>
          <w:sz w:val="16"/>
          <w:szCs w:val="16"/>
          <w:lang w:val="bs-Latn-BA" w:eastAsia="bs-Latn-BA"/>
        </w:rPr>
        <w:pict>
          <v:shape id="_x0000_s1067" type="#_x0000_t202" style="position:absolute;left:0;text-align:left;margin-left:308.6pt;margin-top:-.15pt;width:36.15pt;height:16.85pt;z-index:251663360;mso-height-percent:200;mso-height-percent:200;mso-width-relative:margin;mso-height-relative:margin" stroked="f">
            <v:textbox style="mso-next-textbox:#_x0000_s1067;mso-fit-shape-to-text:t">
              <w:txbxContent>
                <w:p w:rsidR="009E2A9A" w:rsidRPr="001C4E5B" w:rsidRDefault="009E2A9A" w:rsidP="00115CDB">
                  <w:pPr>
                    <w:rPr>
                      <w:rFonts w:ascii="Tahoma" w:hAnsi="Tahoma" w:cs="Tahoma"/>
                      <w:sz w:val="16"/>
                      <w:szCs w:val="16"/>
                      <w:lang w:val="sr-Cyrl-BA"/>
                    </w:rPr>
                  </w:pPr>
                  <w:r w:rsidRPr="0078288A">
                    <w:rPr>
                      <w:rFonts w:ascii="Tahoma" w:hAnsi="Tahoma" w:cs="Tahoma"/>
                      <w:sz w:val="16"/>
                      <w:szCs w:val="16"/>
                    </w:rPr>
                    <w:t>2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>01</w:t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sr-Cyrl-BA"/>
                    </w:rPr>
                    <w:t>3</w:t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noProof/>
          <w:sz w:val="16"/>
          <w:szCs w:val="16"/>
          <w:lang w:eastAsia="zh-TW"/>
        </w:rPr>
        <w:pict>
          <v:shape id="_x0000_s1066" type="#_x0000_t202" style="position:absolute;left:0;text-align:left;margin-left:170.45pt;margin-top:-.15pt;width:36.15pt;height:16.85pt;z-index:251662336;mso-height-percent:200;mso-height-percent:200;mso-width-relative:margin;mso-height-relative:margin" stroked="f">
            <v:textbox style="mso-next-textbox:#_x0000_s1066;mso-fit-shape-to-text:t">
              <w:txbxContent>
                <w:p w:rsidR="009E2A9A" w:rsidRPr="001C4E5B" w:rsidRDefault="009E2A9A" w:rsidP="00115CDB">
                  <w:pPr>
                    <w:rPr>
                      <w:rFonts w:ascii="Tahoma" w:hAnsi="Tahoma" w:cs="Tahoma"/>
                      <w:sz w:val="16"/>
                      <w:szCs w:val="16"/>
                      <w:lang w:val="sr-Cyrl-BA"/>
                    </w:rPr>
                  </w:pPr>
                  <w:r w:rsidRPr="0078288A">
                    <w:rPr>
                      <w:rFonts w:ascii="Tahoma" w:hAnsi="Tahoma" w:cs="Tahoma"/>
                      <w:sz w:val="16"/>
                      <w:szCs w:val="16"/>
                    </w:rPr>
                    <w:t>201</w:t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sr-Cyrl-BA"/>
                    </w:rPr>
                    <w:t>2</w:t>
                  </w:r>
                </w:p>
              </w:txbxContent>
            </v:textbox>
          </v:shape>
        </w:pict>
      </w:r>
    </w:p>
    <w:p w:rsidR="00C043E2" w:rsidRPr="00C043E2" w:rsidRDefault="00C043E2" w:rsidP="00115CDB">
      <w:pPr>
        <w:tabs>
          <w:tab w:val="left" w:pos="2535"/>
        </w:tabs>
        <w:jc w:val="center"/>
        <w:rPr>
          <w:rFonts w:ascii="Tahoma" w:hAnsi="Tahoma" w:cs="Tahoma"/>
          <w:color w:val="FF0000"/>
          <w:sz w:val="16"/>
          <w:szCs w:val="16"/>
          <w:lang w:val="ru-RU"/>
        </w:rPr>
      </w:pPr>
    </w:p>
    <w:p w:rsidR="00115CDB" w:rsidRPr="00A964E3" w:rsidRDefault="00115CDB" w:rsidP="00115CDB">
      <w:pPr>
        <w:tabs>
          <w:tab w:val="left" w:pos="2535"/>
        </w:tabs>
        <w:jc w:val="center"/>
        <w:rPr>
          <w:rFonts w:ascii="Tahoma" w:hAnsi="Tahoma" w:cs="Tahoma"/>
          <w:iCs/>
          <w:lang w:val="ru-RU"/>
        </w:rPr>
      </w:pPr>
      <w:r w:rsidRPr="00A964E3">
        <w:rPr>
          <w:rFonts w:ascii="Tahoma" w:hAnsi="Tahoma" w:cs="Tahoma"/>
          <w:lang w:val="ru-RU"/>
        </w:rPr>
        <w:t xml:space="preserve">Графикон </w:t>
      </w:r>
      <w:r w:rsidR="0054179E">
        <w:rPr>
          <w:rFonts w:ascii="Tahoma" w:hAnsi="Tahoma" w:cs="Tahoma"/>
          <w:lang w:val="ru-RU"/>
        </w:rPr>
        <w:t>4</w:t>
      </w:r>
      <w:r w:rsidRPr="00A964E3">
        <w:rPr>
          <w:rFonts w:ascii="Tahoma" w:hAnsi="Tahoma" w:cs="Tahoma"/>
          <w:lang w:val="ru-RU"/>
        </w:rPr>
        <w:t xml:space="preserve">. </w:t>
      </w:r>
      <w:r w:rsidRPr="00A964E3">
        <w:rPr>
          <w:rFonts w:ascii="Tahoma" w:hAnsi="Tahoma" w:cs="Tahoma"/>
          <w:iCs/>
          <w:lang w:val="sr-Cyrl-CS"/>
        </w:rPr>
        <w:t>Из</w:t>
      </w:r>
      <w:r w:rsidRPr="00A964E3">
        <w:rPr>
          <w:rFonts w:ascii="Tahoma" w:hAnsi="Tahoma" w:cs="Tahoma"/>
          <w:iCs/>
          <w:lang w:val="ru-RU"/>
        </w:rPr>
        <w:t xml:space="preserve">воз и </w:t>
      </w:r>
      <w:r w:rsidRPr="00A964E3">
        <w:rPr>
          <w:rFonts w:ascii="Tahoma" w:hAnsi="Tahoma" w:cs="Tahoma"/>
          <w:iCs/>
          <w:lang w:val="sr-Cyrl-CS"/>
        </w:rPr>
        <w:t>у</w:t>
      </w:r>
      <w:r w:rsidRPr="00A964E3">
        <w:rPr>
          <w:rFonts w:ascii="Tahoma" w:hAnsi="Tahoma" w:cs="Tahoma"/>
          <w:iCs/>
          <w:lang w:val="ru-RU"/>
        </w:rPr>
        <w:t>воз по мјесецима</w:t>
      </w:r>
    </w:p>
    <w:p w:rsidR="00115CDB" w:rsidRDefault="00115CD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115CDB" w:rsidRPr="001225F9" w:rsidRDefault="00115CDB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15CDB" w:rsidRPr="001225F9" w:rsidRDefault="00115CDB" w:rsidP="00115CDB">
      <w:pPr>
        <w:ind w:firstLine="720"/>
        <w:jc w:val="both"/>
        <w:rPr>
          <w:rFonts w:ascii="Tahoma" w:hAnsi="Tahoma" w:cs="Tahoma"/>
          <w:b/>
          <w:sz w:val="18"/>
          <w:szCs w:val="18"/>
          <w:lang w:val="sr-Cyrl-BA"/>
        </w:rPr>
      </w:pPr>
    </w:p>
    <w:p w:rsidR="00115CDB" w:rsidRDefault="00115CDB" w:rsidP="00115CDB">
      <w:pPr>
        <w:rPr>
          <w:rFonts w:ascii="Tahoma" w:hAnsi="Tahoma" w:cs="Tahoma"/>
          <w:bCs/>
          <w:sz w:val="18"/>
          <w:szCs w:val="18"/>
          <w:lang w:val="sr-Cyrl-CS"/>
        </w:rPr>
      </w:pPr>
    </w:p>
    <w:p w:rsidR="00BC7CF8" w:rsidRDefault="00BC7CF8" w:rsidP="00115CDB">
      <w:pPr>
        <w:rPr>
          <w:rFonts w:ascii="Tahoma" w:hAnsi="Tahoma" w:cs="Tahoma"/>
          <w:bCs/>
          <w:sz w:val="18"/>
          <w:szCs w:val="18"/>
          <w:lang w:val="sr-Cyrl-CS"/>
        </w:rPr>
      </w:pPr>
    </w:p>
    <w:p w:rsidR="00BC7CF8" w:rsidRDefault="00BC7CF8" w:rsidP="00115CDB">
      <w:pPr>
        <w:rPr>
          <w:rFonts w:ascii="Tahoma" w:hAnsi="Tahoma" w:cs="Tahoma"/>
          <w:bCs/>
          <w:sz w:val="18"/>
          <w:szCs w:val="18"/>
          <w:lang w:val="sr-Cyrl-CS"/>
        </w:rPr>
      </w:pPr>
    </w:p>
    <w:p w:rsidR="00BC7CF8" w:rsidRDefault="00BC7CF8" w:rsidP="00115CDB">
      <w:pPr>
        <w:rPr>
          <w:rFonts w:ascii="Tahoma" w:hAnsi="Tahoma" w:cs="Tahoma"/>
          <w:bCs/>
          <w:sz w:val="18"/>
          <w:szCs w:val="18"/>
          <w:lang w:val="sr-Cyrl-CS"/>
        </w:rPr>
      </w:pPr>
    </w:p>
    <w:p w:rsidR="00BC7CF8" w:rsidRDefault="00BC7CF8" w:rsidP="00115CDB">
      <w:pPr>
        <w:rPr>
          <w:rFonts w:ascii="Tahoma" w:hAnsi="Tahoma" w:cs="Tahoma"/>
          <w:bCs/>
          <w:sz w:val="18"/>
          <w:szCs w:val="18"/>
          <w:lang w:val="sr-Cyrl-CS"/>
        </w:rPr>
      </w:pPr>
    </w:p>
    <w:p w:rsidR="00780C4A" w:rsidRPr="003B6379" w:rsidRDefault="00780C4A" w:rsidP="003F532D">
      <w:pPr>
        <w:tabs>
          <w:tab w:val="left" w:pos="3643"/>
        </w:tabs>
        <w:rPr>
          <w:rFonts w:ascii="Tahoma" w:hAnsi="Tahoma" w:cs="Tahoma"/>
          <w:bCs/>
          <w:sz w:val="28"/>
          <w:szCs w:val="28"/>
          <w:lang w:val="sr-Latn-CS"/>
        </w:rPr>
      </w:pPr>
    </w:p>
    <w:p w:rsidR="00C77C25" w:rsidRDefault="00C77C25" w:rsidP="008F2385">
      <w:pPr>
        <w:jc w:val="both"/>
        <w:rPr>
          <w:rFonts w:ascii="Tahoma" w:hAnsi="Tahoma" w:cs="Tahoma"/>
          <w:bCs/>
          <w:lang w:val="sr-Latn-CS"/>
        </w:rPr>
      </w:pPr>
    </w:p>
    <w:p w:rsidR="009E2A9A" w:rsidRDefault="009E2A9A" w:rsidP="008F2385">
      <w:pPr>
        <w:jc w:val="both"/>
        <w:rPr>
          <w:rFonts w:ascii="Tahoma" w:hAnsi="Tahoma" w:cs="Tahoma"/>
          <w:bCs/>
          <w:lang w:val="sr-Latn-CS"/>
        </w:rPr>
      </w:pPr>
    </w:p>
    <w:p w:rsidR="009E2A9A" w:rsidRDefault="009E2A9A" w:rsidP="008F2385">
      <w:pPr>
        <w:jc w:val="both"/>
        <w:rPr>
          <w:rFonts w:ascii="Tahoma" w:hAnsi="Tahoma" w:cs="Tahoma"/>
          <w:bCs/>
          <w:lang w:val="sr-Latn-CS"/>
        </w:rPr>
      </w:pPr>
    </w:p>
    <w:p w:rsidR="0076768F" w:rsidRDefault="0076768F">
      <w:pPr>
        <w:rPr>
          <w:rFonts w:ascii="Tahoma" w:hAnsi="Tahoma" w:cs="Tahoma"/>
          <w:bCs/>
          <w:lang w:val="sr-Latn-CS"/>
        </w:rPr>
      </w:pPr>
      <w:r>
        <w:rPr>
          <w:rFonts w:ascii="Tahoma" w:hAnsi="Tahoma" w:cs="Tahoma"/>
          <w:bCs/>
          <w:lang w:val="sr-Latn-CS"/>
        </w:rPr>
        <w:br w:type="page"/>
      </w:r>
    </w:p>
    <w:p w:rsidR="009E2A9A" w:rsidRDefault="009E2A9A" w:rsidP="008F2385">
      <w:pPr>
        <w:jc w:val="both"/>
        <w:rPr>
          <w:rFonts w:ascii="Tahoma" w:hAnsi="Tahoma" w:cs="Tahoma"/>
          <w:bCs/>
          <w:lang w:val="sr-Latn-CS"/>
        </w:rPr>
      </w:pPr>
    </w:p>
    <w:p w:rsidR="009E2A9A" w:rsidRDefault="009E2A9A" w:rsidP="008F2385">
      <w:pPr>
        <w:jc w:val="both"/>
        <w:rPr>
          <w:rFonts w:ascii="Tahoma" w:hAnsi="Tahoma" w:cs="Tahoma"/>
          <w:bCs/>
          <w:lang w:val="sr-Latn-CS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9"/>
      </w:tblGrid>
      <w:tr w:rsidR="009E2A9A" w:rsidRPr="00221BD9" w:rsidTr="009E2A9A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221BD9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  <w:r w:rsidRPr="00221BD9">
              <w:rPr>
                <w:rFonts w:ascii="Tahoma" w:hAnsi="Tahoma" w:cs="Tahoma"/>
                <w:b/>
                <w:lang w:val="sr-Cyrl-CS"/>
              </w:rPr>
              <w:t xml:space="preserve">МАТЕРИЈАЛ ПРИПРЕМИЛИ: </w:t>
            </w:r>
          </w:p>
          <w:p w:rsidR="009E2A9A" w:rsidRPr="00221BD9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221BD9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221BD9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221BD9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221BD9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9E2A9A" w:rsidRPr="00221BD9" w:rsidTr="009E2A9A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3E0BC7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Cyrl-CS"/>
              </w:rPr>
            </w:pPr>
          </w:p>
          <w:p w:rsidR="009E2A9A" w:rsidRPr="003E0BC7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  <w:r w:rsidRPr="003E0BC7">
              <w:rPr>
                <w:rFonts w:ascii="Tahoma" w:hAnsi="Tahoma" w:cs="Tahoma"/>
                <w:b/>
                <w:sz w:val="16"/>
                <w:lang w:val="sr-Cyrl-CS"/>
              </w:rPr>
              <w:t xml:space="preserve">Сруктурне пословне статистике </w:t>
            </w:r>
          </w:p>
          <w:p w:rsidR="009E2A9A" w:rsidRPr="003E0BC7" w:rsidRDefault="009E2A9A" w:rsidP="009E2A9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  <w:r w:rsidRPr="003E0BC7">
              <w:rPr>
                <w:rFonts w:ascii="Tahoma" w:hAnsi="Tahoma" w:cs="Tahoma"/>
                <w:sz w:val="16"/>
                <w:lang w:val="sr-Cyrl-CS"/>
              </w:rPr>
              <w:t>Даница Бабић</w:t>
            </w:r>
          </w:p>
          <w:p w:rsidR="009E2A9A" w:rsidRPr="003E0BC7" w:rsidRDefault="0076768F" w:rsidP="009E2A9A">
            <w:pPr>
              <w:jc w:val="both"/>
              <w:rPr>
                <w:lang w:val="sr-Cyrl-BA"/>
              </w:rPr>
            </w:pPr>
            <w:hyperlink r:id="rId14" w:history="1">
              <w:r w:rsidR="009E2A9A" w:rsidRPr="003E0BC7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danica.</w:t>
              </w:r>
              <w:r w:rsidR="009E2A9A" w:rsidRPr="003E0BC7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babic</w:t>
              </w:r>
              <w:r w:rsidR="009E2A9A" w:rsidRPr="003E0BC7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@</w:t>
              </w:r>
              <w:r w:rsidR="009E2A9A" w:rsidRPr="003E0BC7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9E2A9A" w:rsidRPr="003E0BC7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9E2A9A" w:rsidRPr="003E0BC7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9E2A9A" w:rsidRPr="003E0BC7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proofErr w:type="spellStart"/>
              <w:r w:rsidR="009E2A9A" w:rsidRPr="003E0BC7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  <w:proofErr w:type="spellEnd"/>
            </w:hyperlink>
          </w:p>
          <w:p w:rsidR="009E2A9A" w:rsidRPr="003E0BC7" w:rsidRDefault="009E2A9A" w:rsidP="009E2A9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  <w:r w:rsidRPr="003E0BC7">
              <w:rPr>
                <w:rFonts w:ascii="Tahoma" w:hAnsi="Tahoma" w:cs="Tahoma"/>
                <w:sz w:val="16"/>
                <w:lang w:val="sr-Cyrl-CS"/>
              </w:rPr>
              <w:t>Слађана Никић</w:t>
            </w:r>
          </w:p>
          <w:p w:rsidR="009E2A9A" w:rsidRPr="003E0BC7" w:rsidRDefault="0076768F" w:rsidP="009E2A9A">
            <w:pPr>
              <w:jc w:val="both"/>
              <w:rPr>
                <w:lang w:val="sr-Cyrl-BA"/>
              </w:rPr>
            </w:pPr>
            <w:hyperlink r:id="rId15" w:history="1">
              <w:r w:rsidR="009E2A9A" w:rsidRPr="003E0BC7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sladjana.nikic</w:t>
              </w:r>
              <w:r w:rsidR="009E2A9A" w:rsidRPr="003E0BC7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@</w:t>
              </w:r>
              <w:proofErr w:type="spellStart"/>
              <w:r w:rsidR="009E2A9A" w:rsidRPr="003E0BC7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proofErr w:type="spellEnd"/>
              <w:r w:rsidR="009E2A9A" w:rsidRPr="003E0BC7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proofErr w:type="spellStart"/>
              <w:r w:rsidR="009E2A9A" w:rsidRPr="003E0BC7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proofErr w:type="spellEnd"/>
              <w:r w:rsidR="009E2A9A" w:rsidRPr="003E0BC7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proofErr w:type="spellStart"/>
              <w:r w:rsidR="009E2A9A" w:rsidRPr="003E0BC7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  <w:proofErr w:type="spellEnd"/>
            </w:hyperlink>
          </w:p>
          <w:p w:rsidR="009E2A9A" w:rsidRPr="003E0BC7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  <w:p w:rsidR="009E2A9A" w:rsidRPr="003E0BC7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ru-RU"/>
              </w:rPr>
            </w:pPr>
            <w:r w:rsidRPr="003E0BC7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рада </w:t>
            </w:r>
          </w:p>
          <w:p w:rsidR="009E2A9A" w:rsidRPr="003E0BC7" w:rsidRDefault="009E2A9A" w:rsidP="009E2A9A">
            <w:pPr>
              <w:jc w:val="both"/>
              <w:rPr>
                <w:rFonts w:ascii="Tahoma" w:hAnsi="Tahoma" w:cs="Tahoma"/>
                <w:sz w:val="16"/>
              </w:rPr>
            </w:pPr>
            <w:r w:rsidRPr="003E0BC7">
              <w:rPr>
                <w:rFonts w:ascii="Tahoma" w:hAnsi="Tahoma" w:cs="Tahoma"/>
                <w:sz w:val="16"/>
                <w:lang w:val="bs-Cyrl-BA"/>
              </w:rPr>
              <w:t>Владимир Копривица</w:t>
            </w:r>
          </w:p>
          <w:p w:rsidR="009E2A9A" w:rsidRPr="003E0BC7" w:rsidRDefault="009E2A9A" w:rsidP="009E2A9A">
            <w:pPr>
              <w:jc w:val="both"/>
              <w:rPr>
                <w:rFonts w:ascii="Tahoma" w:hAnsi="Tahoma" w:cs="Tahoma"/>
                <w:u w:val="single"/>
                <w:lang w:val="sr-Cyrl-CS"/>
              </w:rPr>
            </w:pPr>
            <w:r w:rsidRPr="003E0BC7">
              <w:rPr>
                <w:rFonts w:ascii="Tahoma" w:hAnsi="Tahoma" w:cs="Tahoma"/>
                <w:sz w:val="16"/>
                <w:szCs w:val="16"/>
                <w:u w:val="single"/>
              </w:rPr>
              <w:t>vladimir.koprivica@rzs.rs.ba</w:t>
            </w:r>
          </w:p>
          <w:p w:rsidR="009E2A9A" w:rsidRPr="003E0BC7" w:rsidRDefault="009E2A9A" w:rsidP="009E2A9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E2A9A" w:rsidRPr="00221BD9" w:rsidTr="009E2A9A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221BD9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Cyrl-CS"/>
              </w:rPr>
            </w:pPr>
            <w:r w:rsidRPr="00221BD9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цијена </w:t>
            </w:r>
          </w:p>
          <w:p w:rsidR="009E2A9A" w:rsidRPr="00221BD9" w:rsidRDefault="009E2A9A" w:rsidP="009E2A9A">
            <w:pPr>
              <w:jc w:val="both"/>
              <w:rPr>
                <w:rFonts w:ascii="Tahoma" w:hAnsi="Tahoma" w:cs="Tahoma"/>
                <w:sz w:val="16"/>
                <w:lang w:val="sr-Cyrl-BA"/>
              </w:rPr>
            </w:pPr>
            <w:r w:rsidRPr="00221BD9">
              <w:rPr>
                <w:rFonts w:ascii="Tahoma" w:hAnsi="Tahoma" w:cs="Tahoma"/>
                <w:sz w:val="16"/>
                <w:lang w:val="sr-Cyrl-BA"/>
              </w:rPr>
              <w:t>Биљана Тешић</w:t>
            </w:r>
          </w:p>
          <w:p w:rsidR="009E2A9A" w:rsidRPr="00221BD9" w:rsidRDefault="0076768F" w:rsidP="009E2A9A">
            <w:pPr>
              <w:jc w:val="both"/>
              <w:rPr>
                <w:rFonts w:ascii="Tahoma" w:hAnsi="Tahoma" w:cs="Tahoma"/>
                <w:sz w:val="16"/>
                <w:lang w:val="sr-Latn-CS"/>
              </w:rPr>
            </w:pPr>
            <w:hyperlink r:id="rId16" w:history="1"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Biljana.tesic@rzs.rs.ba</w:t>
              </w:r>
            </w:hyperlink>
          </w:p>
          <w:p w:rsidR="009E2A9A" w:rsidRPr="00221BD9" w:rsidRDefault="009E2A9A" w:rsidP="009E2A9A">
            <w:pPr>
              <w:jc w:val="both"/>
              <w:rPr>
                <w:rFonts w:ascii="Tahoma" w:hAnsi="Tahoma" w:cs="Tahoma"/>
                <w:sz w:val="16"/>
                <w:lang w:val="sr-Cyrl-BA"/>
              </w:rPr>
            </w:pPr>
            <w:r w:rsidRPr="00221BD9">
              <w:rPr>
                <w:rFonts w:ascii="Tahoma" w:hAnsi="Tahoma" w:cs="Tahoma"/>
                <w:sz w:val="16"/>
                <w:lang w:val="sr-Cyrl-BA"/>
              </w:rPr>
              <w:t>Јасминка Милић</w:t>
            </w:r>
          </w:p>
          <w:p w:rsidR="009E2A9A" w:rsidRPr="00221BD9" w:rsidRDefault="0076768F" w:rsidP="009E2A9A">
            <w:pPr>
              <w:jc w:val="both"/>
              <w:rPr>
                <w:rFonts w:ascii="Tahoma" w:hAnsi="Tahoma" w:cs="Tahoma"/>
                <w:sz w:val="16"/>
                <w:lang w:val="bs-Cyrl-BA"/>
              </w:rPr>
            </w:pPr>
            <w:hyperlink r:id="rId17" w:history="1"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jasminka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milic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@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rzs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rs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ba</w:t>
              </w:r>
            </w:hyperlink>
          </w:p>
          <w:p w:rsidR="009E2A9A" w:rsidRPr="00221BD9" w:rsidRDefault="009E2A9A" w:rsidP="009E2A9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9E2A9A" w:rsidRPr="00221BD9" w:rsidTr="009E2A9A">
        <w:trPr>
          <w:trHeight w:hRule="exact" w:val="726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221BD9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Cyrl-CS"/>
              </w:rPr>
            </w:pPr>
            <w:r w:rsidRPr="00221BD9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индустрије и рударства </w:t>
            </w:r>
          </w:p>
          <w:p w:rsidR="009E2A9A" w:rsidRPr="00221BD9" w:rsidRDefault="009E2A9A" w:rsidP="009E2A9A">
            <w:pPr>
              <w:jc w:val="both"/>
              <w:rPr>
                <w:rFonts w:ascii="Tahoma" w:hAnsi="Tahoma" w:cs="Tahoma"/>
                <w:sz w:val="16"/>
                <w:lang w:val="sr-Cyrl-BA"/>
              </w:rPr>
            </w:pPr>
            <w:r w:rsidRPr="00221BD9">
              <w:rPr>
                <w:rFonts w:ascii="Tahoma" w:hAnsi="Tahoma" w:cs="Tahoma"/>
                <w:sz w:val="16"/>
                <w:lang w:val="sr-Cyrl-CS"/>
              </w:rPr>
              <w:t>Мирјана Бандур</w:t>
            </w:r>
          </w:p>
          <w:p w:rsidR="009E2A9A" w:rsidRPr="00221BD9" w:rsidRDefault="0076768F" w:rsidP="009E2A9A">
            <w:pPr>
              <w:jc w:val="both"/>
              <w:rPr>
                <w:rFonts w:ascii="Tahoma" w:hAnsi="Tahoma" w:cs="Tahoma"/>
                <w:b/>
                <w:sz w:val="16"/>
                <w:lang w:val="sr-Cyrl-BA"/>
              </w:rPr>
            </w:pPr>
            <w:hyperlink r:id="rId18" w:history="1"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mirjana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bandur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@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proofErr w:type="spellStart"/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  <w:proofErr w:type="spellEnd"/>
            </w:hyperlink>
            <w:r w:rsidR="009E2A9A" w:rsidRPr="00221BD9">
              <w:rPr>
                <w:rFonts w:ascii="Tahoma" w:hAnsi="Tahoma" w:cs="Tahoma"/>
                <w:b/>
                <w:sz w:val="16"/>
                <w:lang w:val="sr-Cyrl-BA"/>
              </w:rPr>
              <w:t xml:space="preserve"> </w:t>
            </w:r>
          </w:p>
          <w:p w:rsidR="009E2A9A" w:rsidRPr="00221BD9" w:rsidRDefault="009E2A9A" w:rsidP="009E2A9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9E2A9A" w:rsidRPr="00221BD9" w:rsidTr="009E2A9A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221BD9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  <w:r w:rsidRPr="00221BD9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спољне трговине </w:t>
            </w:r>
          </w:p>
          <w:p w:rsidR="009E2A9A" w:rsidRPr="00221BD9" w:rsidRDefault="009E2A9A" w:rsidP="009E2A9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  <w:r w:rsidRPr="00221BD9">
              <w:rPr>
                <w:rFonts w:ascii="Tahoma" w:hAnsi="Tahoma" w:cs="Tahoma"/>
                <w:sz w:val="16"/>
                <w:lang w:val="sr-Cyrl-CS"/>
              </w:rPr>
              <w:t>мр Сања Стојчевић Увалић</w:t>
            </w:r>
          </w:p>
          <w:p w:rsidR="009E2A9A" w:rsidRPr="00221BD9" w:rsidRDefault="0076768F" w:rsidP="009E2A9A">
            <w:pPr>
              <w:jc w:val="both"/>
              <w:rPr>
                <w:lang w:val="sr-Cyrl-BA"/>
              </w:rPr>
            </w:pPr>
            <w:hyperlink r:id="rId19" w:history="1"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sanja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stojcevic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@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proofErr w:type="spellStart"/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  <w:proofErr w:type="spellEnd"/>
            </w:hyperlink>
          </w:p>
          <w:p w:rsidR="009E2A9A" w:rsidRPr="00221BD9" w:rsidRDefault="009E2A9A" w:rsidP="009E2A9A">
            <w:pPr>
              <w:jc w:val="both"/>
              <w:rPr>
                <w:lang w:val="sr-Cyrl-BA"/>
              </w:rPr>
            </w:pPr>
          </w:p>
          <w:p w:rsidR="009E2A9A" w:rsidRPr="00221BD9" w:rsidRDefault="009E2A9A" w:rsidP="009E2A9A">
            <w:pPr>
              <w:jc w:val="both"/>
              <w:rPr>
                <w:lang w:val="sr-Cyrl-BA"/>
              </w:rPr>
            </w:pPr>
          </w:p>
          <w:p w:rsidR="009E2A9A" w:rsidRPr="00221BD9" w:rsidRDefault="009E2A9A" w:rsidP="009E2A9A">
            <w:pPr>
              <w:jc w:val="both"/>
              <w:rPr>
                <w:rFonts w:ascii="Tahoma" w:hAnsi="Tahoma" w:cs="Tahoma"/>
                <w:sz w:val="16"/>
                <w:lang w:val="sr-Cyrl-BA"/>
              </w:rPr>
            </w:pPr>
          </w:p>
          <w:p w:rsidR="009E2A9A" w:rsidRPr="00221BD9" w:rsidRDefault="009E2A9A" w:rsidP="009E2A9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</w:tbl>
    <w:p w:rsidR="009E2A9A" w:rsidRPr="00BC7CF8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FF0000"/>
          <w:sz w:val="16"/>
          <w:szCs w:val="16"/>
          <w:lang w:val="ru-RU"/>
        </w:rPr>
      </w:pPr>
    </w:p>
    <w:p w:rsidR="009E2A9A" w:rsidRPr="00B74EE9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sr-Cyrl-CS"/>
        </w:rPr>
      </w:pPr>
    </w:p>
    <w:tbl>
      <w:tblPr>
        <w:tblW w:w="10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46"/>
      </w:tblGrid>
      <w:tr w:rsidR="009E2A9A" w:rsidRPr="001225F9" w:rsidTr="009E2A9A">
        <w:trPr>
          <w:trHeight w:hRule="exact" w:val="1165"/>
          <w:jc w:val="center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</w:tcPr>
          <w:p w:rsidR="009E2A9A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1225F9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  <w:r w:rsidRPr="001225F9">
              <w:rPr>
                <w:rFonts w:ascii="Tahoma" w:hAnsi="Tahoma" w:cs="Tahoma"/>
                <w:b/>
                <w:lang w:val="sr-Cyrl-CS"/>
              </w:rPr>
              <w:t>ОБЈАШЊЕЊА ПОЈМОВА</w:t>
            </w:r>
          </w:p>
        </w:tc>
      </w:tr>
      <w:tr w:rsidR="009E2A9A" w:rsidRPr="001225F9" w:rsidTr="009E2A9A">
        <w:trPr>
          <w:trHeight w:hRule="exact" w:val="1025"/>
          <w:jc w:val="center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</w:tcPr>
          <w:p w:rsidR="009E2A9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  <w:r w:rsidRPr="001225F9">
              <w:rPr>
                <w:rFonts w:ascii="Tahoma" w:hAnsi="Tahoma" w:cs="Tahoma"/>
                <w:b/>
                <w:bCs/>
              </w:rPr>
              <w:sym w:font="Symbol" w:char="00C6"/>
            </w:r>
            <w:r w:rsidRPr="001225F9">
              <w:rPr>
                <w:rFonts w:ascii="Tahoma" w:hAnsi="Tahoma" w:cs="Tahoma"/>
                <w:b/>
                <w:bCs/>
                <w:sz w:val="28"/>
                <w:szCs w:val="28"/>
                <w:lang w:val="sr-Cyrl-CS"/>
              </w:rPr>
              <w:t xml:space="preserve"> </w:t>
            </w:r>
            <w:r w:rsidRPr="001225F9">
              <w:rPr>
                <w:rFonts w:ascii="Tahoma" w:hAnsi="Tahoma" w:cs="Tahoma"/>
                <w:bCs/>
                <w:sz w:val="16"/>
                <w:szCs w:val="16"/>
                <w:lang w:val="sr-Cyrl-CS"/>
              </w:rPr>
              <w:t>- просјек</w:t>
            </w:r>
          </w:p>
          <w:p w:rsidR="009E2A9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0B312E" w:rsidRDefault="000B312E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76768F" w:rsidRDefault="0076768F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76768F" w:rsidRDefault="0076768F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76768F" w:rsidRDefault="0076768F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0B312E" w:rsidRDefault="000B312E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0B312E" w:rsidRDefault="000B312E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9E2A9A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9E2A9A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76768F" w:rsidRDefault="0076768F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76768F" w:rsidRDefault="0076768F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76768F" w:rsidRDefault="0076768F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76768F" w:rsidRDefault="0076768F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76768F" w:rsidRDefault="0076768F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76768F" w:rsidRDefault="0076768F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76768F" w:rsidRDefault="0076768F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76768F" w:rsidRDefault="0076768F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76768F" w:rsidRDefault="0076768F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9E2A9A" w:rsidRPr="001225F9" w:rsidRDefault="0076768F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noProof/>
          <w:sz w:val="16"/>
        </w:rPr>
        <w:pict>
          <v:line id="_x0000_s1070" style="position:absolute;left:0;text-align:left;z-index:251666432" from="-.5pt,13.7pt" to="512.5pt,13.7pt" strokecolor="#376ea5" strokeweight="1.5pt"/>
        </w:pict>
      </w:r>
    </w:p>
    <w:tbl>
      <w:tblPr>
        <w:tblpPr w:leftFromText="180" w:rightFromText="180" w:vertAnchor="text" w:horzAnchor="margin" w:tblpXSpec="center" w:tblpY="84"/>
        <w:tblW w:w="10348" w:type="dxa"/>
        <w:tblLook w:val="01E0" w:firstRow="1" w:lastRow="1" w:firstColumn="1" w:lastColumn="1" w:noHBand="0" w:noVBand="0"/>
      </w:tblPr>
      <w:tblGrid>
        <w:gridCol w:w="10348"/>
      </w:tblGrid>
      <w:tr w:rsidR="009E2A9A" w:rsidRPr="001225F9" w:rsidTr="009E2A9A">
        <w:trPr>
          <w:trHeight w:hRule="exact" w:val="11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1225F9" w:rsidRDefault="009E2A9A" w:rsidP="009E2A9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9E2A9A" w:rsidRPr="001225F9" w:rsidTr="009E2A9A"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1225F9" w:rsidRDefault="009E2A9A" w:rsidP="009E2A9A">
            <w:pPr>
              <w:jc w:val="center"/>
              <w:rPr>
                <w:rFonts w:ascii="Tahoma" w:hAnsi="Tahoma" w:cs="Tahoma"/>
                <w:sz w:val="16"/>
                <w:szCs w:val="16"/>
                <w:lang w:val="sr-Latn-CS"/>
              </w:rPr>
            </w:pPr>
            <w:r w:rsidRPr="001225F9">
              <w:rPr>
                <w:rFonts w:ascii="Tahoma" w:hAnsi="Tahoma" w:cs="Tahoma"/>
                <w:sz w:val="16"/>
                <w:lang w:val="sr-Cyrl-CS"/>
              </w:rPr>
              <w:t>Саопш</w:t>
            </w:r>
            <w:proofErr w:type="spellStart"/>
            <w:r w:rsidRPr="001225F9">
              <w:rPr>
                <w:rFonts w:ascii="Tahoma" w:hAnsi="Tahoma" w:cs="Tahoma"/>
                <w:sz w:val="16"/>
              </w:rPr>
              <w:t>те</w:t>
            </w:r>
            <w:proofErr w:type="spellEnd"/>
            <w:r w:rsidRPr="001225F9">
              <w:rPr>
                <w:rFonts w:ascii="Tahoma" w:hAnsi="Tahoma" w:cs="Tahoma"/>
                <w:sz w:val="16"/>
                <w:lang w:val="sr-Cyrl-CS"/>
              </w:rPr>
              <w:t>њ</w:t>
            </w:r>
            <w:r w:rsidRPr="001225F9">
              <w:rPr>
                <w:rFonts w:ascii="Tahoma" w:hAnsi="Tahoma" w:cs="Tahoma"/>
                <w:sz w:val="16"/>
              </w:rPr>
              <w:t xml:space="preserve">е </w:t>
            </w:r>
            <w:r w:rsidRPr="001225F9">
              <w:rPr>
                <w:rFonts w:ascii="Tahoma" w:hAnsi="Tahoma" w:cs="Tahoma"/>
                <w:sz w:val="16"/>
                <w:lang w:val="sr-Cyrl-BA"/>
              </w:rPr>
              <w:t>припремило</w:t>
            </w:r>
            <w:r w:rsidRPr="001225F9">
              <w:rPr>
                <w:rFonts w:ascii="Tahoma" w:hAnsi="Tahoma" w:cs="Tahoma"/>
                <w:sz w:val="16"/>
              </w:rPr>
              <w:t xml:space="preserve"> </w:t>
            </w:r>
            <w:r w:rsidRPr="001225F9">
              <w:rPr>
                <w:rFonts w:ascii="Tahoma" w:hAnsi="Tahoma" w:cs="Tahoma"/>
                <w:sz w:val="16"/>
                <w:lang w:val="sr-Cyrl-CS"/>
              </w:rPr>
              <w:t>одјељење публикација</w:t>
            </w:r>
          </w:p>
        </w:tc>
      </w:tr>
      <w:tr w:rsidR="009E2A9A" w:rsidRPr="001225F9" w:rsidTr="009E2A9A">
        <w:trPr>
          <w:trHeight w:val="160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1225F9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 w:rsidRPr="001225F9">
              <w:rPr>
                <w:rFonts w:ascii="Tahoma" w:hAnsi="Tahoma" w:cs="Tahoma"/>
                <w:sz w:val="16"/>
                <w:lang w:val="ru-RU"/>
              </w:rPr>
              <w:t>Владан Сибиновић, начелник одјељења</w:t>
            </w:r>
          </w:p>
          <w:p w:rsidR="009E2A9A" w:rsidRPr="001225F9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 w:rsidRPr="001225F9">
              <w:rPr>
                <w:rFonts w:ascii="Tahoma" w:hAnsi="Tahoma" w:cs="Tahoma"/>
                <w:sz w:val="16"/>
                <w:lang w:val="ru-RU"/>
              </w:rPr>
              <w:t>Издаје Републички завод за статистику,</w:t>
            </w:r>
          </w:p>
          <w:p w:rsidR="009E2A9A" w:rsidRPr="001225F9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 w:rsidRPr="001225F9">
              <w:rPr>
                <w:rFonts w:ascii="Tahoma" w:hAnsi="Tahoma" w:cs="Tahoma"/>
                <w:sz w:val="16"/>
                <w:lang w:val="sr-Cyrl-CS"/>
              </w:rPr>
              <w:t xml:space="preserve">Република Српска, </w:t>
            </w:r>
            <w:r w:rsidRPr="001225F9">
              <w:rPr>
                <w:rFonts w:ascii="Tahoma" w:hAnsi="Tahoma" w:cs="Tahoma"/>
                <w:sz w:val="16"/>
                <w:lang w:val="ru-RU"/>
              </w:rPr>
              <w:t>Бања Лука, Вељка Млађеновића 12д</w:t>
            </w:r>
          </w:p>
          <w:p w:rsidR="009E2A9A" w:rsidRPr="001225F9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BA"/>
              </w:rPr>
            </w:pPr>
            <w:r w:rsidRPr="001225F9">
              <w:rPr>
                <w:rFonts w:ascii="Tahoma" w:hAnsi="Tahoma" w:cs="Tahoma"/>
                <w:sz w:val="16"/>
                <w:lang w:val="sr-Cyrl-CS"/>
              </w:rPr>
              <w:t>Др Радмила Чичковић, д</w:t>
            </w:r>
            <w:r w:rsidRPr="001225F9">
              <w:rPr>
                <w:rFonts w:ascii="Tahoma" w:hAnsi="Tahoma" w:cs="Tahoma"/>
                <w:sz w:val="16"/>
                <w:lang w:val="ru-RU"/>
              </w:rPr>
              <w:t>иректор</w:t>
            </w:r>
            <w:r w:rsidRPr="001225F9">
              <w:rPr>
                <w:rFonts w:ascii="Tahoma" w:hAnsi="Tahoma" w:cs="Tahoma"/>
                <w:sz w:val="16"/>
                <w:lang w:val="sr-Cyrl-BA"/>
              </w:rPr>
              <w:t xml:space="preserve"> Завода</w:t>
            </w:r>
          </w:p>
          <w:p w:rsidR="009E2A9A" w:rsidRPr="001225F9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CS"/>
              </w:rPr>
            </w:pPr>
            <w:r w:rsidRPr="001225F9">
              <w:rPr>
                <w:rFonts w:ascii="Tahoma" w:hAnsi="Tahoma" w:cs="Tahoma"/>
                <w:sz w:val="16"/>
                <w:lang w:val="sr-Cyrl-CS"/>
              </w:rPr>
              <w:t>Саопштење је обја</w:t>
            </w:r>
            <w:bookmarkStart w:id="0" w:name="_GoBack"/>
            <w:bookmarkEnd w:id="0"/>
            <w:r w:rsidRPr="001225F9">
              <w:rPr>
                <w:rFonts w:ascii="Tahoma" w:hAnsi="Tahoma" w:cs="Tahoma"/>
                <w:sz w:val="16"/>
                <w:lang w:val="sr-Cyrl-CS"/>
              </w:rPr>
              <w:t xml:space="preserve">вљено на Интернету, на адреси: </w:t>
            </w:r>
            <w:r w:rsidRPr="001225F9">
              <w:rPr>
                <w:rFonts w:ascii="Tahoma" w:hAnsi="Tahoma" w:cs="Tahoma"/>
                <w:sz w:val="16"/>
                <w:szCs w:val="16"/>
                <w:lang w:val="fr-FR"/>
              </w:rPr>
              <w:t>www</w:t>
            </w:r>
            <w:r w:rsidRPr="001225F9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proofErr w:type="spellStart"/>
            <w:r w:rsidRPr="001225F9">
              <w:rPr>
                <w:rFonts w:ascii="Tahoma" w:hAnsi="Tahoma" w:cs="Tahoma"/>
                <w:sz w:val="16"/>
                <w:szCs w:val="16"/>
                <w:lang w:val="fr-FR"/>
              </w:rPr>
              <w:t>rzs</w:t>
            </w:r>
            <w:proofErr w:type="spellEnd"/>
            <w:r w:rsidRPr="001225F9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proofErr w:type="spellStart"/>
            <w:r w:rsidRPr="001225F9">
              <w:rPr>
                <w:rFonts w:ascii="Tahoma" w:hAnsi="Tahoma" w:cs="Tahoma"/>
                <w:sz w:val="16"/>
                <w:szCs w:val="16"/>
                <w:lang w:val="fr-FR"/>
              </w:rPr>
              <w:t>rs</w:t>
            </w:r>
            <w:proofErr w:type="spellEnd"/>
            <w:r w:rsidRPr="001225F9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proofErr w:type="spellStart"/>
            <w:r w:rsidRPr="001225F9">
              <w:rPr>
                <w:rFonts w:ascii="Tahoma" w:hAnsi="Tahoma" w:cs="Tahoma"/>
                <w:sz w:val="16"/>
                <w:szCs w:val="16"/>
                <w:lang w:val="fr-FR"/>
              </w:rPr>
              <w:t>ba</w:t>
            </w:r>
            <w:proofErr w:type="spellEnd"/>
          </w:p>
          <w:p w:rsidR="009E2A9A" w:rsidRPr="001225F9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CS"/>
              </w:rPr>
            </w:pPr>
            <w:r w:rsidRPr="001225F9">
              <w:rPr>
                <w:rFonts w:ascii="Tahoma" w:hAnsi="Tahoma" w:cs="Tahoma"/>
                <w:sz w:val="16"/>
                <w:lang w:val="ru-RU"/>
              </w:rPr>
              <w:t>тел. +387 51 </w:t>
            </w:r>
            <w:r w:rsidRPr="001225F9">
              <w:rPr>
                <w:rFonts w:ascii="Tahoma" w:hAnsi="Tahoma" w:cs="Tahoma"/>
                <w:sz w:val="16"/>
                <w:szCs w:val="16"/>
                <w:lang w:val="ru-RU"/>
              </w:rPr>
              <w:t>332 700</w:t>
            </w:r>
            <w:r w:rsidRPr="001225F9">
              <w:rPr>
                <w:rFonts w:ascii="Tahoma" w:hAnsi="Tahoma" w:cs="Tahoma"/>
                <w:sz w:val="16"/>
                <w:lang w:val="sr-Cyrl-CS"/>
              </w:rPr>
              <w:t xml:space="preserve">; </w:t>
            </w:r>
            <w:r w:rsidRPr="001225F9">
              <w:rPr>
                <w:rFonts w:ascii="Tahoma" w:hAnsi="Tahoma" w:cs="Tahoma"/>
                <w:sz w:val="16"/>
                <w:szCs w:val="16"/>
                <w:lang w:val="pt-BR"/>
              </w:rPr>
              <w:t>E</w:t>
            </w:r>
            <w:r w:rsidRPr="001225F9">
              <w:rPr>
                <w:rFonts w:ascii="Tahoma" w:hAnsi="Tahoma" w:cs="Tahoma"/>
                <w:sz w:val="16"/>
                <w:szCs w:val="16"/>
                <w:lang w:val="ru-RU"/>
              </w:rPr>
              <w:t>-</w:t>
            </w:r>
            <w:r w:rsidRPr="001225F9">
              <w:rPr>
                <w:rFonts w:ascii="Tahoma" w:hAnsi="Tahoma" w:cs="Tahoma"/>
                <w:sz w:val="16"/>
                <w:szCs w:val="16"/>
                <w:lang w:val="pt-BR"/>
              </w:rPr>
              <w:t>mail</w:t>
            </w:r>
            <w:r w:rsidRPr="001225F9">
              <w:rPr>
                <w:rFonts w:ascii="Tahoma" w:hAnsi="Tahoma" w:cs="Tahoma"/>
                <w:sz w:val="16"/>
                <w:szCs w:val="16"/>
                <w:lang w:val="ru-RU"/>
              </w:rPr>
              <w:t xml:space="preserve">: </w:t>
            </w:r>
            <w:hyperlink r:id="rId20" w:history="1">
              <w:r w:rsidRPr="001225F9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stat</w:t>
              </w:r>
              <w:r w:rsidRPr="001225F9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@</w:t>
              </w:r>
              <w:r w:rsidRPr="001225F9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rzs</w:t>
              </w:r>
              <w:r w:rsidRPr="001225F9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.</w:t>
              </w:r>
              <w:r w:rsidRPr="001225F9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rs</w:t>
              </w:r>
              <w:r w:rsidRPr="001225F9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.</w:t>
              </w:r>
              <w:r w:rsidRPr="001225F9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ba</w:t>
              </w:r>
            </w:hyperlink>
          </w:p>
          <w:p w:rsidR="009E2A9A" w:rsidRPr="001225F9" w:rsidRDefault="009E2A9A" w:rsidP="009E2A9A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9E2A9A" w:rsidRPr="001225F9" w:rsidRDefault="009E2A9A" w:rsidP="009E2A9A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Tahoma" w:hAnsi="Tahoma" w:cs="Tahoma"/>
                <w:b/>
                <w:bCs/>
                <w:sz w:val="16"/>
                <w:szCs w:val="18"/>
                <w:lang w:val="ru-RU"/>
              </w:rPr>
            </w:pPr>
            <w:r w:rsidRPr="001225F9">
              <w:rPr>
                <w:rFonts w:ascii="Tahoma" w:hAnsi="Tahoma" w:cs="Tahoma"/>
                <w:b/>
                <w:bCs/>
                <w:sz w:val="16"/>
                <w:lang w:val="ru-RU"/>
              </w:rPr>
              <w:t>Приликом кориш</w:t>
            </w:r>
            <w:r w:rsidRPr="001225F9">
              <w:rPr>
                <w:rFonts w:ascii="Tahoma" w:hAnsi="Tahoma" w:cs="Tahoma"/>
                <w:b/>
                <w:bCs/>
                <w:sz w:val="16"/>
                <w:lang w:val="sr-Cyrl-CS"/>
              </w:rPr>
              <w:t>ћ</w:t>
            </w:r>
            <w:r w:rsidRPr="001225F9">
              <w:rPr>
                <w:rFonts w:ascii="Tahoma" w:hAnsi="Tahoma" w:cs="Tahoma"/>
                <w:b/>
                <w:bCs/>
                <w:sz w:val="16"/>
                <w:lang w:val="ru-RU"/>
              </w:rPr>
              <w:t>ења података обавезно навести извор</w:t>
            </w:r>
          </w:p>
        </w:tc>
      </w:tr>
    </w:tbl>
    <w:p w:rsidR="009E2A9A" w:rsidRPr="001225F9" w:rsidRDefault="0076768F" w:rsidP="009E2A9A">
      <w:pPr>
        <w:rPr>
          <w:rFonts w:ascii="Tahoma" w:hAnsi="Tahoma" w:cs="Tahoma"/>
          <w:lang w:val="sr-Cyrl-BA"/>
        </w:rPr>
      </w:pPr>
      <w:r>
        <w:rPr>
          <w:rFonts w:ascii="Tahoma" w:hAnsi="Tahoma" w:cs="Tahoma"/>
          <w:noProof/>
          <w:lang w:val="bs-Latn-BA" w:eastAsia="bs-Latn-BA"/>
        </w:rPr>
        <w:pict>
          <v:line id="_x0000_s1071" style="position:absolute;z-index:251667456;mso-position-horizontal-relative:text;mso-position-vertical-relative:text" from="-2.5pt,108.2pt" to="510.5pt,108.2pt" strokecolor="#376ea5" strokeweight="1.5pt"/>
        </w:pict>
      </w:r>
    </w:p>
    <w:p w:rsidR="009E2A9A" w:rsidRDefault="009E2A9A" w:rsidP="008F2385">
      <w:pPr>
        <w:jc w:val="both"/>
        <w:rPr>
          <w:rFonts w:ascii="Tahoma" w:hAnsi="Tahoma" w:cs="Tahoma"/>
          <w:bCs/>
          <w:lang w:val="sr-Latn-CS"/>
        </w:rPr>
      </w:pPr>
    </w:p>
    <w:p w:rsidR="009E2A9A" w:rsidRPr="009E2A9A" w:rsidRDefault="009E2A9A" w:rsidP="009E2A9A">
      <w:pPr>
        <w:rPr>
          <w:rFonts w:ascii="Tahoma" w:hAnsi="Tahoma" w:cs="Tahoma"/>
          <w:lang w:val="sr-Latn-CS"/>
        </w:rPr>
      </w:pPr>
    </w:p>
    <w:p w:rsidR="009E2A9A" w:rsidRPr="009E2A9A" w:rsidRDefault="009E2A9A" w:rsidP="009E2A9A">
      <w:pPr>
        <w:rPr>
          <w:rFonts w:ascii="Tahoma" w:hAnsi="Tahoma" w:cs="Tahoma"/>
          <w:lang w:val="sr-Latn-CS"/>
        </w:rPr>
      </w:pPr>
    </w:p>
    <w:p w:rsidR="009E2A9A" w:rsidRPr="009E2A9A" w:rsidRDefault="009E2A9A" w:rsidP="009E2A9A">
      <w:pPr>
        <w:rPr>
          <w:rFonts w:ascii="Tahoma" w:hAnsi="Tahoma" w:cs="Tahoma"/>
          <w:lang w:val="sr-Latn-CS"/>
        </w:rPr>
      </w:pPr>
    </w:p>
    <w:p w:rsidR="009E2A9A" w:rsidRPr="009E2A9A" w:rsidRDefault="009E2A9A" w:rsidP="009E2A9A">
      <w:pPr>
        <w:rPr>
          <w:rFonts w:ascii="Tahoma" w:hAnsi="Tahoma" w:cs="Tahoma"/>
          <w:lang w:val="sr-Latn-CS"/>
        </w:rPr>
      </w:pPr>
    </w:p>
    <w:p w:rsidR="00DB6D76" w:rsidRPr="00221BD9" w:rsidRDefault="00DB6D76" w:rsidP="009E2A9A">
      <w:pPr>
        <w:jc w:val="both"/>
        <w:rPr>
          <w:rFonts w:ascii="Tahoma" w:hAnsi="Tahoma" w:cs="Tahoma"/>
          <w:bCs/>
          <w:sz w:val="18"/>
          <w:szCs w:val="18"/>
          <w:lang w:val="sr-Cyrl-BA"/>
        </w:rPr>
      </w:pPr>
    </w:p>
    <w:sectPr w:rsidR="00DB6D76" w:rsidRPr="00221BD9" w:rsidSect="0076768F">
      <w:headerReference w:type="default" r:id="rId21"/>
      <w:footerReference w:type="default" r:id="rId22"/>
      <w:footerReference w:type="first" r:id="rId23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A9A" w:rsidRDefault="009E2A9A">
      <w:r>
        <w:separator/>
      </w:r>
    </w:p>
  </w:endnote>
  <w:endnote w:type="continuationSeparator" w:id="0">
    <w:p w:rsidR="009E2A9A" w:rsidRDefault="009E2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68F" w:rsidRDefault="0076768F" w:rsidP="0076768F">
    <w:pPr>
      <w:pStyle w:val="Footer"/>
      <w:jc w:val="center"/>
    </w:pPr>
    <w:r>
      <w:rPr>
        <w:noProof/>
      </w:rPr>
      <w:pict>
        <v:group id="_x0000_s2068" style="position:absolute;left:0;text-align:left;margin-left:299.55pt;margin-top:16.85pt;width:22.45pt;height:18.25pt;z-index:251659776;mso-position-horizontal-relative:page" coordorigin="5729,16224" coordsize="449,365">
          <v:group id="_x0000_s2069" style="position:absolute;left:5753;top:16224;width:401;height:365;mso-position-horizontal:center;mso-position-horizontal-relative:page" coordorigin="5663,16158" coordsize="401,365">
            <v:rect id="_x0000_s2070" style="position:absolute;left:5663;top:16158;width:401;height:313" fillcolor="#bfbfbf" strokecolor="#bfbfbf"/>
            <v:rect id="_x0000_s2071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72" type="#_x0000_t202" style="position:absolute;left:5729;top:16236;width:449;height:301;mso-position-horizontal:center;mso-position-horizontal-relative:page;v-text-anchor:bottom" filled="f" stroked="f">
            <v:textbox style="mso-next-textbox:#_x0000_s2072" inset="4.32pt,0,4.32pt,0">
              <w:txbxContent>
                <w:p w:rsidR="0076768F" w:rsidRPr="00175687" w:rsidRDefault="0076768F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color w:val="FFFFFF"/>
                    </w:rPr>
                    <w:t>7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A9A" w:rsidRDefault="0076768F" w:rsidP="0076768F">
    <w:pPr>
      <w:pStyle w:val="Footer"/>
      <w:jc w:val="center"/>
    </w:pPr>
    <w:r>
      <w:rPr>
        <w:noProof/>
      </w:rPr>
      <w:pict>
        <v:group id="_x0000_s2063" style="position:absolute;left:0;text-align:left;margin-left:287.55pt;margin-top:17.95pt;width:22.45pt;height:18.25pt;z-index:251658752;mso-position-horizontal-relative:page" coordorigin="5729,16224" coordsize="449,365">
          <v:group id="_x0000_s2064" style="position:absolute;left:5753;top:16224;width:401;height:365;mso-position-horizontal:center;mso-position-horizontal-relative:page" coordorigin="5663,16158" coordsize="401,365">
            <v:rect id="_x0000_s2065" style="position:absolute;left:5663;top:16158;width:401;height:313" fillcolor="#bfbfbf" strokecolor="#bfbfbf"/>
            <v:rect id="_x0000_s2066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left:5729;top:16236;width:449;height:301;mso-position-horizontal:center;mso-position-horizontal-relative:page;v-text-anchor:bottom" filled="f" stroked="f">
            <v:textbox style="mso-next-textbox:#_x0000_s2067" inset="4.32pt,0,4.32pt,0">
              <w:txbxContent>
                <w:p w:rsidR="0076768F" w:rsidRPr="00175687" w:rsidRDefault="0076768F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color w:val="FFFFFF"/>
                    </w:rPr>
                    <w:t>1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A9A" w:rsidRDefault="009E2A9A">
      <w:r>
        <w:separator/>
      </w:r>
    </w:p>
  </w:footnote>
  <w:footnote w:type="continuationSeparator" w:id="0">
    <w:p w:rsidR="009E2A9A" w:rsidRDefault="009E2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75"/>
      <w:gridCol w:w="7062"/>
    </w:tblGrid>
    <w:tr w:rsidR="009E2A9A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9E2A9A" w:rsidRDefault="009E2A9A" w:rsidP="006E56EA">
          <w:pPr>
            <w:pStyle w:val="Header"/>
            <w:jc w:val="both"/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</w:pPr>
          <w:r w:rsidRPr="00E34FA2"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  <w:t>Републички завод за статистику</w:t>
          </w:r>
        </w:p>
        <w:p w:rsidR="009E2A9A" w:rsidRPr="00460A5B" w:rsidRDefault="009E2A9A" w:rsidP="00E34FA2">
          <w:pPr>
            <w:pStyle w:val="Header"/>
            <w:rPr>
              <w:color w:val="FFFFFF"/>
              <w:lang w:val="ru-RU"/>
            </w:rPr>
          </w:pPr>
          <w:r w:rsidRPr="002B0900">
            <w:rPr>
              <w:rFonts w:ascii="Tahoma" w:hAnsi="Tahoma" w:cs="Tahoma"/>
              <w:b/>
              <w:color w:val="FFFFFF"/>
              <w:lang w:val="sr-Cyrl-BA"/>
            </w:rPr>
            <w:t>САОПШТЕЊЕ ЗА МЕДИЈЕ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9E2A9A" w:rsidRPr="005D5311" w:rsidRDefault="009E2A9A" w:rsidP="001225F9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8F3819">
            <w:rPr>
              <w:rFonts w:ascii="Tahoma" w:hAnsi="Tahoma" w:cs="Tahoma"/>
              <w:color w:val="0070C0"/>
              <w:sz w:val="16"/>
              <w:lang w:val="sr-Cyrl-BA"/>
            </w:rPr>
            <w:t>[</w:t>
          </w:r>
          <w:r>
            <w:rPr>
              <w:rFonts w:ascii="Tahoma" w:hAnsi="Tahoma" w:cs="Tahoma"/>
              <w:color w:val="0070C0"/>
              <w:sz w:val="16"/>
              <w:lang w:val="sr-Cyrl-BA"/>
            </w:rPr>
            <w:t>22</w:t>
          </w:r>
          <w:r>
            <w:rPr>
              <w:rFonts w:ascii="Tahoma" w:hAnsi="Tahoma" w:cs="Tahoma"/>
              <w:color w:val="0070C0"/>
              <w:sz w:val="16"/>
              <w:lang w:val="bs-Cyrl-BA"/>
            </w:rPr>
            <w:t>. април</w:t>
          </w:r>
          <w:r>
            <w:rPr>
              <w:rFonts w:ascii="Tahoma" w:hAnsi="Tahoma" w:cs="Tahoma"/>
              <w:color w:val="0070C0"/>
              <w:sz w:val="16"/>
              <w:lang w:val="sr-Cyrl-BA"/>
            </w:rPr>
            <w:t xml:space="preserve"> 2013</w:t>
          </w:r>
          <w:r w:rsidRPr="008F3819">
            <w:rPr>
              <w:rFonts w:ascii="Tahoma" w:hAnsi="Tahoma" w:cs="Tahoma"/>
              <w:color w:val="0070C0"/>
              <w:sz w:val="16"/>
              <w:lang w:val="sr-Cyrl-BA"/>
            </w:rPr>
            <w:t xml:space="preserve">.]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>4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>/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>13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9E2A9A" w:rsidRDefault="0076768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w:pict>
        <v:line id="_x0000_s2051" style="position:absolute;z-index:251657728;mso-position-horizontal-relative:text;mso-position-vertical-relative:text" from="-6pt,-.3pt" to="515.45pt,-.3pt" strokecolor="#376ea5" strokeweight="1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73">
      <o:colormru v:ext="edit" colors="#963,#969696,#777"/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B1"/>
    <w:rsid w:val="00002914"/>
    <w:rsid w:val="00002BA6"/>
    <w:rsid w:val="00003366"/>
    <w:rsid w:val="0000385A"/>
    <w:rsid w:val="00003DB0"/>
    <w:rsid w:val="0000448E"/>
    <w:rsid w:val="00004492"/>
    <w:rsid w:val="0000602C"/>
    <w:rsid w:val="00006133"/>
    <w:rsid w:val="0000686C"/>
    <w:rsid w:val="000068FA"/>
    <w:rsid w:val="0000692F"/>
    <w:rsid w:val="00006A69"/>
    <w:rsid w:val="00006F97"/>
    <w:rsid w:val="00007602"/>
    <w:rsid w:val="0000773B"/>
    <w:rsid w:val="00007BAD"/>
    <w:rsid w:val="00007CC8"/>
    <w:rsid w:val="00007DDC"/>
    <w:rsid w:val="00010078"/>
    <w:rsid w:val="00010581"/>
    <w:rsid w:val="0001097F"/>
    <w:rsid w:val="000110A0"/>
    <w:rsid w:val="00013C1D"/>
    <w:rsid w:val="00016342"/>
    <w:rsid w:val="00016ABE"/>
    <w:rsid w:val="00016B4C"/>
    <w:rsid w:val="00017392"/>
    <w:rsid w:val="00017432"/>
    <w:rsid w:val="00017E51"/>
    <w:rsid w:val="00017F05"/>
    <w:rsid w:val="00020495"/>
    <w:rsid w:val="0002095E"/>
    <w:rsid w:val="000209A8"/>
    <w:rsid w:val="000209D4"/>
    <w:rsid w:val="00020E19"/>
    <w:rsid w:val="000226F2"/>
    <w:rsid w:val="000227FB"/>
    <w:rsid w:val="00022A35"/>
    <w:rsid w:val="00022C48"/>
    <w:rsid w:val="00022F99"/>
    <w:rsid w:val="0002360C"/>
    <w:rsid w:val="00023649"/>
    <w:rsid w:val="00023721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A26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858"/>
    <w:rsid w:val="000328B8"/>
    <w:rsid w:val="00032F8D"/>
    <w:rsid w:val="000337C4"/>
    <w:rsid w:val="000339BC"/>
    <w:rsid w:val="0003415D"/>
    <w:rsid w:val="000352E4"/>
    <w:rsid w:val="0003576D"/>
    <w:rsid w:val="00035F0F"/>
    <w:rsid w:val="00036B69"/>
    <w:rsid w:val="000377E5"/>
    <w:rsid w:val="000378BC"/>
    <w:rsid w:val="00040A66"/>
    <w:rsid w:val="000416CE"/>
    <w:rsid w:val="00042CEF"/>
    <w:rsid w:val="00042D44"/>
    <w:rsid w:val="00042F45"/>
    <w:rsid w:val="00042FCA"/>
    <w:rsid w:val="000435D0"/>
    <w:rsid w:val="000438A7"/>
    <w:rsid w:val="00043B2F"/>
    <w:rsid w:val="00044205"/>
    <w:rsid w:val="00044D24"/>
    <w:rsid w:val="00045665"/>
    <w:rsid w:val="00045BC2"/>
    <w:rsid w:val="0004709E"/>
    <w:rsid w:val="0004724E"/>
    <w:rsid w:val="00047312"/>
    <w:rsid w:val="00050308"/>
    <w:rsid w:val="00050450"/>
    <w:rsid w:val="00050457"/>
    <w:rsid w:val="00051051"/>
    <w:rsid w:val="00051B7E"/>
    <w:rsid w:val="00051C70"/>
    <w:rsid w:val="00051F9C"/>
    <w:rsid w:val="00052187"/>
    <w:rsid w:val="00052327"/>
    <w:rsid w:val="00052502"/>
    <w:rsid w:val="00052AA1"/>
    <w:rsid w:val="00053355"/>
    <w:rsid w:val="00053FAA"/>
    <w:rsid w:val="000542A7"/>
    <w:rsid w:val="0005459B"/>
    <w:rsid w:val="0005460E"/>
    <w:rsid w:val="00054CE7"/>
    <w:rsid w:val="000556C9"/>
    <w:rsid w:val="00055E53"/>
    <w:rsid w:val="0005615D"/>
    <w:rsid w:val="00056965"/>
    <w:rsid w:val="00056D41"/>
    <w:rsid w:val="0005752C"/>
    <w:rsid w:val="00057892"/>
    <w:rsid w:val="00057981"/>
    <w:rsid w:val="00057C57"/>
    <w:rsid w:val="00057D94"/>
    <w:rsid w:val="00060C1B"/>
    <w:rsid w:val="00060E42"/>
    <w:rsid w:val="00061647"/>
    <w:rsid w:val="000618BA"/>
    <w:rsid w:val="00061DA8"/>
    <w:rsid w:val="00061E95"/>
    <w:rsid w:val="0006275F"/>
    <w:rsid w:val="0006287B"/>
    <w:rsid w:val="000631AE"/>
    <w:rsid w:val="0006323A"/>
    <w:rsid w:val="00063B90"/>
    <w:rsid w:val="00063EEF"/>
    <w:rsid w:val="000643ED"/>
    <w:rsid w:val="0006449C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7B4"/>
    <w:rsid w:val="00067A4F"/>
    <w:rsid w:val="00070140"/>
    <w:rsid w:val="00070149"/>
    <w:rsid w:val="00072832"/>
    <w:rsid w:val="000728BB"/>
    <w:rsid w:val="0007308C"/>
    <w:rsid w:val="0007340D"/>
    <w:rsid w:val="00073AB3"/>
    <w:rsid w:val="00073DC1"/>
    <w:rsid w:val="00074A77"/>
    <w:rsid w:val="00075147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720D"/>
    <w:rsid w:val="000772BC"/>
    <w:rsid w:val="00077386"/>
    <w:rsid w:val="00077637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21CB"/>
    <w:rsid w:val="00082C41"/>
    <w:rsid w:val="00082D67"/>
    <w:rsid w:val="00082FC9"/>
    <w:rsid w:val="00083276"/>
    <w:rsid w:val="00083569"/>
    <w:rsid w:val="00083B51"/>
    <w:rsid w:val="000843D4"/>
    <w:rsid w:val="00084D1F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4168"/>
    <w:rsid w:val="0009476B"/>
    <w:rsid w:val="0009483B"/>
    <w:rsid w:val="00094E6E"/>
    <w:rsid w:val="00095132"/>
    <w:rsid w:val="0009552F"/>
    <w:rsid w:val="00095985"/>
    <w:rsid w:val="000959BA"/>
    <w:rsid w:val="00095AC9"/>
    <w:rsid w:val="00095F66"/>
    <w:rsid w:val="000960E4"/>
    <w:rsid w:val="000966FD"/>
    <w:rsid w:val="00096D69"/>
    <w:rsid w:val="000971CB"/>
    <w:rsid w:val="0009752B"/>
    <w:rsid w:val="00097E2F"/>
    <w:rsid w:val="00097EA2"/>
    <w:rsid w:val="00097EF8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7FC"/>
    <w:rsid w:val="000B1836"/>
    <w:rsid w:val="000B1B84"/>
    <w:rsid w:val="000B21DF"/>
    <w:rsid w:val="000B2264"/>
    <w:rsid w:val="000B24C4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E52"/>
    <w:rsid w:val="000C4147"/>
    <w:rsid w:val="000C478D"/>
    <w:rsid w:val="000C4E02"/>
    <w:rsid w:val="000C6A1A"/>
    <w:rsid w:val="000C6B72"/>
    <w:rsid w:val="000C7878"/>
    <w:rsid w:val="000C7A83"/>
    <w:rsid w:val="000C7AFA"/>
    <w:rsid w:val="000C7B20"/>
    <w:rsid w:val="000C7C89"/>
    <w:rsid w:val="000C7E48"/>
    <w:rsid w:val="000D03D6"/>
    <w:rsid w:val="000D07BD"/>
    <w:rsid w:val="000D0B89"/>
    <w:rsid w:val="000D1198"/>
    <w:rsid w:val="000D1B34"/>
    <w:rsid w:val="000D1F6D"/>
    <w:rsid w:val="000D2185"/>
    <w:rsid w:val="000D2420"/>
    <w:rsid w:val="000D2561"/>
    <w:rsid w:val="000D2C8E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738"/>
    <w:rsid w:val="000D7FBE"/>
    <w:rsid w:val="000E0B81"/>
    <w:rsid w:val="000E0CC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579"/>
    <w:rsid w:val="000E3EBB"/>
    <w:rsid w:val="000E4F4D"/>
    <w:rsid w:val="000E53BA"/>
    <w:rsid w:val="000E54E7"/>
    <w:rsid w:val="000E5D2E"/>
    <w:rsid w:val="000E6068"/>
    <w:rsid w:val="000E660D"/>
    <w:rsid w:val="000E7180"/>
    <w:rsid w:val="000E720C"/>
    <w:rsid w:val="000E7ABD"/>
    <w:rsid w:val="000E7C83"/>
    <w:rsid w:val="000E7FE3"/>
    <w:rsid w:val="000F0E12"/>
    <w:rsid w:val="000F0E43"/>
    <w:rsid w:val="000F0FB0"/>
    <w:rsid w:val="000F1185"/>
    <w:rsid w:val="000F1EDA"/>
    <w:rsid w:val="000F2712"/>
    <w:rsid w:val="000F27B9"/>
    <w:rsid w:val="000F2FBE"/>
    <w:rsid w:val="000F4DE8"/>
    <w:rsid w:val="000F5794"/>
    <w:rsid w:val="000F5F23"/>
    <w:rsid w:val="000F5F69"/>
    <w:rsid w:val="000F6DEC"/>
    <w:rsid w:val="000F6E1C"/>
    <w:rsid w:val="000F6F19"/>
    <w:rsid w:val="000F7338"/>
    <w:rsid w:val="000F78E1"/>
    <w:rsid w:val="000F7922"/>
    <w:rsid w:val="00100507"/>
    <w:rsid w:val="0010093D"/>
    <w:rsid w:val="00100D7F"/>
    <w:rsid w:val="0010157F"/>
    <w:rsid w:val="00102240"/>
    <w:rsid w:val="0010254C"/>
    <w:rsid w:val="0010279D"/>
    <w:rsid w:val="0010285B"/>
    <w:rsid w:val="00102975"/>
    <w:rsid w:val="00102D95"/>
    <w:rsid w:val="001031CA"/>
    <w:rsid w:val="001037C6"/>
    <w:rsid w:val="00103B20"/>
    <w:rsid w:val="001046CD"/>
    <w:rsid w:val="00104805"/>
    <w:rsid w:val="00104CCC"/>
    <w:rsid w:val="0010528B"/>
    <w:rsid w:val="001053AA"/>
    <w:rsid w:val="0010606C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33B"/>
    <w:rsid w:val="00111BA9"/>
    <w:rsid w:val="001121BE"/>
    <w:rsid w:val="001121DC"/>
    <w:rsid w:val="0011255B"/>
    <w:rsid w:val="00112BD9"/>
    <w:rsid w:val="00112C54"/>
    <w:rsid w:val="00113CFD"/>
    <w:rsid w:val="00114426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2009F"/>
    <w:rsid w:val="00120CF2"/>
    <w:rsid w:val="00120DC7"/>
    <w:rsid w:val="00121006"/>
    <w:rsid w:val="001212B2"/>
    <w:rsid w:val="00121D87"/>
    <w:rsid w:val="00121D96"/>
    <w:rsid w:val="001225F9"/>
    <w:rsid w:val="0012313C"/>
    <w:rsid w:val="0012327F"/>
    <w:rsid w:val="0012365C"/>
    <w:rsid w:val="00123781"/>
    <w:rsid w:val="0012395D"/>
    <w:rsid w:val="001240AE"/>
    <w:rsid w:val="001245D5"/>
    <w:rsid w:val="00124B9C"/>
    <w:rsid w:val="00125074"/>
    <w:rsid w:val="00125B22"/>
    <w:rsid w:val="00125E3D"/>
    <w:rsid w:val="00126A82"/>
    <w:rsid w:val="00126D11"/>
    <w:rsid w:val="00126D59"/>
    <w:rsid w:val="001279DD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656"/>
    <w:rsid w:val="001336C0"/>
    <w:rsid w:val="00133944"/>
    <w:rsid w:val="00133A21"/>
    <w:rsid w:val="00133CDB"/>
    <w:rsid w:val="001342E2"/>
    <w:rsid w:val="001343EF"/>
    <w:rsid w:val="00134484"/>
    <w:rsid w:val="00134E6F"/>
    <w:rsid w:val="001359AE"/>
    <w:rsid w:val="001361D7"/>
    <w:rsid w:val="001364A2"/>
    <w:rsid w:val="001364A4"/>
    <w:rsid w:val="00136588"/>
    <w:rsid w:val="001369A5"/>
    <w:rsid w:val="00136EF9"/>
    <w:rsid w:val="00137550"/>
    <w:rsid w:val="00137B14"/>
    <w:rsid w:val="00140ADF"/>
    <w:rsid w:val="00140BD9"/>
    <w:rsid w:val="00140D14"/>
    <w:rsid w:val="0014123A"/>
    <w:rsid w:val="0014136B"/>
    <w:rsid w:val="001413CF"/>
    <w:rsid w:val="001413D4"/>
    <w:rsid w:val="001418DE"/>
    <w:rsid w:val="00141B7D"/>
    <w:rsid w:val="00141D73"/>
    <w:rsid w:val="0014209C"/>
    <w:rsid w:val="0014255E"/>
    <w:rsid w:val="0014255F"/>
    <w:rsid w:val="00142E55"/>
    <w:rsid w:val="001431EA"/>
    <w:rsid w:val="001434C5"/>
    <w:rsid w:val="00143A64"/>
    <w:rsid w:val="00144036"/>
    <w:rsid w:val="00144A3E"/>
    <w:rsid w:val="001454C5"/>
    <w:rsid w:val="00145B6B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3234"/>
    <w:rsid w:val="00153934"/>
    <w:rsid w:val="0015431F"/>
    <w:rsid w:val="00154BE7"/>
    <w:rsid w:val="00154D02"/>
    <w:rsid w:val="00155AC7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7D"/>
    <w:rsid w:val="00161776"/>
    <w:rsid w:val="001617A5"/>
    <w:rsid w:val="00161921"/>
    <w:rsid w:val="00161B6A"/>
    <w:rsid w:val="00162629"/>
    <w:rsid w:val="00162B49"/>
    <w:rsid w:val="001631DD"/>
    <w:rsid w:val="00163556"/>
    <w:rsid w:val="00163595"/>
    <w:rsid w:val="00163A9B"/>
    <w:rsid w:val="00164E59"/>
    <w:rsid w:val="001655F9"/>
    <w:rsid w:val="0016574C"/>
    <w:rsid w:val="001658E6"/>
    <w:rsid w:val="001658F6"/>
    <w:rsid w:val="00165B0F"/>
    <w:rsid w:val="00165FE9"/>
    <w:rsid w:val="001664E5"/>
    <w:rsid w:val="00166C85"/>
    <w:rsid w:val="00167333"/>
    <w:rsid w:val="001700D8"/>
    <w:rsid w:val="001702DD"/>
    <w:rsid w:val="001704AA"/>
    <w:rsid w:val="0017077B"/>
    <w:rsid w:val="00171CD1"/>
    <w:rsid w:val="00172A89"/>
    <w:rsid w:val="0017306E"/>
    <w:rsid w:val="0017378C"/>
    <w:rsid w:val="001738F6"/>
    <w:rsid w:val="00173B0A"/>
    <w:rsid w:val="001740AE"/>
    <w:rsid w:val="00174435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D8D"/>
    <w:rsid w:val="00180436"/>
    <w:rsid w:val="00180905"/>
    <w:rsid w:val="00180BB1"/>
    <w:rsid w:val="00180F8A"/>
    <w:rsid w:val="001810DB"/>
    <w:rsid w:val="00181861"/>
    <w:rsid w:val="00181A98"/>
    <w:rsid w:val="00181E28"/>
    <w:rsid w:val="00181FFB"/>
    <w:rsid w:val="00182073"/>
    <w:rsid w:val="001825BC"/>
    <w:rsid w:val="00182CDB"/>
    <w:rsid w:val="0018317D"/>
    <w:rsid w:val="00183F3E"/>
    <w:rsid w:val="00183FBA"/>
    <w:rsid w:val="001845F2"/>
    <w:rsid w:val="00184CE0"/>
    <w:rsid w:val="00185169"/>
    <w:rsid w:val="0018539C"/>
    <w:rsid w:val="00186821"/>
    <w:rsid w:val="001868B0"/>
    <w:rsid w:val="001871A5"/>
    <w:rsid w:val="001872B7"/>
    <w:rsid w:val="001878D9"/>
    <w:rsid w:val="00187D0E"/>
    <w:rsid w:val="001904BB"/>
    <w:rsid w:val="00190F19"/>
    <w:rsid w:val="0019139D"/>
    <w:rsid w:val="00191A36"/>
    <w:rsid w:val="00191C2B"/>
    <w:rsid w:val="00193339"/>
    <w:rsid w:val="00193AFD"/>
    <w:rsid w:val="001944E2"/>
    <w:rsid w:val="00194546"/>
    <w:rsid w:val="001951AE"/>
    <w:rsid w:val="00195AC9"/>
    <w:rsid w:val="00195F3F"/>
    <w:rsid w:val="00196133"/>
    <w:rsid w:val="001966D3"/>
    <w:rsid w:val="00196D35"/>
    <w:rsid w:val="0019785A"/>
    <w:rsid w:val="0019795C"/>
    <w:rsid w:val="00197F64"/>
    <w:rsid w:val="00197F82"/>
    <w:rsid w:val="001A01E7"/>
    <w:rsid w:val="001A026F"/>
    <w:rsid w:val="001A0CB0"/>
    <w:rsid w:val="001A164F"/>
    <w:rsid w:val="001A1708"/>
    <w:rsid w:val="001A1901"/>
    <w:rsid w:val="001A1B78"/>
    <w:rsid w:val="001A2C11"/>
    <w:rsid w:val="001A2F5F"/>
    <w:rsid w:val="001A35D4"/>
    <w:rsid w:val="001A3906"/>
    <w:rsid w:val="001A3F95"/>
    <w:rsid w:val="001A4B3B"/>
    <w:rsid w:val="001A4DFA"/>
    <w:rsid w:val="001A514E"/>
    <w:rsid w:val="001A6249"/>
    <w:rsid w:val="001A66C4"/>
    <w:rsid w:val="001A694C"/>
    <w:rsid w:val="001A6C7F"/>
    <w:rsid w:val="001A6CDD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6F1"/>
    <w:rsid w:val="001B32B9"/>
    <w:rsid w:val="001B3372"/>
    <w:rsid w:val="001B35E4"/>
    <w:rsid w:val="001B3F32"/>
    <w:rsid w:val="001B4666"/>
    <w:rsid w:val="001B4963"/>
    <w:rsid w:val="001B4B15"/>
    <w:rsid w:val="001B4DFA"/>
    <w:rsid w:val="001B5A80"/>
    <w:rsid w:val="001B5BA3"/>
    <w:rsid w:val="001B5D22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53E"/>
    <w:rsid w:val="001C4E5B"/>
    <w:rsid w:val="001C5406"/>
    <w:rsid w:val="001C5808"/>
    <w:rsid w:val="001C5DBF"/>
    <w:rsid w:val="001C6474"/>
    <w:rsid w:val="001C67D7"/>
    <w:rsid w:val="001C6A6F"/>
    <w:rsid w:val="001C6F45"/>
    <w:rsid w:val="001C703B"/>
    <w:rsid w:val="001C77AB"/>
    <w:rsid w:val="001C787F"/>
    <w:rsid w:val="001D0554"/>
    <w:rsid w:val="001D0F80"/>
    <w:rsid w:val="001D1B61"/>
    <w:rsid w:val="001D1FE4"/>
    <w:rsid w:val="001D2625"/>
    <w:rsid w:val="001D2A95"/>
    <w:rsid w:val="001D32FB"/>
    <w:rsid w:val="001D3B70"/>
    <w:rsid w:val="001D4005"/>
    <w:rsid w:val="001D464D"/>
    <w:rsid w:val="001D4B40"/>
    <w:rsid w:val="001D4F92"/>
    <w:rsid w:val="001D5564"/>
    <w:rsid w:val="001D57CB"/>
    <w:rsid w:val="001D5BDA"/>
    <w:rsid w:val="001D6176"/>
    <w:rsid w:val="001D66C4"/>
    <w:rsid w:val="001D6B60"/>
    <w:rsid w:val="001D6EA5"/>
    <w:rsid w:val="001D7DB8"/>
    <w:rsid w:val="001E0310"/>
    <w:rsid w:val="001E0C41"/>
    <w:rsid w:val="001E0DFB"/>
    <w:rsid w:val="001E15D3"/>
    <w:rsid w:val="001E1C21"/>
    <w:rsid w:val="001E1C32"/>
    <w:rsid w:val="001E223C"/>
    <w:rsid w:val="001E23B3"/>
    <w:rsid w:val="001E2988"/>
    <w:rsid w:val="001E3099"/>
    <w:rsid w:val="001E334F"/>
    <w:rsid w:val="001E336F"/>
    <w:rsid w:val="001E37B5"/>
    <w:rsid w:val="001E3D3D"/>
    <w:rsid w:val="001E4108"/>
    <w:rsid w:val="001E4631"/>
    <w:rsid w:val="001E49D1"/>
    <w:rsid w:val="001E4C45"/>
    <w:rsid w:val="001E50D4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8C3"/>
    <w:rsid w:val="001F3A00"/>
    <w:rsid w:val="001F3A53"/>
    <w:rsid w:val="001F3A58"/>
    <w:rsid w:val="001F5630"/>
    <w:rsid w:val="001F59BE"/>
    <w:rsid w:val="001F610A"/>
    <w:rsid w:val="001F64A6"/>
    <w:rsid w:val="001F6806"/>
    <w:rsid w:val="001F72B8"/>
    <w:rsid w:val="0020048F"/>
    <w:rsid w:val="00200DC0"/>
    <w:rsid w:val="002010BD"/>
    <w:rsid w:val="002015FA"/>
    <w:rsid w:val="00201944"/>
    <w:rsid w:val="002023E4"/>
    <w:rsid w:val="0020352C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50"/>
    <w:rsid w:val="002079B7"/>
    <w:rsid w:val="00207AB0"/>
    <w:rsid w:val="002111D5"/>
    <w:rsid w:val="0021128A"/>
    <w:rsid w:val="002115D7"/>
    <w:rsid w:val="00211CC7"/>
    <w:rsid w:val="00211E80"/>
    <w:rsid w:val="00212742"/>
    <w:rsid w:val="00212852"/>
    <w:rsid w:val="00213429"/>
    <w:rsid w:val="002138CB"/>
    <w:rsid w:val="00213B31"/>
    <w:rsid w:val="0021419D"/>
    <w:rsid w:val="00214204"/>
    <w:rsid w:val="00214990"/>
    <w:rsid w:val="002169B7"/>
    <w:rsid w:val="00216B1A"/>
    <w:rsid w:val="00216DAA"/>
    <w:rsid w:val="00216E68"/>
    <w:rsid w:val="00217355"/>
    <w:rsid w:val="00217362"/>
    <w:rsid w:val="00217481"/>
    <w:rsid w:val="002178ED"/>
    <w:rsid w:val="00217A53"/>
    <w:rsid w:val="00217C95"/>
    <w:rsid w:val="00217FF4"/>
    <w:rsid w:val="0022030A"/>
    <w:rsid w:val="00220781"/>
    <w:rsid w:val="0022089A"/>
    <w:rsid w:val="002210D4"/>
    <w:rsid w:val="002217DD"/>
    <w:rsid w:val="00221BD9"/>
    <w:rsid w:val="0022220C"/>
    <w:rsid w:val="00222A82"/>
    <w:rsid w:val="002235F8"/>
    <w:rsid w:val="00223F1C"/>
    <w:rsid w:val="00224307"/>
    <w:rsid w:val="002245E0"/>
    <w:rsid w:val="002245F4"/>
    <w:rsid w:val="0022460E"/>
    <w:rsid w:val="002249FF"/>
    <w:rsid w:val="00224AD5"/>
    <w:rsid w:val="00224ADF"/>
    <w:rsid w:val="00224DB6"/>
    <w:rsid w:val="00225035"/>
    <w:rsid w:val="00225444"/>
    <w:rsid w:val="002254B2"/>
    <w:rsid w:val="00225FB3"/>
    <w:rsid w:val="00226533"/>
    <w:rsid w:val="0022693C"/>
    <w:rsid w:val="00226A96"/>
    <w:rsid w:val="00227A59"/>
    <w:rsid w:val="002308A9"/>
    <w:rsid w:val="00230D4C"/>
    <w:rsid w:val="002314BE"/>
    <w:rsid w:val="0023291B"/>
    <w:rsid w:val="00233350"/>
    <w:rsid w:val="00233634"/>
    <w:rsid w:val="00234660"/>
    <w:rsid w:val="00234E18"/>
    <w:rsid w:val="00234F78"/>
    <w:rsid w:val="002359D5"/>
    <w:rsid w:val="00235B39"/>
    <w:rsid w:val="00235CB0"/>
    <w:rsid w:val="00235D8A"/>
    <w:rsid w:val="00236515"/>
    <w:rsid w:val="002367CD"/>
    <w:rsid w:val="00236968"/>
    <w:rsid w:val="00237233"/>
    <w:rsid w:val="002377A4"/>
    <w:rsid w:val="002377EF"/>
    <w:rsid w:val="00237806"/>
    <w:rsid w:val="00237A9C"/>
    <w:rsid w:val="00237C0B"/>
    <w:rsid w:val="002407A5"/>
    <w:rsid w:val="0024115F"/>
    <w:rsid w:val="00241A56"/>
    <w:rsid w:val="00241AB2"/>
    <w:rsid w:val="00241ABD"/>
    <w:rsid w:val="00241CAE"/>
    <w:rsid w:val="00242008"/>
    <w:rsid w:val="00242AF6"/>
    <w:rsid w:val="00242E4C"/>
    <w:rsid w:val="00242ECC"/>
    <w:rsid w:val="002432EC"/>
    <w:rsid w:val="002433B0"/>
    <w:rsid w:val="002438E0"/>
    <w:rsid w:val="00244668"/>
    <w:rsid w:val="00244DC1"/>
    <w:rsid w:val="002452EE"/>
    <w:rsid w:val="00245AA0"/>
    <w:rsid w:val="00245CD6"/>
    <w:rsid w:val="00246014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CC6"/>
    <w:rsid w:val="00252354"/>
    <w:rsid w:val="00252AB0"/>
    <w:rsid w:val="00252B09"/>
    <w:rsid w:val="00252EE0"/>
    <w:rsid w:val="00253013"/>
    <w:rsid w:val="002532E1"/>
    <w:rsid w:val="00253674"/>
    <w:rsid w:val="002537D9"/>
    <w:rsid w:val="0025382B"/>
    <w:rsid w:val="00253EBE"/>
    <w:rsid w:val="0025403F"/>
    <w:rsid w:val="00254312"/>
    <w:rsid w:val="0025537B"/>
    <w:rsid w:val="00255416"/>
    <w:rsid w:val="00255C36"/>
    <w:rsid w:val="00255F05"/>
    <w:rsid w:val="00255F2F"/>
    <w:rsid w:val="00256280"/>
    <w:rsid w:val="00256315"/>
    <w:rsid w:val="0025643C"/>
    <w:rsid w:val="00256BAE"/>
    <w:rsid w:val="00256C51"/>
    <w:rsid w:val="00256E5E"/>
    <w:rsid w:val="00257313"/>
    <w:rsid w:val="0026011A"/>
    <w:rsid w:val="002601B7"/>
    <w:rsid w:val="00260742"/>
    <w:rsid w:val="00260AEE"/>
    <w:rsid w:val="00260CD9"/>
    <w:rsid w:val="00260EE5"/>
    <w:rsid w:val="0026155E"/>
    <w:rsid w:val="0026162B"/>
    <w:rsid w:val="00261646"/>
    <w:rsid w:val="00261905"/>
    <w:rsid w:val="0026340B"/>
    <w:rsid w:val="0026343A"/>
    <w:rsid w:val="002636AD"/>
    <w:rsid w:val="00263A1B"/>
    <w:rsid w:val="00264012"/>
    <w:rsid w:val="002640AC"/>
    <w:rsid w:val="0026426D"/>
    <w:rsid w:val="00264C41"/>
    <w:rsid w:val="00264F4A"/>
    <w:rsid w:val="00265162"/>
    <w:rsid w:val="002654CA"/>
    <w:rsid w:val="00265F5A"/>
    <w:rsid w:val="00265FD9"/>
    <w:rsid w:val="002662D8"/>
    <w:rsid w:val="00266E14"/>
    <w:rsid w:val="00267410"/>
    <w:rsid w:val="00270462"/>
    <w:rsid w:val="00270850"/>
    <w:rsid w:val="0027151F"/>
    <w:rsid w:val="00271A5A"/>
    <w:rsid w:val="0027269C"/>
    <w:rsid w:val="00272A1A"/>
    <w:rsid w:val="00272E9A"/>
    <w:rsid w:val="00272FE5"/>
    <w:rsid w:val="00274ED4"/>
    <w:rsid w:val="0027513C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8F0"/>
    <w:rsid w:val="00281B94"/>
    <w:rsid w:val="00282327"/>
    <w:rsid w:val="00282901"/>
    <w:rsid w:val="00282AE0"/>
    <w:rsid w:val="00282D51"/>
    <w:rsid w:val="00282F33"/>
    <w:rsid w:val="00283136"/>
    <w:rsid w:val="0028333A"/>
    <w:rsid w:val="002833DF"/>
    <w:rsid w:val="00283A20"/>
    <w:rsid w:val="00284362"/>
    <w:rsid w:val="00284583"/>
    <w:rsid w:val="002846F8"/>
    <w:rsid w:val="00284ED6"/>
    <w:rsid w:val="00285ABF"/>
    <w:rsid w:val="002862C9"/>
    <w:rsid w:val="00286541"/>
    <w:rsid w:val="00286BE3"/>
    <w:rsid w:val="00286F2A"/>
    <w:rsid w:val="0028723A"/>
    <w:rsid w:val="002874ED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3AD"/>
    <w:rsid w:val="00295772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E02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E3"/>
    <w:rsid w:val="002A513E"/>
    <w:rsid w:val="002A5AF3"/>
    <w:rsid w:val="002A5D3A"/>
    <w:rsid w:val="002A5EF6"/>
    <w:rsid w:val="002A6004"/>
    <w:rsid w:val="002A6D97"/>
    <w:rsid w:val="002A75CA"/>
    <w:rsid w:val="002B087B"/>
    <w:rsid w:val="002B0900"/>
    <w:rsid w:val="002B0C47"/>
    <w:rsid w:val="002B12EA"/>
    <w:rsid w:val="002B16A4"/>
    <w:rsid w:val="002B1FEF"/>
    <w:rsid w:val="002B2333"/>
    <w:rsid w:val="002B2749"/>
    <w:rsid w:val="002B36D8"/>
    <w:rsid w:val="002B39A1"/>
    <w:rsid w:val="002B3C27"/>
    <w:rsid w:val="002B3DE9"/>
    <w:rsid w:val="002B3EB3"/>
    <w:rsid w:val="002B40A0"/>
    <w:rsid w:val="002B41DE"/>
    <w:rsid w:val="002B4A50"/>
    <w:rsid w:val="002B4AB5"/>
    <w:rsid w:val="002B4B27"/>
    <w:rsid w:val="002B55FB"/>
    <w:rsid w:val="002B58E2"/>
    <w:rsid w:val="002B5908"/>
    <w:rsid w:val="002B6CC0"/>
    <w:rsid w:val="002B6F16"/>
    <w:rsid w:val="002B77CD"/>
    <w:rsid w:val="002B7ECE"/>
    <w:rsid w:val="002C01F4"/>
    <w:rsid w:val="002C06CB"/>
    <w:rsid w:val="002C17A1"/>
    <w:rsid w:val="002C192E"/>
    <w:rsid w:val="002C1AD3"/>
    <w:rsid w:val="002C1EA1"/>
    <w:rsid w:val="002C21AB"/>
    <w:rsid w:val="002C2209"/>
    <w:rsid w:val="002C23B5"/>
    <w:rsid w:val="002C27B5"/>
    <w:rsid w:val="002C284A"/>
    <w:rsid w:val="002C2F32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300C"/>
    <w:rsid w:val="002D35C4"/>
    <w:rsid w:val="002D3B87"/>
    <w:rsid w:val="002D3C28"/>
    <w:rsid w:val="002D3D1C"/>
    <w:rsid w:val="002D4997"/>
    <w:rsid w:val="002D5BBD"/>
    <w:rsid w:val="002D5F48"/>
    <w:rsid w:val="002D5F6F"/>
    <w:rsid w:val="002D6198"/>
    <w:rsid w:val="002D6710"/>
    <w:rsid w:val="002D697C"/>
    <w:rsid w:val="002D6BA8"/>
    <w:rsid w:val="002D6DC7"/>
    <w:rsid w:val="002D7347"/>
    <w:rsid w:val="002D782E"/>
    <w:rsid w:val="002D7F12"/>
    <w:rsid w:val="002D7F22"/>
    <w:rsid w:val="002E0153"/>
    <w:rsid w:val="002E04AD"/>
    <w:rsid w:val="002E0A57"/>
    <w:rsid w:val="002E0EDF"/>
    <w:rsid w:val="002E1901"/>
    <w:rsid w:val="002E192B"/>
    <w:rsid w:val="002E1AB6"/>
    <w:rsid w:val="002E24F0"/>
    <w:rsid w:val="002E252D"/>
    <w:rsid w:val="002E2616"/>
    <w:rsid w:val="002E2812"/>
    <w:rsid w:val="002E2AED"/>
    <w:rsid w:val="002E2F11"/>
    <w:rsid w:val="002E2F2D"/>
    <w:rsid w:val="002E374A"/>
    <w:rsid w:val="002E38F9"/>
    <w:rsid w:val="002E3C33"/>
    <w:rsid w:val="002E43B3"/>
    <w:rsid w:val="002E45EC"/>
    <w:rsid w:val="002E47F9"/>
    <w:rsid w:val="002E5431"/>
    <w:rsid w:val="002E58CD"/>
    <w:rsid w:val="002E5B75"/>
    <w:rsid w:val="002E61A6"/>
    <w:rsid w:val="002E651F"/>
    <w:rsid w:val="002E66C9"/>
    <w:rsid w:val="002E689C"/>
    <w:rsid w:val="002E6C7D"/>
    <w:rsid w:val="002E72E4"/>
    <w:rsid w:val="002E79F1"/>
    <w:rsid w:val="002E7B7C"/>
    <w:rsid w:val="002F0943"/>
    <w:rsid w:val="002F0A21"/>
    <w:rsid w:val="002F0B0E"/>
    <w:rsid w:val="002F0C5F"/>
    <w:rsid w:val="002F0E52"/>
    <w:rsid w:val="002F0F75"/>
    <w:rsid w:val="002F109E"/>
    <w:rsid w:val="002F15D0"/>
    <w:rsid w:val="002F18C9"/>
    <w:rsid w:val="002F20B7"/>
    <w:rsid w:val="002F2305"/>
    <w:rsid w:val="002F25BE"/>
    <w:rsid w:val="002F25E1"/>
    <w:rsid w:val="002F289C"/>
    <w:rsid w:val="002F2DAB"/>
    <w:rsid w:val="002F36A8"/>
    <w:rsid w:val="002F390E"/>
    <w:rsid w:val="002F4336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56"/>
    <w:rsid w:val="00306871"/>
    <w:rsid w:val="00306CF2"/>
    <w:rsid w:val="00307BA6"/>
    <w:rsid w:val="00307D91"/>
    <w:rsid w:val="00310247"/>
    <w:rsid w:val="00310650"/>
    <w:rsid w:val="003107D2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35D"/>
    <w:rsid w:val="00314EDA"/>
    <w:rsid w:val="00316671"/>
    <w:rsid w:val="003169EF"/>
    <w:rsid w:val="003170C4"/>
    <w:rsid w:val="00317BE9"/>
    <w:rsid w:val="00317F21"/>
    <w:rsid w:val="003206D2"/>
    <w:rsid w:val="00320758"/>
    <w:rsid w:val="00320DFF"/>
    <w:rsid w:val="003214C3"/>
    <w:rsid w:val="0032196C"/>
    <w:rsid w:val="00321BF0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262"/>
    <w:rsid w:val="00326011"/>
    <w:rsid w:val="00326CDA"/>
    <w:rsid w:val="00326D60"/>
    <w:rsid w:val="00327191"/>
    <w:rsid w:val="00327635"/>
    <w:rsid w:val="00327997"/>
    <w:rsid w:val="00327AE7"/>
    <w:rsid w:val="003304DD"/>
    <w:rsid w:val="00330746"/>
    <w:rsid w:val="00330AC9"/>
    <w:rsid w:val="00330C24"/>
    <w:rsid w:val="00330DBE"/>
    <w:rsid w:val="003317CD"/>
    <w:rsid w:val="00331990"/>
    <w:rsid w:val="00331EFC"/>
    <w:rsid w:val="00333467"/>
    <w:rsid w:val="00333C8C"/>
    <w:rsid w:val="003342A7"/>
    <w:rsid w:val="0033459B"/>
    <w:rsid w:val="0033492B"/>
    <w:rsid w:val="00335854"/>
    <w:rsid w:val="00335D4A"/>
    <w:rsid w:val="003369A1"/>
    <w:rsid w:val="00336F29"/>
    <w:rsid w:val="00336FDA"/>
    <w:rsid w:val="00337925"/>
    <w:rsid w:val="00337AB2"/>
    <w:rsid w:val="003401A5"/>
    <w:rsid w:val="003402DF"/>
    <w:rsid w:val="0034035A"/>
    <w:rsid w:val="00340B56"/>
    <w:rsid w:val="0034144F"/>
    <w:rsid w:val="00341D7A"/>
    <w:rsid w:val="00341F47"/>
    <w:rsid w:val="00342360"/>
    <w:rsid w:val="00342909"/>
    <w:rsid w:val="003430D9"/>
    <w:rsid w:val="00343FDF"/>
    <w:rsid w:val="0034462C"/>
    <w:rsid w:val="00345547"/>
    <w:rsid w:val="00345A7C"/>
    <w:rsid w:val="00345E26"/>
    <w:rsid w:val="00346D1E"/>
    <w:rsid w:val="00346E55"/>
    <w:rsid w:val="00346E91"/>
    <w:rsid w:val="00347088"/>
    <w:rsid w:val="003475FD"/>
    <w:rsid w:val="003477B5"/>
    <w:rsid w:val="00347C93"/>
    <w:rsid w:val="00347EBE"/>
    <w:rsid w:val="0035060C"/>
    <w:rsid w:val="00350E65"/>
    <w:rsid w:val="00350F5A"/>
    <w:rsid w:val="0035153D"/>
    <w:rsid w:val="00351BFE"/>
    <w:rsid w:val="00351CAB"/>
    <w:rsid w:val="00352533"/>
    <w:rsid w:val="00352595"/>
    <w:rsid w:val="003525D7"/>
    <w:rsid w:val="00352A1A"/>
    <w:rsid w:val="00354418"/>
    <w:rsid w:val="00354D74"/>
    <w:rsid w:val="00354E11"/>
    <w:rsid w:val="003551AF"/>
    <w:rsid w:val="00355928"/>
    <w:rsid w:val="00355D8B"/>
    <w:rsid w:val="003564A1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11BC"/>
    <w:rsid w:val="0036123C"/>
    <w:rsid w:val="003612AC"/>
    <w:rsid w:val="003615C9"/>
    <w:rsid w:val="0036228B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550"/>
    <w:rsid w:val="00364778"/>
    <w:rsid w:val="00364967"/>
    <w:rsid w:val="00364D6C"/>
    <w:rsid w:val="003654AE"/>
    <w:rsid w:val="003654DC"/>
    <w:rsid w:val="00365713"/>
    <w:rsid w:val="00365C70"/>
    <w:rsid w:val="00365CB4"/>
    <w:rsid w:val="00365E77"/>
    <w:rsid w:val="00366068"/>
    <w:rsid w:val="003660FC"/>
    <w:rsid w:val="003669B1"/>
    <w:rsid w:val="00366E4A"/>
    <w:rsid w:val="0036702E"/>
    <w:rsid w:val="003670D6"/>
    <w:rsid w:val="0036725D"/>
    <w:rsid w:val="003705CD"/>
    <w:rsid w:val="00370B9E"/>
    <w:rsid w:val="00370DD0"/>
    <w:rsid w:val="00371660"/>
    <w:rsid w:val="00371B2C"/>
    <w:rsid w:val="003722ED"/>
    <w:rsid w:val="003723D8"/>
    <w:rsid w:val="0037247E"/>
    <w:rsid w:val="00373311"/>
    <w:rsid w:val="00373D2D"/>
    <w:rsid w:val="00374009"/>
    <w:rsid w:val="00374A5B"/>
    <w:rsid w:val="00374E8D"/>
    <w:rsid w:val="003751C6"/>
    <w:rsid w:val="00375352"/>
    <w:rsid w:val="00376624"/>
    <w:rsid w:val="00376B7A"/>
    <w:rsid w:val="00376EC0"/>
    <w:rsid w:val="0037746C"/>
    <w:rsid w:val="003777E1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216B"/>
    <w:rsid w:val="003823D5"/>
    <w:rsid w:val="003825AD"/>
    <w:rsid w:val="003829AC"/>
    <w:rsid w:val="00383A6C"/>
    <w:rsid w:val="00383BEF"/>
    <w:rsid w:val="00384028"/>
    <w:rsid w:val="0038413E"/>
    <w:rsid w:val="0038415D"/>
    <w:rsid w:val="00384405"/>
    <w:rsid w:val="003847DE"/>
    <w:rsid w:val="00384D0D"/>
    <w:rsid w:val="00385114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73A"/>
    <w:rsid w:val="003879D9"/>
    <w:rsid w:val="00387B35"/>
    <w:rsid w:val="0039027A"/>
    <w:rsid w:val="00390754"/>
    <w:rsid w:val="0039185E"/>
    <w:rsid w:val="003919FB"/>
    <w:rsid w:val="00391BD1"/>
    <w:rsid w:val="003928F4"/>
    <w:rsid w:val="00392AC5"/>
    <w:rsid w:val="00392DD2"/>
    <w:rsid w:val="00392E50"/>
    <w:rsid w:val="00393033"/>
    <w:rsid w:val="003935C8"/>
    <w:rsid w:val="0039369E"/>
    <w:rsid w:val="003938AD"/>
    <w:rsid w:val="003940DE"/>
    <w:rsid w:val="0039420B"/>
    <w:rsid w:val="00394D75"/>
    <w:rsid w:val="00394DDE"/>
    <w:rsid w:val="0039534B"/>
    <w:rsid w:val="00395878"/>
    <w:rsid w:val="003961DF"/>
    <w:rsid w:val="0039672B"/>
    <w:rsid w:val="00396B37"/>
    <w:rsid w:val="00397310"/>
    <w:rsid w:val="003974BA"/>
    <w:rsid w:val="0039758E"/>
    <w:rsid w:val="0039761B"/>
    <w:rsid w:val="00397E41"/>
    <w:rsid w:val="003A03E5"/>
    <w:rsid w:val="003A0F8F"/>
    <w:rsid w:val="003A1401"/>
    <w:rsid w:val="003A1432"/>
    <w:rsid w:val="003A17AE"/>
    <w:rsid w:val="003A1987"/>
    <w:rsid w:val="003A1AA6"/>
    <w:rsid w:val="003A2971"/>
    <w:rsid w:val="003A2EF4"/>
    <w:rsid w:val="003A3040"/>
    <w:rsid w:val="003A30D1"/>
    <w:rsid w:val="003A432B"/>
    <w:rsid w:val="003A463B"/>
    <w:rsid w:val="003A4D79"/>
    <w:rsid w:val="003A4D8B"/>
    <w:rsid w:val="003A560F"/>
    <w:rsid w:val="003A5C12"/>
    <w:rsid w:val="003A5F0B"/>
    <w:rsid w:val="003A5F55"/>
    <w:rsid w:val="003A5F78"/>
    <w:rsid w:val="003A6825"/>
    <w:rsid w:val="003A68CE"/>
    <w:rsid w:val="003A75E4"/>
    <w:rsid w:val="003A790D"/>
    <w:rsid w:val="003A7BA1"/>
    <w:rsid w:val="003A7D4A"/>
    <w:rsid w:val="003B0B35"/>
    <w:rsid w:val="003B0DFC"/>
    <w:rsid w:val="003B111A"/>
    <w:rsid w:val="003B111E"/>
    <w:rsid w:val="003B1DF1"/>
    <w:rsid w:val="003B205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F53"/>
    <w:rsid w:val="003B71D7"/>
    <w:rsid w:val="003B74FC"/>
    <w:rsid w:val="003C003A"/>
    <w:rsid w:val="003C067F"/>
    <w:rsid w:val="003C08DB"/>
    <w:rsid w:val="003C0DD0"/>
    <w:rsid w:val="003C12A9"/>
    <w:rsid w:val="003C12E1"/>
    <w:rsid w:val="003C17A2"/>
    <w:rsid w:val="003C1DBB"/>
    <w:rsid w:val="003C2209"/>
    <w:rsid w:val="003C2D8A"/>
    <w:rsid w:val="003C3173"/>
    <w:rsid w:val="003C39F3"/>
    <w:rsid w:val="003C4748"/>
    <w:rsid w:val="003C50E5"/>
    <w:rsid w:val="003C5E2C"/>
    <w:rsid w:val="003C62E7"/>
    <w:rsid w:val="003C6764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937"/>
    <w:rsid w:val="003D1306"/>
    <w:rsid w:val="003D1FC7"/>
    <w:rsid w:val="003D2083"/>
    <w:rsid w:val="003D221C"/>
    <w:rsid w:val="003D2D32"/>
    <w:rsid w:val="003D2E84"/>
    <w:rsid w:val="003D35F2"/>
    <w:rsid w:val="003D384E"/>
    <w:rsid w:val="003D3D27"/>
    <w:rsid w:val="003D4208"/>
    <w:rsid w:val="003D4551"/>
    <w:rsid w:val="003D494D"/>
    <w:rsid w:val="003D4EBC"/>
    <w:rsid w:val="003D4FE0"/>
    <w:rsid w:val="003D5248"/>
    <w:rsid w:val="003D5470"/>
    <w:rsid w:val="003D5C76"/>
    <w:rsid w:val="003D6043"/>
    <w:rsid w:val="003D6262"/>
    <w:rsid w:val="003D6655"/>
    <w:rsid w:val="003D7DF4"/>
    <w:rsid w:val="003E01D2"/>
    <w:rsid w:val="003E03A1"/>
    <w:rsid w:val="003E0409"/>
    <w:rsid w:val="003E09E8"/>
    <w:rsid w:val="003E0BC7"/>
    <w:rsid w:val="003E0C2D"/>
    <w:rsid w:val="003E0DBA"/>
    <w:rsid w:val="003E12C0"/>
    <w:rsid w:val="003E1AC0"/>
    <w:rsid w:val="003E1AE8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E54"/>
    <w:rsid w:val="003E6516"/>
    <w:rsid w:val="003E6751"/>
    <w:rsid w:val="003E7689"/>
    <w:rsid w:val="003E793A"/>
    <w:rsid w:val="003F02D9"/>
    <w:rsid w:val="003F0BB4"/>
    <w:rsid w:val="003F0CE8"/>
    <w:rsid w:val="003F0D72"/>
    <w:rsid w:val="003F0E9A"/>
    <w:rsid w:val="003F14E1"/>
    <w:rsid w:val="003F1C1E"/>
    <w:rsid w:val="003F2626"/>
    <w:rsid w:val="003F28F6"/>
    <w:rsid w:val="003F3434"/>
    <w:rsid w:val="003F3D3C"/>
    <w:rsid w:val="003F4296"/>
    <w:rsid w:val="003F50B8"/>
    <w:rsid w:val="003F532D"/>
    <w:rsid w:val="003F5884"/>
    <w:rsid w:val="003F59ED"/>
    <w:rsid w:val="003F5BEF"/>
    <w:rsid w:val="003F5D86"/>
    <w:rsid w:val="003F5EFD"/>
    <w:rsid w:val="003F6277"/>
    <w:rsid w:val="003F677D"/>
    <w:rsid w:val="003F6C54"/>
    <w:rsid w:val="003F6D2E"/>
    <w:rsid w:val="003F75F2"/>
    <w:rsid w:val="003F7CC0"/>
    <w:rsid w:val="003F7E04"/>
    <w:rsid w:val="004000EB"/>
    <w:rsid w:val="00400C18"/>
    <w:rsid w:val="00400E76"/>
    <w:rsid w:val="004010E8"/>
    <w:rsid w:val="004015D0"/>
    <w:rsid w:val="00401AA7"/>
    <w:rsid w:val="00401C62"/>
    <w:rsid w:val="00402734"/>
    <w:rsid w:val="00402843"/>
    <w:rsid w:val="00402854"/>
    <w:rsid w:val="004028E4"/>
    <w:rsid w:val="00403492"/>
    <w:rsid w:val="00403539"/>
    <w:rsid w:val="00403DE5"/>
    <w:rsid w:val="0040451D"/>
    <w:rsid w:val="00404CCD"/>
    <w:rsid w:val="00404CD2"/>
    <w:rsid w:val="0040530C"/>
    <w:rsid w:val="00405C30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D51"/>
    <w:rsid w:val="00412202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072"/>
    <w:rsid w:val="0041536E"/>
    <w:rsid w:val="0041578C"/>
    <w:rsid w:val="00415CCF"/>
    <w:rsid w:val="00416335"/>
    <w:rsid w:val="004163E1"/>
    <w:rsid w:val="004171C7"/>
    <w:rsid w:val="004174F1"/>
    <w:rsid w:val="00417584"/>
    <w:rsid w:val="00417A4C"/>
    <w:rsid w:val="00417F14"/>
    <w:rsid w:val="0042000B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E36"/>
    <w:rsid w:val="00426128"/>
    <w:rsid w:val="00426834"/>
    <w:rsid w:val="00426AC1"/>
    <w:rsid w:val="00426D82"/>
    <w:rsid w:val="004272AF"/>
    <w:rsid w:val="004278E9"/>
    <w:rsid w:val="00427920"/>
    <w:rsid w:val="00427DFD"/>
    <w:rsid w:val="00430550"/>
    <w:rsid w:val="00430D76"/>
    <w:rsid w:val="00430E65"/>
    <w:rsid w:val="004319F0"/>
    <w:rsid w:val="00431EFB"/>
    <w:rsid w:val="00431FA7"/>
    <w:rsid w:val="00432260"/>
    <w:rsid w:val="004323F5"/>
    <w:rsid w:val="0043250A"/>
    <w:rsid w:val="00432B8B"/>
    <w:rsid w:val="00432DAF"/>
    <w:rsid w:val="00432E5A"/>
    <w:rsid w:val="00432FF8"/>
    <w:rsid w:val="0043343F"/>
    <w:rsid w:val="00433EAD"/>
    <w:rsid w:val="00433EBB"/>
    <w:rsid w:val="00434495"/>
    <w:rsid w:val="004349B8"/>
    <w:rsid w:val="0043513A"/>
    <w:rsid w:val="0043521E"/>
    <w:rsid w:val="004352D1"/>
    <w:rsid w:val="00435439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AA0"/>
    <w:rsid w:val="00443172"/>
    <w:rsid w:val="00443456"/>
    <w:rsid w:val="0044451E"/>
    <w:rsid w:val="00444766"/>
    <w:rsid w:val="00445324"/>
    <w:rsid w:val="004459B2"/>
    <w:rsid w:val="00445CA0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110F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49A"/>
    <w:rsid w:val="00454645"/>
    <w:rsid w:val="004549B0"/>
    <w:rsid w:val="00454D24"/>
    <w:rsid w:val="004552DC"/>
    <w:rsid w:val="0045570F"/>
    <w:rsid w:val="00455B31"/>
    <w:rsid w:val="00455DB5"/>
    <w:rsid w:val="00456B3F"/>
    <w:rsid w:val="00457173"/>
    <w:rsid w:val="00457CA3"/>
    <w:rsid w:val="00457F03"/>
    <w:rsid w:val="0046013D"/>
    <w:rsid w:val="004604EB"/>
    <w:rsid w:val="00460578"/>
    <w:rsid w:val="00460A5B"/>
    <w:rsid w:val="00460B18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858"/>
    <w:rsid w:val="00464A3B"/>
    <w:rsid w:val="0046574E"/>
    <w:rsid w:val="0046582A"/>
    <w:rsid w:val="00465911"/>
    <w:rsid w:val="00465BC3"/>
    <w:rsid w:val="004661EE"/>
    <w:rsid w:val="0046702A"/>
    <w:rsid w:val="004671E6"/>
    <w:rsid w:val="00467736"/>
    <w:rsid w:val="00467907"/>
    <w:rsid w:val="00467A8A"/>
    <w:rsid w:val="004701AA"/>
    <w:rsid w:val="00470575"/>
    <w:rsid w:val="00470599"/>
    <w:rsid w:val="004705A6"/>
    <w:rsid w:val="004706A8"/>
    <w:rsid w:val="004706B3"/>
    <w:rsid w:val="00470732"/>
    <w:rsid w:val="00470BF4"/>
    <w:rsid w:val="00470E85"/>
    <w:rsid w:val="00471D80"/>
    <w:rsid w:val="00471D9A"/>
    <w:rsid w:val="004726CC"/>
    <w:rsid w:val="00472AC0"/>
    <w:rsid w:val="004731DD"/>
    <w:rsid w:val="00473439"/>
    <w:rsid w:val="00473BAC"/>
    <w:rsid w:val="00473EEC"/>
    <w:rsid w:val="00475172"/>
    <w:rsid w:val="004756D2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246C"/>
    <w:rsid w:val="0048286E"/>
    <w:rsid w:val="004829CA"/>
    <w:rsid w:val="00482E7F"/>
    <w:rsid w:val="00482EE8"/>
    <w:rsid w:val="00483074"/>
    <w:rsid w:val="004831C2"/>
    <w:rsid w:val="004835E7"/>
    <w:rsid w:val="00483B1B"/>
    <w:rsid w:val="00483B1D"/>
    <w:rsid w:val="00484540"/>
    <w:rsid w:val="00485198"/>
    <w:rsid w:val="004855EE"/>
    <w:rsid w:val="0048581F"/>
    <w:rsid w:val="00486AF3"/>
    <w:rsid w:val="00486BB4"/>
    <w:rsid w:val="0048713A"/>
    <w:rsid w:val="004873AA"/>
    <w:rsid w:val="00487404"/>
    <w:rsid w:val="004875DF"/>
    <w:rsid w:val="00487F41"/>
    <w:rsid w:val="004903C6"/>
    <w:rsid w:val="004905F5"/>
    <w:rsid w:val="0049172B"/>
    <w:rsid w:val="004917E5"/>
    <w:rsid w:val="00492216"/>
    <w:rsid w:val="00492A01"/>
    <w:rsid w:val="00492D51"/>
    <w:rsid w:val="00492EF8"/>
    <w:rsid w:val="00493097"/>
    <w:rsid w:val="00493B19"/>
    <w:rsid w:val="00494DDB"/>
    <w:rsid w:val="004951FA"/>
    <w:rsid w:val="00495BED"/>
    <w:rsid w:val="004962DD"/>
    <w:rsid w:val="00496430"/>
    <w:rsid w:val="004965BD"/>
    <w:rsid w:val="00496FF8"/>
    <w:rsid w:val="00497620"/>
    <w:rsid w:val="004979AB"/>
    <w:rsid w:val="00497ABD"/>
    <w:rsid w:val="004A08B4"/>
    <w:rsid w:val="004A0AFC"/>
    <w:rsid w:val="004A1545"/>
    <w:rsid w:val="004A1F5B"/>
    <w:rsid w:val="004A2217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A8A"/>
    <w:rsid w:val="004A52B9"/>
    <w:rsid w:val="004A5908"/>
    <w:rsid w:val="004A5DD0"/>
    <w:rsid w:val="004A5E5F"/>
    <w:rsid w:val="004A5F34"/>
    <w:rsid w:val="004A6092"/>
    <w:rsid w:val="004A62D9"/>
    <w:rsid w:val="004A62E8"/>
    <w:rsid w:val="004A632A"/>
    <w:rsid w:val="004A6BC5"/>
    <w:rsid w:val="004A6F0D"/>
    <w:rsid w:val="004A7E87"/>
    <w:rsid w:val="004A7EAC"/>
    <w:rsid w:val="004B06A2"/>
    <w:rsid w:val="004B0748"/>
    <w:rsid w:val="004B0B25"/>
    <w:rsid w:val="004B1A8F"/>
    <w:rsid w:val="004B2096"/>
    <w:rsid w:val="004B22F9"/>
    <w:rsid w:val="004B2785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642C"/>
    <w:rsid w:val="004B65B0"/>
    <w:rsid w:val="004B6832"/>
    <w:rsid w:val="004B6841"/>
    <w:rsid w:val="004B6FC7"/>
    <w:rsid w:val="004B72CB"/>
    <w:rsid w:val="004B76E8"/>
    <w:rsid w:val="004C0C22"/>
    <w:rsid w:val="004C158C"/>
    <w:rsid w:val="004C194C"/>
    <w:rsid w:val="004C1EAA"/>
    <w:rsid w:val="004C1F9D"/>
    <w:rsid w:val="004C2680"/>
    <w:rsid w:val="004C277B"/>
    <w:rsid w:val="004C27BF"/>
    <w:rsid w:val="004C2910"/>
    <w:rsid w:val="004C2B3F"/>
    <w:rsid w:val="004C2B44"/>
    <w:rsid w:val="004C2E68"/>
    <w:rsid w:val="004C2EDB"/>
    <w:rsid w:val="004C3325"/>
    <w:rsid w:val="004C40CC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7641"/>
    <w:rsid w:val="004C777D"/>
    <w:rsid w:val="004C77CC"/>
    <w:rsid w:val="004C7978"/>
    <w:rsid w:val="004C7D98"/>
    <w:rsid w:val="004C7FE4"/>
    <w:rsid w:val="004D012D"/>
    <w:rsid w:val="004D047A"/>
    <w:rsid w:val="004D1260"/>
    <w:rsid w:val="004D1594"/>
    <w:rsid w:val="004D181B"/>
    <w:rsid w:val="004D1AFD"/>
    <w:rsid w:val="004D2A73"/>
    <w:rsid w:val="004D2EF5"/>
    <w:rsid w:val="004D4005"/>
    <w:rsid w:val="004D43C4"/>
    <w:rsid w:val="004D5060"/>
    <w:rsid w:val="004D55E8"/>
    <w:rsid w:val="004D581F"/>
    <w:rsid w:val="004D58F0"/>
    <w:rsid w:val="004D5A28"/>
    <w:rsid w:val="004D5DF5"/>
    <w:rsid w:val="004D6CF1"/>
    <w:rsid w:val="004D703F"/>
    <w:rsid w:val="004D711C"/>
    <w:rsid w:val="004D740C"/>
    <w:rsid w:val="004D7803"/>
    <w:rsid w:val="004D7874"/>
    <w:rsid w:val="004E03E4"/>
    <w:rsid w:val="004E0439"/>
    <w:rsid w:val="004E0457"/>
    <w:rsid w:val="004E054D"/>
    <w:rsid w:val="004E086F"/>
    <w:rsid w:val="004E0CC8"/>
    <w:rsid w:val="004E0DE5"/>
    <w:rsid w:val="004E1C2B"/>
    <w:rsid w:val="004E1D92"/>
    <w:rsid w:val="004E2122"/>
    <w:rsid w:val="004E21D8"/>
    <w:rsid w:val="004E22D6"/>
    <w:rsid w:val="004E2454"/>
    <w:rsid w:val="004E29A4"/>
    <w:rsid w:val="004E3444"/>
    <w:rsid w:val="004E3C07"/>
    <w:rsid w:val="004E3C09"/>
    <w:rsid w:val="004E3DAF"/>
    <w:rsid w:val="004E4013"/>
    <w:rsid w:val="004E4809"/>
    <w:rsid w:val="004E4A1F"/>
    <w:rsid w:val="004E5C88"/>
    <w:rsid w:val="004E623D"/>
    <w:rsid w:val="004E639B"/>
    <w:rsid w:val="004E6C1E"/>
    <w:rsid w:val="004E6EEC"/>
    <w:rsid w:val="004E6F8F"/>
    <w:rsid w:val="004E7331"/>
    <w:rsid w:val="004E7827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A10"/>
    <w:rsid w:val="004F40BE"/>
    <w:rsid w:val="004F4CF0"/>
    <w:rsid w:val="004F4F8F"/>
    <w:rsid w:val="004F5666"/>
    <w:rsid w:val="004F59CB"/>
    <w:rsid w:val="004F6B28"/>
    <w:rsid w:val="004F727C"/>
    <w:rsid w:val="004F7DB0"/>
    <w:rsid w:val="005000C2"/>
    <w:rsid w:val="005004A2"/>
    <w:rsid w:val="00500790"/>
    <w:rsid w:val="005007F8"/>
    <w:rsid w:val="00500C7B"/>
    <w:rsid w:val="005012BF"/>
    <w:rsid w:val="00501F39"/>
    <w:rsid w:val="00502830"/>
    <w:rsid w:val="005029D8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6303"/>
    <w:rsid w:val="00507018"/>
    <w:rsid w:val="005073CC"/>
    <w:rsid w:val="005074F6"/>
    <w:rsid w:val="005076E5"/>
    <w:rsid w:val="0050785B"/>
    <w:rsid w:val="005079C9"/>
    <w:rsid w:val="00507B23"/>
    <w:rsid w:val="00510774"/>
    <w:rsid w:val="00510A7F"/>
    <w:rsid w:val="00511A95"/>
    <w:rsid w:val="00511E71"/>
    <w:rsid w:val="00512609"/>
    <w:rsid w:val="00512664"/>
    <w:rsid w:val="00512A95"/>
    <w:rsid w:val="0051317E"/>
    <w:rsid w:val="0051359A"/>
    <w:rsid w:val="0051362A"/>
    <w:rsid w:val="005138D6"/>
    <w:rsid w:val="00513B70"/>
    <w:rsid w:val="0051445D"/>
    <w:rsid w:val="00514AEF"/>
    <w:rsid w:val="00514D99"/>
    <w:rsid w:val="00515A72"/>
    <w:rsid w:val="00515B71"/>
    <w:rsid w:val="00516328"/>
    <w:rsid w:val="00516766"/>
    <w:rsid w:val="00516FEA"/>
    <w:rsid w:val="005172FA"/>
    <w:rsid w:val="005175CC"/>
    <w:rsid w:val="00517795"/>
    <w:rsid w:val="00517847"/>
    <w:rsid w:val="005179D8"/>
    <w:rsid w:val="00520250"/>
    <w:rsid w:val="005206D7"/>
    <w:rsid w:val="00520DE0"/>
    <w:rsid w:val="00521B73"/>
    <w:rsid w:val="00521E1B"/>
    <w:rsid w:val="0052236A"/>
    <w:rsid w:val="005226CB"/>
    <w:rsid w:val="0052298E"/>
    <w:rsid w:val="005234E8"/>
    <w:rsid w:val="00523AC5"/>
    <w:rsid w:val="00523C1A"/>
    <w:rsid w:val="00524090"/>
    <w:rsid w:val="005254B8"/>
    <w:rsid w:val="0052593C"/>
    <w:rsid w:val="00525991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3004F"/>
    <w:rsid w:val="00530431"/>
    <w:rsid w:val="005307A6"/>
    <w:rsid w:val="00530988"/>
    <w:rsid w:val="005314A9"/>
    <w:rsid w:val="00531844"/>
    <w:rsid w:val="00531A70"/>
    <w:rsid w:val="00531AB1"/>
    <w:rsid w:val="005324A9"/>
    <w:rsid w:val="00532721"/>
    <w:rsid w:val="00533618"/>
    <w:rsid w:val="00533CBF"/>
    <w:rsid w:val="00534A22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91"/>
    <w:rsid w:val="00540B69"/>
    <w:rsid w:val="00540BBA"/>
    <w:rsid w:val="00540FDE"/>
    <w:rsid w:val="00541591"/>
    <w:rsid w:val="0054179E"/>
    <w:rsid w:val="00541A13"/>
    <w:rsid w:val="00541D04"/>
    <w:rsid w:val="00541D29"/>
    <w:rsid w:val="00541E8A"/>
    <w:rsid w:val="0054214F"/>
    <w:rsid w:val="00542A21"/>
    <w:rsid w:val="00542C96"/>
    <w:rsid w:val="00542CD5"/>
    <w:rsid w:val="00542D7B"/>
    <w:rsid w:val="0054311F"/>
    <w:rsid w:val="0054315B"/>
    <w:rsid w:val="00543397"/>
    <w:rsid w:val="00543645"/>
    <w:rsid w:val="00543DB1"/>
    <w:rsid w:val="00543FDD"/>
    <w:rsid w:val="00544594"/>
    <w:rsid w:val="005447EB"/>
    <w:rsid w:val="0054487B"/>
    <w:rsid w:val="00544AD6"/>
    <w:rsid w:val="00544C08"/>
    <w:rsid w:val="0054536A"/>
    <w:rsid w:val="005456ED"/>
    <w:rsid w:val="005461DE"/>
    <w:rsid w:val="00546250"/>
    <w:rsid w:val="005464E3"/>
    <w:rsid w:val="00546AEB"/>
    <w:rsid w:val="0054743F"/>
    <w:rsid w:val="00551991"/>
    <w:rsid w:val="00551A48"/>
    <w:rsid w:val="00551A67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618E"/>
    <w:rsid w:val="005561E5"/>
    <w:rsid w:val="005562EB"/>
    <w:rsid w:val="0055637A"/>
    <w:rsid w:val="00556772"/>
    <w:rsid w:val="00556B00"/>
    <w:rsid w:val="00556B7D"/>
    <w:rsid w:val="00556D66"/>
    <w:rsid w:val="00557617"/>
    <w:rsid w:val="00557674"/>
    <w:rsid w:val="00557E67"/>
    <w:rsid w:val="005604A5"/>
    <w:rsid w:val="00560BDF"/>
    <w:rsid w:val="00561AA3"/>
    <w:rsid w:val="00561B13"/>
    <w:rsid w:val="00561E71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970"/>
    <w:rsid w:val="00565ACC"/>
    <w:rsid w:val="00565DE4"/>
    <w:rsid w:val="00565FA3"/>
    <w:rsid w:val="005661BC"/>
    <w:rsid w:val="0056626B"/>
    <w:rsid w:val="00566311"/>
    <w:rsid w:val="005665FA"/>
    <w:rsid w:val="00566CBF"/>
    <w:rsid w:val="005676A0"/>
    <w:rsid w:val="00567C84"/>
    <w:rsid w:val="00570120"/>
    <w:rsid w:val="0057089F"/>
    <w:rsid w:val="00570C88"/>
    <w:rsid w:val="0057142A"/>
    <w:rsid w:val="00571759"/>
    <w:rsid w:val="00571C36"/>
    <w:rsid w:val="005720D7"/>
    <w:rsid w:val="00572295"/>
    <w:rsid w:val="00572877"/>
    <w:rsid w:val="0057322B"/>
    <w:rsid w:val="00573302"/>
    <w:rsid w:val="00573627"/>
    <w:rsid w:val="00573801"/>
    <w:rsid w:val="005749A2"/>
    <w:rsid w:val="005769D8"/>
    <w:rsid w:val="00576B31"/>
    <w:rsid w:val="00576C77"/>
    <w:rsid w:val="0057714E"/>
    <w:rsid w:val="005771B5"/>
    <w:rsid w:val="00577336"/>
    <w:rsid w:val="00577434"/>
    <w:rsid w:val="00577690"/>
    <w:rsid w:val="0058011A"/>
    <w:rsid w:val="00580DE0"/>
    <w:rsid w:val="005813EF"/>
    <w:rsid w:val="005818FA"/>
    <w:rsid w:val="00582928"/>
    <w:rsid w:val="0058353A"/>
    <w:rsid w:val="00583934"/>
    <w:rsid w:val="00583D8B"/>
    <w:rsid w:val="00584118"/>
    <w:rsid w:val="005841DF"/>
    <w:rsid w:val="00584618"/>
    <w:rsid w:val="0058557D"/>
    <w:rsid w:val="005855FA"/>
    <w:rsid w:val="00585C01"/>
    <w:rsid w:val="00585ED2"/>
    <w:rsid w:val="005869D2"/>
    <w:rsid w:val="00586A11"/>
    <w:rsid w:val="00586AAF"/>
    <w:rsid w:val="00586AE3"/>
    <w:rsid w:val="00586E85"/>
    <w:rsid w:val="00587077"/>
    <w:rsid w:val="005875BA"/>
    <w:rsid w:val="005878FA"/>
    <w:rsid w:val="005903CA"/>
    <w:rsid w:val="0059094B"/>
    <w:rsid w:val="00590DE7"/>
    <w:rsid w:val="0059119F"/>
    <w:rsid w:val="00591969"/>
    <w:rsid w:val="00591BE5"/>
    <w:rsid w:val="00591F1F"/>
    <w:rsid w:val="00592196"/>
    <w:rsid w:val="00592309"/>
    <w:rsid w:val="005923C1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916"/>
    <w:rsid w:val="00596D11"/>
    <w:rsid w:val="005970BA"/>
    <w:rsid w:val="005977BE"/>
    <w:rsid w:val="0059781F"/>
    <w:rsid w:val="00597AB4"/>
    <w:rsid w:val="00597ABC"/>
    <w:rsid w:val="00597B39"/>
    <w:rsid w:val="005A000C"/>
    <w:rsid w:val="005A0121"/>
    <w:rsid w:val="005A01AE"/>
    <w:rsid w:val="005A11BE"/>
    <w:rsid w:val="005A14A0"/>
    <w:rsid w:val="005A1706"/>
    <w:rsid w:val="005A18B0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5086"/>
    <w:rsid w:val="005A55F0"/>
    <w:rsid w:val="005A5687"/>
    <w:rsid w:val="005A5827"/>
    <w:rsid w:val="005A5E33"/>
    <w:rsid w:val="005A6113"/>
    <w:rsid w:val="005A6721"/>
    <w:rsid w:val="005A6ADF"/>
    <w:rsid w:val="005A7795"/>
    <w:rsid w:val="005A7926"/>
    <w:rsid w:val="005A7BAC"/>
    <w:rsid w:val="005A7DC1"/>
    <w:rsid w:val="005A7EDD"/>
    <w:rsid w:val="005B0E07"/>
    <w:rsid w:val="005B12F7"/>
    <w:rsid w:val="005B17F5"/>
    <w:rsid w:val="005B18B5"/>
    <w:rsid w:val="005B1A41"/>
    <w:rsid w:val="005B1C29"/>
    <w:rsid w:val="005B308E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22F"/>
    <w:rsid w:val="005B69FC"/>
    <w:rsid w:val="005B76AC"/>
    <w:rsid w:val="005C0430"/>
    <w:rsid w:val="005C092E"/>
    <w:rsid w:val="005C0B77"/>
    <w:rsid w:val="005C0FD7"/>
    <w:rsid w:val="005C12D7"/>
    <w:rsid w:val="005C196F"/>
    <w:rsid w:val="005C20E2"/>
    <w:rsid w:val="005C230F"/>
    <w:rsid w:val="005C245B"/>
    <w:rsid w:val="005C289E"/>
    <w:rsid w:val="005C29C7"/>
    <w:rsid w:val="005C2C7D"/>
    <w:rsid w:val="005C2FAF"/>
    <w:rsid w:val="005C3021"/>
    <w:rsid w:val="005C333B"/>
    <w:rsid w:val="005C395C"/>
    <w:rsid w:val="005C4D9D"/>
    <w:rsid w:val="005C5288"/>
    <w:rsid w:val="005C53BD"/>
    <w:rsid w:val="005C5861"/>
    <w:rsid w:val="005C6042"/>
    <w:rsid w:val="005C6F6A"/>
    <w:rsid w:val="005C7278"/>
    <w:rsid w:val="005C75AB"/>
    <w:rsid w:val="005C77DB"/>
    <w:rsid w:val="005C79A7"/>
    <w:rsid w:val="005D0B20"/>
    <w:rsid w:val="005D0DA2"/>
    <w:rsid w:val="005D119F"/>
    <w:rsid w:val="005D1315"/>
    <w:rsid w:val="005D131E"/>
    <w:rsid w:val="005D1843"/>
    <w:rsid w:val="005D18BA"/>
    <w:rsid w:val="005D1D0A"/>
    <w:rsid w:val="005D2389"/>
    <w:rsid w:val="005D2604"/>
    <w:rsid w:val="005D2E6F"/>
    <w:rsid w:val="005D321D"/>
    <w:rsid w:val="005D3857"/>
    <w:rsid w:val="005D3B5D"/>
    <w:rsid w:val="005D3F90"/>
    <w:rsid w:val="005D400E"/>
    <w:rsid w:val="005D441C"/>
    <w:rsid w:val="005D449D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E37"/>
    <w:rsid w:val="005E2B2A"/>
    <w:rsid w:val="005E3454"/>
    <w:rsid w:val="005E3DCB"/>
    <w:rsid w:val="005E44B7"/>
    <w:rsid w:val="005E4A8D"/>
    <w:rsid w:val="005E4E1C"/>
    <w:rsid w:val="005E4FC2"/>
    <w:rsid w:val="005E5C26"/>
    <w:rsid w:val="005E5C89"/>
    <w:rsid w:val="005E5E3F"/>
    <w:rsid w:val="005E60C5"/>
    <w:rsid w:val="005E703E"/>
    <w:rsid w:val="005E758A"/>
    <w:rsid w:val="005E790C"/>
    <w:rsid w:val="005F0733"/>
    <w:rsid w:val="005F07B6"/>
    <w:rsid w:val="005F0A6A"/>
    <w:rsid w:val="005F0AE8"/>
    <w:rsid w:val="005F0FD4"/>
    <w:rsid w:val="005F14A0"/>
    <w:rsid w:val="005F1C68"/>
    <w:rsid w:val="005F3049"/>
    <w:rsid w:val="005F3130"/>
    <w:rsid w:val="005F3A70"/>
    <w:rsid w:val="005F3F35"/>
    <w:rsid w:val="005F44EB"/>
    <w:rsid w:val="005F47E6"/>
    <w:rsid w:val="005F4A59"/>
    <w:rsid w:val="005F4B4A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74B0"/>
    <w:rsid w:val="005F7AFC"/>
    <w:rsid w:val="006000B3"/>
    <w:rsid w:val="00600C85"/>
    <w:rsid w:val="00600D12"/>
    <w:rsid w:val="006010B4"/>
    <w:rsid w:val="006018E0"/>
    <w:rsid w:val="00602739"/>
    <w:rsid w:val="006028E5"/>
    <w:rsid w:val="00602926"/>
    <w:rsid w:val="006029AE"/>
    <w:rsid w:val="00602C51"/>
    <w:rsid w:val="00602CEC"/>
    <w:rsid w:val="00603611"/>
    <w:rsid w:val="0060366F"/>
    <w:rsid w:val="006036C9"/>
    <w:rsid w:val="00603A56"/>
    <w:rsid w:val="0060437B"/>
    <w:rsid w:val="00604D9E"/>
    <w:rsid w:val="00604FF7"/>
    <w:rsid w:val="00605015"/>
    <w:rsid w:val="00605474"/>
    <w:rsid w:val="00605C12"/>
    <w:rsid w:val="00605ED3"/>
    <w:rsid w:val="00605FE5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56C"/>
    <w:rsid w:val="0061355A"/>
    <w:rsid w:val="006136CB"/>
    <w:rsid w:val="006139C7"/>
    <w:rsid w:val="00613CAD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201E6"/>
    <w:rsid w:val="006208FB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9C7"/>
    <w:rsid w:val="00622ADB"/>
    <w:rsid w:val="00622B74"/>
    <w:rsid w:val="00623697"/>
    <w:rsid w:val="00623D48"/>
    <w:rsid w:val="00623DA5"/>
    <w:rsid w:val="006240D5"/>
    <w:rsid w:val="00624876"/>
    <w:rsid w:val="00624B78"/>
    <w:rsid w:val="00624CFB"/>
    <w:rsid w:val="00624DBD"/>
    <w:rsid w:val="00624EDA"/>
    <w:rsid w:val="0062578C"/>
    <w:rsid w:val="006257F4"/>
    <w:rsid w:val="00625F70"/>
    <w:rsid w:val="00626270"/>
    <w:rsid w:val="006268EA"/>
    <w:rsid w:val="00626CC8"/>
    <w:rsid w:val="00627AE8"/>
    <w:rsid w:val="00627CD1"/>
    <w:rsid w:val="00627F78"/>
    <w:rsid w:val="006309EA"/>
    <w:rsid w:val="00631FAD"/>
    <w:rsid w:val="00632574"/>
    <w:rsid w:val="00632AA3"/>
    <w:rsid w:val="006335C7"/>
    <w:rsid w:val="006335DD"/>
    <w:rsid w:val="00633846"/>
    <w:rsid w:val="00633C8D"/>
    <w:rsid w:val="006343DD"/>
    <w:rsid w:val="006347F7"/>
    <w:rsid w:val="00634A22"/>
    <w:rsid w:val="00634D14"/>
    <w:rsid w:val="00634EEF"/>
    <w:rsid w:val="00635246"/>
    <w:rsid w:val="006352A8"/>
    <w:rsid w:val="0063655A"/>
    <w:rsid w:val="0063688F"/>
    <w:rsid w:val="006372DC"/>
    <w:rsid w:val="00637DA2"/>
    <w:rsid w:val="00640B02"/>
    <w:rsid w:val="00640D78"/>
    <w:rsid w:val="006411A4"/>
    <w:rsid w:val="0064294C"/>
    <w:rsid w:val="0064319E"/>
    <w:rsid w:val="00644528"/>
    <w:rsid w:val="006447A9"/>
    <w:rsid w:val="00644AF4"/>
    <w:rsid w:val="00644BBF"/>
    <w:rsid w:val="00645033"/>
    <w:rsid w:val="00645699"/>
    <w:rsid w:val="00645828"/>
    <w:rsid w:val="00645A08"/>
    <w:rsid w:val="00645F42"/>
    <w:rsid w:val="006468ED"/>
    <w:rsid w:val="0064732A"/>
    <w:rsid w:val="00647A25"/>
    <w:rsid w:val="0065039F"/>
    <w:rsid w:val="006506E1"/>
    <w:rsid w:val="0065131E"/>
    <w:rsid w:val="00651DDC"/>
    <w:rsid w:val="006520C9"/>
    <w:rsid w:val="0065239C"/>
    <w:rsid w:val="00652720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74D"/>
    <w:rsid w:val="00657939"/>
    <w:rsid w:val="00660A00"/>
    <w:rsid w:val="00660A85"/>
    <w:rsid w:val="00660DC6"/>
    <w:rsid w:val="00661850"/>
    <w:rsid w:val="00662052"/>
    <w:rsid w:val="00662279"/>
    <w:rsid w:val="00662BCD"/>
    <w:rsid w:val="00662D61"/>
    <w:rsid w:val="0066355A"/>
    <w:rsid w:val="00663F86"/>
    <w:rsid w:val="00664BB8"/>
    <w:rsid w:val="00664CCF"/>
    <w:rsid w:val="0066513E"/>
    <w:rsid w:val="006651BC"/>
    <w:rsid w:val="00665525"/>
    <w:rsid w:val="00665E25"/>
    <w:rsid w:val="0066624B"/>
    <w:rsid w:val="006666A2"/>
    <w:rsid w:val="00666AD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BCE"/>
    <w:rsid w:val="00672866"/>
    <w:rsid w:val="0067319A"/>
    <w:rsid w:val="006732F7"/>
    <w:rsid w:val="00673764"/>
    <w:rsid w:val="00676268"/>
    <w:rsid w:val="0067642C"/>
    <w:rsid w:val="00676997"/>
    <w:rsid w:val="00676CDE"/>
    <w:rsid w:val="0067719B"/>
    <w:rsid w:val="0067771F"/>
    <w:rsid w:val="00677996"/>
    <w:rsid w:val="00677BBB"/>
    <w:rsid w:val="00680125"/>
    <w:rsid w:val="00680200"/>
    <w:rsid w:val="00680471"/>
    <w:rsid w:val="00680DCA"/>
    <w:rsid w:val="00681593"/>
    <w:rsid w:val="00681670"/>
    <w:rsid w:val="00681B4A"/>
    <w:rsid w:val="00683B94"/>
    <w:rsid w:val="00683CE3"/>
    <w:rsid w:val="006840D4"/>
    <w:rsid w:val="0068468C"/>
    <w:rsid w:val="00684A69"/>
    <w:rsid w:val="00684D20"/>
    <w:rsid w:val="006856A4"/>
    <w:rsid w:val="00685F1F"/>
    <w:rsid w:val="006864B5"/>
    <w:rsid w:val="006866D6"/>
    <w:rsid w:val="00686818"/>
    <w:rsid w:val="006869EB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10F6"/>
    <w:rsid w:val="0069129A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273D"/>
    <w:rsid w:val="006A398F"/>
    <w:rsid w:val="006A415E"/>
    <w:rsid w:val="006A43C6"/>
    <w:rsid w:val="006A518E"/>
    <w:rsid w:val="006A5346"/>
    <w:rsid w:val="006A5AAF"/>
    <w:rsid w:val="006A5EA6"/>
    <w:rsid w:val="006A5F98"/>
    <w:rsid w:val="006A64E0"/>
    <w:rsid w:val="006A71DE"/>
    <w:rsid w:val="006A73AF"/>
    <w:rsid w:val="006A7874"/>
    <w:rsid w:val="006A7A27"/>
    <w:rsid w:val="006A7F32"/>
    <w:rsid w:val="006B0F1B"/>
    <w:rsid w:val="006B14C2"/>
    <w:rsid w:val="006B17A5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7A7"/>
    <w:rsid w:val="006B3B8E"/>
    <w:rsid w:val="006B3FBB"/>
    <w:rsid w:val="006B4063"/>
    <w:rsid w:val="006B4F12"/>
    <w:rsid w:val="006B5096"/>
    <w:rsid w:val="006B5144"/>
    <w:rsid w:val="006B5211"/>
    <w:rsid w:val="006B525D"/>
    <w:rsid w:val="006B5A30"/>
    <w:rsid w:val="006B5DF8"/>
    <w:rsid w:val="006B5FB7"/>
    <w:rsid w:val="006B6B7A"/>
    <w:rsid w:val="006B720F"/>
    <w:rsid w:val="006B7353"/>
    <w:rsid w:val="006B7A92"/>
    <w:rsid w:val="006B7A9D"/>
    <w:rsid w:val="006C00F3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CE1"/>
    <w:rsid w:val="006D0D39"/>
    <w:rsid w:val="006D0F07"/>
    <w:rsid w:val="006D14D7"/>
    <w:rsid w:val="006D177E"/>
    <w:rsid w:val="006D19AF"/>
    <w:rsid w:val="006D4010"/>
    <w:rsid w:val="006D4DEF"/>
    <w:rsid w:val="006D57FE"/>
    <w:rsid w:val="006D5EA6"/>
    <w:rsid w:val="006D5FD8"/>
    <w:rsid w:val="006D604D"/>
    <w:rsid w:val="006D634C"/>
    <w:rsid w:val="006E03E4"/>
    <w:rsid w:val="006E06E0"/>
    <w:rsid w:val="006E0CA3"/>
    <w:rsid w:val="006E0EA9"/>
    <w:rsid w:val="006E0F39"/>
    <w:rsid w:val="006E14CC"/>
    <w:rsid w:val="006E1DD2"/>
    <w:rsid w:val="006E2120"/>
    <w:rsid w:val="006E26FA"/>
    <w:rsid w:val="006E305A"/>
    <w:rsid w:val="006E3454"/>
    <w:rsid w:val="006E362C"/>
    <w:rsid w:val="006E3A3E"/>
    <w:rsid w:val="006E3C95"/>
    <w:rsid w:val="006E3EAC"/>
    <w:rsid w:val="006E43EC"/>
    <w:rsid w:val="006E496E"/>
    <w:rsid w:val="006E56EA"/>
    <w:rsid w:val="006E5E5C"/>
    <w:rsid w:val="006E60C8"/>
    <w:rsid w:val="006E6696"/>
    <w:rsid w:val="006E69FF"/>
    <w:rsid w:val="006E6A73"/>
    <w:rsid w:val="006E6FA3"/>
    <w:rsid w:val="006E71AB"/>
    <w:rsid w:val="006E7844"/>
    <w:rsid w:val="006E7B4D"/>
    <w:rsid w:val="006F001E"/>
    <w:rsid w:val="006F0082"/>
    <w:rsid w:val="006F01FB"/>
    <w:rsid w:val="006F078A"/>
    <w:rsid w:val="006F109A"/>
    <w:rsid w:val="006F1EF5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58E"/>
    <w:rsid w:val="007015F7"/>
    <w:rsid w:val="007018D7"/>
    <w:rsid w:val="00701952"/>
    <w:rsid w:val="00702691"/>
    <w:rsid w:val="00703088"/>
    <w:rsid w:val="0070346A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A69"/>
    <w:rsid w:val="0070735C"/>
    <w:rsid w:val="0070737A"/>
    <w:rsid w:val="007073D9"/>
    <w:rsid w:val="007100AF"/>
    <w:rsid w:val="0071011D"/>
    <w:rsid w:val="007107E0"/>
    <w:rsid w:val="007108E1"/>
    <w:rsid w:val="00710A63"/>
    <w:rsid w:val="00711172"/>
    <w:rsid w:val="00711B00"/>
    <w:rsid w:val="00711D85"/>
    <w:rsid w:val="007120CF"/>
    <w:rsid w:val="0071221A"/>
    <w:rsid w:val="007131A6"/>
    <w:rsid w:val="0071323E"/>
    <w:rsid w:val="00714C82"/>
    <w:rsid w:val="00714EA2"/>
    <w:rsid w:val="00715D3A"/>
    <w:rsid w:val="0071698A"/>
    <w:rsid w:val="00716A5F"/>
    <w:rsid w:val="007170BE"/>
    <w:rsid w:val="007170FD"/>
    <w:rsid w:val="00717195"/>
    <w:rsid w:val="0071743B"/>
    <w:rsid w:val="00717C65"/>
    <w:rsid w:val="00717EE8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80D"/>
    <w:rsid w:val="00726088"/>
    <w:rsid w:val="00726943"/>
    <w:rsid w:val="00726D0C"/>
    <w:rsid w:val="00727AFF"/>
    <w:rsid w:val="00727E06"/>
    <w:rsid w:val="0073087D"/>
    <w:rsid w:val="00730CA7"/>
    <w:rsid w:val="00732A02"/>
    <w:rsid w:val="00732F02"/>
    <w:rsid w:val="007336C5"/>
    <w:rsid w:val="007348F9"/>
    <w:rsid w:val="00734A0E"/>
    <w:rsid w:val="00734AFC"/>
    <w:rsid w:val="00734D17"/>
    <w:rsid w:val="00735CAF"/>
    <w:rsid w:val="00736969"/>
    <w:rsid w:val="007369C5"/>
    <w:rsid w:val="00736C77"/>
    <w:rsid w:val="0073734F"/>
    <w:rsid w:val="007376EF"/>
    <w:rsid w:val="007404C2"/>
    <w:rsid w:val="0074070A"/>
    <w:rsid w:val="00740A1A"/>
    <w:rsid w:val="007412C5"/>
    <w:rsid w:val="00741994"/>
    <w:rsid w:val="00741A96"/>
    <w:rsid w:val="007420FC"/>
    <w:rsid w:val="00742658"/>
    <w:rsid w:val="0074280D"/>
    <w:rsid w:val="00742DE5"/>
    <w:rsid w:val="00743A3A"/>
    <w:rsid w:val="007440DA"/>
    <w:rsid w:val="00744723"/>
    <w:rsid w:val="00744C3C"/>
    <w:rsid w:val="00745410"/>
    <w:rsid w:val="0074556D"/>
    <w:rsid w:val="00745977"/>
    <w:rsid w:val="00745C5B"/>
    <w:rsid w:val="00745F42"/>
    <w:rsid w:val="007460AA"/>
    <w:rsid w:val="00746402"/>
    <w:rsid w:val="007466E3"/>
    <w:rsid w:val="00746D76"/>
    <w:rsid w:val="00747A05"/>
    <w:rsid w:val="00750157"/>
    <w:rsid w:val="00750A09"/>
    <w:rsid w:val="00750FF7"/>
    <w:rsid w:val="007512AD"/>
    <w:rsid w:val="007521FE"/>
    <w:rsid w:val="00752728"/>
    <w:rsid w:val="00752FB6"/>
    <w:rsid w:val="00753F40"/>
    <w:rsid w:val="00754B2B"/>
    <w:rsid w:val="0075500A"/>
    <w:rsid w:val="007551AE"/>
    <w:rsid w:val="0075538F"/>
    <w:rsid w:val="0075571A"/>
    <w:rsid w:val="00755C74"/>
    <w:rsid w:val="00755E74"/>
    <w:rsid w:val="00756242"/>
    <w:rsid w:val="007571BC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29D9"/>
    <w:rsid w:val="00764128"/>
    <w:rsid w:val="00764307"/>
    <w:rsid w:val="00764767"/>
    <w:rsid w:val="00765234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7080D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80E"/>
    <w:rsid w:val="00775965"/>
    <w:rsid w:val="00776322"/>
    <w:rsid w:val="007766BF"/>
    <w:rsid w:val="007769D2"/>
    <w:rsid w:val="00776BA0"/>
    <w:rsid w:val="00776C86"/>
    <w:rsid w:val="00776E6F"/>
    <w:rsid w:val="00776EBD"/>
    <w:rsid w:val="00777EB7"/>
    <w:rsid w:val="00780215"/>
    <w:rsid w:val="00780C4A"/>
    <w:rsid w:val="00780F74"/>
    <w:rsid w:val="007811E3"/>
    <w:rsid w:val="007813D0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86F"/>
    <w:rsid w:val="00783C10"/>
    <w:rsid w:val="00784B4E"/>
    <w:rsid w:val="00784DBE"/>
    <w:rsid w:val="00785617"/>
    <w:rsid w:val="00785EDB"/>
    <w:rsid w:val="007863E0"/>
    <w:rsid w:val="00786AD9"/>
    <w:rsid w:val="00786C07"/>
    <w:rsid w:val="00786C1B"/>
    <w:rsid w:val="00787325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3D18"/>
    <w:rsid w:val="007942AC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FEE"/>
    <w:rsid w:val="007971C5"/>
    <w:rsid w:val="007973DA"/>
    <w:rsid w:val="00797D41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60CB"/>
    <w:rsid w:val="007A61EB"/>
    <w:rsid w:val="007A6675"/>
    <w:rsid w:val="007A68D2"/>
    <w:rsid w:val="007A6BE5"/>
    <w:rsid w:val="007A6D3F"/>
    <w:rsid w:val="007A6DAD"/>
    <w:rsid w:val="007A6DF3"/>
    <w:rsid w:val="007A7E5D"/>
    <w:rsid w:val="007A7FAD"/>
    <w:rsid w:val="007B0209"/>
    <w:rsid w:val="007B02D0"/>
    <w:rsid w:val="007B065A"/>
    <w:rsid w:val="007B0A9F"/>
    <w:rsid w:val="007B0DDC"/>
    <w:rsid w:val="007B12AE"/>
    <w:rsid w:val="007B1398"/>
    <w:rsid w:val="007B19BD"/>
    <w:rsid w:val="007B1F6F"/>
    <w:rsid w:val="007B2BE8"/>
    <w:rsid w:val="007B3132"/>
    <w:rsid w:val="007B317B"/>
    <w:rsid w:val="007B3344"/>
    <w:rsid w:val="007B3D5E"/>
    <w:rsid w:val="007B3DF0"/>
    <w:rsid w:val="007B56FD"/>
    <w:rsid w:val="007B607A"/>
    <w:rsid w:val="007B69A0"/>
    <w:rsid w:val="007C0828"/>
    <w:rsid w:val="007C09B7"/>
    <w:rsid w:val="007C0B22"/>
    <w:rsid w:val="007C0BB1"/>
    <w:rsid w:val="007C0C7B"/>
    <w:rsid w:val="007C1316"/>
    <w:rsid w:val="007C1E1A"/>
    <w:rsid w:val="007C1ECD"/>
    <w:rsid w:val="007C2CBB"/>
    <w:rsid w:val="007C302C"/>
    <w:rsid w:val="007C3569"/>
    <w:rsid w:val="007C3E1C"/>
    <w:rsid w:val="007C4D74"/>
    <w:rsid w:val="007C57BC"/>
    <w:rsid w:val="007C61BD"/>
    <w:rsid w:val="007C6377"/>
    <w:rsid w:val="007C6929"/>
    <w:rsid w:val="007C6C1C"/>
    <w:rsid w:val="007C6E82"/>
    <w:rsid w:val="007C7305"/>
    <w:rsid w:val="007C78CC"/>
    <w:rsid w:val="007C79B5"/>
    <w:rsid w:val="007C7AC2"/>
    <w:rsid w:val="007C7ECD"/>
    <w:rsid w:val="007C7ED9"/>
    <w:rsid w:val="007C7EE8"/>
    <w:rsid w:val="007D1564"/>
    <w:rsid w:val="007D16CC"/>
    <w:rsid w:val="007D1A13"/>
    <w:rsid w:val="007D1B33"/>
    <w:rsid w:val="007D207E"/>
    <w:rsid w:val="007D24A6"/>
    <w:rsid w:val="007D278B"/>
    <w:rsid w:val="007D28C2"/>
    <w:rsid w:val="007D2B08"/>
    <w:rsid w:val="007D2CC6"/>
    <w:rsid w:val="007D2D38"/>
    <w:rsid w:val="007D2D4B"/>
    <w:rsid w:val="007D2F9C"/>
    <w:rsid w:val="007D2FD9"/>
    <w:rsid w:val="007D338E"/>
    <w:rsid w:val="007D3890"/>
    <w:rsid w:val="007D3C01"/>
    <w:rsid w:val="007D472C"/>
    <w:rsid w:val="007D4876"/>
    <w:rsid w:val="007D5299"/>
    <w:rsid w:val="007D56FB"/>
    <w:rsid w:val="007D574B"/>
    <w:rsid w:val="007D591E"/>
    <w:rsid w:val="007D5B30"/>
    <w:rsid w:val="007D5B7E"/>
    <w:rsid w:val="007D6408"/>
    <w:rsid w:val="007D659A"/>
    <w:rsid w:val="007D68C0"/>
    <w:rsid w:val="007D68F1"/>
    <w:rsid w:val="007D6B44"/>
    <w:rsid w:val="007D7033"/>
    <w:rsid w:val="007D7789"/>
    <w:rsid w:val="007D799B"/>
    <w:rsid w:val="007E01DB"/>
    <w:rsid w:val="007E0C0D"/>
    <w:rsid w:val="007E158B"/>
    <w:rsid w:val="007E2039"/>
    <w:rsid w:val="007E27B6"/>
    <w:rsid w:val="007E2C56"/>
    <w:rsid w:val="007E2C58"/>
    <w:rsid w:val="007E32C2"/>
    <w:rsid w:val="007E3445"/>
    <w:rsid w:val="007E37E3"/>
    <w:rsid w:val="007E3812"/>
    <w:rsid w:val="007E3FFF"/>
    <w:rsid w:val="007E40FA"/>
    <w:rsid w:val="007E42C1"/>
    <w:rsid w:val="007E47BC"/>
    <w:rsid w:val="007E4BF2"/>
    <w:rsid w:val="007E4F0D"/>
    <w:rsid w:val="007E4F1E"/>
    <w:rsid w:val="007E52D6"/>
    <w:rsid w:val="007E540F"/>
    <w:rsid w:val="007E6760"/>
    <w:rsid w:val="007E6990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2F7"/>
    <w:rsid w:val="007F1743"/>
    <w:rsid w:val="007F1B89"/>
    <w:rsid w:val="007F1D4E"/>
    <w:rsid w:val="007F2070"/>
    <w:rsid w:val="007F2822"/>
    <w:rsid w:val="007F29FD"/>
    <w:rsid w:val="007F2A54"/>
    <w:rsid w:val="007F2C40"/>
    <w:rsid w:val="007F3175"/>
    <w:rsid w:val="007F3559"/>
    <w:rsid w:val="007F3A74"/>
    <w:rsid w:val="007F40A7"/>
    <w:rsid w:val="007F4258"/>
    <w:rsid w:val="007F456D"/>
    <w:rsid w:val="007F4847"/>
    <w:rsid w:val="007F4921"/>
    <w:rsid w:val="007F4A8F"/>
    <w:rsid w:val="007F507D"/>
    <w:rsid w:val="007F5217"/>
    <w:rsid w:val="007F5A67"/>
    <w:rsid w:val="007F632D"/>
    <w:rsid w:val="007F642E"/>
    <w:rsid w:val="007F675F"/>
    <w:rsid w:val="007F6DA0"/>
    <w:rsid w:val="007F754F"/>
    <w:rsid w:val="007F76E3"/>
    <w:rsid w:val="0080016A"/>
    <w:rsid w:val="0080066C"/>
    <w:rsid w:val="00801247"/>
    <w:rsid w:val="008013AF"/>
    <w:rsid w:val="0080163E"/>
    <w:rsid w:val="00801DEE"/>
    <w:rsid w:val="00801E8C"/>
    <w:rsid w:val="00802368"/>
    <w:rsid w:val="008024E0"/>
    <w:rsid w:val="00802779"/>
    <w:rsid w:val="008028A8"/>
    <w:rsid w:val="00802CBB"/>
    <w:rsid w:val="00803257"/>
    <w:rsid w:val="00803786"/>
    <w:rsid w:val="0080435C"/>
    <w:rsid w:val="00804458"/>
    <w:rsid w:val="008044FF"/>
    <w:rsid w:val="00805410"/>
    <w:rsid w:val="00805DCF"/>
    <w:rsid w:val="00805E7B"/>
    <w:rsid w:val="0080618E"/>
    <w:rsid w:val="008061CD"/>
    <w:rsid w:val="008066C0"/>
    <w:rsid w:val="008066F8"/>
    <w:rsid w:val="00806A9D"/>
    <w:rsid w:val="0080700D"/>
    <w:rsid w:val="00807531"/>
    <w:rsid w:val="00807C8C"/>
    <w:rsid w:val="00810668"/>
    <w:rsid w:val="00810873"/>
    <w:rsid w:val="0081097A"/>
    <w:rsid w:val="008112E7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D3F"/>
    <w:rsid w:val="00815E0B"/>
    <w:rsid w:val="00815FDB"/>
    <w:rsid w:val="00816080"/>
    <w:rsid w:val="008168C7"/>
    <w:rsid w:val="00816AE6"/>
    <w:rsid w:val="00816E12"/>
    <w:rsid w:val="008179B6"/>
    <w:rsid w:val="00817C4A"/>
    <w:rsid w:val="00820340"/>
    <w:rsid w:val="00821345"/>
    <w:rsid w:val="008217E6"/>
    <w:rsid w:val="008220D3"/>
    <w:rsid w:val="0082251F"/>
    <w:rsid w:val="008226E1"/>
    <w:rsid w:val="0082329C"/>
    <w:rsid w:val="00823A6A"/>
    <w:rsid w:val="00824733"/>
    <w:rsid w:val="00824E12"/>
    <w:rsid w:val="00824F2B"/>
    <w:rsid w:val="00825667"/>
    <w:rsid w:val="008256BC"/>
    <w:rsid w:val="0082588D"/>
    <w:rsid w:val="00825D8E"/>
    <w:rsid w:val="0082638C"/>
    <w:rsid w:val="00826576"/>
    <w:rsid w:val="0082677E"/>
    <w:rsid w:val="00826C7C"/>
    <w:rsid w:val="00827573"/>
    <w:rsid w:val="008277C2"/>
    <w:rsid w:val="00827A75"/>
    <w:rsid w:val="00827C6D"/>
    <w:rsid w:val="008301D2"/>
    <w:rsid w:val="008301FA"/>
    <w:rsid w:val="00830C1E"/>
    <w:rsid w:val="00830FA7"/>
    <w:rsid w:val="0083221F"/>
    <w:rsid w:val="00832A9A"/>
    <w:rsid w:val="00832F1F"/>
    <w:rsid w:val="0083315E"/>
    <w:rsid w:val="00833284"/>
    <w:rsid w:val="008336E9"/>
    <w:rsid w:val="00833D75"/>
    <w:rsid w:val="008341F2"/>
    <w:rsid w:val="008341FE"/>
    <w:rsid w:val="00834DEC"/>
    <w:rsid w:val="008351E6"/>
    <w:rsid w:val="008357BB"/>
    <w:rsid w:val="0083591D"/>
    <w:rsid w:val="00835F0E"/>
    <w:rsid w:val="00836E56"/>
    <w:rsid w:val="00836F17"/>
    <w:rsid w:val="00837084"/>
    <w:rsid w:val="0083727B"/>
    <w:rsid w:val="0084005D"/>
    <w:rsid w:val="0084058F"/>
    <w:rsid w:val="00840652"/>
    <w:rsid w:val="008406F4"/>
    <w:rsid w:val="00840E14"/>
    <w:rsid w:val="008419AC"/>
    <w:rsid w:val="0084223B"/>
    <w:rsid w:val="00842A19"/>
    <w:rsid w:val="00842B37"/>
    <w:rsid w:val="00842CE2"/>
    <w:rsid w:val="00842DC1"/>
    <w:rsid w:val="00842DD3"/>
    <w:rsid w:val="00842E32"/>
    <w:rsid w:val="00842F57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C45"/>
    <w:rsid w:val="00846676"/>
    <w:rsid w:val="00846CEB"/>
    <w:rsid w:val="008472E7"/>
    <w:rsid w:val="008477E2"/>
    <w:rsid w:val="008509E2"/>
    <w:rsid w:val="00850AE5"/>
    <w:rsid w:val="00850DE9"/>
    <w:rsid w:val="008516EB"/>
    <w:rsid w:val="00851B45"/>
    <w:rsid w:val="00851D78"/>
    <w:rsid w:val="00851DC8"/>
    <w:rsid w:val="00851FE4"/>
    <w:rsid w:val="00852B85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15D1"/>
    <w:rsid w:val="0086162D"/>
    <w:rsid w:val="00861ACD"/>
    <w:rsid w:val="008627D4"/>
    <w:rsid w:val="00862973"/>
    <w:rsid w:val="00862C3F"/>
    <w:rsid w:val="00863B68"/>
    <w:rsid w:val="00864206"/>
    <w:rsid w:val="00864355"/>
    <w:rsid w:val="0086454C"/>
    <w:rsid w:val="00864B20"/>
    <w:rsid w:val="00864B70"/>
    <w:rsid w:val="00864ED9"/>
    <w:rsid w:val="00865235"/>
    <w:rsid w:val="00865485"/>
    <w:rsid w:val="0086589A"/>
    <w:rsid w:val="0086599A"/>
    <w:rsid w:val="00865F3B"/>
    <w:rsid w:val="00866BF5"/>
    <w:rsid w:val="00866C3C"/>
    <w:rsid w:val="00866F37"/>
    <w:rsid w:val="00867CD6"/>
    <w:rsid w:val="008700D7"/>
    <w:rsid w:val="00870428"/>
    <w:rsid w:val="0087099D"/>
    <w:rsid w:val="00870C71"/>
    <w:rsid w:val="00870F78"/>
    <w:rsid w:val="008718D8"/>
    <w:rsid w:val="00871B92"/>
    <w:rsid w:val="00872371"/>
    <w:rsid w:val="00872570"/>
    <w:rsid w:val="008728B3"/>
    <w:rsid w:val="00872E67"/>
    <w:rsid w:val="0087350E"/>
    <w:rsid w:val="00873A3D"/>
    <w:rsid w:val="0087453E"/>
    <w:rsid w:val="00874543"/>
    <w:rsid w:val="00875576"/>
    <w:rsid w:val="00876C49"/>
    <w:rsid w:val="00876EE0"/>
    <w:rsid w:val="008771D9"/>
    <w:rsid w:val="00877229"/>
    <w:rsid w:val="0087747F"/>
    <w:rsid w:val="00877623"/>
    <w:rsid w:val="008779F0"/>
    <w:rsid w:val="00877AA5"/>
    <w:rsid w:val="00877C32"/>
    <w:rsid w:val="00880A24"/>
    <w:rsid w:val="00881303"/>
    <w:rsid w:val="008815F7"/>
    <w:rsid w:val="0088180E"/>
    <w:rsid w:val="0088343A"/>
    <w:rsid w:val="008837F7"/>
    <w:rsid w:val="00883E4F"/>
    <w:rsid w:val="008841AF"/>
    <w:rsid w:val="00884A8F"/>
    <w:rsid w:val="00884A98"/>
    <w:rsid w:val="00885744"/>
    <w:rsid w:val="008857B8"/>
    <w:rsid w:val="00885CE5"/>
    <w:rsid w:val="0088637C"/>
    <w:rsid w:val="008864E1"/>
    <w:rsid w:val="00886717"/>
    <w:rsid w:val="00886D4C"/>
    <w:rsid w:val="008904A2"/>
    <w:rsid w:val="008905DD"/>
    <w:rsid w:val="00890641"/>
    <w:rsid w:val="0089071E"/>
    <w:rsid w:val="00890AD7"/>
    <w:rsid w:val="00890CB3"/>
    <w:rsid w:val="00891276"/>
    <w:rsid w:val="008918A9"/>
    <w:rsid w:val="00891D57"/>
    <w:rsid w:val="00891E71"/>
    <w:rsid w:val="00892114"/>
    <w:rsid w:val="00892384"/>
    <w:rsid w:val="008928B0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81F"/>
    <w:rsid w:val="00896E81"/>
    <w:rsid w:val="00896E8D"/>
    <w:rsid w:val="008978C3"/>
    <w:rsid w:val="00897C18"/>
    <w:rsid w:val="008A09C6"/>
    <w:rsid w:val="008A109B"/>
    <w:rsid w:val="008A112F"/>
    <w:rsid w:val="008A1846"/>
    <w:rsid w:val="008A197A"/>
    <w:rsid w:val="008A1A54"/>
    <w:rsid w:val="008A1F56"/>
    <w:rsid w:val="008A2659"/>
    <w:rsid w:val="008A29ED"/>
    <w:rsid w:val="008A2A2A"/>
    <w:rsid w:val="008A2E1E"/>
    <w:rsid w:val="008A3161"/>
    <w:rsid w:val="008A34C8"/>
    <w:rsid w:val="008A378B"/>
    <w:rsid w:val="008A38C2"/>
    <w:rsid w:val="008A3944"/>
    <w:rsid w:val="008A403F"/>
    <w:rsid w:val="008A4A30"/>
    <w:rsid w:val="008A4E26"/>
    <w:rsid w:val="008A5368"/>
    <w:rsid w:val="008A5563"/>
    <w:rsid w:val="008A586C"/>
    <w:rsid w:val="008A5D98"/>
    <w:rsid w:val="008A7375"/>
    <w:rsid w:val="008A74FC"/>
    <w:rsid w:val="008A7ABC"/>
    <w:rsid w:val="008B06BA"/>
    <w:rsid w:val="008B075A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B04"/>
    <w:rsid w:val="008B5FF6"/>
    <w:rsid w:val="008B6127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DCC"/>
    <w:rsid w:val="008C3261"/>
    <w:rsid w:val="008C346D"/>
    <w:rsid w:val="008C3B2D"/>
    <w:rsid w:val="008C3B84"/>
    <w:rsid w:val="008C419A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65B"/>
    <w:rsid w:val="008D2971"/>
    <w:rsid w:val="008D2ED9"/>
    <w:rsid w:val="008D2EF5"/>
    <w:rsid w:val="008D3072"/>
    <w:rsid w:val="008D4089"/>
    <w:rsid w:val="008D4D00"/>
    <w:rsid w:val="008D5264"/>
    <w:rsid w:val="008D582E"/>
    <w:rsid w:val="008D5A5B"/>
    <w:rsid w:val="008D5F68"/>
    <w:rsid w:val="008D5FEB"/>
    <w:rsid w:val="008D63B6"/>
    <w:rsid w:val="008D66C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161C"/>
    <w:rsid w:val="008E1674"/>
    <w:rsid w:val="008E1801"/>
    <w:rsid w:val="008E232C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EC8"/>
    <w:rsid w:val="008E6F6E"/>
    <w:rsid w:val="008E7308"/>
    <w:rsid w:val="008E7D40"/>
    <w:rsid w:val="008E7E1C"/>
    <w:rsid w:val="008F0147"/>
    <w:rsid w:val="008F0396"/>
    <w:rsid w:val="008F039E"/>
    <w:rsid w:val="008F0566"/>
    <w:rsid w:val="008F152B"/>
    <w:rsid w:val="008F1923"/>
    <w:rsid w:val="008F219D"/>
    <w:rsid w:val="008F2292"/>
    <w:rsid w:val="008F2385"/>
    <w:rsid w:val="008F247B"/>
    <w:rsid w:val="008F2871"/>
    <w:rsid w:val="008F2C53"/>
    <w:rsid w:val="008F3819"/>
    <w:rsid w:val="008F444A"/>
    <w:rsid w:val="008F46DE"/>
    <w:rsid w:val="008F4932"/>
    <w:rsid w:val="008F5241"/>
    <w:rsid w:val="008F6275"/>
    <w:rsid w:val="008F6757"/>
    <w:rsid w:val="008F6BAA"/>
    <w:rsid w:val="008F6C91"/>
    <w:rsid w:val="008F77F6"/>
    <w:rsid w:val="009000EB"/>
    <w:rsid w:val="00901240"/>
    <w:rsid w:val="00902D6C"/>
    <w:rsid w:val="00903136"/>
    <w:rsid w:val="009037EA"/>
    <w:rsid w:val="00903A70"/>
    <w:rsid w:val="00903B33"/>
    <w:rsid w:val="00903C1E"/>
    <w:rsid w:val="0090404D"/>
    <w:rsid w:val="00904133"/>
    <w:rsid w:val="00904AC2"/>
    <w:rsid w:val="00904D3A"/>
    <w:rsid w:val="00905195"/>
    <w:rsid w:val="00905325"/>
    <w:rsid w:val="0090625B"/>
    <w:rsid w:val="009069D9"/>
    <w:rsid w:val="00906A5F"/>
    <w:rsid w:val="00907246"/>
    <w:rsid w:val="0090760D"/>
    <w:rsid w:val="00907D28"/>
    <w:rsid w:val="00907F15"/>
    <w:rsid w:val="00910364"/>
    <w:rsid w:val="00910445"/>
    <w:rsid w:val="00910DAB"/>
    <w:rsid w:val="00910EB4"/>
    <w:rsid w:val="009112C5"/>
    <w:rsid w:val="009113D2"/>
    <w:rsid w:val="00911862"/>
    <w:rsid w:val="00911FBE"/>
    <w:rsid w:val="0091210F"/>
    <w:rsid w:val="009121A3"/>
    <w:rsid w:val="009124D0"/>
    <w:rsid w:val="00912621"/>
    <w:rsid w:val="0091280E"/>
    <w:rsid w:val="00912C02"/>
    <w:rsid w:val="00912CA0"/>
    <w:rsid w:val="00912DD7"/>
    <w:rsid w:val="009132BC"/>
    <w:rsid w:val="00913595"/>
    <w:rsid w:val="0091367F"/>
    <w:rsid w:val="00913BA1"/>
    <w:rsid w:val="00913F12"/>
    <w:rsid w:val="00913FE6"/>
    <w:rsid w:val="00914C3F"/>
    <w:rsid w:val="009159E2"/>
    <w:rsid w:val="00915AE6"/>
    <w:rsid w:val="00915B35"/>
    <w:rsid w:val="00915DEB"/>
    <w:rsid w:val="00916000"/>
    <w:rsid w:val="00916147"/>
    <w:rsid w:val="009162E4"/>
    <w:rsid w:val="009172BB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30C58"/>
    <w:rsid w:val="009310BE"/>
    <w:rsid w:val="009315E0"/>
    <w:rsid w:val="00931AA3"/>
    <w:rsid w:val="009321BC"/>
    <w:rsid w:val="009322AA"/>
    <w:rsid w:val="0093285E"/>
    <w:rsid w:val="0093289C"/>
    <w:rsid w:val="00934059"/>
    <w:rsid w:val="00934BBD"/>
    <w:rsid w:val="00935B4E"/>
    <w:rsid w:val="00936223"/>
    <w:rsid w:val="00936CB3"/>
    <w:rsid w:val="00936FE5"/>
    <w:rsid w:val="00937262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50F"/>
    <w:rsid w:val="009435F1"/>
    <w:rsid w:val="00943AAC"/>
    <w:rsid w:val="00943D9D"/>
    <w:rsid w:val="009440D5"/>
    <w:rsid w:val="00944E98"/>
    <w:rsid w:val="0094551A"/>
    <w:rsid w:val="00945559"/>
    <w:rsid w:val="00945BD9"/>
    <w:rsid w:val="00945CC1"/>
    <w:rsid w:val="00946517"/>
    <w:rsid w:val="009465A2"/>
    <w:rsid w:val="00946A19"/>
    <w:rsid w:val="0094784D"/>
    <w:rsid w:val="00947C89"/>
    <w:rsid w:val="0095037B"/>
    <w:rsid w:val="009504BA"/>
    <w:rsid w:val="00950884"/>
    <w:rsid w:val="00950D8B"/>
    <w:rsid w:val="0095100C"/>
    <w:rsid w:val="00951600"/>
    <w:rsid w:val="00951622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818"/>
    <w:rsid w:val="00954B48"/>
    <w:rsid w:val="00954E80"/>
    <w:rsid w:val="009553E1"/>
    <w:rsid w:val="00955614"/>
    <w:rsid w:val="009557B7"/>
    <w:rsid w:val="00956D93"/>
    <w:rsid w:val="00956DDA"/>
    <w:rsid w:val="0095730C"/>
    <w:rsid w:val="00957A68"/>
    <w:rsid w:val="009600A4"/>
    <w:rsid w:val="0096014A"/>
    <w:rsid w:val="0096021D"/>
    <w:rsid w:val="00960D5C"/>
    <w:rsid w:val="00961A67"/>
    <w:rsid w:val="00961F64"/>
    <w:rsid w:val="0096204E"/>
    <w:rsid w:val="00962A95"/>
    <w:rsid w:val="009631B1"/>
    <w:rsid w:val="00963F82"/>
    <w:rsid w:val="00965774"/>
    <w:rsid w:val="0096603A"/>
    <w:rsid w:val="009664A6"/>
    <w:rsid w:val="0096670C"/>
    <w:rsid w:val="00966C2B"/>
    <w:rsid w:val="00967682"/>
    <w:rsid w:val="00967A2E"/>
    <w:rsid w:val="00967B26"/>
    <w:rsid w:val="00970FF2"/>
    <w:rsid w:val="0097122C"/>
    <w:rsid w:val="009712A1"/>
    <w:rsid w:val="0097159D"/>
    <w:rsid w:val="00971631"/>
    <w:rsid w:val="00971A6E"/>
    <w:rsid w:val="00971D6B"/>
    <w:rsid w:val="009722E9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91A"/>
    <w:rsid w:val="00980AC1"/>
    <w:rsid w:val="00980C67"/>
    <w:rsid w:val="00980CE8"/>
    <w:rsid w:val="00981549"/>
    <w:rsid w:val="009815C4"/>
    <w:rsid w:val="009816AB"/>
    <w:rsid w:val="009817A1"/>
    <w:rsid w:val="00981B24"/>
    <w:rsid w:val="00981D26"/>
    <w:rsid w:val="0098264C"/>
    <w:rsid w:val="009828A8"/>
    <w:rsid w:val="00982DAB"/>
    <w:rsid w:val="009832EF"/>
    <w:rsid w:val="009837D3"/>
    <w:rsid w:val="00983911"/>
    <w:rsid w:val="00983C5F"/>
    <w:rsid w:val="00983E6E"/>
    <w:rsid w:val="00983F89"/>
    <w:rsid w:val="00984E26"/>
    <w:rsid w:val="00985695"/>
    <w:rsid w:val="009858C2"/>
    <w:rsid w:val="00985F45"/>
    <w:rsid w:val="009867A3"/>
    <w:rsid w:val="009868C6"/>
    <w:rsid w:val="00986B93"/>
    <w:rsid w:val="00986C98"/>
    <w:rsid w:val="00986CE0"/>
    <w:rsid w:val="00986CFC"/>
    <w:rsid w:val="009870D8"/>
    <w:rsid w:val="00987FB1"/>
    <w:rsid w:val="0099008A"/>
    <w:rsid w:val="00990261"/>
    <w:rsid w:val="00990854"/>
    <w:rsid w:val="00990C1D"/>
    <w:rsid w:val="00990F67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720A"/>
    <w:rsid w:val="0099790E"/>
    <w:rsid w:val="009A0261"/>
    <w:rsid w:val="009A0355"/>
    <w:rsid w:val="009A099B"/>
    <w:rsid w:val="009A0A57"/>
    <w:rsid w:val="009A1138"/>
    <w:rsid w:val="009A1712"/>
    <w:rsid w:val="009A1A77"/>
    <w:rsid w:val="009A1C70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3F8"/>
    <w:rsid w:val="009B17E7"/>
    <w:rsid w:val="009B20DA"/>
    <w:rsid w:val="009B2700"/>
    <w:rsid w:val="009B2770"/>
    <w:rsid w:val="009B294C"/>
    <w:rsid w:val="009B29DF"/>
    <w:rsid w:val="009B3927"/>
    <w:rsid w:val="009B3A4D"/>
    <w:rsid w:val="009B3B15"/>
    <w:rsid w:val="009B3D8C"/>
    <w:rsid w:val="009B5639"/>
    <w:rsid w:val="009B591E"/>
    <w:rsid w:val="009B5CEE"/>
    <w:rsid w:val="009B5D33"/>
    <w:rsid w:val="009B5D97"/>
    <w:rsid w:val="009B5F5D"/>
    <w:rsid w:val="009B64C3"/>
    <w:rsid w:val="009B6BFF"/>
    <w:rsid w:val="009B70EB"/>
    <w:rsid w:val="009B7188"/>
    <w:rsid w:val="009B71E2"/>
    <w:rsid w:val="009B7269"/>
    <w:rsid w:val="009B758A"/>
    <w:rsid w:val="009B7598"/>
    <w:rsid w:val="009C0046"/>
    <w:rsid w:val="009C0055"/>
    <w:rsid w:val="009C009E"/>
    <w:rsid w:val="009C0442"/>
    <w:rsid w:val="009C069B"/>
    <w:rsid w:val="009C118D"/>
    <w:rsid w:val="009C1882"/>
    <w:rsid w:val="009C1EDF"/>
    <w:rsid w:val="009C2510"/>
    <w:rsid w:val="009C27FA"/>
    <w:rsid w:val="009C2D0E"/>
    <w:rsid w:val="009C2E97"/>
    <w:rsid w:val="009C3629"/>
    <w:rsid w:val="009C4519"/>
    <w:rsid w:val="009C462C"/>
    <w:rsid w:val="009C49C5"/>
    <w:rsid w:val="009C4C6A"/>
    <w:rsid w:val="009C4D38"/>
    <w:rsid w:val="009C4F0E"/>
    <w:rsid w:val="009C56BE"/>
    <w:rsid w:val="009C57E6"/>
    <w:rsid w:val="009C5AF7"/>
    <w:rsid w:val="009C6E76"/>
    <w:rsid w:val="009C715B"/>
    <w:rsid w:val="009C71E9"/>
    <w:rsid w:val="009C76C4"/>
    <w:rsid w:val="009C7772"/>
    <w:rsid w:val="009C778C"/>
    <w:rsid w:val="009C7BE3"/>
    <w:rsid w:val="009D0100"/>
    <w:rsid w:val="009D08E9"/>
    <w:rsid w:val="009D09F4"/>
    <w:rsid w:val="009D0EF9"/>
    <w:rsid w:val="009D1195"/>
    <w:rsid w:val="009D1DA4"/>
    <w:rsid w:val="009D21E1"/>
    <w:rsid w:val="009D26AF"/>
    <w:rsid w:val="009D2B99"/>
    <w:rsid w:val="009D471B"/>
    <w:rsid w:val="009D49AF"/>
    <w:rsid w:val="009D4B72"/>
    <w:rsid w:val="009D52CF"/>
    <w:rsid w:val="009D5CF2"/>
    <w:rsid w:val="009D67E5"/>
    <w:rsid w:val="009D6A46"/>
    <w:rsid w:val="009D6C2D"/>
    <w:rsid w:val="009E0A8D"/>
    <w:rsid w:val="009E117B"/>
    <w:rsid w:val="009E13C0"/>
    <w:rsid w:val="009E145C"/>
    <w:rsid w:val="009E1C62"/>
    <w:rsid w:val="009E1DBF"/>
    <w:rsid w:val="009E22AF"/>
    <w:rsid w:val="009E2459"/>
    <w:rsid w:val="009E2A9A"/>
    <w:rsid w:val="009E2E90"/>
    <w:rsid w:val="009E31C0"/>
    <w:rsid w:val="009E323C"/>
    <w:rsid w:val="009E339F"/>
    <w:rsid w:val="009E3915"/>
    <w:rsid w:val="009E3CDC"/>
    <w:rsid w:val="009E4165"/>
    <w:rsid w:val="009E45BB"/>
    <w:rsid w:val="009E47CD"/>
    <w:rsid w:val="009E5319"/>
    <w:rsid w:val="009E5669"/>
    <w:rsid w:val="009E6080"/>
    <w:rsid w:val="009E64BF"/>
    <w:rsid w:val="009E65CB"/>
    <w:rsid w:val="009E6DDE"/>
    <w:rsid w:val="009E753F"/>
    <w:rsid w:val="009E75EB"/>
    <w:rsid w:val="009E76FE"/>
    <w:rsid w:val="009E7D32"/>
    <w:rsid w:val="009F0304"/>
    <w:rsid w:val="009F043C"/>
    <w:rsid w:val="009F0F49"/>
    <w:rsid w:val="009F0F9A"/>
    <w:rsid w:val="009F14C5"/>
    <w:rsid w:val="009F161C"/>
    <w:rsid w:val="009F1ABA"/>
    <w:rsid w:val="009F229C"/>
    <w:rsid w:val="009F22B9"/>
    <w:rsid w:val="009F230D"/>
    <w:rsid w:val="009F2366"/>
    <w:rsid w:val="009F2639"/>
    <w:rsid w:val="009F2B66"/>
    <w:rsid w:val="009F2C72"/>
    <w:rsid w:val="009F3338"/>
    <w:rsid w:val="009F374E"/>
    <w:rsid w:val="009F38D9"/>
    <w:rsid w:val="009F40B0"/>
    <w:rsid w:val="009F453E"/>
    <w:rsid w:val="009F464A"/>
    <w:rsid w:val="009F47C2"/>
    <w:rsid w:val="009F486A"/>
    <w:rsid w:val="009F4AEA"/>
    <w:rsid w:val="009F5531"/>
    <w:rsid w:val="009F58C4"/>
    <w:rsid w:val="009F59A8"/>
    <w:rsid w:val="009F5B0F"/>
    <w:rsid w:val="009F5D5E"/>
    <w:rsid w:val="009F60D0"/>
    <w:rsid w:val="009F6652"/>
    <w:rsid w:val="009F66B2"/>
    <w:rsid w:val="009F6924"/>
    <w:rsid w:val="009F6A6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E70"/>
    <w:rsid w:val="00A04318"/>
    <w:rsid w:val="00A0440A"/>
    <w:rsid w:val="00A04961"/>
    <w:rsid w:val="00A05303"/>
    <w:rsid w:val="00A05CFF"/>
    <w:rsid w:val="00A05D7D"/>
    <w:rsid w:val="00A05E75"/>
    <w:rsid w:val="00A064E0"/>
    <w:rsid w:val="00A072AA"/>
    <w:rsid w:val="00A07372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20EE"/>
    <w:rsid w:val="00A127E3"/>
    <w:rsid w:val="00A128B3"/>
    <w:rsid w:val="00A129F5"/>
    <w:rsid w:val="00A1332F"/>
    <w:rsid w:val="00A13AB5"/>
    <w:rsid w:val="00A13E13"/>
    <w:rsid w:val="00A141CF"/>
    <w:rsid w:val="00A141F5"/>
    <w:rsid w:val="00A143C8"/>
    <w:rsid w:val="00A1455F"/>
    <w:rsid w:val="00A14E4F"/>
    <w:rsid w:val="00A15386"/>
    <w:rsid w:val="00A15538"/>
    <w:rsid w:val="00A15614"/>
    <w:rsid w:val="00A15E0A"/>
    <w:rsid w:val="00A169B0"/>
    <w:rsid w:val="00A16D99"/>
    <w:rsid w:val="00A16FB1"/>
    <w:rsid w:val="00A172DD"/>
    <w:rsid w:val="00A17430"/>
    <w:rsid w:val="00A17508"/>
    <w:rsid w:val="00A17A64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8D9"/>
    <w:rsid w:val="00A23040"/>
    <w:rsid w:val="00A23800"/>
    <w:rsid w:val="00A23D3D"/>
    <w:rsid w:val="00A23F12"/>
    <w:rsid w:val="00A24453"/>
    <w:rsid w:val="00A25076"/>
    <w:rsid w:val="00A25379"/>
    <w:rsid w:val="00A25AF6"/>
    <w:rsid w:val="00A261D0"/>
    <w:rsid w:val="00A262D1"/>
    <w:rsid w:val="00A262E4"/>
    <w:rsid w:val="00A265B3"/>
    <w:rsid w:val="00A26E1C"/>
    <w:rsid w:val="00A26EC5"/>
    <w:rsid w:val="00A27172"/>
    <w:rsid w:val="00A271DE"/>
    <w:rsid w:val="00A27234"/>
    <w:rsid w:val="00A272EA"/>
    <w:rsid w:val="00A27B9C"/>
    <w:rsid w:val="00A27E85"/>
    <w:rsid w:val="00A30129"/>
    <w:rsid w:val="00A30B7A"/>
    <w:rsid w:val="00A30D0D"/>
    <w:rsid w:val="00A30FED"/>
    <w:rsid w:val="00A31B8A"/>
    <w:rsid w:val="00A31F75"/>
    <w:rsid w:val="00A324FD"/>
    <w:rsid w:val="00A328E0"/>
    <w:rsid w:val="00A33020"/>
    <w:rsid w:val="00A3370C"/>
    <w:rsid w:val="00A33794"/>
    <w:rsid w:val="00A33E4B"/>
    <w:rsid w:val="00A3420E"/>
    <w:rsid w:val="00A34C85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917"/>
    <w:rsid w:val="00A410C2"/>
    <w:rsid w:val="00A41656"/>
    <w:rsid w:val="00A41CCC"/>
    <w:rsid w:val="00A41DC8"/>
    <w:rsid w:val="00A42D09"/>
    <w:rsid w:val="00A42EC6"/>
    <w:rsid w:val="00A42F30"/>
    <w:rsid w:val="00A436CC"/>
    <w:rsid w:val="00A439D4"/>
    <w:rsid w:val="00A44761"/>
    <w:rsid w:val="00A44908"/>
    <w:rsid w:val="00A44C82"/>
    <w:rsid w:val="00A451A5"/>
    <w:rsid w:val="00A4578E"/>
    <w:rsid w:val="00A458FD"/>
    <w:rsid w:val="00A45CED"/>
    <w:rsid w:val="00A45F36"/>
    <w:rsid w:val="00A4600A"/>
    <w:rsid w:val="00A463AB"/>
    <w:rsid w:val="00A46A55"/>
    <w:rsid w:val="00A47993"/>
    <w:rsid w:val="00A479CC"/>
    <w:rsid w:val="00A47CF7"/>
    <w:rsid w:val="00A47DD9"/>
    <w:rsid w:val="00A50009"/>
    <w:rsid w:val="00A502D6"/>
    <w:rsid w:val="00A50796"/>
    <w:rsid w:val="00A507FC"/>
    <w:rsid w:val="00A5106F"/>
    <w:rsid w:val="00A510FC"/>
    <w:rsid w:val="00A518A5"/>
    <w:rsid w:val="00A52433"/>
    <w:rsid w:val="00A525CE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3A8"/>
    <w:rsid w:val="00A5644E"/>
    <w:rsid w:val="00A5663C"/>
    <w:rsid w:val="00A56902"/>
    <w:rsid w:val="00A56A4A"/>
    <w:rsid w:val="00A56F07"/>
    <w:rsid w:val="00A5755C"/>
    <w:rsid w:val="00A57853"/>
    <w:rsid w:val="00A57C7E"/>
    <w:rsid w:val="00A60737"/>
    <w:rsid w:val="00A6090F"/>
    <w:rsid w:val="00A6131A"/>
    <w:rsid w:val="00A616ED"/>
    <w:rsid w:val="00A6234A"/>
    <w:rsid w:val="00A623FC"/>
    <w:rsid w:val="00A62438"/>
    <w:rsid w:val="00A62C85"/>
    <w:rsid w:val="00A634E5"/>
    <w:rsid w:val="00A63DD1"/>
    <w:rsid w:val="00A63FB1"/>
    <w:rsid w:val="00A641B0"/>
    <w:rsid w:val="00A642A2"/>
    <w:rsid w:val="00A646F4"/>
    <w:rsid w:val="00A64A82"/>
    <w:rsid w:val="00A65335"/>
    <w:rsid w:val="00A65552"/>
    <w:rsid w:val="00A65620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7261D"/>
    <w:rsid w:val="00A72757"/>
    <w:rsid w:val="00A727AE"/>
    <w:rsid w:val="00A72953"/>
    <w:rsid w:val="00A72B00"/>
    <w:rsid w:val="00A72CF6"/>
    <w:rsid w:val="00A74B2E"/>
    <w:rsid w:val="00A74BDB"/>
    <w:rsid w:val="00A74C06"/>
    <w:rsid w:val="00A751FF"/>
    <w:rsid w:val="00A753E4"/>
    <w:rsid w:val="00A75768"/>
    <w:rsid w:val="00A76142"/>
    <w:rsid w:val="00A7723A"/>
    <w:rsid w:val="00A7790B"/>
    <w:rsid w:val="00A77A6C"/>
    <w:rsid w:val="00A77B6B"/>
    <w:rsid w:val="00A77DB9"/>
    <w:rsid w:val="00A801C1"/>
    <w:rsid w:val="00A809D0"/>
    <w:rsid w:val="00A814AF"/>
    <w:rsid w:val="00A81BC4"/>
    <w:rsid w:val="00A81C19"/>
    <w:rsid w:val="00A81FC7"/>
    <w:rsid w:val="00A8286E"/>
    <w:rsid w:val="00A8299D"/>
    <w:rsid w:val="00A837B9"/>
    <w:rsid w:val="00A83F0B"/>
    <w:rsid w:val="00A8412F"/>
    <w:rsid w:val="00A845F0"/>
    <w:rsid w:val="00A84AAB"/>
    <w:rsid w:val="00A859DF"/>
    <w:rsid w:val="00A85FF0"/>
    <w:rsid w:val="00A8649C"/>
    <w:rsid w:val="00A87773"/>
    <w:rsid w:val="00A87D08"/>
    <w:rsid w:val="00A87D87"/>
    <w:rsid w:val="00A90589"/>
    <w:rsid w:val="00A90A0C"/>
    <w:rsid w:val="00A9159B"/>
    <w:rsid w:val="00A91994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933"/>
    <w:rsid w:val="00A95412"/>
    <w:rsid w:val="00A964E3"/>
    <w:rsid w:val="00A96695"/>
    <w:rsid w:val="00A966CB"/>
    <w:rsid w:val="00A96CF5"/>
    <w:rsid w:val="00A975F3"/>
    <w:rsid w:val="00A97D38"/>
    <w:rsid w:val="00AA0204"/>
    <w:rsid w:val="00AA0823"/>
    <w:rsid w:val="00AA089C"/>
    <w:rsid w:val="00AA0E63"/>
    <w:rsid w:val="00AA117B"/>
    <w:rsid w:val="00AA1597"/>
    <w:rsid w:val="00AA20A0"/>
    <w:rsid w:val="00AA2389"/>
    <w:rsid w:val="00AA2969"/>
    <w:rsid w:val="00AA2F67"/>
    <w:rsid w:val="00AA3144"/>
    <w:rsid w:val="00AA3526"/>
    <w:rsid w:val="00AA37F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6B84"/>
    <w:rsid w:val="00AA6C58"/>
    <w:rsid w:val="00AA6E4C"/>
    <w:rsid w:val="00AA7691"/>
    <w:rsid w:val="00AA769A"/>
    <w:rsid w:val="00AA776C"/>
    <w:rsid w:val="00AA77AD"/>
    <w:rsid w:val="00AA7A7C"/>
    <w:rsid w:val="00AB0B15"/>
    <w:rsid w:val="00AB0B61"/>
    <w:rsid w:val="00AB0E15"/>
    <w:rsid w:val="00AB1044"/>
    <w:rsid w:val="00AB1386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277"/>
    <w:rsid w:val="00AB7E5E"/>
    <w:rsid w:val="00AC0070"/>
    <w:rsid w:val="00AC0542"/>
    <w:rsid w:val="00AC084B"/>
    <w:rsid w:val="00AC0DDF"/>
    <w:rsid w:val="00AC105F"/>
    <w:rsid w:val="00AC1371"/>
    <w:rsid w:val="00AC1613"/>
    <w:rsid w:val="00AC16AB"/>
    <w:rsid w:val="00AC2700"/>
    <w:rsid w:val="00AC2D69"/>
    <w:rsid w:val="00AC33D1"/>
    <w:rsid w:val="00AC3637"/>
    <w:rsid w:val="00AC37BF"/>
    <w:rsid w:val="00AC3A00"/>
    <w:rsid w:val="00AC3F23"/>
    <w:rsid w:val="00AC4A73"/>
    <w:rsid w:val="00AC4E2C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E24"/>
    <w:rsid w:val="00AD01AC"/>
    <w:rsid w:val="00AD0BA4"/>
    <w:rsid w:val="00AD0C08"/>
    <w:rsid w:val="00AD12C7"/>
    <w:rsid w:val="00AD2408"/>
    <w:rsid w:val="00AD31F9"/>
    <w:rsid w:val="00AD3224"/>
    <w:rsid w:val="00AD3689"/>
    <w:rsid w:val="00AD38B7"/>
    <w:rsid w:val="00AD3901"/>
    <w:rsid w:val="00AD43C9"/>
    <w:rsid w:val="00AD4418"/>
    <w:rsid w:val="00AD442D"/>
    <w:rsid w:val="00AD45CE"/>
    <w:rsid w:val="00AD48AC"/>
    <w:rsid w:val="00AD4A3F"/>
    <w:rsid w:val="00AD4B1A"/>
    <w:rsid w:val="00AD4DC9"/>
    <w:rsid w:val="00AD578E"/>
    <w:rsid w:val="00AD5807"/>
    <w:rsid w:val="00AD5EBF"/>
    <w:rsid w:val="00AD6B39"/>
    <w:rsid w:val="00AD6CE4"/>
    <w:rsid w:val="00AD6E8E"/>
    <w:rsid w:val="00AD7706"/>
    <w:rsid w:val="00AD786D"/>
    <w:rsid w:val="00AE01B4"/>
    <w:rsid w:val="00AE02FB"/>
    <w:rsid w:val="00AE082F"/>
    <w:rsid w:val="00AE0C42"/>
    <w:rsid w:val="00AE0EBC"/>
    <w:rsid w:val="00AE1071"/>
    <w:rsid w:val="00AE183B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4088"/>
    <w:rsid w:val="00AE4168"/>
    <w:rsid w:val="00AE49DC"/>
    <w:rsid w:val="00AE55EC"/>
    <w:rsid w:val="00AE5886"/>
    <w:rsid w:val="00AE64D2"/>
    <w:rsid w:val="00AE693E"/>
    <w:rsid w:val="00AE6A86"/>
    <w:rsid w:val="00AE6F28"/>
    <w:rsid w:val="00AF0DE8"/>
    <w:rsid w:val="00AF1EAF"/>
    <w:rsid w:val="00AF1FE7"/>
    <w:rsid w:val="00AF2569"/>
    <w:rsid w:val="00AF2E67"/>
    <w:rsid w:val="00AF300D"/>
    <w:rsid w:val="00AF3038"/>
    <w:rsid w:val="00AF3332"/>
    <w:rsid w:val="00AF33C9"/>
    <w:rsid w:val="00AF3E0A"/>
    <w:rsid w:val="00AF4074"/>
    <w:rsid w:val="00AF4419"/>
    <w:rsid w:val="00AF45D2"/>
    <w:rsid w:val="00AF491D"/>
    <w:rsid w:val="00AF4B61"/>
    <w:rsid w:val="00AF4C4E"/>
    <w:rsid w:val="00AF4F33"/>
    <w:rsid w:val="00AF5618"/>
    <w:rsid w:val="00AF57FF"/>
    <w:rsid w:val="00AF5845"/>
    <w:rsid w:val="00AF5C9F"/>
    <w:rsid w:val="00AF630B"/>
    <w:rsid w:val="00AF6488"/>
    <w:rsid w:val="00AF7168"/>
    <w:rsid w:val="00AF7232"/>
    <w:rsid w:val="00AF73B0"/>
    <w:rsid w:val="00AF73EC"/>
    <w:rsid w:val="00AF7401"/>
    <w:rsid w:val="00AF742F"/>
    <w:rsid w:val="00AF74A9"/>
    <w:rsid w:val="00AF77EA"/>
    <w:rsid w:val="00AF78D3"/>
    <w:rsid w:val="00AF78D8"/>
    <w:rsid w:val="00B00C02"/>
    <w:rsid w:val="00B00C33"/>
    <w:rsid w:val="00B0119B"/>
    <w:rsid w:val="00B01494"/>
    <w:rsid w:val="00B02808"/>
    <w:rsid w:val="00B02887"/>
    <w:rsid w:val="00B02F3E"/>
    <w:rsid w:val="00B03BEA"/>
    <w:rsid w:val="00B040ED"/>
    <w:rsid w:val="00B0417C"/>
    <w:rsid w:val="00B04B99"/>
    <w:rsid w:val="00B04FEB"/>
    <w:rsid w:val="00B06280"/>
    <w:rsid w:val="00B06CC6"/>
    <w:rsid w:val="00B06D8B"/>
    <w:rsid w:val="00B07584"/>
    <w:rsid w:val="00B0787F"/>
    <w:rsid w:val="00B07C23"/>
    <w:rsid w:val="00B10011"/>
    <w:rsid w:val="00B10AF9"/>
    <w:rsid w:val="00B10E7A"/>
    <w:rsid w:val="00B1178B"/>
    <w:rsid w:val="00B11BC8"/>
    <w:rsid w:val="00B11F51"/>
    <w:rsid w:val="00B12115"/>
    <w:rsid w:val="00B12215"/>
    <w:rsid w:val="00B123E1"/>
    <w:rsid w:val="00B1254C"/>
    <w:rsid w:val="00B12F0A"/>
    <w:rsid w:val="00B13C76"/>
    <w:rsid w:val="00B13E84"/>
    <w:rsid w:val="00B14322"/>
    <w:rsid w:val="00B14845"/>
    <w:rsid w:val="00B14B51"/>
    <w:rsid w:val="00B14F57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0FEB"/>
    <w:rsid w:val="00B21ED5"/>
    <w:rsid w:val="00B2200F"/>
    <w:rsid w:val="00B22174"/>
    <w:rsid w:val="00B22394"/>
    <w:rsid w:val="00B22BA0"/>
    <w:rsid w:val="00B22E15"/>
    <w:rsid w:val="00B23602"/>
    <w:rsid w:val="00B24475"/>
    <w:rsid w:val="00B2460A"/>
    <w:rsid w:val="00B24D76"/>
    <w:rsid w:val="00B25132"/>
    <w:rsid w:val="00B25167"/>
    <w:rsid w:val="00B25902"/>
    <w:rsid w:val="00B25B2F"/>
    <w:rsid w:val="00B2605E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3B5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E5"/>
    <w:rsid w:val="00B356E5"/>
    <w:rsid w:val="00B356ED"/>
    <w:rsid w:val="00B35946"/>
    <w:rsid w:val="00B359CD"/>
    <w:rsid w:val="00B35F14"/>
    <w:rsid w:val="00B370B8"/>
    <w:rsid w:val="00B371F9"/>
    <w:rsid w:val="00B378CD"/>
    <w:rsid w:val="00B37B73"/>
    <w:rsid w:val="00B40853"/>
    <w:rsid w:val="00B40978"/>
    <w:rsid w:val="00B411FE"/>
    <w:rsid w:val="00B41571"/>
    <w:rsid w:val="00B4163D"/>
    <w:rsid w:val="00B41F7F"/>
    <w:rsid w:val="00B43658"/>
    <w:rsid w:val="00B438DA"/>
    <w:rsid w:val="00B43C80"/>
    <w:rsid w:val="00B43E9E"/>
    <w:rsid w:val="00B4426D"/>
    <w:rsid w:val="00B44A06"/>
    <w:rsid w:val="00B44EF3"/>
    <w:rsid w:val="00B45D54"/>
    <w:rsid w:val="00B46FB9"/>
    <w:rsid w:val="00B4708B"/>
    <w:rsid w:val="00B47AD9"/>
    <w:rsid w:val="00B47C0C"/>
    <w:rsid w:val="00B47DB9"/>
    <w:rsid w:val="00B47F77"/>
    <w:rsid w:val="00B50B7D"/>
    <w:rsid w:val="00B5147C"/>
    <w:rsid w:val="00B51E09"/>
    <w:rsid w:val="00B520CA"/>
    <w:rsid w:val="00B52521"/>
    <w:rsid w:val="00B5389D"/>
    <w:rsid w:val="00B53F86"/>
    <w:rsid w:val="00B54322"/>
    <w:rsid w:val="00B54528"/>
    <w:rsid w:val="00B5460E"/>
    <w:rsid w:val="00B54754"/>
    <w:rsid w:val="00B554E5"/>
    <w:rsid w:val="00B5627A"/>
    <w:rsid w:val="00B56D1A"/>
    <w:rsid w:val="00B56D84"/>
    <w:rsid w:val="00B574EC"/>
    <w:rsid w:val="00B6013A"/>
    <w:rsid w:val="00B60A8D"/>
    <w:rsid w:val="00B60E2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B55"/>
    <w:rsid w:val="00B66DE2"/>
    <w:rsid w:val="00B679AC"/>
    <w:rsid w:val="00B67F15"/>
    <w:rsid w:val="00B67F3D"/>
    <w:rsid w:val="00B70A84"/>
    <w:rsid w:val="00B70B13"/>
    <w:rsid w:val="00B70D5E"/>
    <w:rsid w:val="00B70D7B"/>
    <w:rsid w:val="00B7132B"/>
    <w:rsid w:val="00B71404"/>
    <w:rsid w:val="00B7186B"/>
    <w:rsid w:val="00B71CA6"/>
    <w:rsid w:val="00B727EF"/>
    <w:rsid w:val="00B729C7"/>
    <w:rsid w:val="00B72B9B"/>
    <w:rsid w:val="00B72DB8"/>
    <w:rsid w:val="00B72FE4"/>
    <w:rsid w:val="00B73475"/>
    <w:rsid w:val="00B73990"/>
    <w:rsid w:val="00B7428F"/>
    <w:rsid w:val="00B74C0A"/>
    <w:rsid w:val="00B74EE9"/>
    <w:rsid w:val="00B75589"/>
    <w:rsid w:val="00B75EC0"/>
    <w:rsid w:val="00B769AA"/>
    <w:rsid w:val="00B76CF3"/>
    <w:rsid w:val="00B76FD5"/>
    <w:rsid w:val="00B7727A"/>
    <w:rsid w:val="00B77287"/>
    <w:rsid w:val="00B773AD"/>
    <w:rsid w:val="00B77AB1"/>
    <w:rsid w:val="00B80ADF"/>
    <w:rsid w:val="00B80C4E"/>
    <w:rsid w:val="00B80FB0"/>
    <w:rsid w:val="00B8129B"/>
    <w:rsid w:val="00B816AB"/>
    <w:rsid w:val="00B81707"/>
    <w:rsid w:val="00B81D40"/>
    <w:rsid w:val="00B81FAF"/>
    <w:rsid w:val="00B83038"/>
    <w:rsid w:val="00B83328"/>
    <w:rsid w:val="00B83919"/>
    <w:rsid w:val="00B8431C"/>
    <w:rsid w:val="00B8453F"/>
    <w:rsid w:val="00B8493B"/>
    <w:rsid w:val="00B84B2D"/>
    <w:rsid w:val="00B850D3"/>
    <w:rsid w:val="00B8548E"/>
    <w:rsid w:val="00B86248"/>
    <w:rsid w:val="00B86C82"/>
    <w:rsid w:val="00B86CA7"/>
    <w:rsid w:val="00B86D97"/>
    <w:rsid w:val="00B8762D"/>
    <w:rsid w:val="00B87C0B"/>
    <w:rsid w:val="00B90356"/>
    <w:rsid w:val="00B9080F"/>
    <w:rsid w:val="00B90E02"/>
    <w:rsid w:val="00B90E3B"/>
    <w:rsid w:val="00B91055"/>
    <w:rsid w:val="00B913AB"/>
    <w:rsid w:val="00B91AF6"/>
    <w:rsid w:val="00B91BAD"/>
    <w:rsid w:val="00B91EAC"/>
    <w:rsid w:val="00B92EA8"/>
    <w:rsid w:val="00B934F2"/>
    <w:rsid w:val="00B93A16"/>
    <w:rsid w:val="00B93AA9"/>
    <w:rsid w:val="00B93B9F"/>
    <w:rsid w:val="00B94F22"/>
    <w:rsid w:val="00B95277"/>
    <w:rsid w:val="00B9531E"/>
    <w:rsid w:val="00B958E2"/>
    <w:rsid w:val="00B961B9"/>
    <w:rsid w:val="00B96261"/>
    <w:rsid w:val="00B96381"/>
    <w:rsid w:val="00B96DAD"/>
    <w:rsid w:val="00B97493"/>
    <w:rsid w:val="00B97AFA"/>
    <w:rsid w:val="00BA016A"/>
    <w:rsid w:val="00BA15A5"/>
    <w:rsid w:val="00BA2375"/>
    <w:rsid w:val="00BA2D29"/>
    <w:rsid w:val="00BA2D77"/>
    <w:rsid w:val="00BA2EF0"/>
    <w:rsid w:val="00BA305E"/>
    <w:rsid w:val="00BA31DD"/>
    <w:rsid w:val="00BA32B5"/>
    <w:rsid w:val="00BA3BDE"/>
    <w:rsid w:val="00BA3F3F"/>
    <w:rsid w:val="00BA3F5A"/>
    <w:rsid w:val="00BA4529"/>
    <w:rsid w:val="00BA54D7"/>
    <w:rsid w:val="00BA663C"/>
    <w:rsid w:val="00BA6725"/>
    <w:rsid w:val="00BA6B33"/>
    <w:rsid w:val="00BA6BCE"/>
    <w:rsid w:val="00BA6F8A"/>
    <w:rsid w:val="00BA777B"/>
    <w:rsid w:val="00BA7B81"/>
    <w:rsid w:val="00BA7C62"/>
    <w:rsid w:val="00BB0BB7"/>
    <w:rsid w:val="00BB10F2"/>
    <w:rsid w:val="00BB122C"/>
    <w:rsid w:val="00BB14BF"/>
    <w:rsid w:val="00BB2C09"/>
    <w:rsid w:val="00BB3429"/>
    <w:rsid w:val="00BB356F"/>
    <w:rsid w:val="00BB3BE7"/>
    <w:rsid w:val="00BB3D3A"/>
    <w:rsid w:val="00BB3F7A"/>
    <w:rsid w:val="00BB4227"/>
    <w:rsid w:val="00BB4879"/>
    <w:rsid w:val="00BB5143"/>
    <w:rsid w:val="00BB562D"/>
    <w:rsid w:val="00BB5797"/>
    <w:rsid w:val="00BB5A0B"/>
    <w:rsid w:val="00BB5F7B"/>
    <w:rsid w:val="00BB6197"/>
    <w:rsid w:val="00BB69F9"/>
    <w:rsid w:val="00BB6A81"/>
    <w:rsid w:val="00BB7BA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220"/>
    <w:rsid w:val="00BD03A0"/>
    <w:rsid w:val="00BD0818"/>
    <w:rsid w:val="00BD0DA9"/>
    <w:rsid w:val="00BD0DF7"/>
    <w:rsid w:val="00BD0E71"/>
    <w:rsid w:val="00BD194D"/>
    <w:rsid w:val="00BD1D62"/>
    <w:rsid w:val="00BD203F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FD2"/>
    <w:rsid w:val="00BE103F"/>
    <w:rsid w:val="00BE18FE"/>
    <w:rsid w:val="00BE1ECA"/>
    <w:rsid w:val="00BE20BC"/>
    <w:rsid w:val="00BE23A8"/>
    <w:rsid w:val="00BE2741"/>
    <w:rsid w:val="00BE3090"/>
    <w:rsid w:val="00BE333B"/>
    <w:rsid w:val="00BE3960"/>
    <w:rsid w:val="00BE3F1C"/>
    <w:rsid w:val="00BE3F1D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9F3"/>
    <w:rsid w:val="00BF1BB8"/>
    <w:rsid w:val="00BF1D77"/>
    <w:rsid w:val="00BF1F92"/>
    <w:rsid w:val="00BF2289"/>
    <w:rsid w:val="00BF2682"/>
    <w:rsid w:val="00BF2817"/>
    <w:rsid w:val="00BF291D"/>
    <w:rsid w:val="00BF2E9E"/>
    <w:rsid w:val="00BF3034"/>
    <w:rsid w:val="00BF3486"/>
    <w:rsid w:val="00BF3904"/>
    <w:rsid w:val="00BF3B41"/>
    <w:rsid w:val="00BF3DD0"/>
    <w:rsid w:val="00BF3F60"/>
    <w:rsid w:val="00BF3F90"/>
    <w:rsid w:val="00BF4D52"/>
    <w:rsid w:val="00BF550D"/>
    <w:rsid w:val="00BF5601"/>
    <w:rsid w:val="00BF57ED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618"/>
    <w:rsid w:val="00C0167E"/>
    <w:rsid w:val="00C01C35"/>
    <w:rsid w:val="00C02071"/>
    <w:rsid w:val="00C02271"/>
    <w:rsid w:val="00C02566"/>
    <w:rsid w:val="00C033FC"/>
    <w:rsid w:val="00C0364E"/>
    <w:rsid w:val="00C03F53"/>
    <w:rsid w:val="00C03FEE"/>
    <w:rsid w:val="00C04164"/>
    <w:rsid w:val="00C043E2"/>
    <w:rsid w:val="00C050F5"/>
    <w:rsid w:val="00C05314"/>
    <w:rsid w:val="00C05B8F"/>
    <w:rsid w:val="00C0614D"/>
    <w:rsid w:val="00C0654A"/>
    <w:rsid w:val="00C06583"/>
    <w:rsid w:val="00C06F14"/>
    <w:rsid w:val="00C0712C"/>
    <w:rsid w:val="00C071EF"/>
    <w:rsid w:val="00C072F6"/>
    <w:rsid w:val="00C07C23"/>
    <w:rsid w:val="00C100F8"/>
    <w:rsid w:val="00C10230"/>
    <w:rsid w:val="00C1030F"/>
    <w:rsid w:val="00C105DB"/>
    <w:rsid w:val="00C1065E"/>
    <w:rsid w:val="00C114EB"/>
    <w:rsid w:val="00C115AC"/>
    <w:rsid w:val="00C11C79"/>
    <w:rsid w:val="00C11D79"/>
    <w:rsid w:val="00C1211C"/>
    <w:rsid w:val="00C12BBC"/>
    <w:rsid w:val="00C12C5A"/>
    <w:rsid w:val="00C12D74"/>
    <w:rsid w:val="00C1323E"/>
    <w:rsid w:val="00C13476"/>
    <w:rsid w:val="00C13D89"/>
    <w:rsid w:val="00C13F20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8B6"/>
    <w:rsid w:val="00C20714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432C"/>
    <w:rsid w:val="00C243AE"/>
    <w:rsid w:val="00C2456C"/>
    <w:rsid w:val="00C249E3"/>
    <w:rsid w:val="00C24C0B"/>
    <w:rsid w:val="00C24FB5"/>
    <w:rsid w:val="00C259F6"/>
    <w:rsid w:val="00C262B7"/>
    <w:rsid w:val="00C2633B"/>
    <w:rsid w:val="00C2699B"/>
    <w:rsid w:val="00C26A82"/>
    <w:rsid w:val="00C270C0"/>
    <w:rsid w:val="00C2791F"/>
    <w:rsid w:val="00C2793B"/>
    <w:rsid w:val="00C300B6"/>
    <w:rsid w:val="00C304D8"/>
    <w:rsid w:val="00C31096"/>
    <w:rsid w:val="00C311D9"/>
    <w:rsid w:val="00C31E57"/>
    <w:rsid w:val="00C31E88"/>
    <w:rsid w:val="00C31EA4"/>
    <w:rsid w:val="00C3270A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546F"/>
    <w:rsid w:val="00C3553B"/>
    <w:rsid w:val="00C3574D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188A"/>
    <w:rsid w:val="00C42758"/>
    <w:rsid w:val="00C42824"/>
    <w:rsid w:val="00C42D44"/>
    <w:rsid w:val="00C42D73"/>
    <w:rsid w:val="00C42F94"/>
    <w:rsid w:val="00C4306B"/>
    <w:rsid w:val="00C4363D"/>
    <w:rsid w:val="00C43A09"/>
    <w:rsid w:val="00C43AB2"/>
    <w:rsid w:val="00C43B2D"/>
    <w:rsid w:val="00C43CDE"/>
    <w:rsid w:val="00C43E73"/>
    <w:rsid w:val="00C43EC5"/>
    <w:rsid w:val="00C445D0"/>
    <w:rsid w:val="00C45299"/>
    <w:rsid w:val="00C45599"/>
    <w:rsid w:val="00C45DD5"/>
    <w:rsid w:val="00C4611B"/>
    <w:rsid w:val="00C46983"/>
    <w:rsid w:val="00C46A3C"/>
    <w:rsid w:val="00C46F07"/>
    <w:rsid w:val="00C473D5"/>
    <w:rsid w:val="00C47696"/>
    <w:rsid w:val="00C50E96"/>
    <w:rsid w:val="00C50F6C"/>
    <w:rsid w:val="00C51322"/>
    <w:rsid w:val="00C51566"/>
    <w:rsid w:val="00C51806"/>
    <w:rsid w:val="00C52587"/>
    <w:rsid w:val="00C52620"/>
    <w:rsid w:val="00C52D7A"/>
    <w:rsid w:val="00C538E9"/>
    <w:rsid w:val="00C53AE8"/>
    <w:rsid w:val="00C53FDB"/>
    <w:rsid w:val="00C5414C"/>
    <w:rsid w:val="00C544E5"/>
    <w:rsid w:val="00C54B02"/>
    <w:rsid w:val="00C54EBD"/>
    <w:rsid w:val="00C55982"/>
    <w:rsid w:val="00C55A7E"/>
    <w:rsid w:val="00C55C7B"/>
    <w:rsid w:val="00C56571"/>
    <w:rsid w:val="00C566B5"/>
    <w:rsid w:val="00C56751"/>
    <w:rsid w:val="00C57060"/>
    <w:rsid w:val="00C57701"/>
    <w:rsid w:val="00C57A21"/>
    <w:rsid w:val="00C57E5F"/>
    <w:rsid w:val="00C606A2"/>
    <w:rsid w:val="00C6075B"/>
    <w:rsid w:val="00C609D6"/>
    <w:rsid w:val="00C60B30"/>
    <w:rsid w:val="00C60CE1"/>
    <w:rsid w:val="00C613A1"/>
    <w:rsid w:val="00C6191E"/>
    <w:rsid w:val="00C626FB"/>
    <w:rsid w:val="00C62B3B"/>
    <w:rsid w:val="00C631DA"/>
    <w:rsid w:val="00C6324A"/>
    <w:rsid w:val="00C63497"/>
    <w:rsid w:val="00C63E15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3B4"/>
    <w:rsid w:val="00C704BE"/>
    <w:rsid w:val="00C70D5B"/>
    <w:rsid w:val="00C70E8C"/>
    <w:rsid w:val="00C7106E"/>
    <w:rsid w:val="00C71BF8"/>
    <w:rsid w:val="00C723AF"/>
    <w:rsid w:val="00C725C2"/>
    <w:rsid w:val="00C726F3"/>
    <w:rsid w:val="00C72A0B"/>
    <w:rsid w:val="00C72CE9"/>
    <w:rsid w:val="00C72D30"/>
    <w:rsid w:val="00C734F7"/>
    <w:rsid w:val="00C74115"/>
    <w:rsid w:val="00C7474D"/>
    <w:rsid w:val="00C74912"/>
    <w:rsid w:val="00C754B9"/>
    <w:rsid w:val="00C755C6"/>
    <w:rsid w:val="00C756BF"/>
    <w:rsid w:val="00C75E48"/>
    <w:rsid w:val="00C75F70"/>
    <w:rsid w:val="00C763E7"/>
    <w:rsid w:val="00C76BD0"/>
    <w:rsid w:val="00C76C30"/>
    <w:rsid w:val="00C76E79"/>
    <w:rsid w:val="00C77529"/>
    <w:rsid w:val="00C778A3"/>
    <w:rsid w:val="00C77B68"/>
    <w:rsid w:val="00C77C25"/>
    <w:rsid w:val="00C800BA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446"/>
    <w:rsid w:val="00C8289E"/>
    <w:rsid w:val="00C82BBE"/>
    <w:rsid w:val="00C836A7"/>
    <w:rsid w:val="00C839C4"/>
    <w:rsid w:val="00C83DDE"/>
    <w:rsid w:val="00C84108"/>
    <w:rsid w:val="00C843FD"/>
    <w:rsid w:val="00C851D7"/>
    <w:rsid w:val="00C856A3"/>
    <w:rsid w:val="00C85D82"/>
    <w:rsid w:val="00C8631C"/>
    <w:rsid w:val="00C86591"/>
    <w:rsid w:val="00C868DF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423D"/>
    <w:rsid w:val="00C948EB"/>
    <w:rsid w:val="00C949D0"/>
    <w:rsid w:val="00C94B6F"/>
    <w:rsid w:val="00C94E55"/>
    <w:rsid w:val="00C9556B"/>
    <w:rsid w:val="00C955CE"/>
    <w:rsid w:val="00C957A0"/>
    <w:rsid w:val="00C95E88"/>
    <w:rsid w:val="00C96E1D"/>
    <w:rsid w:val="00C97913"/>
    <w:rsid w:val="00C979AB"/>
    <w:rsid w:val="00CA04C8"/>
    <w:rsid w:val="00CA0717"/>
    <w:rsid w:val="00CA0E55"/>
    <w:rsid w:val="00CA1ABF"/>
    <w:rsid w:val="00CA2138"/>
    <w:rsid w:val="00CA22E9"/>
    <w:rsid w:val="00CA28B4"/>
    <w:rsid w:val="00CA2A78"/>
    <w:rsid w:val="00CA36B3"/>
    <w:rsid w:val="00CA36BA"/>
    <w:rsid w:val="00CA3872"/>
    <w:rsid w:val="00CA4047"/>
    <w:rsid w:val="00CA42E1"/>
    <w:rsid w:val="00CA4377"/>
    <w:rsid w:val="00CA4620"/>
    <w:rsid w:val="00CA4B0C"/>
    <w:rsid w:val="00CA4C1D"/>
    <w:rsid w:val="00CA543F"/>
    <w:rsid w:val="00CA5598"/>
    <w:rsid w:val="00CA56AA"/>
    <w:rsid w:val="00CA5ABC"/>
    <w:rsid w:val="00CA5FEE"/>
    <w:rsid w:val="00CA6714"/>
    <w:rsid w:val="00CA7230"/>
    <w:rsid w:val="00CA7321"/>
    <w:rsid w:val="00CA7797"/>
    <w:rsid w:val="00CA7E07"/>
    <w:rsid w:val="00CA7E35"/>
    <w:rsid w:val="00CB0C2D"/>
    <w:rsid w:val="00CB132F"/>
    <w:rsid w:val="00CB179F"/>
    <w:rsid w:val="00CB208B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4C8"/>
    <w:rsid w:val="00CB70FD"/>
    <w:rsid w:val="00CB71CE"/>
    <w:rsid w:val="00CB75F7"/>
    <w:rsid w:val="00CB76E6"/>
    <w:rsid w:val="00CB7902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C91"/>
    <w:rsid w:val="00CC2D6D"/>
    <w:rsid w:val="00CC3589"/>
    <w:rsid w:val="00CC3728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772"/>
    <w:rsid w:val="00CC7FFA"/>
    <w:rsid w:val="00CD00B1"/>
    <w:rsid w:val="00CD01B8"/>
    <w:rsid w:val="00CD036C"/>
    <w:rsid w:val="00CD0775"/>
    <w:rsid w:val="00CD0CCB"/>
    <w:rsid w:val="00CD1C2A"/>
    <w:rsid w:val="00CD208D"/>
    <w:rsid w:val="00CD228E"/>
    <w:rsid w:val="00CD26E9"/>
    <w:rsid w:val="00CD26F2"/>
    <w:rsid w:val="00CD300A"/>
    <w:rsid w:val="00CD3148"/>
    <w:rsid w:val="00CD3349"/>
    <w:rsid w:val="00CD3611"/>
    <w:rsid w:val="00CD36AB"/>
    <w:rsid w:val="00CD4CA2"/>
    <w:rsid w:val="00CD4F72"/>
    <w:rsid w:val="00CD51A1"/>
    <w:rsid w:val="00CD52F1"/>
    <w:rsid w:val="00CD5ACE"/>
    <w:rsid w:val="00CD5BC3"/>
    <w:rsid w:val="00CD60C0"/>
    <w:rsid w:val="00CD6589"/>
    <w:rsid w:val="00CD67C6"/>
    <w:rsid w:val="00CD68DA"/>
    <w:rsid w:val="00CD6E47"/>
    <w:rsid w:val="00CD6F81"/>
    <w:rsid w:val="00CD7438"/>
    <w:rsid w:val="00CD7488"/>
    <w:rsid w:val="00CD7531"/>
    <w:rsid w:val="00CD78D4"/>
    <w:rsid w:val="00CD7BE9"/>
    <w:rsid w:val="00CD7C38"/>
    <w:rsid w:val="00CE0214"/>
    <w:rsid w:val="00CE0389"/>
    <w:rsid w:val="00CE0513"/>
    <w:rsid w:val="00CE1076"/>
    <w:rsid w:val="00CE1578"/>
    <w:rsid w:val="00CE1972"/>
    <w:rsid w:val="00CE200B"/>
    <w:rsid w:val="00CE24D5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D6A"/>
    <w:rsid w:val="00CF2564"/>
    <w:rsid w:val="00CF2851"/>
    <w:rsid w:val="00CF2D6E"/>
    <w:rsid w:val="00CF2EEB"/>
    <w:rsid w:val="00CF3107"/>
    <w:rsid w:val="00CF3676"/>
    <w:rsid w:val="00CF3976"/>
    <w:rsid w:val="00CF3B7D"/>
    <w:rsid w:val="00CF3DC1"/>
    <w:rsid w:val="00CF3F45"/>
    <w:rsid w:val="00CF47A1"/>
    <w:rsid w:val="00CF494C"/>
    <w:rsid w:val="00CF4A48"/>
    <w:rsid w:val="00CF4CAB"/>
    <w:rsid w:val="00CF50FB"/>
    <w:rsid w:val="00CF52A5"/>
    <w:rsid w:val="00CF5425"/>
    <w:rsid w:val="00CF661C"/>
    <w:rsid w:val="00CF7112"/>
    <w:rsid w:val="00CF72AF"/>
    <w:rsid w:val="00CF7B46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41E"/>
    <w:rsid w:val="00D047DB"/>
    <w:rsid w:val="00D05144"/>
    <w:rsid w:val="00D05625"/>
    <w:rsid w:val="00D05935"/>
    <w:rsid w:val="00D0597D"/>
    <w:rsid w:val="00D05FF5"/>
    <w:rsid w:val="00D062F2"/>
    <w:rsid w:val="00D06716"/>
    <w:rsid w:val="00D06780"/>
    <w:rsid w:val="00D070A9"/>
    <w:rsid w:val="00D07747"/>
    <w:rsid w:val="00D07FAF"/>
    <w:rsid w:val="00D11064"/>
    <w:rsid w:val="00D110CA"/>
    <w:rsid w:val="00D119D2"/>
    <w:rsid w:val="00D11D2E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C03"/>
    <w:rsid w:val="00D21ECA"/>
    <w:rsid w:val="00D21EF0"/>
    <w:rsid w:val="00D22788"/>
    <w:rsid w:val="00D22A60"/>
    <w:rsid w:val="00D237D7"/>
    <w:rsid w:val="00D23AB4"/>
    <w:rsid w:val="00D23BBD"/>
    <w:rsid w:val="00D2400B"/>
    <w:rsid w:val="00D24B04"/>
    <w:rsid w:val="00D24DD2"/>
    <w:rsid w:val="00D258EC"/>
    <w:rsid w:val="00D25CAA"/>
    <w:rsid w:val="00D26CAA"/>
    <w:rsid w:val="00D271E3"/>
    <w:rsid w:val="00D27C29"/>
    <w:rsid w:val="00D27F58"/>
    <w:rsid w:val="00D30921"/>
    <w:rsid w:val="00D30C6C"/>
    <w:rsid w:val="00D31694"/>
    <w:rsid w:val="00D3193B"/>
    <w:rsid w:val="00D31BE3"/>
    <w:rsid w:val="00D325D6"/>
    <w:rsid w:val="00D32DBD"/>
    <w:rsid w:val="00D32F01"/>
    <w:rsid w:val="00D3310B"/>
    <w:rsid w:val="00D335D2"/>
    <w:rsid w:val="00D33742"/>
    <w:rsid w:val="00D34A7A"/>
    <w:rsid w:val="00D34CD5"/>
    <w:rsid w:val="00D358FD"/>
    <w:rsid w:val="00D35A26"/>
    <w:rsid w:val="00D35CD4"/>
    <w:rsid w:val="00D35E5D"/>
    <w:rsid w:val="00D36059"/>
    <w:rsid w:val="00D36F4F"/>
    <w:rsid w:val="00D36F56"/>
    <w:rsid w:val="00D374E1"/>
    <w:rsid w:val="00D379EF"/>
    <w:rsid w:val="00D37B3D"/>
    <w:rsid w:val="00D37BE6"/>
    <w:rsid w:val="00D37E00"/>
    <w:rsid w:val="00D401B6"/>
    <w:rsid w:val="00D40300"/>
    <w:rsid w:val="00D403A2"/>
    <w:rsid w:val="00D40780"/>
    <w:rsid w:val="00D40A54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42D9"/>
    <w:rsid w:val="00D4481A"/>
    <w:rsid w:val="00D44FA2"/>
    <w:rsid w:val="00D4519A"/>
    <w:rsid w:val="00D452A9"/>
    <w:rsid w:val="00D45655"/>
    <w:rsid w:val="00D45A1E"/>
    <w:rsid w:val="00D45D43"/>
    <w:rsid w:val="00D45E85"/>
    <w:rsid w:val="00D46331"/>
    <w:rsid w:val="00D463C6"/>
    <w:rsid w:val="00D4674F"/>
    <w:rsid w:val="00D4705F"/>
    <w:rsid w:val="00D500D5"/>
    <w:rsid w:val="00D5073B"/>
    <w:rsid w:val="00D508BA"/>
    <w:rsid w:val="00D50A16"/>
    <w:rsid w:val="00D50BB0"/>
    <w:rsid w:val="00D510D0"/>
    <w:rsid w:val="00D519CB"/>
    <w:rsid w:val="00D5238E"/>
    <w:rsid w:val="00D52858"/>
    <w:rsid w:val="00D528FB"/>
    <w:rsid w:val="00D52C15"/>
    <w:rsid w:val="00D52D5E"/>
    <w:rsid w:val="00D53703"/>
    <w:rsid w:val="00D53BA5"/>
    <w:rsid w:val="00D53FEA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964"/>
    <w:rsid w:val="00D56DAC"/>
    <w:rsid w:val="00D577BF"/>
    <w:rsid w:val="00D57B74"/>
    <w:rsid w:val="00D57FAB"/>
    <w:rsid w:val="00D61945"/>
    <w:rsid w:val="00D61D1F"/>
    <w:rsid w:val="00D62110"/>
    <w:rsid w:val="00D6254A"/>
    <w:rsid w:val="00D625EA"/>
    <w:rsid w:val="00D62936"/>
    <w:rsid w:val="00D62CA7"/>
    <w:rsid w:val="00D62CE0"/>
    <w:rsid w:val="00D63413"/>
    <w:rsid w:val="00D63625"/>
    <w:rsid w:val="00D63A26"/>
    <w:rsid w:val="00D640B8"/>
    <w:rsid w:val="00D64CB7"/>
    <w:rsid w:val="00D652E3"/>
    <w:rsid w:val="00D6567D"/>
    <w:rsid w:val="00D65A3E"/>
    <w:rsid w:val="00D65EEE"/>
    <w:rsid w:val="00D667E3"/>
    <w:rsid w:val="00D66D5B"/>
    <w:rsid w:val="00D676B4"/>
    <w:rsid w:val="00D67E90"/>
    <w:rsid w:val="00D67F95"/>
    <w:rsid w:val="00D7028F"/>
    <w:rsid w:val="00D71F02"/>
    <w:rsid w:val="00D71FC5"/>
    <w:rsid w:val="00D72486"/>
    <w:rsid w:val="00D72770"/>
    <w:rsid w:val="00D72C77"/>
    <w:rsid w:val="00D72F59"/>
    <w:rsid w:val="00D7337A"/>
    <w:rsid w:val="00D73520"/>
    <w:rsid w:val="00D73616"/>
    <w:rsid w:val="00D74290"/>
    <w:rsid w:val="00D748EC"/>
    <w:rsid w:val="00D74D95"/>
    <w:rsid w:val="00D75074"/>
    <w:rsid w:val="00D75106"/>
    <w:rsid w:val="00D75495"/>
    <w:rsid w:val="00D75497"/>
    <w:rsid w:val="00D766CA"/>
    <w:rsid w:val="00D76A3A"/>
    <w:rsid w:val="00D77276"/>
    <w:rsid w:val="00D77439"/>
    <w:rsid w:val="00D77913"/>
    <w:rsid w:val="00D77AAF"/>
    <w:rsid w:val="00D8008E"/>
    <w:rsid w:val="00D802B6"/>
    <w:rsid w:val="00D8084C"/>
    <w:rsid w:val="00D809FE"/>
    <w:rsid w:val="00D80D6A"/>
    <w:rsid w:val="00D813C0"/>
    <w:rsid w:val="00D81596"/>
    <w:rsid w:val="00D81E93"/>
    <w:rsid w:val="00D81EC9"/>
    <w:rsid w:val="00D8361A"/>
    <w:rsid w:val="00D83B5A"/>
    <w:rsid w:val="00D83D9D"/>
    <w:rsid w:val="00D84151"/>
    <w:rsid w:val="00D84566"/>
    <w:rsid w:val="00D84618"/>
    <w:rsid w:val="00D8492B"/>
    <w:rsid w:val="00D84F80"/>
    <w:rsid w:val="00D857C4"/>
    <w:rsid w:val="00D85E56"/>
    <w:rsid w:val="00D863E0"/>
    <w:rsid w:val="00D8662A"/>
    <w:rsid w:val="00D86964"/>
    <w:rsid w:val="00D86C43"/>
    <w:rsid w:val="00D86EE8"/>
    <w:rsid w:val="00D871AB"/>
    <w:rsid w:val="00D8773A"/>
    <w:rsid w:val="00D907CD"/>
    <w:rsid w:val="00D907D4"/>
    <w:rsid w:val="00D90FC4"/>
    <w:rsid w:val="00D910E5"/>
    <w:rsid w:val="00D913E0"/>
    <w:rsid w:val="00D91464"/>
    <w:rsid w:val="00D91674"/>
    <w:rsid w:val="00D91B79"/>
    <w:rsid w:val="00D92002"/>
    <w:rsid w:val="00D92015"/>
    <w:rsid w:val="00D9205F"/>
    <w:rsid w:val="00D92179"/>
    <w:rsid w:val="00D926F0"/>
    <w:rsid w:val="00D92E2A"/>
    <w:rsid w:val="00D9329A"/>
    <w:rsid w:val="00D934C9"/>
    <w:rsid w:val="00D93577"/>
    <w:rsid w:val="00D937ED"/>
    <w:rsid w:val="00D93995"/>
    <w:rsid w:val="00D94014"/>
    <w:rsid w:val="00D94055"/>
    <w:rsid w:val="00D9445D"/>
    <w:rsid w:val="00D95015"/>
    <w:rsid w:val="00D95915"/>
    <w:rsid w:val="00D959AE"/>
    <w:rsid w:val="00D95B71"/>
    <w:rsid w:val="00D9624C"/>
    <w:rsid w:val="00D973AE"/>
    <w:rsid w:val="00D97735"/>
    <w:rsid w:val="00D97A0A"/>
    <w:rsid w:val="00D97A9D"/>
    <w:rsid w:val="00D97D0C"/>
    <w:rsid w:val="00DA0785"/>
    <w:rsid w:val="00DA0E2E"/>
    <w:rsid w:val="00DA1529"/>
    <w:rsid w:val="00DA160B"/>
    <w:rsid w:val="00DA22FE"/>
    <w:rsid w:val="00DA25BD"/>
    <w:rsid w:val="00DA2DD9"/>
    <w:rsid w:val="00DA2E64"/>
    <w:rsid w:val="00DA2EDA"/>
    <w:rsid w:val="00DA3339"/>
    <w:rsid w:val="00DA380C"/>
    <w:rsid w:val="00DA4757"/>
    <w:rsid w:val="00DA4DBB"/>
    <w:rsid w:val="00DA518F"/>
    <w:rsid w:val="00DA531D"/>
    <w:rsid w:val="00DA5733"/>
    <w:rsid w:val="00DA5854"/>
    <w:rsid w:val="00DA5E2F"/>
    <w:rsid w:val="00DA6522"/>
    <w:rsid w:val="00DA68BE"/>
    <w:rsid w:val="00DA7017"/>
    <w:rsid w:val="00DA7381"/>
    <w:rsid w:val="00DA79E5"/>
    <w:rsid w:val="00DA7A53"/>
    <w:rsid w:val="00DA7CC4"/>
    <w:rsid w:val="00DA7D64"/>
    <w:rsid w:val="00DB0B11"/>
    <w:rsid w:val="00DB0CCF"/>
    <w:rsid w:val="00DB10D2"/>
    <w:rsid w:val="00DB175C"/>
    <w:rsid w:val="00DB1A91"/>
    <w:rsid w:val="00DB2228"/>
    <w:rsid w:val="00DB25AD"/>
    <w:rsid w:val="00DB27BE"/>
    <w:rsid w:val="00DB2EA8"/>
    <w:rsid w:val="00DB359B"/>
    <w:rsid w:val="00DB369C"/>
    <w:rsid w:val="00DB36DC"/>
    <w:rsid w:val="00DB4282"/>
    <w:rsid w:val="00DB4C49"/>
    <w:rsid w:val="00DB5368"/>
    <w:rsid w:val="00DB5BA5"/>
    <w:rsid w:val="00DB5CE5"/>
    <w:rsid w:val="00DB5F01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17AD"/>
    <w:rsid w:val="00DC187D"/>
    <w:rsid w:val="00DC2754"/>
    <w:rsid w:val="00DC2C3D"/>
    <w:rsid w:val="00DC2DEF"/>
    <w:rsid w:val="00DC3BA1"/>
    <w:rsid w:val="00DC3CB1"/>
    <w:rsid w:val="00DC3E06"/>
    <w:rsid w:val="00DC4395"/>
    <w:rsid w:val="00DC4742"/>
    <w:rsid w:val="00DC49D8"/>
    <w:rsid w:val="00DC4B65"/>
    <w:rsid w:val="00DC4D81"/>
    <w:rsid w:val="00DC6030"/>
    <w:rsid w:val="00DC6B10"/>
    <w:rsid w:val="00DC703C"/>
    <w:rsid w:val="00DC7516"/>
    <w:rsid w:val="00DC751F"/>
    <w:rsid w:val="00DC7BD5"/>
    <w:rsid w:val="00DD01F4"/>
    <w:rsid w:val="00DD0569"/>
    <w:rsid w:val="00DD1CCF"/>
    <w:rsid w:val="00DD1D33"/>
    <w:rsid w:val="00DD2212"/>
    <w:rsid w:val="00DD3069"/>
    <w:rsid w:val="00DD3DFD"/>
    <w:rsid w:val="00DD4123"/>
    <w:rsid w:val="00DD42ED"/>
    <w:rsid w:val="00DD49EE"/>
    <w:rsid w:val="00DD4E5A"/>
    <w:rsid w:val="00DD52BB"/>
    <w:rsid w:val="00DD5406"/>
    <w:rsid w:val="00DD573D"/>
    <w:rsid w:val="00DD634F"/>
    <w:rsid w:val="00DD6BC6"/>
    <w:rsid w:val="00DD74E6"/>
    <w:rsid w:val="00DD7902"/>
    <w:rsid w:val="00DE0316"/>
    <w:rsid w:val="00DE04F6"/>
    <w:rsid w:val="00DE0622"/>
    <w:rsid w:val="00DE0977"/>
    <w:rsid w:val="00DE159A"/>
    <w:rsid w:val="00DE17D6"/>
    <w:rsid w:val="00DE1F27"/>
    <w:rsid w:val="00DE1FF3"/>
    <w:rsid w:val="00DE219A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6E46"/>
    <w:rsid w:val="00DE7137"/>
    <w:rsid w:val="00DE7631"/>
    <w:rsid w:val="00DE7ADB"/>
    <w:rsid w:val="00DF033B"/>
    <w:rsid w:val="00DF0604"/>
    <w:rsid w:val="00DF0D47"/>
    <w:rsid w:val="00DF0E52"/>
    <w:rsid w:val="00DF2440"/>
    <w:rsid w:val="00DF380E"/>
    <w:rsid w:val="00DF39F6"/>
    <w:rsid w:val="00DF3C0D"/>
    <w:rsid w:val="00DF405F"/>
    <w:rsid w:val="00DF4BCA"/>
    <w:rsid w:val="00DF566C"/>
    <w:rsid w:val="00DF5B09"/>
    <w:rsid w:val="00DF5B3F"/>
    <w:rsid w:val="00DF6227"/>
    <w:rsid w:val="00DF6425"/>
    <w:rsid w:val="00DF6FB6"/>
    <w:rsid w:val="00DF6FEB"/>
    <w:rsid w:val="00DF75B4"/>
    <w:rsid w:val="00DF7C21"/>
    <w:rsid w:val="00E00159"/>
    <w:rsid w:val="00E0018C"/>
    <w:rsid w:val="00E00C8E"/>
    <w:rsid w:val="00E01B91"/>
    <w:rsid w:val="00E01E46"/>
    <w:rsid w:val="00E021E3"/>
    <w:rsid w:val="00E025CC"/>
    <w:rsid w:val="00E02840"/>
    <w:rsid w:val="00E02DC6"/>
    <w:rsid w:val="00E02ED8"/>
    <w:rsid w:val="00E032B0"/>
    <w:rsid w:val="00E03E36"/>
    <w:rsid w:val="00E043CC"/>
    <w:rsid w:val="00E04407"/>
    <w:rsid w:val="00E05374"/>
    <w:rsid w:val="00E053E5"/>
    <w:rsid w:val="00E056F2"/>
    <w:rsid w:val="00E05BB7"/>
    <w:rsid w:val="00E05D16"/>
    <w:rsid w:val="00E05FC8"/>
    <w:rsid w:val="00E05FEB"/>
    <w:rsid w:val="00E062D8"/>
    <w:rsid w:val="00E066A0"/>
    <w:rsid w:val="00E0671D"/>
    <w:rsid w:val="00E07497"/>
    <w:rsid w:val="00E07991"/>
    <w:rsid w:val="00E07A4D"/>
    <w:rsid w:val="00E10073"/>
    <w:rsid w:val="00E106B6"/>
    <w:rsid w:val="00E11A3C"/>
    <w:rsid w:val="00E11B29"/>
    <w:rsid w:val="00E11BB8"/>
    <w:rsid w:val="00E11EB4"/>
    <w:rsid w:val="00E11FDF"/>
    <w:rsid w:val="00E12595"/>
    <w:rsid w:val="00E12BB4"/>
    <w:rsid w:val="00E1355F"/>
    <w:rsid w:val="00E13936"/>
    <w:rsid w:val="00E14318"/>
    <w:rsid w:val="00E147CA"/>
    <w:rsid w:val="00E14A2D"/>
    <w:rsid w:val="00E15BE0"/>
    <w:rsid w:val="00E15DCC"/>
    <w:rsid w:val="00E165D1"/>
    <w:rsid w:val="00E1693C"/>
    <w:rsid w:val="00E2008E"/>
    <w:rsid w:val="00E211A6"/>
    <w:rsid w:val="00E21234"/>
    <w:rsid w:val="00E21335"/>
    <w:rsid w:val="00E2141A"/>
    <w:rsid w:val="00E21A79"/>
    <w:rsid w:val="00E21BDE"/>
    <w:rsid w:val="00E21E9D"/>
    <w:rsid w:val="00E22772"/>
    <w:rsid w:val="00E23481"/>
    <w:rsid w:val="00E23E6E"/>
    <w:rsid w:val="00E23FA8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722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C3"/>
    <w:rsid w:val="00E34736"/>
    <w:rsid w:val="00E34C79"/>
    <w:rsid w:val="00E34D12"/>
    <w:rsid w:val="00E34FA2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000"/>
    <w:rsid w:val="00E4140F"/>
    <w:rsid w:val="00E41925"/>
    <w:rsid w:val="00E42614"/>
    <w:rsid w:val="00E42EED"/>
    <w:rsid w:val="00E43B9C"/>
    <w:rsid w:val="00E43CD2"/>
    <w:rsid w:val="00E43FBD"/>
    <w:rsid w:val="00E449D5"/>
    <w:rsid w:val="00E4520B"/>
    <w:rsid w:val="00E4575A"/>
    <w:rsid w:val="00E463BE"/>
    <w:rsid w:val="00E46A7B"/>
    <w:rsid w:val="00E47225"/>
    <w:rsid w:val="00E474FB"/>
    <w:rsid w:val="00E475C3"/>
    <w:rsid w:val="00E477E4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A85"/>
    <w:rsid w:val="00E5262A"/>
    <w:rsid w:val="00E526BF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745A"/>
    <w:rsid w:val="00E578C7"/>
    <w:rsid w:val="00E57D62"/>
    <w:rsid w:val="00E60341"/>
    <w:rsid w:val="00E60445"/>
    <w:rsid w:val="00E60848"/>
    <w:rsid w:val="00E60BB0"/>
    <w:rsid w:val="00E60D95"/>
    <w:rsid w:val="00E6143A"/>
    <w:rsid w:val="00E6176F"/>
    <w:rsid w:val="00E62140"/>
    <w:rsid w:val="00E6214F"/>
    <w:rsid w:val="00E623AA"/>
    <w:rsid w:val="00E6295C"/>
    <w:rsid w:val="00E62A34"/>
    <w:rsid w:val="00E638FC"/>
    <w:rsid w:val="00E6487A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11F1"/>
    <w:rsid w:val="00E71804"/>
    <w:rsid w:val="00E71EA7"/>
    <w:rsid w:val="00E72AED"/>
    <w:rsid w:val="00E72B08"/>
    <w:rsid w:val="00E72BD4"/>
    <w:rsid w:val="00E72C13"/>
    <w:rsid w:val="00E72D56"/>
    <w:rsid w:val="00E72EF2"/>
    <w:rsid w:val="00E736F5"/>
    <w:rsid w:val="00E737E2"/>
    <w:rsid w:val="00E73BE0"/>
    <w:rsid w:val="00E73D56"/>
    <w:rsid w:val="00E742AB"/>
    <w:rsid w:val="00E7538D"/>
    <w:rsid w:val="00E75702"/>
    <w:rsid w:val="00E763CD"/>
    <w:rsid w:val="00E763E8"/>
    <w:rsid w:val="00E76D40"/>
    <w:rsid w:val="00E76F8D"/>
    <w:rsid w:val="00E76FF9"/>
    <w:rsid w:val="00E774D6"/>
    <w:rsid w:val="00E7767A"/>
    <w:rsid w:val="00E7787D"/>
    <w:rsid w:val="00E800A4"/>
    <w:rsid w:val="00E80591"/>
    <w:rsid w:val="00E81028"/>
    <w:rsid w:val="00E810DF"/>
    <w:rsid w:val="00E8110F"/>
    <w:rsid w:val="00E81575"/>
    <w:rsid w:val="00E81CE7"/>
    <w:rsid w:val="00E82C10"/>
    <w:rsid w:val="00E83247"/>
    <w:rsid w:val="00E83734"/>
    <w:rsid w:val="00E837D2"/>
    <w:rsid w:val="00E845ED"/>
    <w:rsid w:val="00E846B1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71B9"/>
    <w:rsid w:val="00E87783"/>
    <w:rsid w:val="00E87DEE"/>
    <w:rsid w:val="00E906D2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581"/>
    <w:rsid w:val="00E94DCB"/>
    <w:rsid w:val="00E94FBE"/>
    <w:rsid w:val="00E9541C"/>
    <w:rsid w:val="00E95E71"/>
    <w:rsid w:val="00E96512"/>
    <w:rsid w:val="00E96567"/>
    <w:rsid w:val="00E973D4"/>
    <w:rsid w:val="00E9755F"/>
    <w:rsid w:val="00E97A8F"/>
    <w:rsid w:val="00E97E98"/>
    <w:rsid w:val="00EA00C9"/>
    <w:rsid w:val="00EA01FC"/>
    <w:rsid w:val="00EA0231"/>
    <w:rsid w:val="00EA0275"/>
    <w:rsid w:val="00EA0CDC"/>
    <w:rsid w:val="00EA0FCD"/>
    <w:rsid w:val="00EA104D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30F"/>
    <w:rsid w:val="00EA3E6C"/>
    <w:rsid w:val="00EA3F27"/>
    <w:rsid w:val="00EA4E62"/>
    <w:rsid w:val="00EA4E72"/>
    <w:rsid w:val="00EA5636"/>
    <w:rsid w:val="00EA571B"/>
    <w:rsid w:val="00EA634C"/>
    <w:rsid w:val="00EA6EC4"/>
    <w:rsid w:val="00EA743A"/>
    <w:rsid w:val="00EA7893"/>
    <w:rsid w:val="00EA7AA4"/>
    <w:rsid w:val="00EA7F25"/>
    <w:rsid w:val="00EB0297"/>
    <w:rsid w:val="00EB077E"/>
    <w:rsid w:val="00EB1C9A"/>
    <w:rsid w:val="00EB2360"/>
    <w:rsid w:val="00EB2851"/>
    <w:rsid w:val="00EB4B44"/>
    <w:rsid w:val="00EB583A"/>
    <w:rsid w:val="00EB5FD2"/>
    <w:rsid w:val="00EB61C4"/>
    <w:rsid w:val="00EB63B4"/>
    <w:rsid w:val="00EB6841"/>
    <w:rsid w:val="00EB6A52"/>
    <w:rsid w:val="00EB6AE1"/>
    <w:rsid w:val="00EB6FC1"/>
    <w:rsid w:val="00EB7978"/>
    <w:rsid w:val="00EB7E3C"/>
    <w:rsid w:val="00EB7E5A"/>
    <w:rsid w:val="00EB7F3B"/>
    <w:rsid w:val="00EC0058"/>
    <w:rsid w:val="00EC09CB"/>
    <w:rsid w:val="00EC0AD1"/>
    <w:rsid w:val="00EC10CD"/>
    <w:rsid w:val="00EC12AA"/>
    <w:rsid w:val="00EC264B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955"/>
    <w:rsid w:val="00EC6B63"/>
    <w:rsid w:val="00EC6CCD"/>
    <w:rsid w:val="00EC7229"/>
    <w:rsid w:val="00EC75AE"/>
    <w:rsid w:val="00EC774B"/>
    <w:rsid w:val="00ED068B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DB4"/>
    <w:rsid w:val="00ED3619"/>
    <w:rsid w:val="00ED3695"/>
    <w:rsid w:val="00ED369D"/>
    <w:rsid w:val="00ED3748"/>
    <w:rsid w:val="00ED3868"/>
    <w:rsid w:val="00ED42CA"/>
    <w:rsid w:val="00ED4453"/>
    <w:rsid w:val="00ED4848"/>
    <w:rsid w:val="00ED4A21"/>
    <w:rsid w:val="00ED4D74"/>
    <w:rsid w:val="00ED4E40"/>
    <w:rsid w:val="00ED51BE"/>
    <w:rsid w:val="00ED51DA"/>
    <w:rsid w:val="00ED52A6"/>
    <w:rsid w:val="00ED57C1"/>
    <w:rsid w:val="00ED5FC1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692"/>
    <w:rsid w:val="00EE1841"/>
    <w:rsid w:val="00EE1BBE"/>
    <w:rsid w:val="00EE1C68"/>
    <w:rsid w:val="00EE1F17"/>
    <w:rsid w:val="00EE2043"/>
    <w:rsid w:val="00EE271B"/>
    <w:rsid w:val="00EE28D8"/>
    <w:rsid w:val="00EE4345"/>
    <w:rsid w:val="00EE43B3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B8"/>
    <w:rsid w:val="00EF0292"/>
    <w:rsid w:val="00EF0D0F"/>
    <w:rsid w:val="00EF157E"/>
    <w:rsid w:val="00EF170A"/>
    <w:rsid w:val="00EF1E7D"/>
    <w:rsid w:val="00EF2429"/>
    <w:rsid w:val="00EF319F"/>
    <w:rsid w:val="00EF3860"/>
    <w:rsid w:val="00EF38AE"/>
    <w:rsid w:val="00EF3DC3"/>
    <w:rsid w:val="00EF4204"/>
    <w:rsid w:val="00EF452C"/>
    <w:rsid w:val="00EF556F"/>
    <w:rsid w:val="00EF55F1"/>
    <w:rsid w:val="00EF56E7"/>
    <w:rsid w:val="00EF5F93"/>
    <w:rsid w:val="00EF681E"/>
    <w:rsid w:val="00EF6E22"/>
    <w:rsid w:val="00EF6ED3"/>
    <w:rsid w:val="00EF7436"/>
    <w:rsid w:val="00EF7E47"/>
    <w:rsid w:val="00F000F0"/>
    <w:rsid w:val="00F00477"/>
    <w:rsid w:val="00F00FB1"/>
    <w:rsid w:val="00F01299"/>
    <w:rsid w:val="00F01406"/>
    <w:rsid w:val="00F01684"/>
    <w:rsid w:val="00F0177A"/>
    <w:rsid w:val="00F01985"/>
    <w:rsid w:val="00F01CA4"/>
    <w:rsid w:val="00F02112"/>
    <w:rsid w:val="00F02598"/>
    <w:rsid w:val="00F025C8"/>
    <w:rsid w:val="00F03156"/>
    <w:rsid w:val="00F03B53"/>
    <w:rsid w:val="00F04231"/>
    <w:rsid w:val="00F04592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D3A"/>
    <w:rsid w:val="00F07084"/>
    <w:rsid w:val="00F075F7"/>
    <w:rsid w:val="00F07BDB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897"/>
    <w:rsid w:val="00F14F2F"/>
    <w:rsid w:val="00F1505F"/>
    <w:rsid w:val="00F1520D"/>
    <w:rsid w:val="00F1534D"/>
    <w:rsid w:val="00F15AA0"/>
    <w:rsid w:val="00F165A6"/>
    <w:rsid w:val="00F16B64"/>
    <w:rsid w:val="00F17308"/>
    <w:rsid w:val="00F176CE"/>
    <w:rsid w:val="00F17D96"/>
    <w:rsid w:val="00F2060F"/>
    <w:rsid w:val="00F206FA"/>
    <w:rsid w:val="00F20734"/>
    <w:rsid w:val="00F21B4B"/>
    <w:rsid w:val="00F21BE0"/>
    <w:rsid w:val="00F21C31"/>
    <w:rsid w:val="00F2281A"/>
    <w:rsid w:val="00F2311A"/>
    <w:rsid w:val="00F23C96"/>
    <w:rsid w:val="00F24028"/>
    <w:rsid w:val="00F246A7"/>
    <w:rsid w:val="00F24AD0"/>
    <w:rsid w:val="00F24C99"/>
    <w:rsid w:val="00F25890"/>
    <w:rsid w:val="00F258A4"/>
    <w:rsid w:val="00F259AC"/>
    <w:rsid w:val="00F25BD2"/>
    <w:rsid w:val="00F265A6"/>
    <w:rsid w:val="00F26644"/>
    <w:rsid w:val="00F2677A"/>
    <w:rsid w:val="00F273DD"/>
    <w:rsid w:val="00F2773E"/>
    <w:rsid w:val="00F27C51"/>
    <w:rsid w:val="00F30351"/>
    <w:rsid w:val="00F304F7"/>
    <w:rsid w:val="00F30813"/>
    <w:rsid w:val="00F30849"/>
    <w:rsid w:val="00F30EA3"/>
    <w:rsid w:val="00F30F09"/>
    <w:rsid w:val="00F315DB"/>
    <w:rsid w:val="00F31694"/>
    <w:rsid w:val="00F32240"/>
    <w:rsid w:val="00F3275D"/>
    <w:rsid w:val="00F3296F"/>
    <w:rsid w:val="00F3364B"/>
    <w:rsid w:val="00F337C2"/>
    <w:rsid w:val="00F3450F"/>
    <w:rsid w:val="00F345AD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40870"/>
    <w:rsid w:val="00F415CC"/>
    <w:rsid w:val="00F41633"/>
    <w:rsid w:val="00F42183"/>
    <w:rsid w:val="00F42374"/>
    <w:rsid w:val="00F42CE0"/>
    <w:rsid w:val="00F436E7"/>
    <w:rsid w:val="00F43A12"/>
    <w:rsid w:val="00F43EFA"/>
    <w:rsid w:val="00F445C9"/>
    <w:rsid w:val="00F4508F"/>
    <w:rsid w:val="00F45236"/>
    <w:rsid w:val="00F4528D"/>
    <w:rsid w:val="00F463FE"/>
    <w:rsid w:val="00F46AC3"/>
    <w:rsid w:val="00F47371"/>
    <w:rsid w:val="00F50091"/>
    <w:rsid w:val="00F508BC"/>
    <w:rsid w:val="00F50AD9"/>
    <w:rsid w:val="00F511C0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60C"/>
    <w:rsid w:val="00F5473E"/>
    <w:rsid w:val="00F54964"/>
    <w:rsid w:val="00F55397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F23"/>
    <w:rsid w:val="00F61FE3"/>
    <w:rsid w:val="00F62B39"/>
    <w:rsid w:val="00F62C10"/>
    <w:rsid w:val="00F630AC"/>
    <w:rsid w:val="00F63139"/>
    <w:rsid w:val="00F6318C"/>
    <w:rsid w:val="00F63444"/>
    <w:rsid w:val="00F6390F"/>
    <w:rsid w:val="00F63C78"/>
    <w:rsid w:val="00F63E01"/>
    <w:rsid w:val="00F640EB"/>
    <w:rsid w:val="00F649C3"/>
    <w:rsid w:val="00F65123"/>
    <w:rsid w:val="00F65656"/>
    <w:rsid w:val="00F6579B"/>
    <w:rsid w:val="00F65892"/>
    <w:rsid w:val="00F65CB6"/>
    <w:rsid w:val="00F65E07"/>
    <w:rsid w:val="00F664DA"/>
    <w:rsid w:val="00F66E91"/>
    <w:rsid w:val="00F674B9"/>
    <w:rsid w:val="00F678B7"/>
    <w:rsid w:val="00F67FDF"/>
    <w:rsid w:val="00F70487"/>
    <w:rsid w:val="00F71192"/>
    <w:rsid w:val="00F71774"/>
    <w:rsid w:val="00F71785"/>
    <w:rsid w:val="00F721D9"/>
    <w:rsid w:val="00F72C59"/>
    <w:rsid w:val="00F72FD4"/>
    <w:rsid w:val="00F7349F"/>
    <w:rsid w:val="00F73A1B"/>
    <w:rsid w:val="00F749F1"/>
    <w:rsid w:val="00F74D93"/>
    <w:rsid w:val="00F75421"/>
    <w:rsid w:val="00F75EDD"/>
    <w:rsid w:val="00F7625A"/>
    <w:rsid w:val="00F76396"/>
    <w:rsid w:val="00F76B81"/>
    <w:rsid w:val="00F77D3F"/>
    <w:rsid w:val="00F817E4"/>
    <w:rsid w:val="00F818C3"/>
    <w:rsid w:val="00F81A71"/>
    <w:rsid w:val="00F8285E"/>
    <w:rsid w:val="00F833BA"/>
    <w:rsid w:val="00F84123"/>
    <w:rsid w:val="00F84987"/>
    <w:rsid w:val="00F84B15"/>
    <w:rsid w:val="00F8521F"/>
    <w:rsid w:val="00F85FC5"/>
    <w:rsid w:val="00F86337"/>
    <w:rsid w:val="00F86BD1"/>
    <w:rsid w:val="00F86D30"/>
    <w:rsid w:val="00F8723A"/>
    <w:rsid w:val="00F8753B"/>
    <w:rsid w:val="00F875E3"/>
    <w:rsid w:val="00F87D37"/>
    <w:rsid w:val="00F906FD"/>
    <w:rsid w:val="00F9136D"/>
    <w:rsid w:val="00F91501"/>
    <w:rsid w:val="00F92944"/>
    <w:rsid w:val="00F92D4B"/>
    <w:rsid w:val="00F93C44"/>
    <w:rsid w:val="00F93C5B"/>
    <w:rsid w:val="00F94323"/>
    <w:rsid w:val="00F94448"/>
    <w:rsid w:val="00F9466B"/>
    <w:rsid w:val="00F95157"/>
    <w:rsid w:val="00F954EE"/>
    <w:rsid w:val="00F95F31"/>
    <w:rsid w:val="00F96646"/>
    <w:rsid w:val="00F96942"/>
    <w:rsid w:val="00F96E2D"/>
    <w:rsid w:val="00F97060"/>
    <w:rsid w:val="00F97AC2"/>
    <w:rsid w:val="00F97BD4"/>
    <w:rsid w:val="00F97F72"/>
    <w:rsid w:val="00FA11D6"/>
    <w:rsid w:val="00FA1626"/>
    <w:rsid w:val="00FA229C"/>
    <w:rsid w:val="00FA3732"/>
    <w:rsid w:val="00FA38E8"/>
    <w:rsid w:val="00FA3FEF"/>
    <w:rsid w:val="00FA50D5"/>
    <w:rsid w:val="00FA5141"/>
    <w:rsid w:val="00FA5392"/>
    <w:rsid w:val="00FA5DA2"/>
    <w:rsid w:val="00FA63EF"/>
    <w:rsid w:val="00FA6611"/>
    <w:rsid w:val="00FA6672"/>
    <w:rsid w:val="00FA6A52"/>
    <w:rsid w:val="00FA7EC1"/>
    <w:rsid w:val="00FB160C"/>
    <w:rsid w:val="00FB17F3"/>
    <w:rsid w:val="00FB3288"/>
    <w:rsid w:val="00FB3C8A"/>
    <w:rsid w:val="00FB3CBE"/>
    <w:rsid w:val="00FB407C"/>
    <w:rsid w:val="00FB4401"/>
    <w:rsid w:val="00FB4480"/>
    <w:rsid w:val="00FB5383"/>
    <w:rsid w:val="00FB54B8"/>
    <w:rsid w:val="00FB56BE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C0237"/>
    <w:rsid w:val="00FC058D"/>
    <w:rsid w:val="00FC0826"/>
    <w:rsid w:val="00FC0DF0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606"/>
    <w:rsid w:val="00FC3C20"/>
    <w:rsid w:val="00FC3FE4"/>
    <w:rsid w:val="00FC4220"/>
    <w:rsid w:val="00FC475A"/>
    <w:rsid w:val="00FC4971"/>
    <w:rsid w:val="00FC540D"/>
    <w:rsid w:val="00FC5ECD"/>
    <w:rsid w:val="00FC6B62"/>
    <w:rsid w:val="00FC6E70"/>
    <w:rsid w:val="00FC6EE5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406C"/>
    <w:rsid w:val="00FD552C"/>
    <w:rsid w:val="00FD57CC"/>
    <w:rsid w:val="00FD5889"/>
    <w:rsid w:val="00FD5A35"/>
    <w:rsid w:val="00FD5ABF"/>
    <w:rsid w:val="00FD608D"/>
    <w:rsid w:val="00FD6235"/>
    <w:rsid w:val="00FD675A"/>
    <w:rsid w:val="00FD6772"/>
    <w:rsid w:val="00FD6B02"/>
    <w:rsid w:val="00FD726B"/>
    <w:rsid w:val="00FD7706"/>
    <w:rsid w:val="00FE02AC"/>
    <w:rsid w:val="00FE041C"/>
    <w:rsid w:val="00FE09A3"/>
    <w:rsid w:val="00FE1260"/>
    <w:rsid w:val="00FE19FB"/>
    <w:rsid w:val="00FE1D4F"/>
    <w:rsid w:val="00FE21CF"/>
    <w:rsid w:val="00FE2436"/>
    <w:rsid w:val="00FE26DE"/>
    <w:rsid w:val="00FE2D8B"/>
    <w:rsid w:val="00FE2E11"/>
    <w:rsid w:val="00FE5BA2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966"/>
    <w:rsid w:val="00FF0AC1"/>
    <w:rsid w:val="00FF0B32"/>
    <w:rsid w:val="00FF11C4"/>
    <w:rsid w:val="00FF1B50"/>
    <w:rsid w:val="00FF2256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A9"/>
    <w:rsid w:val="00FF3044"/>
    <w:rsid w:val="00FF3CB2"/>
    <w:rsid w:val="00FF41E6"/>
    <w:rsid w:val="00FF4388"/>
    <w:rsid w:val="00FF4FD2"/>
    <w:rsid w:val="00FF5512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3">
      <o:colormru v:ext="edit" colors="#963,#969696,#777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basedOn w:val="DefaultParagraphFont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basedOn w:val="DefaultParagraphFont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basedOn w:val="DefaultParagraphFont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basedOn w:val="DefaultParagraphFont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hyperlink" Target="mailto:mirjana.bandur@rzs.rs.ba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hyperlink" Target="mailto:jasminka.milic@rzs.rs.ba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Biljana.tesic@rzs.rs.ba" TargetMode="External"/><Relationship Id="rId20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sladjana.nikic@rzs.rs.ba" TargetMode="External"/><Relationship Id="rId23" Type="http://schemas.openxmlformats.org/officeDocument/2006/relationships/footer" Target="footer2.xml"/><Relationship Id="rId10" Type="http://schemas.openxmlformats.org/officeDocument/2006/relationships/chart" Target="charts/chart1.xml"/><Relationship Id="rId19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danica.babic@rzs.rs.ba" TargetMode="Externa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babicda\My%20Documents\SBS\REZULTATI\KONACNI%20REZULTATI%202012\podrucje%20KonRacun%20SA%20STIKA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koprivicavl.RZS\Desktop\APRIL%20saopstenje%20plate\grafikoni%20za%20aprilsku%20platu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KORDUN\Publikovanje\01%20Saopstenja\2013\Industrija\Indeksi%20industrijske%20proizvodnje\&#1043;&#1088;&#1072;&#1092;&#1080;&#1082;&#1086;&#1085;%20&#1079;&#1072;%20&#1089;&#1072;&#1086;&#1087;&#1096;&#1090;&#1077;&#1114;&#1077;%20&#1080;&#1085;&#1076;&#1091;&#1089;&#1090;&#1088;&#1080;&#1112;&#1077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ojcevicsa.RZS\Desktop\SANJA\SPOLJNA%20TRGOVINA\za%20medije\Prezentacija,%20od%20avg2011\prezentacija%202013\april%202013\za%20Graf%20I-IV%20201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3750000000000385"/>
          <c:y val="0.2986111111111111"/>
          <c:w val="0.35277777777778152"/>
          <c:h val="0.58796296296294992"/>
        </c:manualLayout>
      </c:layout>
      <c:pieChart>
        <c:varyColors val="1"/>
        <c:ser>
          <c:idx val="0"/>
          <c:order val="0"/>
          <c:tx>
            <c:v>Промет према величини предузећа</c:v>
          </c:tx>
          <c:dLbls>
            <c:dLbl>
              <c:idx val="0"/>
              <c:layout>
                <c:manualLayout>
                  <c:x val="6.3060090231481458E-2"/>
                  <c:y val="-0.19826911636045624"/>
                </c:manualLayout>
              </c:layout>
              <c:tx>
                <c:rich>
                  <a:bodyPr/>
                  <a:lstStyle/>
                  <a:p>
                    <a:r>
                      <a:rPr lang="bs-Cyrl-BA" sz="1000">
                        <a:latin typeface="Tahoma" pitchFamily="34" charset="0"/>
                        <a:ea typeface="Tahoma" pitchFamily="34" charset="0"/>
                        <a:cs typeface="Tahoma" pitchFamily="34" charset="0"/>
                      </a:rPr>
                      <a:t>Мала предузећа </a:t>
                    </a:r>
                    <a:r>
                      <a:rPr lang="en-US" sz="1000">
                        <a:latin typeface="Tahoma" pitchFamily="34" charset="0"/>
                        <a:ea typeface="Tahoma" pitchFamily="34" charset="0"/>
                        <a:cs typeface="Tahoma" pitchFamily="34" charset="0"/>
                      </a:rPr>
                      <a:t>47</a:t>
                    </a:r>
                    <a:r>
                      <a:rPr lang="bs-Cyrl-BA" sz="1000">
                        <a:latin typeface="Tahoma" pitchFamily="34" charset="0"/>
                        <a:ea typeface="Tahoma" pitchFamily="34" charset="0"/>
                        <a:cs typeface="Tahoma" pitchFamily="34" charset="0"/>
                      </a:rPr>
                      <a:t>,3</a:t>
                    </a:r>
                    <a:r>
                      <a:rPr lang="en-US" sz="1000">
                        <a:latin typeface="Tahoma" pitchFamily="34" charset="0"/>
                        <a:ea typeface="Tahoma" pitchFamily="34" charset="0"/>
                        <a:cs typeface="Tahoma" pitchFamily="34" charset="0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0.15011018945571691"/>
                  <c:y val="-9.9210672060488267E-2"/>
                </c:manualLayout>
              </c:layout>
              <c:tx>
                <c:rich>
                  <a:bodyPr/>
                  <a:lstStyle/>
                  <a:p>
                    <a:r>
                      <a:rPr lang="bs-Cyrl-BA" sz="1000">
                        <a:latin typeface="Tahoma" pitchFamily="34" charset="0"/>
                        <a:ea typeface="Tahoma" pitchFamily="34" charset="0"/>
                        <a:cs typeface="Tahoma" pitchFamily="34" charset="0"/>
                      </a:rPr>
                      <a:t>Средња</a:t>
                    </a:r>
                    <a:r>
                      <a:rPr lang="bs-Cyrl-BA" sz="1000" baseline="0">
                        <a:latin typeface="Tahoma" pitchFamily="34" charset="0"/>
                        <a:ea typeface="Tahoma" pitchFamily="34" charset="0"/>
                        <a:cs typeface="Tahoma" pitchFamily="34" charset="0"/>
                      </a:rPr>
                      <a:t> предузећа </a:t>
                    </a:r>
                    <a:r>
                      <a:rPr lang="en-US" sz="1000">
                        <a:latin typeface="Tahoma" pitchFamily="34" charset="0"/>
                        <a:ea typeface="Tahoma" pitchFamily="34" charset="0"/>
                        <a:cs typeface="Tahoma" pitchFamily="34" charset="0"/>
                      </a:rPr>
                      <a:t>35</a:t>
                    </a:r>
                    <a:r>
                      <a:rPr lang="bs-Cyrl-BA" sz="1000">
                        <a:latin typeface="Tahoma" pitchFamily="34" charset="0"/>
                        <a:ea typeface="Tahoma" pitchFamily="34" charset="0"/>
                        <a:cs typeface="Tahoma" pitchFamily="34" charset="0"/>
                      </a:rPr>
                      <a:t>,2</a:t>
                    </a:r>
                    <a:r>
                      <a:rPr lang="en-US" sz="1000">
                        <a:latin typeface="Tahoma" pitchFamily="34" charset="0"/>
                        <a:ea typeface="Tahoma" pitchFamily="34" charset="0"/>
                        <a:cs typeface="Tahoma" pitchFamily="34" charset="0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0.11686629371774018"/>
                  <c:y val="2.1310409593296247E-3"/>
                </c:manualLayout>
              </c:layout>
              <c:tx>
                <c:rich>
                  <a:bodyPr/>
                  <a:lstStyle/>
                  <a:p>
                    <a:r>
                      <a:rPr lang="bs-Cyrl-BA" sz="1000">
                        <a:latin typeface="Tahoma" pitchFamily="34" charset="0"/>
                        <a:ea typeface="Tahoma" pitchFamily="34" charset="0"/>
                        <a:cs typeface="Tahoma" pitchFamily="34" charset="0"/>
                      </a:rPr>
                      <a:t>Велика предузећа</a:t>
                    </a:r>
                    <a:r>
                      <a:rPr lang="bs-Cyrl-BA" sz="1000" baseline="0">
                        <a:latin typeface="Tahoma" pitchFamily="34" charset="0"/>
                        <a:ea typeface="Tahoma" pitchFamily="34" charset="0"/>
                        <a:cs typeface="Tahoma" pitchFamily="34" charset="0"/>
                      </a:rPr>
                      <a:t> </a:t>
                    </a:r>
                    <a:r>
                      <a:rPr lang="en-US" sz="1000">
                        <a:latin typeface="Tahoma" pitchFamily="34" charset="0"/>
                        <a:ea typeface="Tahoma" pitchFamily="34" charset="0"/>
                        <a:cs typeface="Tahoma" pitchFamily="34" charset="0"/>
                      </a:rPr>
                      <a:t>1</a:t>
                    </a:r>
                    <a:r>
                      <a:rPr lang="bs-Cyrl-BA" sz="1000">
                        <a:latin typeface="Tahoma" pitchFamily="34" charset="0"/>
                        <a:ea typeface="Tahoma" pitchFamily="34" charset="0"/>
                        <a:cs typeface="Tahoma" pitchFamily="34" charset="0"/>
                      </a:rPr>
                      <a:t>7,5</a:t>
                    </a:r>
                    <a:r>
                      <a:rPr lang="en-US" sz="1000">
                        <a:latin typeface="Tahoma" pitchFamily="34" charset="0"/>
                        <a:ea typeface="Tahoma" pitchFamily="34" charset="0"/>
                        <a:cs typeface="Tahoma" pitchFamily="34" charset="0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000">
                    <a:latin typeface="Tahoma" pitchFamily="34" charset="0"/>
                    <a:ea typeface="Tahoma" pitchFamily="34" charset="0"/>
                    <a:cs typeface="Tahoma" pitchFamily="34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val>
            <c:numRef>
              <c:f>GRAFICI!$D$100:$D$102</c:f>
              <c:numCache>
                <c:formatCode>General</c:formatCode>
                <c:ptCount val="3"/>
                <c:pt idx="0">
                  <c:v>47.3</c:v>
                </c:pt>
                <c:pt idx="1">
                  <c:v>35.200000000000003</c:v>
                </c:pt>
                <c:pt idx="2">
                  <c:v>17.5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IV</c:v>
                  </c:pt>
                  <c:pt idx="1">
                    <c:v>V</c:v>
                  </c:pt>
                  <c:pt idx="2">
                    <c:v>VI</c:v>
                  </c:pt>
                  <c:pt idx="3">
                    <c:v>VII</c:v>
                  </c:pt>
                  <c:pt idx="4">
                    <c:v>VIII</c:v>
                  </c:pt>
                  <c:pt idx="5">
                    <c:v>IX</c:v>
                  </c:pt>
                  <c:pt idx="6">
                    <c:v>X</c:v>
                  </c:pt>
                  <c:pt idx="7">
                    <c:v>XI</c:v>
                  </c:pt>
                  <c:pt idx="8">
                    <c:v>XII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IV</c:v>
                  </c:pt>
                </c:lvl>
                <c:lvl>
                  <c:pt idx="0">
                    <c:v>2012</c:v>
                  </c:pt>
                  <c:pt idx="9">
                    <c:v>2013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816.63949957665784</c:v>
                </c:pt>
                <c:pt idx="1">
                  <c:v>826.01067102623165</c:v>
                </c:pt>
                <c:pt idx="2">
                  <c:v>817.55311992919314</c:v>
                </c:pt>
                <c:pt idx="3">
                  <c:v>822.66330318130667</c:v>
                </c:pt>
                <c:pt idx="4">
                  <c:v>817.7098903301578</c:v>
                </c:pt>
                <c:pt idx="5">
                  <c:v>803.63969331740441</c:v>
                </c:pt>
                <c:pt idx="6">
                  <c:v>817.48757270524629</c:v>
                </c:pt>
                <c:pt idx="7">
                  <c:v>818.85451738906727</c:v>
                </c:pt>
                <c:pt idx="8">
                  <c:v>817.89076853246104</c:v>
                </c:pt>
                <c:pt idx="9">
                  <c:v>811</c:v>
                </c:pt>
                <c:pt idx="10">
                  <c:v>811</c:v>
                </c:pt>
                <c:pt idx="11">
                  <c:v>799</c:v>
                </c:pt>
                <c:pt idx="12">
                  <c:v>798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2407424"/>
        <c:axId val="42408960"/>
      </c:lineChart>
      <c:catAx>
        <c:axId val="42407424"/>
        <c:scaling>
          <c:orientation val="minMax"/>
        </c:scaling>
        <c:delete val="0"/>
        <c:axPos val="b"/>
        <c:majorTickMark val="out"/>
        <c:minorTickMark val="none"/>
        <c:tickLblPos val="nextTo"/>
        <c:crossAx val="42408960"/>
        <c:crosses val="autoZero"/>
        <c:auto val="1"/>
        <c:lblAlgn val="ctr"/>
        <c:lblOffset val="100"/>
        <c:noMultiLvlLbl val="0"/>
      </c:catAx>
      <c:valAx>
        <c:axId val="42408960"/>
        <c:scaling>
          <c:orientation val="minMax"/>
          <c:max val="900"/>
          <c:min val="600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4240742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ahoma" pitchFamily="34" charset="0"/>
          <a:ea typeface="Tahoma" pitchFamily="34" charset="0"/>
          <a:cs typeface="Tahoma" pitchFamily="34" charset="0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6129883831365998E-2"/>
          <c:y val="5.8308851308359166E-2"/>
          <c:w val="0.95689365283216632"/>
          <c:h val="0.61437828083989532"/>
        </c:manualLayout>
      </c:layout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индекси/
Seasonally adjusted indices</c:v>
                </c:pt>
              </c:strCache>
            </c:strRef>
          </c:tx>
          <c:marker>
            <c:symbol val="none"/>
          </c:marker>
          <c:cat>
            <c:multiLvlStrRef>
              <c:f>Sheet2!$A$2:$B$53</c:f>
              <c:multiLvlStrCache>
                <c:ptCount val="52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  <c:pt idx="46">
                    <c:v>XI</c:v>
                  </c:pt>
                  <c:pt idx="47">
                    <c:v>XII</c:v>
                  </c:pt>
                  <c:pt idx="48">
                    <c:v>I</c:v>
                  </c:pt>
                  <c:pt idx="49">
                    <c:v>II</c:v>
                  </c:pt>
                  <c:pt idx="50">
                    <c:v>III</c:v>
                  </c:pt>
                  <c:pt idx="51">
                    <c:v>IV</c:v>
                  </c:pt>
                </c:lvl>
                <c:lvl>
                  <c:pt idx="0">
                    <c:v>2009</c:v>
                  </c:pt>
                  <c:pt idx="12">
                    <c:v>2010</c:v>
                  </c:pt>
                  <c:pt idx="24">
                    <c:v>2011</c:v>
                  </c:pt>
                  <c:pt idx="36">
                    <c:v>2012</c:v>
                  </c:pt>
                  <c:pt idx="48">
                    <c:v>2013</c:v>
                  </c:pt>
                </c:lvl>
              </c:multiLvlStrCache>
            </c:multiLvlStrRef>
          </c:cat>
          <c:val>
            <c:numRef>
              <c:f>Sheet2!$C$2:$C$53</c:f>
              <c:numCache>
                <c:formatCode>General</c:formatCode>
                <c:ptCount val="52"/>
                <c:pt idx="0">
                  <c:v>90.112073276191524</c:v>
                </c:pt>
                <c:pt idx="1">
                  <c:v>93.697208657140806</c:v>
                </c:pt>
                <c:pt idx="2">
                  <c:v>100.88175877306035</c:v>
                </c:pt>
                <c:pt idx="3">
                  <c:v>96.615992039147244</c:v>
                </c:pt>
                <c:pt idx="4">
                  <c:v>88.399053243262244</c:v>
                </c:pt>
                <c:pt idx="5">
                  <c:v>91.223450772674724</c:v>
                </c:pt>
                <c:pt idx="6">
                  <c:v>95.45498968433985</c:v>
                </c:pt>
                <c:pt idx="7">
                  <c:v>86.996038351749363</c:v>
                </c:pt>
                <c:pt idx="8">
                  <c:v>93.591012618806204</c:v>
                </c:pt>
                <c:pt idx="9">
                  <c:v>97.393588474235386</c:v>
                </c:pt>
                <c:pt idx="10">
                  <c:v>96.955966999233027</c:v>
                </c:pt>
                <c:pt idx="11">
                  <c:v>97.154827317445935</c:v>
                </c:pt>
                <c:pt idx="12">
                  <c:v>100.10475596370095</c:v>
                </c:pt>
                <c:pt idx="13">
                  <c:v>98.513065303592356</c:v>
                </c:pt>
                <c:pt idx="14">
                  <c:v>97.585688482068761</c:v>
                </c:pt>
                <c:pt idx="15">
                  <c:v>96.057208770659557</c:v>
                </c:pt>
                <c:pt idx="16">
                  <c:v>104.57981025922585</c:v>
                </c:pt>
                <c:pt idx="17">
                  <c:v>97.757121710636142</c:v>
                </c:pt>
                <c:pt idx="18">
                  <c:v>92.053229211663634</c:v>
                </c:pt>
                <c:pt idx="19">
                  <c:v>98.148046708896288</c:v>
                </c:pt>
                <c:pt idx="20">
                  <c:v>98.358644036471247</c:v>
                </c:pt>
                <c:pt idx="21">
                  <c:v>97.766337112481935</c:v>
                </c:pt>
                <c:pt idx="22">
                  <c:v>102.106219482754</c:v>
                </c:pt>
                <c:pt idx="23">
                  <c:v>104.29507425451337</c:v>
                </c:pt>
                <c:pt idx="24">
                  <c:v>107.31653122875153</c:v>
                </c:pt>
                <c:pt idx="25">
                  <c:v>102.2131929796701</c:v>
                </c:pt>
                <c:pt idx="26">
                  <c:v>103.41568334550942</c:v>
                </c:pt>
                <c:pt idx="27">
                  <c:v>100.54326767753714</c:v>
                </c:pt>
                <c:pt idx="28">
                  <c:v>102.63585430406798</c:v>
                </c:pt>
                <c:pt idx="29">
                  <c:v>105.863044468236</c:v>
                </c:pt>
                <c:pt idx="30">
                  <c:v>111.75473370843885</c:v>
                </c:pt>
                <c:pt idx="31">
                  <c:v>107.57315761010111</c:v>
                </c:pt>
                <c:pt idx="32">
                  <c:v>98.735583126404578</c:v>
                </c:pt>
                <c:pt idx="33">
                  <c:v>103.75150782618154</c:v>
                </c:pt>
                <c:pt idx="34">
                  <c:v>103.44916028365584</c:v>
                </c:pt>
                <c:pt idx="35">
                  <c:v>100.06399755778963</c:v>
                </c:pt>
                <c:pt idx="36">
                  <c:v>102.55831031431383</c:v>
                </c:pt>
                <c:pt idx="37">
                  <c:v>97.925803627707026</c:v>
                </c:pt>
                <c:pt idx="38">
                  <c:v>100.88885068059783</c:v>
                </c:pt>
                <c:pt idx="39">
                  <c:v>100.83164429035969</c:v>
                </c:pt>
                <c:pt idx="40">
                  <c:v>97.863377233565359</c:v>
                </c:pt>
                <c:pt idx="41">
                  <c:v>99.865070814983213</c:v>
                </c:pt>
                <c:pt idx="42">
                  <c:v>96.081173531736738</c:v>
                </c:pt>
                <c:pt idx="43">
                  <c:v>98.952799402745512</c:v>
                </c:pt>
                <c:pt idx="44">
                  <c:v>104.56436736875793</c:v>
                </c:pt>
                <c:pt idx="45">
                  <c:v>100.08728485258833</c:v>
                </c:pt>
                <c:pt idx="46">
                  <c:v>99.133781156802627</c:v>
                </c:pt>
                <c:pt idx="47">
                  <c:v>101.43333137150687</c:v>
                </c:pt>
                <c:pt idx="48">
                  <c:v>101.29172488468002</c:v>
                </c:pt>
                <c:pt idx="49">
                  <c:v>103.04229457746742</c:v>
                </c:pt>
                <c:pt idx="50">
                  <c:v>99.841326332943311</c:v>
                </c:pt>
                <c:pt idx="51">
                  <c:v>108.58356156194309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индекси/
Trend indices</c:v>
                </c:pt>
              </c:strCache>
            </c:strRef>
          </c:tx>
          <c:marker>
            <c:symbol val="none"/>
          </c:marker>
          <c:cat>
            <c:multiLvlStrRef>
              <c:f>Sheet2!$A$2:$B$53</c:f>
              <c:multiLvlStrCache>
                <c:ptCount val="52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  <c:pt idx="46">
                    <c:v>XI</c:v>
                  </c:pt>
                  <c:pt idx="47">
                    <c:v>XII</c:v>
                  </c:pt>
                  <c:pt idx="48">
                    <c:v>I</c:v>
                  </c:pt>
                  <c:pt idx="49">
                    <c:v>II</c:v>
                  </c:pt>
                  <c:pt idx="50">
                    <c:v>III</c:v>
                  </c:pt>
                  <c:pt idx="51">
                    <c:v>IV</c:v>
                  </c:pt>
                </c:lvl>
                <c:lvl>
                  <c:pt idx="0">
                    <c:v>2009</c:v>
                  </c:pt>
                  <c:pt idx="12">
                    <c:v>2010</c:v>
                  </c:pt>
                  <c:pt idx="24">
                    <c:v>2011</c:v>
                  </c:pt>
                  <c:pt idx="36">
                    <c:v>2012</c:v>
                  </c:pt>
                  <c:pt idx="48">
                    <c:v>2013</c:v>
                  </c:pt>
                </c:lvl>
              </c:multiLvlStrCache>
            </c:multiLvlStrRef>
          </c:cat>
          <c:val>
            <c:numRef>
              <c:f>Sheet2!$D$2:$D$53</c:f>
              <c:numCache>
                <c:formatCode>General</c:formatCode>
                <c:ptCount val="52"/>
                <c:pt idx="0">
                  <c:v>93.645703912281377</c:v>
                </c:pt>
                <c:pt idx="1">
                  <c:v>93.836950757822848</c:v>
                </c:pt>
                <c:pt idx="2">
                  <c:v>94.028247982003947</c:v>
                </c:pt>
                <c:pt idx="3">
                  <c:v>94.017930483903783</c:v>
                </c:pt>
                <c:pt idx="4">
                  <c:v>93.933361431686109</c:v>
                </c:pt>
                <c:pt idx="5">
                  <c:v>94.039952009177696</c:v>
                </c:pt>
                <c:pt idx="6">
                  <c:v>94.242661114356338</c:v>
                </c:pt>
                <c:pt idx="7">
                  <c:v>94.480867362709688</c:v>
                </c:pt>
                <c:pt idx="8">
                  <c:v>94.934924534760896</c:v>
                </c:pt>
                <c:pt idx="9">
                  <c:v>95.488386289293729</c:v>
                </c:pt>
                <c:pt idx="10">
                  <c:v>95.978719349368234</c:v>
                </c:pt>
                <c:pt idx="11">
                  <c:v>96.449712226048135</c:v>
                </c:pt>
                <c:pt idx="12">
                  <c:v>96.884666878312359</c:v>
                </c:pt>
                <c:pt idx="13">
                  <c:v>97.237462800429569</c:v>
                </c:pt>
                <c:pt idx="14">
                  <c:v>97.528437588596248</c:v>
                </c:pt>
                <c:pt idx="15">
                  <c:v>97.853958128406035</c:v>
                </c:pt>
                <c:pt idx="16">
                  <c:v>98.191601461244019</c:v>
                </c:pt>
                <c:pt idx="17">
                  <c:v>98.373446309173559</c:v>
                </c:pt>
                <c:pt idx="18">
                  <c:v>98.57178108327598</c:v>
                </c:pt>
                <c:pt idx="19">
                  <c:v>98.982658801594809</c:v>
                </c:pt>
                <c:pt idx="20">
                  <c:v>99.461185741422128</c:v>
                </c:pt>
                <c:pt idx="21">
                  <c:v>99.984736272840308</c:v>
                </c:pt>
                <c:pt idx="22">
                  <c:v>100.57568096297264</c:v>
                </c:pt>
                <c:pt idx="23">
                  <c:v>101.13910921098507</c:v>
                </c:pt>
                <c:pt idx="24">
                  <c:v>101.56618168292586</c:v>
                </c:pt>
                <c:pt idx="25">
                  <c:v>101.83789223156775</c:v>
                </c:pt>
                <c:pt idx="26">
                  <c:v>102.0504718252307</c:v>
                </c:pt>
                <c:pt idx="27">
                  <c:v>102.25382717130336</c:v>
                </c:pt>
                <c:pt idx="28">
                  <c:v>102.48888590375128</c:v>
                </c:pt>
                <c:pt idx="29">
                  <c:v>102.73638972677261</c:v>
                </c:pt>
                <c:pt idx="30">
                  <c:v>102.85271944351904</c:v>
                </c:pt>
                <c:pt idx="31">
                  <c:v>102.68305018520553</c:v>
                </c:pt>
                <c:pt idx="32">
                  <c:v>102.36718654487809</c:v>
                </c:pt>
                <c:pt idx="33">
                  <c:v>102.13555709395688</c:v>
                </c:pt>
                <c:pt idx="34">
                  <c:v>101.88248838939548</c:v>
                </c:pt>
                <c:pt idx="35">
                  <c:v>101.59130389421607</c:v>
                </c:pt>
                <c:pt idx="36">
                  <c:v>101.3302484249003</c:v>
                </c:pt>
                <c:pt idx="37">
                  <c:v>101.08359032851267</c:v>
                </c:pt>
                <c:pt idx="38">
                  <c:v>100.92277872327301</c:v>
                </c:pt>
                <c:pt idx="39">
                  <c:v>100.79682211292153</c:v>
                </c:pt>
                <c:pt idx="40">
                  <c:v>100.69647365828857</c:v>
                </c:pt>
                <c:pt idx="41">
                  <c:v>100.68715162864802</c:v>
                </c:pt>
                <c:pt idx="42">
                  <c:v>100.76160246745125</c:v>
                </c:pt>
                <c:pt idx="43">
                  <c:v>101.00229752148427</c:v>
                </c:pt>
                <c:pt idx="44">
                  <c:v>101.32813310007768</c:v>
                </c:pt>
                <c:pt idx="45">
                  <c:v>101.59479629798068</c:v>
                </c:pt>
                <c:pt idx="46">
                  <c:v>101.91854390734304</c:v>
                </c:pt>
                <c:pt idx="47">
                  <c:v>102.3581119589751</c:v>
                </c:pt>
                <c:pt idx="48">
                  <c:v>102.87456614464925</c:v>
                </c:pt>
                <c:pt idx="49">
                  <c:v>103.44373703561128</c:v>
                </c:pt>
                <c:pt idx="50">
                  <c:v>104.09989959568104</c:v>
                </c:pt>
                <c:pt idx="51">
                  <c:v>104.87189205096233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3326848"/>
        <c:axId val="43353216"/>
      </c:lineChart>
      <c:catAx>
        <c:axId val="43326848"/>
        <c:scaling>
          <c:orientation val="minMax"/>
        </c:scaling>
        <c:delete val="0"/>
        <c:axPos val="b"/>
        <c:majorGridlines>
          <c:spPr>
            <a:ln w="3175">
              <a:solidFill>
                <a:schemeClr val="bg1">
                  <a:lumMod val="75000"/>
                </a:schemeClr>
              </a:solidFill>
            </a:ln>
          </c:spPr>
        </c:majorGridlines>
        <c:numFmt formatCode="mmm\-yy" sourceLinked="1"/>
        <c:majorTickMark val="out"/>
        <c:minorTickMark val="none"/>
        <c:tickLblPos val="low"/>
        <c:spPr>
          <a:ln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n-US"/>
          </a:p>
        </c:txPr>
        <c:crossAx val="43353216"/>
        <c:crossesAt val="100"/>
        <c:auto val="0"/>
        <c:lblAlgn val="ctr"/>
        <c:lblOffset val="100"/>
        <c:tickMarkSkip val="1"/>
        <c:noMultiLvlLbl val="0"/>
      </c:catAx>
      <c:valAx>
        <c:axId val="43353216"/>
        <c:scaling>
          <c:orientation val="minMax"/>
          <c:min val="80"/>
        </c:scaling>
        <c:delete val="0"/>
        <c:axPos val="l"/>
        <c:majorGridlines>
          <c:spPr>
            <a:ln w="3175">
              <a:solidFill>
                <a:schemeClr val="bg1">
                  <a:lumMod val="75000"/>
                </a:schemeClr>
              </a:solidFill>
            </a:ln>
          </c:spPr>
        </c:majorGridlines>
        <c:title>
          <c:tx>
            <c:rich>
              <a:bodyPr rot="0" vert="horz"/>
              <a:lstStyle/>
              <a:p>
                <a:pPr>
                  <a:defRPr b="0">
                    <a:latin typeface="Tahoma" pitchFamily="34" charset="0"/>
                    <a:ea typeface="Tahoma" pitchFamily="34" charset="0"/>
                    <a:cs typeface="Tahoma" pitchFamily="34" charset="0"/>
                  </a:defRPr>
                </a:pPr>
                <a:r>
                  <a:rPr lang="sr-Latn-CS" sz="800" b="0" i="0" u="none" strike="noStrike" baseline="0">
                    <a:latin typeface="Tahoma" pitchFamily="34" charset="0"/>
                    <a:ea typeface="Tahoma" pitchFamily="34" charset="0"/>
                    <a:cs typeface="Tahoma" pitchFamily="34" charset="0"/>
                    <a:sym typeface="Symbol"/>
                  </a:rPr>
                  <a:t></a:t>
                </a:r>
                <a:r>
                  <a:rPr lang="sr-Latn-CS" sz="800" b="0" i="0" u="none" strike="noStrike" baseline="0">
                    <a:latin typeface="Tahoma" pitchFamily="34" charset="0"/>
                    <a:ea typeface="Tahoma" pitchFamily="34" charset="0"/>
                    <a:cs typeface="Tahoma" pitchFamily="34" charset="0"/>
                  </a:rPr>
                  <a:t>2010=100</a:t>
                </a:r>
                <a:endParaRPr lang="en-US" b="0">
                  <a:latin typeface="Tahoma" pitchFamily="34" charset="0"/>
                  <a:ea typeface="Tahoma" pitchFamily="34" charset="0"/>
                  <a:cs typeface="Tahoma" pitchFamily="34" charset="0"/>
                </a:endParaRPr>
              </a:p>
            </c:rich>
          </c:tx>
          <c:layout>
            <c:manualLayout>
              <c:xMode val="edge"/>
              <c:yMode val="edge"/>
              <c:x val="0.91354723707664887"/>
              <c:y val="9.0471645589758364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43326848"/>
        <c:crosses val="autoZero"/>
        <c:crossBetween val="midCat"/>
      </c:valAx>
      <c:spPr>
        <a:noFill/>
        <a:ln w="6350">
          <a:solidFill>
            <a:schemeClr val="bg1">
              <a:lumMod val="50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18938896842440159"/>
          <c:y val="0.84418185297860526"/>
          <c:w val="0.5938216197839401"/>
          <c:h val="0.10253121768869802"/>
        </c:manualLayout>
      </c:layout>
      <c:overlay val="0"/>
      <c:txPr>
        <a:bodyPr/>
        <a:lstStyle/>
        <a:p>
          <a:pPr>
            <a:defRPr sz="850">
              <a:latin typeface="Tahoma" pitchFamily="34" charset="0"/>
              <a:ea typeface="Tahoma" pitchFamily="34" charset="0"/>
              <a:cs typeface="Tahoma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 algn="just">
        <a:defRPr sz="800">
          <a:latin typeface="Arial Narrow" pitchFamily="34" charset="0"/>
          <a:ea typeface="Tahoma" pitchFamily="34" charset="0"/>
          <a:cs typeface="Tahoma" pitchFamily="34" charset="0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501509002675174"/>
          <c:y val="5.1400554097404488E-2"/>
          <c:w val="0.68108924202739263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zaJan_April2013!$A$2</c:f>
              <c:strCache>
                <c:ptCount val="1"/>
                <c:pt idx="0">
                  <c:v>увоз                          </c:v>
                </c:pt>
              </c:strCache>
            </c:strRef>
          </c:tx>
          <c:marker>
            <c:symbol val="none"/>
          </c:marker>
          <c:cat>
            <c:strRef>
              <c:f>zaJan_April2013!$B$1:$N$1</c:f>
              <c:strCache>
                <c:ptCount val="13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  <c:pt idx="6">
                  <c:v>X</c:v>
                </c:pt>
                <c:pt idx="7">
                  <c:v>XI</c:v>
                </c:pt>
                <c:pt idx="8">
                  <c:v>XII</c:v>
                </c:pt>
                <c:pt idx="9">
                  <c:v>I</c:v>
                </c:pt>
                <c:pt idx="10">
                  <c:v>II</c:v>
                </c:pt>
                <c:pt idx="11">
                  <c:v>III</c:v>
                </c:pt>
                <c:pt idx="12">
                  <c:v>IV</c:v>
                </c:pt>
              </c:strCache>
            </c:strRef>
          </c:cat>
          <c:val>
            <c:numRef>
              <c:f>zaJan_April2013!$B$2:$N$2</c:f>
              <c:numCache>
                <c:formatCode>General</c:formatCode>
                <c:ptCount val="13"/>
                <c:pt idx="0">
                  <c:v>372455</c:v>
                </c:pt>
                <c:pt idx="1">
                  <c:v>382975</c:v>
                </c:pt>
                <c:pt idx="2">
                  <c:v>381177</c:v>
                </c:pt>
                <c:pt idx="3">
                  <c:v>427969</c:v>
                </c:pt>
                <c:pt idx="4">
                  <c:v>408779</c:v>
                </c:pt>
                <c:pt idx="5">
                  <c:v>419038</c:v>
                </c:pt>
                <c:pt idx="6">
                  <c:v>486155</c:v>
                </c:pt>
                <c:pt idx="7">
                  <c:v>337128</c:v>
                </c:pt>
                <c:pt idx="8">
                  <c:v>264392</c:v>
                </c:pt>
                <c:pt idx="9">
                  <c:v>289214</c:v>
                </c:pt>
                <c:pt idx="10">
                  <c:v>342893</c:v>
                </c:pt>
                <c:pt idx="11">
                  <c:v>393365</c:v>
                </c:pt>
                <c:pt idx="12">
                  <c:v>379748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zaJan_April2013!$A$3</c:f>
              <c:strCache>
                <c:ptCount val="1"/>
                <c:pt idx="0">
                  <c:v>извоз            </c:v>
                </c:pt>
              </c:strCache>
            </c:strRef>
          </c:tx>
          <c:marker>
            <c:symbol val="none"/>
          </c:marker>
          <c:cat>
            <c:strRef>
              <c:f>zaJan_April2013!$B$1:$N$1</c:f>
              <c:strCache>
                <c:ptCount val="13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  <c:pt idx="6">
                  <c:v>X</c:v>
                </c:pt>
                <c:pt idx="7">
                  <c:v>XI</c:v>
                </c:pt>
                <c:pt idx="8">
                  <c:v>XII</c:v>
                </c:pt>
                <c:pt idx="9">
                  <c:v>I</c:v>
                </c:pt>
                <c:pt idx="10">
                  <c:v>II</c:v>
                </c:pt>
                <c:pt idx="11">
                  <c:v>III</c:v>
                </c:pt>
                <c:pt idx="12">
                  <c:v>IV</c:v>
                </c:pt>
              </c:strCache>
            </c:strRef>
          </c:cat>
          <c:val>
            <c:numRef>
              <c:f>zaJan_April2013!$B$3:$N$3</c:f>
              <c:numCache>
                <c:formatCode>General</c:formatCode>
                <c:ptCount val="13"/>
                <c:pt idx="0">
                  <c:v>204803</c:v>
                </c:pt>
                <c:pt idx="1">
                  <c:v>227243</c:v>
                </c:pt>
                <c:pt idx="2">
                  <c:v>214185</c:v>
                </c:pt>
                <c:pt idx="3">
                  <c:v>218575</c:v>
                </c:pt>
                <c:pt idx="4">
                  <c:v>184558</c:v>
                </c:pt>
                <c:pt idx="5">
                  <c:v>195623</c:v>
                </c:pt>
                <c:pt idx="6">
                  <c:v>213888</c:v>
                </c:pt>
                <c:pt idx="7">
                  <c:v>209165</c:v>
                </c:pt>
                <c:pt idx="8">
                  <c:v>172526</c:v>
                </c:pt>
                <c:pt idx="9">
                  <c:v>168025</c:v>
                </c:pt>
                <c:pt idx="10">
                  <c:v>182220</c:v>
                </c:pt>
                <c:pt idx="11">
                  <c:v>210184</c:v>
                </c:pt>
                <c:pt idx="12">
                  <c:v>238940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3890560"/>
        <c:axId val="83892096"/>
      </c:lineChart>
      <c:catAx>
        <c:axId val="8389056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83892096"/>
        <c:crosses val="autoZero"/>
        <c:auto val="1"/>
        <c:lblAlgn val="ctr"/>
        <c:lblOffset val="100"/>
        <c:noMultiLvlLbl val="0"/>
      </c:catAx>
      <c:valAx>
        <c:axId val="83892096"/>
        <c:scaling>
          <c:orientation val="minMax"/>
        </c:scaling>
        <c:delete val="0"/>
        <c:axPos val="l"/>
        <c:majorGridlines/>
        <c:numFmt formatCode="###\ ###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838905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297952615945524"/>
          <c:y val="0.41628285594735598"/>
          <c:w val="0.15315769608638721"/>
          <c:h val="0.20499316106613574"/>
        </c:manualLayout>
      </c:layout>
      <c:overlay val="0"/>
      <c:txPr>
        <a:bodyPr/>
        <a:lstStyle/>
        <a:p>
          <a:pPr>
            <a:defRPr>
              <a:latin typeface="Tahoma" pitchFamily="34" charset="0"/>
              <a:ea typeface="Tahoma" pitchFamily="34" charset="0"/>
              <a:cs typeface="Tahoma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74F64-BF38-4A91-8004-BC97CA75B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7</Pages>
  <Words>1867</Words>
  <Characters>11971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13811</CharactersWithSpaces>
  <SharedDoc>false</SharedDoc>
  <HLinks>
    <vt:vector size="42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Files/Content.Outlook/HVIF4827/stat@rzs.rs.ba</vt:lpwstr>
      </vt:variant>
      <vt:variant>
        <vt:lpwstr/>
      </vt:variant>
      <vt:variant>
        <vt:i4>7471187</vt:i4>
      </vt:variant>
      <vt:variant>
        <vt:i4>21</vt:i4>
      </vt:variant>
      <vt:variant>
        <vt:i4>0</vt:i4>
      </vt:variant>
      <vt:variant>
        <vt:i4>5</vt:i4>
      </vt:variant>
      <vt:variant>
        <vt:lpwstr>mailto:miroslav.ilic@rzs.rs.ba</vt:lpwstr>
      </vt:variant>
      <vt:variant>
        <vt:lpwstr/>
      </vt:variant>
      <vt:variant>
        <vt:i4>7733327</vt:i4>
      </vt:variant>
      <vt:variant>
        <vt:i4>18</vt:i4>
      </vt:variant>
      <vt:variant>
        <vt:i4>0</vt:i4>
      </vt:variant>
      <vt:variant>
        <vt:i4>5</vt:i4>
      </vt:variant>
      <vt:variant>
        <vt:lpwstr>mailto:sanela.vasiljevic@rzs.rs.ba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5374070</vt:i4>
      </vt:variant>
      <vt:variant>
        <vt:i4>9</vt:i4>
      </vt:variant>
      <vt:variant>
        <vt:i4>0</vt:i4>
      </vt:variant>
      <vt:variant>
        <vt:i4>5</vt:i4>
      </vt:variant>
      <vt:variant>
        <vt:lpwstr>mailto:jasminka.milic@rzs.rs.ba</vt:lpwstr>
      </vt:variant>
      <vt:variant>
        <vt:lpwstr/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mailto:danica.babic@rzs.rs.ba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creator>a</dc:creator>
  <cp:lastModifiedBy>Vladan Sibinovic</cp:lastModifiedBy>
  <cp:revision>286</cp:revision>
  <cp:lastPrinted>2013-04-22T07:02:00Z</cp:lastPrinted>
  <dcterms:created xsi:type="dcterms:W3CDTF">2012-09-20T06:28:00Z</dcterms:created>
  <dcterms:modified xsi:type="dcterms:W3CDTF">2013-05-21T12:30:00Z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