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9E65CB" w:rsidP="00A03CB4">
            <w:pPr>
              <w:ind w:left="113"/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</w:rPr>
              <w:t xml:space="preserve">           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A03CB4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4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 w:rsidR="00A03CB4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јун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 w:rsidR="00A03CB4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6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A03CB4" w:rsidP="00CD3349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јун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8D2842" w:rsidRDefault="00A03CB4" w:rsidP="000C7FA6">
      <w:pPr>
        <w:jc w:val="both"/>
        <w:rPr>
          <w:rFonts w:ascii="Tahoma" w:hAnsi="Tahoma" w:cs="Tahoma"/>
          <w:sz w:val="28"/>
          <w:szCs w:val="28"/>
          <w:lang w:val="sr-Latn-CS"/>
        </w:rPr>
      </w:pPr>
      <w:r w:rsidRPr="008D2842">
        <w:rPr>
          <w:rFonts w:ascii="Tahoma" w:hAnsi="Tahoma" w:cs="Tahoma"/>
          <w:sz w:val="28"/>
          <w:szCs w:val="28"/>
          <w:lang w:val="sr-Cyrl-CS"/>
        </w:rPr>
        <w:t>Број корисника с</w:t>
      </w:r>
      <w:proofErr w:type="spellStart"/>
      <w:r w:rsidR="00777348" w:rsidRPr="008D2842">
        <w:rPr>
          <w:rFonts w:ascii="Tahoma" w:hAnsi="Tahoma" w:cs="Tahoma"/>
          <w:sz w:val="28"/>
          <w:szCs w:val="28"/>
        </w:rPr>
        <w:t>оцијалн</w:t>
      </w:r>
      <w:proofErr w:type="spellEnd"/>
      <w:r w:rsidRPr="008D2842">
        <w:rPr>
          <w:rFonts w:ascii="Tahoma" w:hAnsi="Tahoma" w:cs="Tahoma"/>
          <w:sz w:val="28"/>
          <w:szCs w:val="28"/>
          <w:lang w:val="sr-Cyrl-CS"/>
        </w:rPr>
        <w:t>е</w:t>
      </w:r>
      <w:r w:rsidR="00777348" w:rsidRPr="008D284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77348" w:rsidRPr="008D2842">
        <w:rPr>
          <w:rFonts w:ascii="Tahoma" w:hAnsi="Tahoma" w:cs="Tahoma"/>
          <w:sz w:val="28"/>
          <w:szCs w:val="28"/>
        </w:rPr>
        <w:t>заштит</w:t>
      </w:r>
      <w:proofErr w:type="spellEnd"/>
      <w:r w:rsidR="00EF3841" w:rsidRPr="008D2842">
        <w:rPr>
          <w:rFonts w:ascii="Tahoma" w:hAnsi="Tahoma" w:cs="Tahoma"/>
          <w:sz w:val="28"/>
          <w:szCs w:val="28"/>
          <w:lang w:val="sr-Cyrl-CS"/>
        </w:rPr>
        <w:t>е</w:t>
      </w:r>
      <w:r w:rsidR="004A2B52" w:rsidRPr="008D2842">
        <w:rPr>
          <w:rFonts w:ascii="Tahoma" w:hAnsi="Tahoma" w:cs="Tahoma"/>
          <w:sz w:val="28"/>
          <w:szCs w:val="28"/>
          <w:lang w:val="sr-Cyrl-CS"/>
        </w:rPr>
        <w:t xml:space="preserve"> у 2012. већи за 7,5%</w:t>
      </w:r>
    </w:p>
    <w:p w:rsidR="00A03CB4" w:rsidRPr="008D2842" w:rsidRDefault="00A03CB4" w:rsidP="000C7FA6">
      <w:pPr>
        <w:jc w:val="both"/>
        <w:rPr>
          <w:rFonts w:ascii="Tahoma" w:hAnsi="Tahoma" w:cs="Tahoma"/>
        </w:rPr>
      </w:pPr>
    </w:p>
    <w:p w:rsidR="00777348" w:rsidRPr="008D2842" w:rsidRDefault="00777348" w:rsidP="00B93C46">
      <w:pPr>
        <w:jc w:val="both"/>
        <w:rPr>
          <w:rFonts w:ascii="Tahoma" w:hAnsi="Tahoma" w:cs="Tahoma"/>
        </w:rPr>
      </w:pPr>
      <w:proofErr w:type="spellStart"/>
      <w:proofErr w:type="gramStart"/>
      <w:r w:rsidRPr="008D2842">
        <w:rPr>
          <w:rFonts w:ascii="Tahoma" w:hAnsi="Tahoma" w:cs="Tahoma"/>
        </w:rPr>
        <w:t>Укупан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социјал</w:t>
      </w:r>
      <w:r w:rsidR="00A03CB4" w:rsidRPr="008D2842">
        <w:rPr>
          <w:rFonts w:ascii="Tahoma" w:hAnsi="Tahoma" w:cs="Tahoma"/>
        </w:rPr>
        <w:t>не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заштите</w:t>
      </w:r>
      <w:proofErr w:type="spellEnd"/>
      <w:r w:rsidR="00A03CB4" w:rsidRPr="008D2842">
        <w:rPr>
          <w:rFonts w:ascii="Tahoma" w:hAnsi="Tahoma" w:cs="Tahoma"/>
        </w:rPr>
        <w:t xml:space="preserve"> у 2012.</w:t>
      </w:r>
      <w:proofErr w:type="gramEnd"/>
      <w:r w:rsidR="00A03CB4" w:rsidRPr="008D2842">
        <w:rPr>
          <w:rFonts w:ascii="Tahoma" w:hAnsi="Tahoma" w:cs="Tahoma"/>
        </w:rPr>
        <w:t xml:space="preserve"> </w:t>
      </w:r>
      <w:proofErr w:type="spellStart"/>
      <w:proofErr w:type="gramStart"/>
      <w:r w:rsidR="00A03CB4" w:rsidRPr="008D2842">
        <w:rPr>
          <w:rFonts w:ascii="Tahoma" w:hAnsi="Tahoma" w:cs="Tahoma"/>
        </w:rPr>
        <w:t>години</w:t>
      </w:r>
      <w:proofErr w:type="spellEnd"/>
      <w:proofErr w:type="gram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износио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је</w:t>
      </w:r>
      <w:proofErr w:type="spellEnd"/>
      <w:r w:rsidR="00A03CB4" w:rsidRPr="008D2842">
        <w:rPr>
          <w:rFonts w:ascii="Tahoma" w:hAnsi="Tahoma" w:cs="Tahoma"/>
        </w:rPr>
        <w:t xml:space="preserve"> 376</w:t>
      </w:r>
      <w:r w:rsidR="00A03CB4"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</w:rPr>
        <w:t xml:space="preserve">802 и </w:t>
      </w:r>
      <w:proofErr w:type="spellStart"/>
      <w:r w:rsidRPr="008D2842">
        <w:rPr>
          <w:rFonts w:ascii="Tahoma" w:hAnsi="Tahoma" w:cs="Tahoma"/>
        </w:rPr>
        <w:t>већи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7,5% у </w:t>
      </w:r>
      <w:proofErr w:type="spellStart"/>
      <w:r w:rsidRPr="008D2842">
        <w:rPr>
          <w:rFonts w:ascii="Tahoma" w:hAnsi="Tahoma" w:cs="Tahoma"/>
        </w:rPr>
        <w:t>односу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</w:t>
      </w:r>
      <w:proofErr w:type="spellEnd"/>
      <w:r w:rsidRPr="008D2842">
        <w:rPr>
          <w:rFonts w:ascii="Tahoma" w:hAnsi="Tahoma" w:cs="Tahoma"/>
        </w:rPr>
        <w:t xml:space="preserve"> 2011. </w:t>
      </w:r>
      <w:proofErr w:type="spellStart"/>
      <w:proofErr w:type="gramStart"/>
      <w:r w:rsidRPr="008D2842">
        <w:rPr>
          <w:rFonts w:ascii="Tahoma" w:hAnsi="Tahoma" w:cs="Tahoma"/>
        </w:rPr>
        <w:t>годину</w:t>
      </w:r>
      <w:proofErr w:type="spellEnd"/>
      <w:proofErr w:type="gramEnd"/>
      <w:r w:rsidRPr="008D2842">
        <w:rPr>
          <w:rFonts w:ascii="Tahoma" w:hAnsi="Tahoma" w:cs="Tahoma"/>
        </w:rPr>
        <w:t xml:space="preserve">. </w:t>
      </w:r>
      <w:proofErr w:type="spellStart"/>
      <w:proofErr w:type="gramStart"/>
      <w:r w:rsidRPr="008D2842">
        <w:rPr>
          <w:rFonts w:ascii="Tahoma" w:hAnsi="Tahoma" w:cs="Tahoma"/>
        </w:rPr>
        <w:t>Евидентна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повећања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код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малољетних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код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пунољетних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социјалне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заштите</w:t>
      </w:r>
      <w:proofErr w:type="spellEnd"/>
      <w:r w:rsidRPr="008D2842">
        <w:rPr>
          <w:rFonts w:ascii="Tahoma" w:hAnsi="Tahoma" w:cs="Tahoma"/>
        </w:rPr>
        <w:t>.</w:t>
      </w:r>
      <w:proofErr w:type="gram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повећао</w:t>
      </w:r>
      <w:proofErr w:type="spellEnd"/>
      <w:r w:rsidR="00CF7DC7">
        <w:rPr>
          <w:rFonts w:ascii="Tahoma" w:hAnsi="Tahoma" w:cs="Tahoma"/>
        </w:rPr>
        <w:t xml:space="preserve"> </w:t>
      </w:r>
      <w:proofErr w:type="spellStart"/>
      <w:r w:rsidR="00CF7DC7">
        <w:rPr>
          <w:rFonts w:ascii="Tahoma" w:hAnsi="Tahoma" w:cs="Tahoma"/>
        </w:rPr>
        <w:t>се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око</w:t>
      </w:r>
      <w:proofErr w:type="spellEnd"/>
      <w:r w:rsidRPr="008D2842">
        <w:rPr>
          <w:rFonts w:ascii="Tahoma" w:hAnsi="Tahoma" w:cs="Tahoma"/>
        </w:rPr>
        <w:t xml:space="preserve"> 6%, а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пунољетних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повећао</w:t>
      </w:r>
      <w:proofErr w:type="spellEnd"/>
      <w:r w:rsidR="000636A7">
        <w:rPr>
          <w:rFonts w:ascii="Tahoma" w:hAnsi="Tahoma" w:cs="Tahoma"/>
          <w:lang w:val="sr-Cyrl-CS"/>
        </w:rPr>
        <w:t xml:space="preserve"> се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8</w:t>
      </w:r>
      <w:proofErr w:type="gramStart"/>
      <w:r w:rsidRPr="008D2842">
        <w:rPr>
          <w:rFonts w:ascii="Tahoma" w:hAnsi="Tahoma" w:cs="Tahoma"/>
        </w:rPr>
        <w:t>,1</w:t>
      </w:r>
      <w:proofErr w:type="gramEnd"/>
      <w:r w:rsidRPr="008D2842">
        <w:rPr>
          <w:rFonts w:ascii="Tahoma" w:hAnsi="Tahoma" w:cs="Tahoma"/>
        </w:rPr>
        <w:t xml:space="preserve">% у </w:t>
      </w:r>
      <w:proofErr w:type="spellStart"/>
      <w:r w:rsidRPr="008D2842">
        <w:rPr>
          <w:rFonts w:ascii="Tahoma" w:hAnsi="Tahoma" w:cs="Tahoma"/>
        </w:rPr>
        <w:t>односу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</w:t>
      </w:r>
      <w:proofErr w:type="spellEnd"/>
      <w:r w:rsidRPr="008D2842">
        <w:rPr>
          <w:rFonts w:ascii="Tahoma" w:hAnsi="Tahoma" w:cs="Tahoma"/>
        </w:rPr>
        <w:t xml:space="preserve"> 2011. </w:t>
      </w:r>
      <w:proofErr w:type="spellStart"/>
      <w:proofErr w:type="gramStart"/>
      <w:r w:rsidRPr="008D2842">
        <w:rPr>
          <w:rFonts w:ascii="Tahoma" w:hAnsi="Tahoma" w:cs="Tahoma"/>
        </w:rPr>
        <w:t>годину</w:t>
      </w:r>
      <w:proofErr w:type="spellEnd"/>
      <w:proofErr w:type="gramEnd"/>
      <w:r w:rsidRPr="008D2842">
        <w:rPr>
          <w:rFonts w:ascii="Tahoma" w:hAnsi="Tahoma" w:cs="Tahoma"/>
        </w:rPr>
        <w:t xml:space="preserve">. </w:t>
      </w:r>
      <w:proofErr w:type="spellStart"/>
      <w:proofErr w:type="gramStart"/>
      <w:r w:rsidRPr="008D2842">
        <w:rPr>
          <w:rFonts w:ascii="Tahoma" w:hAnsi="Tahoma" w:cs="Tahoma"/>
        </w:rPr>
        <w:t>Највећи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старости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између</w:t>
      </w:r>
      <w:proofErr w:type="spellEnd"/>
      <w:r w:rsidRPr="008D2842">
        <w:rPr>
          <w:rFonts w:ascii="Tahoma" w:hAnsi="Tahoma" w:cs="Tahoma"/>
        </w:rPr>
        <w:t xml:space="preserve"> 7 и 14 </w:t>
      </w:r>
      <w:proofErr w:type="spellStart"/>
      <w:r w:rsidRPr="008D2842">
        <w:rPr>
          <w:rFonts w:ascii="Tahoma" w:hAnsi="Tahoma" w:cs="Tahoma"/>
        </w:rPr>
        <w:t>година</w:t>
      </w:r>
      <w:proofErr w:type="spellEnd"/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док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највише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пунољетних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има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преко</w:t>
      </w:r>
      <w:proofErr w:type="spellEnd"/>
      <w:r w:rsidRPr="008D2842">
        <w:rPr>
          <w:rFonts w:ascii="Tahoma" w:hAnsi="Tahoma" w:cs="Tahoma"/>
        </w:rPr>
        <w:t xml:space="preserve"> 65 </w:t>
      </w:r>
      <w:proofErr w:type="spellStart"/>
      <w:r w:rsidRPr="008D2842">
        <w:rPr>
          <w:rFonts w:ascii="Tahoma" w:hAnsi="Tahoma" w:cs="Tahoma"/>
        </w:rPr>
        <w:t>година</w:t>
      </w:r>
      <w:proofErr w:type="spellEnd"/>
      <w:r w:rsidRPr="008D2842">
        <w:rPr>
          <w:rFonts w:ascii="Tahoma" w:hAnsi="Tahoma" w:cs="Tahoma"/>
        </w:rPr>
        <w:t>.</w:t>
      </w:r>
      <w:proofErr w:type="gramEnd"/>
    </w:p>
    <w:p w:rsidR="00777348" w:rsidRPr="008D2842" w:rsidRDefault="00777348" w:rsidP="00B93C46">
      <w:pPr>
        <w:jc w:val="both"/>
        <w:rPr>
          <w:rFonts w:ascii="Tahoma" w:hAnsi="Tahoma" w:cs="Tahoma"/>
        </w:rPr>
      </w:pPr>
    </w:p>
    <w:p w:rsidR="00777348" w:rsidRPr="008D2842" w:rsidRDefault="00777348" w:rsidP="00B93C46">
      <w:pPr>
        <w:jc w:val="both"/>
        <w:rPr>
          <w:rFonts w:ascii="Tahoma" w:hAnsi="Tahoma" w:cs="Tahoma"/>
        </w:rPr>
      </w:pPr>
      <w:proofErr w:type="gramStart"/>
      <w:r w:rsidRPr="008D2842">
        <w:rPr>
          <w:rFonts w:ascii="Tahoma" w:hAnsi="Tahoma" w:cs="Tahoma"/>
        </w:rPr>
        <w:t>У 2012.</w:t>
      </w:r>
      <w:proofErr w:type="gramEnd"/>
      <w:r w:rsidRPr="008D2842">
        <w:rPr>
          <w:rFonts w:ascii="Tahoma" w:hAnsi="Tahoma" w:cs="Tahoma"/>
        </w:rPr>
        <w:t xml:space="preserve"> </w:t>
      </w:r>
      <w:r w:rsidR="008C33CF" w:rsidRPr="008D2842">
        <w:rPr>
          <w:rFonts w:ascii="Tahoma" w:hAnsi="Tahoma" w:cs="Tahoma"/>
          <w:lang w:val="sr-Cyrl-CS"/>
        </w:rPr>
        <w:t>г</w:t>
      </w:r>
      <w:proofErr w:type="spellStart"/>
      <w:r w:rsidRPr="008D2842">
        <w:rPr>
          <w:rFonts w:ascii="Tahoma" w:hAnsi="Tahoma" w:cs="Tahoma"/>
        </w:rPr>
        <w:t>одини</w:t>
      </w:r>
      <w:proofErr w:type="spellEnd"/>
      <w:r w:rsidR="004A2B52" w:rsidRPr="008D2842">
        <w:rPr>
          <w:rFonts w:ascii="Tahoma" w:hAnsi="Tahoma" w:cs="Tahoma"/>
          <w:lang w:val="sr-Cyrl-CS"/>
        </w:rPr>
        <w:t>, у поређењ</w:t>
      </w:r>
      <w:r w:rsidR="008C33CF" w:rsidRPr="008D2842">
        <w:rPr>
          <w:rFonts w:ascii="Tahoma" w:hAnsi="Tahoma" w:cs="Tahoma"/>
          <w:lang w:val="sr-Cyrl-CS"/>
        </w:rPr>
        <w:t>у са 2011,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пружен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мањи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облика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услуг</w:t>
      </w:r>
      <w:r w:rsidR="00A03CB4" w:rsidRPr="008D2842">
        <w:rPr>
          <w:rFonts w:ascii="Tahoma" w:hAnsi="Tahoma" w:cs="Tahoma"/>
        </w:rPr>
        <w:t>а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социјалне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заштите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за</w:t>
      </w:r>
      <w:proofErr w:type="spellEnd"/>
      <w:r w:rsidR="00A03CB4" w:rsidRPr="008D2842">
        <w:rPr>
          <w:rFonts w:ascii="Tahoma" w:hAnsi="Tahoma" w:cs="Tahoma"/>
        </w:rPr>
        <w:t xml:space="preserve"> </w:t>
      </w:r>
      <w:proofErr w:type="spellStart"/>
      <w:r w:rsidR="00A03CB4" w:rsidRPr="008D2842">
        <w:rPr>
          <w:rFonts w:ascii="Tahoma" w:hAnsi="Tahoma" w:cs="Tahoma"/>
        </w:rPr>
        <w:t>око</w:t>
      </w:r>
      <w:proofErr w:type="spellEnd"/>
      <w:r w:rsidR="00A03CB4" w:rsidRPr="008D2842">
        <w:rPr>
          <w:rFonts w:ascii="Tahoma" w:hAnsi="Tahoma" w:cs="Tahoma"/>
        </w:rPr>
        <w:t xml:space="preserve"> 3,4%</w:t>
      </w:r>
      <w:r w:rsidRPr="008D2842">
        <w:rPr>
          <w:rFonts w:ascii="Tahoma" w:hAnsi="Tahoma" w:cs="Tahoma"/>
        </w:rPr>
        <w:t xml:space="preserve">, с </w:t>
      </w:r>
      <w:proofErr w:type="spellStart"/>
      <w:r w:rsidRPr="008D2842">
        <w:rPr>
          <w:rFonts w:ascii="Tahoma" w:hAnsi="Tahoma" w:cs="Tahoma"/>
        </w:rPr>
        <w:t>тим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што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пружених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облика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услуга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кориснике</w:t>
      </w:r>
      <w:proofErr w:type="spellEnd"/>
      <w:r w:rsidRPr="008D2842">
        <w:rPr>
          <w:rFonts w:ascii="Tahoma" w:hAnsi="Tahoma" w:cs="Tahoma"/>
        </w:rPr>
        <w:t xml:space="preserve"> у </w:t>
      </w:r>
      <w:proofErr w:type="spellStart"/>
      <w:r w:rsidRPr="008D2842">
        <w:rPr>
          <w:rFonts w:ascii="Tahoma" w:hAnsi="Tahoma" w:cs="Tahoma"/>
        </w:rPr>
        <w:t>односу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</w:t>
      </w:r>
      <w:proofErr w:type="spellEnd"/>
      <w:r w:rsidRPr="008D2842">
        <w:rPr>
          <w:rFonts w:ascii="Tahoma" w:hAnsi="Tahoma" w:cs="Tahoma"/>
        </w:rPr>
        <w:t xml:space="preserve"> 2011. </w:t>
      </w:r>
      <w:r w:rsidR="00B93C46" w:rsidRPr="008D2842">
        <w:rPr>
          <w:rFonts w:ascii="Tahoma" w:hAnsi="Tahoma" w:cs="Tahoma"/>
          <w:lang w:val="sr-Cyrl-CS"/>
        </w:rPr>
        <w:t>г</w:t>
      </w:r>
      <w:proofErr w:type="spellStart"/>
      <w:r w:rsidRPr="008D2842">
        <w:rPr>
          <w:rFonts w:ascii="Tahoma" w:hAnsi="Tahoma" w:cs="Tahoma"/>
        </w:rPr>
        <w:t>одину</w:t>
      </w:r>
      <w:proofErr w:type="spellEnd"/>
      <w:r w:rsidR="000C7FA6" w:rsidRPr="008D2842">
        <w:rPr>
          <w:rFonts w:ascii="Tahoma" w:hAnsi="Tahoma" w:cs="Tahoma"/>
          <w:lang w:val="sr-Cyrl-CS"/>
        </w:rPr>
        <w:t xml:space="preserve"> повећао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око</w:t>
      </w:r>
      <w:proofErr w:type="spellEnd"/>
      <w:r w:rsidRPr="008D2842">
        <w:rPr>
          <w:rFonts w:ascii="Tahoma" w:hAnsi="Tahoma" w:cs="Tahoma"/>
        </w:rPr>
        <w:t xml:space="preserve"> 2,8%, а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пружених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облика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услуга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пунољетне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кориснике</w:t>
      </w:r>
      <w:proofErr w:type="spellEnd"/>
      <w:r w:rsidR="000C7FA6" w:rsidRPr="008D2842">
        <w:rPr>
          <w:rFonts w:ascii="Tahoma" w:hAnsi="Tahoma" w:cs="Tahoma"/>
          <w:lang w:val="sr-Cyrl-CS"/>
        </w:rPr>
        <w:t xml:space="preserve"> у истом периоду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смањен</w:t>
      </w:r>
      <w:proofErr w:type="spellEnd"/>
      <w:r w:rsidR="000C7FA6" w:rsidRPr="008D2842">
        <w:rPr>
          <w:rFonts w:ascii="Tahoma" w:hAnsi="Tahoma" w:cs="Tahoma"/>
          <w:lang w:val="sr-Cyrl-CS"/>
        </w:rPr>
        <w:t xml:space="preserve"> је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око</w:t>
      </w:r>
      <w:proofErr w:type="spellEnd"/>
      <w:r w:rsidRPr="008D2842">
        <w:rPr>
          <w:rFonts w:ascii="Tahoma" w:hAnsi="Tahoma" w:cs="Tahoma"/>
        </w:rPr>
        <w:t xml:space="preserve"> 5,7%.</w:t>
      </w:r>
    </w:p>
    <w:p w:rsidR="00777348" w:rsidRPr="008D2842" w:rsidRDefault="00777348" w:rsidP="00B93C46">
      <w:pPr>
        <w:jc w:val="both"/>
        <w:rPr>
          <w:rFonts w:ascii="Tahoma" w:hAnsi="Tahoma" w:cs="Tahoma"/>
        </w:rPr>
      </w:pPr>
    </w:p>
    <w:p w:rsidR="00777348" w:rsidRPr="008D2842" w:rsidRDefault="00777348" w:rsidP="00B93C46">
      <w:pPr>
        <w:jc w:val="both"/>
        <w:rPr>
          <w:rFonts w:ascii="Tahoma" w:hAnsi="Tahoma" w:cs="Tahoma"/>
        </w:rPr>
      </w:pPr>
      <w:proofErr w:type="gramStart"/>
      <w:r w:rsidRPr="008D2842">
        <w:rPr>
          <w:rFonts w:ascii="Tahoma" w:hAnsi="Tahoma" w:cs="Tahoma"/>
        </w:rPr>
        <w:t>У 2012.</w:t>
      </w:r>
      <w:proofErr w:type="gramEnd"/>
      <w:r w:rsidRPr="008D2842">
        <w:rPr>
          <w:rFonts w:ascii="Tahoma" w:hAnsi="Tahoma" w:cs="Tahoma"/>
        </w:rPr>
        <w:t xml:space="preserve"> </w:t>
      </w:r>
      <w:proofErr w:type="spellStart"/>
      <w:proofErr w:type="gramStart"/>
      <w:r w:rsidRPr="008D2842">
        <w:rPr>
          <w:rFonts w:ascii="Tahoma" w:hAnsi="Tahoma" w:cs="Tahoma"/>
        </w:rPr>
        <w:t>години</w:t>
      </w:r>
      <w:proofErr w:type="spellEnd"/>
      <w:proofErr w:type="gram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евидентирано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r w:rsidR="00B93C46" w:rsidRPr="008D2842">
        <w:rPr>
          <w:rFonts w:ascii="Tahoma" w:hAnsi="Tahoma" w:cs="Tahoma"/>
          <w:lang w:val="sr-Cyrl-CS"/>
        </w:rPr>
        <w:t>шест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установа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социјалне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заштите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дјецу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омладину</w:t>
      </w:r>
      <w:proofErr w:type="spellEnd"/>
      <w:r w:rsidRPr="008D2842">
        <w:rPr>
          <w:rFonts w:ascii="Tahoma" w:hAnsi="Tahoma" w:cs="Tahoma"/>
        </w:rPr>
        <w:t xml:space="preserve"> и 14 </w:t>
      </w:r>
      <w:proofErr w:type="spellStart"/>
      <w:r w:rsidRPr="008D2842">
        <w:rPr>
          <w:rFonts w:ascii="Tahoma" w:hAnsi="Tahoma" w:cs="Tahoma"/>
        </w:rPr>
        <w:t>установа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одрасла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инвалидна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старија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лица</w:t>
      </w:r>
      <w:proofErr w:type="spellEnd"/>
      <w:r w:rsidRPr="008D2842">
        <w:rPr>
          <w:rFonts w:ascii="Tahoma" w:hAnsi="Tahoma" w:cs="Tahoma"/>
        </w:rPr>
        <w:t xml:space="preserve">. </w:t>
      </w:r>
      <w:proofErr w:type="gramStart"/>
      <w:r w:rsidRPr="008D2842">
        <w:rPr>
          <w:rFonts w:ascii="Tahoma" w:hAnsi="Tahoma" w:cs="Tahoma"/>
        </w:rPr>
        <w:t xml:space="preserve">У </w:t>
      </w:r>
      <w:proofErr w:type="spellStart"/>
      <w:r w:rsidRPr="008D2842">
        <w:rPr>
          <w:rFonts w:ascii="Tahoma" w:hAnsi="Tahoma" w:cs="Tahoma"/>
        </w:rPr>
        <w:t>об</w:t>
      </w:r>
      <w:proofErr w:type="spellEnd"/>
      <w:r w:rsidR="00B93C46" w:rsidRPr="008D2842">
        <w:rPr>
          <w:rFonts w:ascii="Tahoma" w:hAnsi="Tahoma" w:cs="Tahoma"/>
          <w:lang w:val="sr-Cyrl-CS"/>
        </w:rPr>
        <w:t>ј</w:t>
      </w:r>
      <w:r w:rsidRPr="008D2842">
        <w:rPr>
          <w:rFonts w:ascii="Tahoma" w:hAnsi="Tahoma" w:cs="Tahoma"/>
        </w:rPr>
        <w:t xml:space="preserve">е </w:t>
      </w:r>
      <w:proofErr w:type="spellStart"/>
      <w:r w:rsidRPr="008D2842">
        <w:rPr>
          <w:rFonts w:ascii="Tahoma" w:hAnsi="Tahoma" w:cs="Tahoma"/>
        </w:rPr>
        <w:t>категорије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дошло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повећања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>.</w:t>
      </w:r>
      <w:proofErr w:type="gram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установа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дјецу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омладину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износио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583, и </w:t>
      </w:r>
      <w:proofErr w:type="spellStart"/>
      <w:r w:rsidRPr="008D2842">
        <w:rPr>
          <w:rFonts w:ascii="Tahoma" w:hAnsi="Tahoma" w:cs="Tahoma"/>
        </w:rPr>
        <w:t>већи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7</w:t>
      </w:r>
      <w:proofErr w:type="gramStart"/>
      <w:r w:rsidRPr="008D2842">
        <w:rPr>
          <w:rFonts w:ascii="Tahoma" w:hAnsi="Tahoma" w:cs="Tahoma"/>
        </w:rPr>
        <w:t>,1</w:t>
      </w:r>
      <w:proofErr w:type="gramEnd"/>
      <w:r w:rsidRPr="008D2842">
        <w:rPr>
          <w:rFonts w:ascii="Tahoma" w:hAnsi="Tahoma" w:cs="Tahoma"/>
        </w:rPr>
        <w:t xml:space="preserve">% у </w:t>
      </w:r>
      <w:proofErr w:type="spellStart"/>
      <w:r w:rsidRPr="008D2842">
        <w:rPr>
          <w:rFonts w:ascii="Tahoma" w:hAnsi="Tahoma" w:cs="Tahoma"/>
        </w:rPr>
        <w:t>односу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</w:t>
      </w:r>
      <w:proofErr w:type="spellEnd"/>
      <w:r w:rsidRPr="008D2842">
        <w:rPr>
          <w:rFonts w:ascii="Tahoma" w:hAnsi="Tahoma" w:cs="Tahoma"/>
        </w:rPr>
        <w:t xml:space="preserve"> 2011. </w:t>
      </w:r>
      <w:proofErr w:type="spellStart"/>
      <w:proofErr w:type="gramStart"/>
      <w:r w:rsidRPr="008D2842">
        <w:rPr>
          <w:rFonts w:ascii="Tahoma" w:hAnsi="Tahoma" w:cs="Tahoma"/>
        </w:rPr>
        <w:t>годину</w:t>
      </w:r>
      <w:proofErr w:type="spellEnd"/>
      <w:proofErr w:type="gramEnd"/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док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корисника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установа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одрасла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инвалидна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старија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лица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износио</w:t>
      </w:r>
      <w:proofErr w:type="spellEnd"/>
      <w:r w:rsidRPr="008D2842">
        <w:rPr>
          <w:rFonts w:ascii="Tahoma" w:hAnsi="Tahoma" w:cs="Tahoma"/>
        </w:rPr>
        <w:t xml:space="preserve"> 1</w:t>
      </w:r>
      <w:r w:rsidR="000636A7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</w:rPr>
        <w:t xml:space="preserve">111, и </w:t>
      </w:r>
      <w:proofErr w:type="spellStart"/>
      <w:r w:rsidRPr="008D2842">
        <w:rPr>
          <w:rFonts w:ascii="Tahoma" w:hAnsi="Tahoma" w:cs="Tahoma"/>
        </w:rPr>
        <w:t>већи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5,6% у </w:t>
      </w:r>
      <w:proofErr w:type="spellStart"/>
      <w:r w:rsidRPr="008D2842">
        <w:rPr>
          <w:rFonts w:ascii="Tahoma" w:hAnsi="Tahoma" w:cs="Tahoma"/>
        </w:rPr>
        <w:t>односу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</w:t>
      </w:r>
      <w:proofErr w:type="spellEnd"/>
      <w:r w:rsidRPr="008D2842">
        <w:rPr>
          <w:rFonts w:ascii="Tahoma" w:hAnsi="Tahoma" w:cs="Tahoma"/>
        </w:rPr>
        <w:t xml:space="preserve"> 2011. </w:t>
      </w:r>
      <w:proofErr w:type="spellStart"/>
      <w:proofErr w:type="gramStart"/>
      <w:r w:rsidRPr="008D2842">
        <w:rPr>
          <w:rFonts w:ascii="Tahoma" w:hAnsi="Tahoma" w:cs="Tahoma"/>
        </w:rPr>
        <w:t>годину</w:t>
      </w:r>
      <w:proofErr w:type="spellEnd"/>
      <w:proofErr w:type="gramEnd"/>
      <w:r w:rsidRPr="008D2842">
        <w:rPr>
          <w:rFonts w:ascii="Tahoma" w:hAnsi="Tahoma" w:cs="Tahoma"/>
        </w:rPr>
        <w:t>.</w:t>
      </w:r>
    </w:p>
    <w:p w:rsidR="00777348" w:rsidRPr="008D2842" w:rsidRDefault="00777348" w:rsidP="000C7FA6">
      <w:pPr>
        <w:jc w:val="both"/>
        <w:rPr>
          <w:rFonts w:ascii="Tahoma" w:hAnsi="Tahoma" w:cs="Tahoma"/>
        </w:rPr>
      </w:pPr>
    </w:p>
    <w:p w:rsidR="00777348" w:rsidRPr="008D2842" w:rsidRDefault="00777348" w:rsidP="00777348">
      <w:pPr>
        <w:rPr>
          <w:rFonts w:ascii="Tahoma" w:hAnsi="Tahoma" w:cs="Tahoma"/>
          <w:sz w:val="28"/>
          <w:szCs w:val="28"/>
          <w:lang w:val="sr-Cyrl-CS"/>
        </w:rPr>
      </w:pPr>
      <w:proofErr w:type="spellStart"/>
      <w:proofErr w:type="gramStart"/>
      <w:r w:rsidRPr="008D2842">
        <w:rPr>
          <w:rFonts w:ascii="Tahoma" w:hAnsi="Tahoma" w:cs="Tahoma"/>
          <w:sz w:val="28"/>
          <w:szCs w:val="28"/>
        </w:rPr>
        <w:t>Повећан</w:t>
      </w:r>
      <w:proofErr w:type="spellEnd"/>
      <w:r w:rsidRPr="008D284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D2842">
        <w:rPr>
          <w:rFonts w:ascii="Tahoma" w:hAnsi="Tahoma" w:cs="Tahoma"/>
          <w:sz w:val="28"/>
          <w:szCs w:val="28"/>
        </w:rPr>
        <w:t>број</w:t>
      </w:r>
      <w:proofErr w:type="spellEnd"/>
      <w:r w:rsidRPr="008D284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D2842">
        <w:rPr>
          <w:rFonts w:ascii="Tahoma" w:hAnsi="Tahoma" w:cs="Tahoma"/>
          <w:sz w:val="28"/>
          <w:szCs w:val="28"/>
        </w:rPr>
        <w:t>оптужених</w:t>
      </w:r>
      <w:proofErr w:type="spellEnd"/>
      <w:r w:rsidRPr="008D2842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8D2842">
        <w:rPr>
          <w:rFonts w:ascii="Tahoma" w:hAnsi="Tahoma" w:cs="Tahoma"/>
          <w:sz w:val="28"/>
          <w:szCs w:val="28"/>
        </w:rPr>
        <w:t>осуђених</w:t>
      </w:r>
      <w:proofErr w:type="spellEnd"/>
      <w:r w:rsidR="000636A7">
        <w:rPr>
          <w:rFonts w:ascii="Tahoma" w:hAnsi="Tahoma" w:cs="Tahoma"/>
          <w:sz w:val="28"/>
          <w:szCs w:val="28"/>
          <w:lang w:val="sr-Cyrl-CS"/>
        </w:rPr>
        <w:t xml:space="preserve"> пунољетних</w:t>
      </w:r>
      <w:r w:rsidRPr="008D284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D2842">
        <w:rPr>
          <w:rFonts w:ascii="Tahoma" w:hAnsi="Tahoma" w:cs="Tahoma"/>
          <w:sz w:val="28"/>
          <w:szCs w:val="28"/>
        </w:rPr>
        <w:t>лица</w:t>
      </w:r>
      <w:proofErr w:type="spellEnd"/>
      <w:r w:rsidR="00BE3646" w:rsidRPr="008D2842">
        <w:rPr>
          <w:rFonts w:ascii="Tahoma" w:hAnsi="Tahoma" w:cs="Tahoma"/>
          <w:sz w:val="28"/>
          <w:szCs w:val="28"/>
        </w:rPr>
        <w:t xml:space="preserve"> у 2012.</w:t>
      </w:r>
      <w:proofErr w:type="gramEnd"/>
    </w:p>
    <w:p w:rsidR="00777348" w:rsidRPr="008D2842" w:rsidRDefault="00777348" w:rsidP="00777348">
      <w:pPr>
        <w:rPr>
          <w:rFonts w:ascii="Tahoma" w:hAnsi="Tahoma" w:cs="Tahoma"/>
        </w:rPr>
      </w:pPr>
    </w:p>
    <w:p w:rsidR="00D47633" w:rsidRPr="008D2842" w:rsidRDefault="00D47633" w:rsidP="00D47633">
      <w:pPr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CS"/>
        </w:rPr>
        <w:t>У 2012. години, у поређењу с</w:t>
      </w:r>
      <w:r w:rsidR="00D276A3" w:rsidRPr="008D2842">
        <w:rPr>
          <w:rFonts w:ascii="Tahoma" w:hAnsi="Tahoma" w:cs="Tahoma"/>
          <w:lang w:val="sr-Cyrl-CS"/>
        </w:rPr>
        <w:t>а</w:t>
      </w:r>
      <w:r w:rsidRPr="008D2842">
        <w:rPr>
          <w:rFonts w:ascii="Tahoma" w:hAnsi="Tahoma" w:cs="Tahoma"/>
          <w:lang w:val="sr-Cyrl-CS"/>
        </w:rPr>
        <w:t xml:space="preserve"> 2011, број оптужених пунољетних лица већи је за 6,6%, док је број осуђених лица већи за 5,5%</w:t>
      </w:r>
      <w:r w:rsidR="004A2B52" w:rsidRPr="008D2842">
        <w:rPr>
          <w:rFonts w:ascii="Tahoma" w:hAnsi="Tahoma" w:cs="Tahoma"/>
          <w:lang w:val="sr-Cyrl-CS"/>
        </w:rPr>
        <w:t>.</w:t>
      </w:r>
    </w:p>
    <w:p w:rsidR="00777348" w:rsidRPr="008D2842" w:rsidRDefault="00777348" w:rsidP="00D47633">
      <w:pPr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</w:rPr>
        <w:t xml:space="preserve">У </w:t>
      </w:r>
      <w:proofErr w:type="spellStart"/>
      <w:r w:rsidRPr="008D2842">
        <w:rPr>
          <w:rFonts w:ascii="Tahoma" w:hAnsi="Tahoma" w:cs="Tahoma"/>
        </w:rPr>
        <w:t>истом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периоду</w:t>
      </w:r>
      <w:proofErr w:type="spellEnd"/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ријешених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извјештаја</w:t>
      </w:r>
      <w:proofErr w:type="spellEnd"/>
      <w:r w:rsidRPr="008D2842">
        <w:rPr>
          <w:rFonts w:ascii="Tahoma" w:hAnsi="Tahoma" w:cs="Tahoma"/>
        </w:rPr>
        <w:t xml:space="preserve"> о </w:t>
      </w:r>
      <w:proofErr w:type="spellStart"/>
      <w:r w:rsidRPr="008D2842">
        <w:rPr>
          <w:rFonts w:ascii="Tahoma" w:hAnsi="Tahoma" w:cs="Tahoma"/>
        </w:rPr>
        <w:t>почињеном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кривичном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дјелу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лица</w:t>
      </w:r>
      <w:proofErr w:type="spellEnd"/>
      <w:r w:rsidRPr="008D2842">
        <w:rPr>
          <w:rFonts w:ascii="Tahoma" w:hAnsi="Tahoma" w:cs="Tahoma"/>
        </w:rPr>
        <w:t>,</w:t>
      </w:r>
      <w:r w:rsidR="00D276A3" w:rsidRPr="008D2842">
        <w:rPr>
          <w:rFonts w:ascii="Tahoma" w:hAnsi="Tahoma" w:cs="Tahoma"/>
          <w:lang w:val="sr-Cyrl-CS"/>
        </w:rPr>
        <w:t xml:space="preserve"> у односу на прошлу годину,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повећан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63,4</w:t>
      </w:r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оптужених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мањи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</w:t>
      </w:r>
      <w:proofErr w:type="spellEnd"/>
      <w:r w:rsidRPr="008D2842">
        <w:rPr>
          <w:rFonts w:ascii="Tahoma" w:hAnsi="Tahoma" w:cs="Tahoma"/>
        </w:rPr>
        <w:t xml:space="preserve"> 35,3</w:t>
      </w:r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, а </w:t>
      </w:r>
      <w:proofErr w:type="spellStart"/>
      <w:r w:rsidRPr="008D2842">
        <w:rPr>
          <w:rFonts w:ascii="Tahoma" w:hAnsi="Tahoma" w:cs="Tahoma"/>
        </w:rPr>
        <w:t>број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изречених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кривичних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санкција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остао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исти</w:t>
      </w:r>
      <w:proofErr w:type="spellEnd"/>
      <w:r w:rsidRPr="008D2842">
        <w:rPr>
          <w:rFonts w:ascii="Tahoma" w:hAnsi="Tahoma" w:cs="Tahoma"/>
        </w:rPr>
        <w:t>.</w:t>
      </w:r>
    </w:p>
    <w:p w:rsidR="00D47633" w:rsidRPr="008D2842" w:rsidRDefault="00D47633" w:rsidP="00D47633">
      <w:pPr>
        <w:jc w:val="both"/>
        <w:rPr>
          <w:rFonts w:ascii="Tahoma" w:hAnsi="Tahoma" w:cs="Tahoma"/>
          <w:lang w:val="sr-Cyrl-CS"/>
        </w:rPr>
      </w:pPr>
    </w:p>
    <w:p w:rsidR="00777348" w:rsidRPr="008D2842" w:rsidRDefault="00777348" w:rsidP="00D47633">
      <w:pPr>
        <w:jc w:val="both"/>
        <w:rPr>
          <w:rFonts w:ascii="Tahoma" w:hAnsi="Tahoma" w:cs="Tahoma"/>
        </w:rPr>
      </w:pPr>
      <w:proofErr w:type="spellStart"/>
      <w:r w:rsidRPr="008D2842">
        <w:rPr>
          <w:rFonts w:ascii="Tahoma" w:hAnsi="Tahoma" w:cs="Tahoma"/>
        </w:rPr>
        <w:t>Код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пунољетних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учинилаца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кривичних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дјела</w:t>
      </w:r>
      <w:proofErr w:type="spellEnd"/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као</w:t>
      </w:r>
      <w:proofErr w:type="spellEnd"/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прошле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године</w:t>
      </w:r>
      <w:proofErr w:type="spellEnd"/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најзаступљеније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кривичн</w:t>
      </w:r>
      <w:r w:rsidR="00E22440" w:rsidRPr="008D2842">
        <w:rPr>
          <w:rFonts w:ascii="Tahoma" w:hAnsi="Tahoma" w:cs="Tahoma"/>
        </w:rPr>
        <w:t>е</w:t>
      </w:r>
      <w:proofErr w:type="spellEnd"/>
      <w:r w:rsidR="00E22440" w:rsidRPr="008D2842">
        <w:rPr>
          <w:rFonts w:ascii="Tahoma" w:hAnsi="Tahoma" w:cs="Tahoma"/>
        </w:rPr>
        <w:t xml:space="preserve"> </w:t>
      </w:r>
      <w:proofErr w:type="spellStart"/>
      <w:r w:rsidR="00E22440" w:rsidRPr="008D2842">
        <w:rPr>
          <w:rFonts w:ascii="Tahoma" w:hAnsi="Tahoma" w:cs="Tahoma"/>
        </w:rPr>
        <w:t>санкције</w:t>
      </w:r>
      <w:proofErr w:type="spellEnd"/>
      <w:r w:rsidR="00E22440" w:rsidRPr="008D2842">
        <w:rPr>
          <w:rFonts w:ascii="Tahoma" w:hAnsi="Tahoma" w:cs="Tahoma"/>
        </w:rPr>
        <w:t xml:space="preserve"> </w:t>
      </w:r>
      <w:proofErr w:type="spellStart"/>
      <w:r w:rsidR="00E22440" w:rsidRPr="008D2842">
        <w:rPr>
          <w:rFonts w:ascii="Tahoma" w:hAnsi="Tahoma" w:cs="Tahoma"/>
        </w:rPr>
        <w:t>биле</w:t>
      </w:r>
      <w:proofErr w:type="spellEnd"/>
      <w:r w:rsidR="00E22440" w:rsidRPr="008D2842">
        <w:rPr>
          <w:rFonts w:ascii="Tahoma" w:hAnsi="Tahoma" w:cs="Tahoma"/>
        </w:rPr>
        <w:t xml:space="preserve"> </w:t>
      </w:r>
      <w:proofErr w:type="spellStart"/>
      <w:r w:rsidR="00E22440" w:rsidRPr="008D2842">
        <w:rPr>
          <w:rFonts w:ascii="Tahoma" w:hAnsi="Tahoma" w:cs="Tahoma"/>
        </w:rPr>
        <w:t>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условна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затворска</w:t>
      </w:r>
      <w:proofErr w:type="spellEnd"/>
      <w:r w:rsidR="004A2B52" w:rsidRPr="008D2842">
        <w:rPr>
          <w:rFonts w:ascii="Tahoma" w:hAnsi="Tahoma" w:cs="Tahoma"/>
          <w:lang w:val="sr-Cyrl-CS"/>
        </w:rPr>
        <w:t xml:space="preserve"> казна</w:t>
      </w:r>
      <w:r w:rsidRPr="008D2842">
        <w:rPr>
          <w:rFonts w:ascii="Tahoma" w:hAnsi="Tahoma" w:cs="Tahoma"/>
        </w:rPr>
        <w:t xml:space="preserve"> 53</w:t>
      </w:r>
      <w:proofErr w:type="gramStart"/>
      <w:r w:rsidRPr="008D2842">
        <w:rPr>
          <w:rFonts w:ascii="Tahoma" w:hAnsi="Tahoma" w:cs="Tahoma"/>
        </w:rPr>
        <w:t>,7</w:t>
      </w:r>
      <w:proofErr w:type="gramEnd"/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, </w:t>
      </w:r>
      <w:proofErr w:type="spellStart"/>
      <w:r w:rsidRPr="008D2842">
        <w:rPr>
          <w:rFonts w:ascii="Tahoma" w:hAnsi="Tahoma" w:cs="Tahoma"/>
        </w:rPr>
        <w:t>новчана</w:t>
      </w:r>
      <w:proofErr w:type="spellEnd"/>
      <w:r w:rsidR="004A2B52" w:rsidRPr="008D2842">
        <w:rPr>
          <w:rFonts w:ascii="Tahoma" w:hAnsi="Tahoma" w:cs="Tahoma"/>
          <w:lang w:val="sr-Cyrl-CS"/>
        </w:rPr>
        <w:t xml:space="preserve"> казна</w:t>
      </w:r>
      <w:r w:rsidRPr="008D2842">
        <w:rPr>
          <w:rFonts w:ascii="Tahoma" w:hAnsi="Tahoma" w:cs="Tahoma"/>
        </w:rPr>
        <w:t xml:space="preserve"> 21,9</w:t>
      </w:r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 и </w:t>
      </w:r>
      <w:proofErr w:type="spellStart"/>
      <w:r w:rsidRPr="008D2842">
        <w:rPr>
          <w:rFonts w:ascii="Tahoma" w:hAnsi="Tahoma" w:cs="Tahoma"/>
        </w:rPr>
        <w:t>безусловна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затворска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казна</w:t>
      </w:r>
      <w:proofErr w:type="spellEnd"/>
      <w:r w:rsidRPr="008D2842">
        <w:rPr>
          <w:rFonts w:ascii="Tahoma" w:hAnsi="Tahoma" w:cs="Tahoma"/>
        </w:rPr>
        <w:t xml:space="preserve"> 19,5</w:t>
      </w:r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. </w:t>
      </w:r>
    </w:p>
    <w:p w:rsidR="00777348" w:rsidRPr="008D2842" w:rsidRDefault="00777348" w:rsidP="00D47633">
      <w:pPr>
        <w:jc w:val="both"/>
        <w:rPr>
          <w:rFonts w:ascii="Tahoma" w:hAnsi="Tahoma" w:cs="Tahoma"/>
        </w:rPr>
      </w:pPr>
      <w:proofErr w:type="spellStart"/>
      <w:r w:rsidRPr="008D2842">
        <w:rPr>
          <w:rFonts w:ascii="Tahoma" w:hAnsi="Tahoma" w:cs="Tahoma"/>
        </w:rPr>
        <w:t>Код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малољетника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најчешће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изрицане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кривичне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санкције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биле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васпитне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мјере</w:t>
      </w:r>
      <w:proofErr w:type="spellEnd"/>
      <w:r w:rsidRPr="008D2842">
        <w:rPr>
          <w:rFonts w:ascii="Tahoma" w:hAnsi="Tahoma" w:cs="Tahoma"/>
        </w:rPr>
        <w:t xml:space="preserve"> (98</w:t>
      </w:r>
      <w:proofErr w:type="gramStart"/>
      <w:r w:rsidRPr="008D2842">
        <w:rPr>
          <w:rFonts w:ascii="Tahoma" w:hAnsi="Tahoma" w:cs="Tahoma"/>
        </w:rPr>
        <w:t>,0</w:t>
      </w:r>
      <w:proofErr w:type="gramEnd"/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), </w:t>
      </w:r>
      <w:proofErr w:type="spellStart"/>
      <w:r w:rsidRPr="008D2842">
        <w:rPr>
          <w:rFonts w:ascii="Tahoma" w:hAnsi="Tahoma" w:cs="Tahoma"/>
        </w:rPr>
        <w:t>од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чега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су</w:t>
      </w:r>
      <w:proofErr w:type="spellEnd"/>
      <w:r w:rsidRPr="008D2842">
        <w:rPr>
          <w:rFonts w:ascii="Tahoma" w:hAnsi="Tahoma" w:cs="Tahoma"/>
        </w:rPr>
        <w:t xml:space="preserve"> у 58,0</w:t>
      </w:r>
      <w:r w:rsidR="00E22440"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случајева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изречене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мјере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појачаног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надзора</w:t>
      </w:r>
      <w:proofErr w:type="spellEnd"/>
      <w:r w:rsidRPr="008D2842">
        <w:rPr>
          <w:rFonts w:ascii="Tahoma" w:hAnsi="Tahoma" w:cs="Tahoma"/>
        </w:rPr>
        <w:t>.</w:t>
      </w:r>
    </w:p>
    <w:p w:rsidR="00777348" w:rsidRPr="004E7F0D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64767" w:rsidRPr="008D2842" w:rsidRDefault="00764767" w:rsidP="00764767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8D2842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8D2842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5118F2" w:rsidRPr="008D2842">
        <w:rPr>
          <w:rFonts w:ascii="Tahoma" w:hAnsi="Tahoma" w:cs="Tahoma"/>
          <w:b/>
          <w:sz w:val="28"/>
          <w:szCs w:val="28"/>
          <w:lang w:val="ru-RU"/>
        </w:rPr>
        <w:t xml:space="preserve"> у мају</w:t>
      </w:r>
      <w:r w:rsidR="005118F2" w:rsidRPr="008D2842">
        <w:rPr>
          <w:rFonts w:ascii="Tahoma" w:hAnsi="Tahoma" w:cs="Tahoma"/>
          <w:b/>
          <w:sz w:val="28"/>
          <w:szCs w:val="28"/>
          <w:lang w:val="sr-Cyrl-CS"/>
        </w:rPr>
        <w:t xml:space="preserve"> 796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8D2842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764767" w:rsidRPr="008D2842" w:rsidRDefault="00764767" w:rsidP="00764767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8D2842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8D2842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8D2842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="005118F2" w:rsidRPr="008D2842">
        <w:rPr>
          <w:rFonts w:ascii="Tahoma" w:hAnsi="Tahoma" w:cs="Tahoma"/>
          <w:sz w:val="26"/>
          <w:szCs w:val="26"/>
          <w:lang w:val="ru-RU"/>
        </w:rPr>
        <w:t xml:space="preserve"> 1 286</w:t>
      </w:r>
      <w:r w:rsidRPr="008D2842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8D2842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8D2842">
        <w:rPr>
          <w:rFonts w:ascii="Tahoma" w:hAnsi="Tahoma" w:cs="Tahoma"/>
          <w:i/>
          <w:sz w:val="26"/>
          <w:szCs w:val="26"/>
          <w:lang w:val="sr-Cyrl-BA"/>
        </w:rPr>
        <w:t>Дјелатности пружања смјештаја, припреме и послуживања хране; хотелијерство и угоститељство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="005118F2" w:rsidRPr="008D2842">
        <w:rPr>
          <w:rFonts w:ascii="Tahoma" w:hAnsi="Tahoma" w:cs="Tahoma"/>
          <w:sz w:val="26"/>
          <w:szCs w:val="26"/>
          <w:lang w:val="sr-Cyrl-CS"/>
        </w:rPr>
        <w:t>520</w:t>
      </w:r>
      <w:r w:rsidRPr="008D2842">
        <w:rPr>
          <w:rFonts w:ascii="Tahoma" w:hAnsi="Tahoma" w:cs="Tahoma"/>
          <w:sz w:val="26"/>
          <w:szCs w:val="26"/>
          <w:lang w:val="sr-Cyrl-CS"/>
        </w:rPr>
        <w:t xml:space="preserve"> КМ</w:t>
      </w:r>
    </w:p>
    <w:p w:rsidR="00764767" w:rsidRPr="008D2842" w:rsidRDefault="00764767" w:rsidP="00764767">
      <w:pPr>
        <w:tabs>
          <w:tab w:val="left" w:pos="1134"/>
        </w:tabs>
        <w:jc w:val="both"/>
        <w:rPr>
          <w:rFonts w:ascii="Tahoma" w:hAnsi="Tahoma" w:cs="Tahoma"/>
          <w:b/>
          <w:lang w:val="sr-Cyrl-CS"/>
        </w:rPr>
      </w:pPr>
    </w:p>
    <w:p w:rsidR="00295772" w:rsidRPr="008D2842" w:rsidRDefault="00764767" w:rsidP="00764767">
      <w:pPr>
        <w:tabs>
          <w:tab w:val="left" w:pos="1134"/>
        </w:tabs>
        <w:jc w:val="both"/>
        <w:rPr>
          <w:rFonts w:ascii="Tahoma" w:hAnsi="Tahoma" w:cs="Tahoma"/>
        </w:rPr>
      </w:pPr>
      <w:r w:rsidRPr="008D2842">
        <w:rPr>
          <w:rFonts w:ascii="Tahoma" w:hAnsi="Tahoma" w:cs="Tahoma"/>
          <w:lang w:val="sr-Cyrl-BA"/>
        </w:rPr>
        <w:t>П</w:t>
      </w:r>
      <w:r w:rsidRPr="008D2842">
        <w:rPr>
          <w:rFonts w:ascii="Tahoma" w:hAnsi="Tahoma" w:cs="Tahoma"/>
          <w:lang w:val="sr-Cyrl-CS"/>
        </w:rPr>
        <w:t>росјечна</w:t>
      </w:r>
      <w:r w:rsidRPr="008D2842">
        <w:rPr>
          <w:rFonts w:ascii="Tahoma" w:hAnsi="Tahoma" w:cs="Tahoma"/>
          <w:lang w:val="ru-RU"/>
        </w:rPr>
        <w:t xml:space="preserve"> </w:t>
      </w:r>
      <w:r w:rsidRPr="008D2842">
        <w:rPr>
          <w:rFonts w:ascii="Tahoma" w:hAnsi="Tahoma" w:cs="Tahoma"/>
          <w:lang w:val="sr-Cyrl-CS"/>
        </w:rPr>
        <w:t>мјесечна нето плата</w:t>
      </w:r>
      <w:r w:rsidRPr="008D2842">
        <w:rPr>
          <w:rFonts w:ascii="Tahoma" w:hAnsi="Tahoma" w:cs="Tahoma"/>
          <w:b/>
          <w:lang w:val="ru-RU"/>
        </w:rPr>
        <w:t xml:space="preserve"> </w:t>
      </w:r>
      <w:r w:rsidRPr="008D2842">
        <w:rPr>
          <w:rFonts w:ascii="Tahoma" w:hAnsi="Tahoma" w:cs="Tahoma"/>
          <w:lang w:val="sr-Cyrl-CS"/>
        </w:rPr>
        <w:t>запослених у Републици Српској,</w:t>
      </w:r>
      <w:r w:rsidRPr="008D2842">
        <w:rPr>
          <w:rFonts w:ascii="Tahoma" w:hAnsi="Tahoma" w:cs="Tahoma"/>
          <w:b/>
          <w:lang w:val="ru-RU"/>
        </w:rPr>
        <w:t xml:space="preserve"> </w:t>
      </w:r>
      <w:r w:rsidR="005118F2" w:rsidRPr="008D2842">
        <w:rPr>
          <w:rFonts w:ascii="Tahoma" w:hAnsi="Tahoma" w:cs="Tahoma"/>
          <w:lang w:val="sr-Cyrl-CS"/>
        </w:rPr>
        <w:t>исплаћена у мају</w:t>
      </w:r>
      <w:r w:rsidRPr="008D2842">
        <w:rPr>
          <w:rFonts w:ascii="Tahoma" w:hAnsi="Tahoma" w:cs="Tahoma"/>
          <w:lang w:val="sr-Cyrl-CS"/>
        </w:rPr>
        <w:t xml:space="preserve"> 2013.</w:t>
      </w:r>
      <w:r w:rsidRPr="008D2842">
        <w:rPr>
          <w:rFonts w:ascii="Tahoma" w:hAnsi="Tahoma" w:cs="Tahoma"/>
          <w:lang w:val="ru-RU"/>
        </w:rPr>
        <w:t xml:space="preserve"> </w:t>
      </w:r>
      <w:r w:rsidRPr="008D2842">
        <w:rPr>
          <w:rFonts w:ascii="Tahoma" w:hAnsi="Tahoma" w:cs="Tahoma"/>
          <w:lang w:val="sr-Cyrl-CS"/>
        </w:rPr>
        <w:t>године износи</w:t>
      </w:r>
      <w:r w:rsidRPr="008D2842">
        <w:rPr>
          <w:rFonts w:ascii="Tahoma" w:hAnsi="Tahoma" w:cs="Tahoma"/>
          <w:b/>
          <w:lang w:val="sr-Cyrl-CS"/>
        </w:rPr>
        <w:t xml:space="preserve"> </w:t>
      </w:r>
      <w:r w:rsidR="005118F2" w:rsidRPr="008D2842">
        <w:rPr>
          <w:rFonts w:ascii="Tahoma" w:hAnsi="Tahoma" w:cs="Tahoma"/>
          <w:lang w:val="sr-Cyrl-CS"/>
        </w:rPr>
        <w:t>796</w:t>
      </w:r>
      <w:r w:rsidRPr="008D2842">
        <w:rPr>
          <w:rFonts w:ascii="Tahoma" w:hAnsi="Tahoma" w:cs="Tahoma"/>
          <w:lang w:val="sr-Cyrl-CS"/>
        </w:rPr>
        <w:t xml:space="preserve"> КМ</w:t>
      </w:r>
      <w:r w:rsidRPr="008D2842">
        <w:rPr>
          <w:rFonts w:ascii="Tahoma" w:hAnsi="Tahoma" w:cs="Tahoma"/>
          <w:lang w:val="hr-HR"/>
        </w:rPr>
        <w:t>,</w:t>
      </w:r>
      <w:r w:rsidRPr="008D2842">
        <w:rPr>
          <w:rFonts w:ascii="Tahoma" w:hAnsi="Tahoma" w:cs="Tahoma"/>
          <w:lang w:val="ru-RU"/>
        </w:rPr>
        <w:t xml:space="preserve"> а п</w:t>
      </w:r>
      <w:r w:rsidRPr="008D2842">
        <w:rPr>
          <w:rFonts w:ascii="Tahoma" w:hAnsi="Tahoma" w:cs="Tahoma"/>
          <w:lang w:val="sr-Cyrl-CS"/>
        </w:rPr>
        <w:t>росјечна</w:t>
      </w:r>
      <w:r w:rsidRPr="008D2842">
        <w:rPr>
          <w:rFonts w:ascii="Tahoma" w:hAnsi="Tahoma" w:cs="Tahoma"/>
          <w:lang w:val="ru-RU"/>
        </w:rPr>
        <w:t xml:space="preserve"> </w:t>
      </w:r>
      <w:r w:rsidRPr="008D2842">
        <w:rPr>
          <w:rFonts w:ascii="Tahoma" w:hAnsi="Tahoma" w:cs="Tahoma"/>
          <w:lang w:val="sr-Cyrl-CS"/>
        </w:rPr>
        <w:t>мјесечна бруто плата</w:t>
      </w:r>
      <w:r w:rsidRPr="008D2842">
        <w:rPr>
          <w:rFonts w:ascii="Tahoma" w:hAnsi="Tahoma" w:cs="Tahoma"/>
          <w:lang w:val="ru-RU"/>
        </w:rPr>
        <w:t xml:space="preserve"> </w:t>
      </w:r>
      <w:r w:rsidR="005118F2" w:rsidRPr="008D2842">
        <w:rPr>
          <w:rFonts w:ascii="Tahoma" w:hAnsi="Tahoma" w:cs="Tahoma"/>
          <w:lang w:val="sr-Cyrl-CS"/>
        </w:rPr>
        <w:t>1 314</w:t>
      </w:r>
      <w:r w:rsidRPr="008D2842">
        <w:rPr>
          <w:rFonts w:ascii="Tahoma" w:hAnsi="Tahoma" w:cs="Tahoma"/>
          <w:lang w:val="sr-Cyrl-CS"/>
        </w:rPr>
        <w:t xml:space="preserve"> КМ.</w:t>
      </w:r>
    </w:p>
    <w:p w:rsidR="00764767" w:rsidRPr="008D2842" w:rsidRDefault="00764767" w:rsidP="00764767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CS"/>
        </w:rPr>
        <w:t xml:space="preserve"> </w:t>
      </w:r>
    </w:p>
    <w:p w:rsidR="00764767" w:rsidRPr="008D2842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8D2842">
        <w:rPr>
          <w:rFonts w:ascii="Tahoma" w:hAnsi="Tahoma" w:cs="Tahoma"/>
          <w:lang w:val="sr-Cyrl-CS"/>
        </w:rPr>
        <w:t xml:space="preserve">Просјечна нето плата исплаћена у </w:t>
      </w:r>
      <w:r w:rsidR="005118F2" w:rsidRPr="008D2842">
        <w:rPr>
          <w:rFonts w:ascii="Tahoma" w:hAnsi="Tahoma" w:cs="Tahoma"/>
          <w:lang w:val="sr-Cyrl-CS"/>
        </w:rPr>
        <w:t xml:space="preserve">мају </w:t>
      </w:r>
      <w:r w:rsidRPr="008D2842">
        <w:rPr>
          <w:rFonts w:ascii="Tahoma" w:hAnsi="Tahoma" w:cs="Tahoma"/>
          <w:lang w:val="sr-Cyrl-CS"/>
        </w:rPr>
        <w:t>2013. годин</w:t>
      </w:r>
      <w:r w:rsidR="005118F2" w:rsidRPr="008D2842">
        <w:rPr>
          <w:rFonts w:ascii="Tahoma" w:hAnsi="Tahoma" w:cs="Tahoma"/>
          <w:lang w:val="sr-Cyrl-CS"/>
        </w:rPr>
        <w:t>е у односу на април</w:t>
      </w:r>
      <w:r w:rsidR="00B32799" w:rsidRPr="008D2842">
        <w:rPr>
          <w:rFonts w:ascii="Tahoma" w:hAnsi="Tahoma" w:cs="Tahoma"/>
          <w:lang w:val="sr-Cyrl-CS"/>
        </w:rPr>
        <w:t xml:space="preserve"> 2013. године</w:t>
      </w:r>
      <w:r w:rsidRPr="008D2842">
        <w:rPr>
          <w:rFonts w:ascii="Tahoma" w:hAnsi="Tahoma" w:cs="Tahoma"/>
          <w:lang w:val="sr-Cyrl-CS"/>
        </w:rPr>
        <w:t xml:space="preserve"> </w:t>
      </w:r>
      <w:r w:rsidR="005118F2" w:rsidRPr="008D2842">
        <w:rPr>
          <w:rFonts w:ascii="Tahoma" w:hAnsi="Tahoma" w:cs="Tahoma"/>
          <w:lang w:val="sr-Cyrl-CS"/>
        </w:rPr>
        <w:t xml:space="preserve">мања је </w:t>
      </w:r>
      <w:r w:rsidRPr="008D2842">
        <w:rPr>
          <w:rFonts w:ascii="Tahoma" w:hAnsi="Tahoma" w:cs="Tahoma"/>
          <w:lang w:val="sr-Cyrl-CS"/>
        </w:rPr>
        <w:t>номинално за 0,2%</w:t>
      </w:r>
      <w:r w:rsidR="00CB6C69" w:rsidRPr="008D2842">
        <w:rPr>
          <w:rFonts w:ascii="Tahoma" w:hAnsi="Tahoma" w:cs="Tahoma"/>
          <w:lang w:val="sr-Latn-CS"/>
        </w:rPr>
        <w:t>,</w:t>
      </w:r>
      <w:r w:rsidR="005118F2" w:rsidRPr="008D2842">
        <w:rPr>
          <w:rFonts w:ascii="Tahoma" w:hAnsi="Tahoma" w:cs="Tahoma"/>
          <w:lang w:val="sr-Cyrl-CS"/>
        </w:rPr>
        <w:t xml:space="preserve"> а реално за 0,1</w:t>
      </w:r>
      <w:r w:rsidRPr="008D2842">
        <w:rPr>
          <w:rFonts w:ascii="Tahoma" w:hAnsi="Tahoma" w:cs="Tahoma"/>
          <w:lang w:val="sr-Cyrl-CS"/>
        </w:rPr>
        <w:t xml:space="preserve">%. У односу на просјечну нето плату у 2012. години, просјечна нето плата у </w:t>
      </w:r>
      <w:r w:rsidR="005118F2" w:rsidRPr="008D2842">
        <w:rPr>
          <w:rFonts w:ascii="Tahoma" w:hAnsi="Tahoma" w:cs="Tahoma"/>
          <w:lang w:val="sr-Cyrl-CS"/>
        </w:rPr>
        <w:t xml:space="preserve">мају </w:t>
      </w:r>
      <w:r w:rsidRPr="008D2842">
        <w:rPr>
          <w:rFonts w:ascii="Tahoma" w:hAnsi="Tahoma" w:cs="Tahoma"/>
          <w:lang w:val="sr-Cyrl-CS"/>
        </w:rPr>
        <w:t>2013.</w:t>
      </w:r>
      <w:r w:rsidR="005118F2" w:rsidRPr="008D2842">
        <w:rPr>
          <w:rFonts w:ascii="Tahoma" w:hAnsi="Tahoma" w:cs="Tahoma"/>
          <w:lang w:val="sr-Cyrl-CS"/>
        </w:rPr>
        <w:t xml:space="preserve"> године мања је номинално за 2,6</w:t>
      </w:r>
      <w:r w:rsidRPr="008D2842">
        <w:rPr>
          <w:rFonts w:ascii="Tahoma" w:hAnsi="Tahoma" w:cs="Tahoma"/>
          <w:lang w:val="sr-Cyrl-CS"/>
        </w:rPr>
        <w:t>%, а ре</w:t>
      </w:r>
      <w:r w:rsidR="005118F2" w:rsidRPr="008D2842">
        <w:rPr>
          <w:rFonts w:ascii="Tahoma" w:hAnsi="Tahoma" w:cs="Tahoma"/>
          <w:lang w:val="sr-Cyrl-CS"/>
        </w:rPr>
        <w:t>ално за 2,8</w:t>
      </w:r>
      <w:r w:rsidRPr="008D2842">
        <w:rPr>
          <w:rFonts w:ascii="Tahoma" w:hAnsi="Tahoma" w:cs="Tahoma"/>
          <w:lang w:val="sr-Cyrl-CS"/>
        </w:rPr>
        <w:t xml:space="preserve">%. У </w:t>
      </w:r>
      <w:r w:rsidR="005118F2" w:rsidRPr="008D2842">
        <w:rPr>
          <w:rFonts w:ascii="Tahoma" w:hAnsi="Tahoma" w:cs="Tahoma"/>
          <w:lang w:val="sr-Cyrl-CS"/>
        </w:rPr>
        <w:t xml:space="preserve">мају </w:t>
      </w:r>
      <w:r w:rsidRPr="008D2842">
        <w:rPr>
          <w:rFonts w:ascii="Tahoma" w:hAnsi="Tahoma" w:cs="Tahoma"/>
          <w:lang w:val="sr-Cyrl-CS"/>
        </w:rPr>
        <w:t xml:space="preserve">2013. </w:t>
      </w:r>
      <w:r w:rsidR="00B32799" w:rsidRPr="008D2842">
        <w:rPr>
          <w:rFonts w:ascii="Tahoma" w:hAnsi="Tahoma" w:cs="Tahoma"/>
          <w:lang w:val="sr-Latn-CS"/>
        </w:rPr>
        <w:t>г</w:t>
      </w:r>
      <w:r w:rsidRPr="008D2842">
        <w:rPr>
          <w:rFonts w:ascii="Tahoma" w:hAnsi="Tahoma" w:cs="Tahoma"/>
          <w:lang w:val="sr-Cyrl-CS"/>
        </w:rPr>
        <w:t>одине</w:t>
      </w:r>
      <w:r w:rsidR="00B32799" w:rsidRPr="008D2842">
        <w:rPr>
          <w:rFonts w:ascii="Tahoma" w:hAnsi="Tahoma" w:cs="Tahoma"/>
          <w:lang w:val="sr-Latn-CS"/>
        </w:rPr>
        <w:t>,</w:t>
      </w:r>
      <w:r w:rsidRPr="008D2842">
        <w:rPr>
          <w:rFonts w:ascii="Tahoma" w:hAnsi="Tahoma" w:cs="Tahoma"/>
          <w:lang w:val="sr-Cyrl-CS"/>
        </w:rPr>
        <w:t xml:space="preserve"> у односу на исти мјесец прошле године</w:t>
      </w:r>
      <w:r w:rsidR="00B32799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просјечна нет</w:t>
      </w:r>
      <w:r w:rsidR="005118F2" w:rsidRPr="008D2842">
        <w:rPr>
          <w:rFonts w:ascii="Tahoma" w:hAnsi="Tahoma" w:cs="Tahoma"/>
          <w:lang w:val="sr-Cyrl-CS"/>
        </w:rPr>
        <w:t>о плата номинално је мања за 3,6</w:t>
      </w:r>
      <w:r w:rsidRPr="008D2842">
        <w:rPr>
          <w:rFonts w:ascii="Tahoma" w:hAnsi="Tahoma" w:cs="Tahoma"/>
          <w:lang w:val="sr-Cyrl-CS"/>
        </w:rPr>
        <w:t>%</w:t>
      </w:r>
      <w:r w:rsidR="00B32799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</w:rPr>
        <w:t>a</w:t>
      </w:r>
      <w:r w:rsidRPr="008D2842">
        <w:rPr>
          <w:rFonts w:ascii="Tahoma" w:hAnsi="Tahoma" w:cs="Tahoma"/>
          <w:lang w:val="sr-Cyrl-CS"/>
        </w:rPr>
        <w:t xml:space="preserve"> </w:t>
      </w:r>
      <w:r w:rsidR="005118F2" w:rsidRPr="008D2842">
        <w:rPr>
          <w:rFonts w:ascii="Tahoma" w:hAnsi="Tahoma" w:cs="Tahoma"/>
          <w:lang w:val="sr-Cyrl-BA"/>
        </w:rPr>
        <w:t>реално за 3,9</w:t>
      </w:r>
      <w:r w:rsidRPr="008D2842">
        <w:rPr>
          <w:rFonts w:ascii="Tahoma" w:hAnsi="Tahoma" w:cs="Tahoma"/>
          <w:lang w:val="sr-Cyrl-BA"/>
        </w:rPr>
        <w:t>%.</w:t>
      </w:r>
    </w:p>
    <w:p w:rsidR="00295772" w:rsidRPr="008D2842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764767" w:rsidRPr="008D2842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8D2842">
        <w:rPr>
          <w:rFonts w:ascii="Tahoma" w:hAnsi="Tahoma" w:cs="Tahoma"/>
          <w:lang w:val="sr-Cyrl-CS"/>
        </w:rPr>
        <w:t>Нај</w:t>
      </w:r>
      <w:r w:rsidR="005118F2" w:rsidRPr="008D2842">
        <w:rPr>
          <w:rFonts w:ascii="Tahoma" w:hAnsi="Tahoma" w:cs="Tahoma"/>
          <w:lang w:val="sr-Cyrl-CS"/>
        </w:rPr>
        <w:t>виша просјечна нето плата у мај</w:t>
      </w:r>
      <w:r w:rsidRPr="008D2842">
        <w:rPr>
          <w:rFonts w:ascii="Tahoma" w:hAnsi="Tahoma" w:cs="Tahoma"/>
          <w:lang w:val="sr-Cyrl-CS"/>
        </w:rPr>
        <w:t xml:space="preserve">у 2013. године, посматрано по подручјима дјелатности, исплаћена је у подручју </w:t>
      </w:r>
      <w:r w:rsidRPr="008D2842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="005118F2" w:rsidRPr="008D2842">
        <w:rPr>
          <w:rFonts w:ascii="Tahoma" w:hAnsi="Tahoma" w:cs="Tahoma"/>
          <w:lang w:val="sr-Cyrl-CS"/>
        </w:rPr>
        <w:t>и износи 1 286</w:t>
      </w:r>
      <w:r w:rsidRPr="008D2842">
        <w:rPr>
          <w:rFonts w:ascii="Tahoma" w:hAnsi="Tahoma" w:cs="Tahoma"/>
          <w:lang w:val="sr-Cyrl-CS"/>
        </w:rPr>
        <w:t xml:space="preserve"> КМ, а најнижа у подручју</w:t>
      </w:r>
      <w:r w:rsidRPr="008D2842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8D2842">
        <w:rPr>
          <w:rFonts w:ascii="Tahoma" w:hAnsi="Tahoma" w:cs="Tahoma"/>
          <w:i/>
          <w:lang w:val="sr-Cyrl-BA"/>
        </w:rPr>
        <w:t xml:space="preserve">Дјелатности пружања смјештаја, припреме и послуживања хране; хотелијерство и угоститељство </w:t>
      </w:r>
      <w:r w:rsidR="005118F2" w:rsidRPr="008D2842">
        <w:rPr>
          <w:rFonts w:ascii="Tahoma" w:hAnsi="Tahoma" w:cs="Tahoma"/>
          <w:lang w:val="sr-Cyrl-CS"/>
        </w:rPr>
        <w:t>520</w:t>
      </w:r>
      <w:r w:rsidRPr="008D2842">
        <w:rPr>
          <w:rFonts w:ascii="Tahoma" w:hAnsi="Tahoma" w:cs="Tahoma"/>
          <w:lang w:val="sr-Cyrl-CS"/>
        </w:rPr>
        <w:t xml:space="preserve"> КМ.</w:t>
      </w:r>
    </w:p>
    <w:p w:rsidR="00295772" w:rsidRPr="008D2842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CB6C69" w:rsidRPr="008D2842" w:rsidRDefault="00CB6C69" w:rsidP="00764767">
      <w:pPr>
        <w:jc w:val="both"/>
        <w:rPr>
          <w:rFonts w:ascii="Tahoma" w:hAnsi="Tahoma" w:cs="Tahoma"/>
          <w:lang w:val="sr-Latn-CS"/>
        </w:rPr>
      </w:pPr>
    </w:p>
    <w:p w:rsidR="00764767" w:rsidRPr="008D2842" w:rsidRDefault="00764767" w:rsidP="00764767">
      <w:pPr>
        <w:jc w:val="both"/>
        <w:rPr>
          <w:rFonts w:ascii="Tahoma" w:hAnsi="Tahoma" w:cs="Tahoma"/>
          <w:i/>
        </w:rPr>
      </w:pPr>
      <w:r w:rsidRPr="008D2842">
        <w:rPr>
          <w:rFonts w:ascii="Tahoma" w:hAnsi="Tahoma" w:cs="Tahoma"/>
          <w:lang w:val="sr-Cyrl-CS"/>
        </w:rPr>
        <w:lastRenderedPageBreak/>
        <w:t xml:space="preserve">У </w:t>
      </w:r>
      <w:r w:rsidR="005118F2" w:rsidRPr="008D2842">
        <w:rPr>
          <w:rFonts w:ascii="Tahoma" w:hAnsi="Tahoma" w:cs="Tahoma"/>
          <w:lang w:val="sr-Cyrl-CS"/>
        </w:rPr>
        <w:t xml:space="preserve">мају </w:t>
      </w:r>
      <w:r w:rsidR="005118F2" w:rsidRPr="008D2842">
        <w:rPr>
          <w:rFonts w:ascii="Tahoma" w:hAnsi="Tahoma" w:cs="Tahoma"/>
          <w:lang w:val="ru-RU"/>
        </w:rPr>
        <w:t>2013. године, у односу на април</w:t>
      </w:r>
      <w:r w:rsidRPr="008D2842">
        <w:rPr>
          <w:rFonts w:ascii="Tahoma" w:hAnsi="Tahoma" w:cs="Tahoma"/>
          <w:lang w:val="ru-RU"/>
        </w:rPr>
        <w:t xml:space="preserve"> 2013. године, н</w:t>
      </w:r>
      <w:r w:rsidRPr="008D2842">
        <w:rPr>
          <w:rFonts w:ascii="Tahoma" w:hAnsi="Tahoma" w:cs="Tahoma"/>
          <w:lang w:val="sr-Cyrl-CS"/>
        </w:rPr>
        <w:t>ајвећи номинални раст нето плате забиљежен је у подручјима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="00FA5A46" w:rsidRPr="008D2842">
        <w:rPr>
          <w:rFonts w:ascii="Tahoma" w:hAnsi="Tahoma" w:cs="Tahoma"/>
          <w:i/>
          <w:lang w:val="sr-Cyrl-BA"/>
        </w:rPr>
        <w:t>Стручне, научне и техничке дјелатности 4,6%, Трговина на велико и на мало, поправка моторних возила и мотоцикала 2,6%</w:t>
      </w:r>
      <w:r w:rsidR="00CB6C69" w:rsidRPr="008D2842">
        <w:rPr>
          <w:rFonts w:ascii="Tahoma" w:hAnsi="Tahoma" w:cs="Tahoma"/>
          <w:i/>
          <w:lang w:val="sr-Latn-CS"/>
        </w:rPr>
        <w:t>,</w:t>
      </w:r>
      <w:r w:rsidR="00FA5A46" w:rsidRPr="008D2842">
        <w:rPr>
          <w:rFonts w:ascii="Tahoma" w:hAnsi="Tahoma" w:cs="Tahoma"/>
          <w:i/>
          <w:lang w:val="sr-Cyrl-BA"/>
        </w:rPr>
        <w:t xml:space="preserve"> </w:t>
      </w:r>
      <w:r w:rsidR="00FA5A46" w:rsidRPr="000636A7">
        <w:rPr>
          <w:rFonts w:ascii="Tahoma" w:hAnsi="Tahoma" w:cs="Tahoma"/>
          <w:lang w:val="sr-Cyrl-BA"/>
        </w:rPr>
        <w:t>те</w:t>
      </w:r>
      <w:r w:rsidR="00FA5A46" w:rsidRPr="008D2842">
        <w:rPr>
          <w:rFonts w:ascii="Tahoma" w:hAnsi="Tahoma" w:cs="Tahoma"/>
          <w:i/>
          <w:lang w:val="sr-Cyrl-BA"/>
        </w:rPr>
        <w:t xml:space="preserve"> Административне и помоћне услужне дјелатности такође </w:t>
      </w:r>
      <w:r w:rsidR="00FA5A46" w:rsidRPr="000636A7">
        <w:rPr>
          <w:rFonts w:ascii="Tahoma" w:hAnsi="Tahoma" w:cs="Tahoma"/>
          <w:lang w:val="sr-Cyrl-BA"/>
        </w:rPr>
        <w:t>2,6%</w:t>
      </w:r>
      <w:r w:rsidR="00FA5A46" w:rsidRPr="008D2842">
        <w:rPr>
          <w:rFonts w:ascii="Tahoma" w:hAnsi="Tahoma" w:cs="Tahoma"/>
          <w:i/>
          <w:lang w:val="sr-Cyrl-BA"/>
        </w:rPr>
        <w:t xml:space="preserve">. </w:t>
      </w:r>
      <w:r w:rsidR="00562019" w:rsidRPr="008D2842">
        <w:rPr>
          <w:rFonts w:ascii="Tahoma" w:hAnsi="Tahoma" w:cs="Tahoma"/>
          <w:lang w:val="sr-Cyrl-BA"/>
        </w:rPr>
        <w:t>Највеће смањење плате, у н</w:t>
      </w:r>
      <w:r w:rsidRPr="008D2842">
        <w:rPr>
          <w:rFonts w:ascii="Tahoma" w:hAnsi="Tahoma" w:cs="Tahoma"/>
          <w:lang w:val="sr-Cyrl-CS"/>
        </w:rPr>
        <w:t>оминално</w:t>
      </w:r>
      <w:r w:rsidR="00562019" w:rsidRPr="008D2842">
        <w:rPr>
          <w:rFonts w:ascii="Tahoma" w:hAnsi="Tahoma" w:cs="Tahoma"/>
          <w:lang w:val="sr-Cyrl-CS"/>
        </w:rPr>
        <w:t xml:space="preserve">м износу, </w:t>
      </w:r>
      <w:r w:rsidR="00FA5A46" w:rsidRPr="008D2842">
        <w:rPr>
          <w:rFonts w:ascii="Tahoma" w:hAnsi="Tahoma" w:cs="Tahoma"/>
          <w:lang w:val="sr-Cyrl-CS"/>
        </w:rPr>
        <w:t>забиљежен</w:t>
      </w:r>
      <w:r w:rsidR="00562019" w:rsidRPr="008D2842">
        <w:rPr>
          <w:rFonts w:ascii="Tahoma" w:hAnsi="Tahoma" w:cs="Tahoma"/>
          <w:lang w:val="sr-Cyrl-CS"/>
        </w:rPr>
        <w:t>о</w:t>
      </w:r>
      <w:r w:rsidR="00FA5A46" w:rsidRPr="008D2842">
        <w:rPr>
          <w:rFonts w:ascii="Tahoma" w:hAnsi="Tahoma" w:cs="Tahoma"/>
          <w:lang w:val="sr-Cyrl-CS"/>
        </w:rPr>
        <w:t xml:space="preserve"> је у подручјима</w:t>
      </w:r>
      <w:r w:rsidRPr="008D2842">
        <w:rPr>
          <w:rFonts w:ascii="Tahoma" w:hAnsi="Tahoma" w:cs="Tahoma"/>
          <w:i/>
          <w:lang w:val="sr-Cyrl-CS"/>
        </w:rPr>
        <w:t xml:space="preserve"> </w:t>
      </w:r>
      <w:r w:rsidR="00566911" w:rsidRPr="008D2842">
        <w:rPr>
          <w:rFonts w:ascii="Tahoma" w:hAnsi="Tahoma" w:cs="Tahoma"/>
          <w:i/>
          <w:lang w:val="sr-Cyrl-CS"/>
        </w:rPr>
        <w:t xml:space="preserve">Пословање некретнинама </w:t>
      </w:r>
      <w:r w:rsidR="00566911" w:rsidRPr="008D2842">
        <w:rPr>
          <w:rFonts w:ascii="Tahoma" w:hAnsi="Tahoma" w:cs="Tahoma"/>
          <w:lang w:val="sr-Cyrl-CS"/>
        </w:rPr>
        <w:t>13,5%,</w:t>
      </w:r>
      <w:r w:rsidR="00566911" w:rsidRPr="008D2842">
        <w:rPr>
          <w:rFonts w:ascii="Tahoma" w:hAnsi="Tahoma" w:cs="Tahoma"/>
          <w:i/>
          <w:lang w:val="sr-Cyrl-CS"/>
        </w:rPr>
        <w:t xml:space="preserve"> </w:t>
      </w:r>
      <w:r w:rsidRPr="008D2842">
        <w:rPr>
          <w:rFonts w:ascii="Tahoma" w:hAnsi="Tahoma" w:cs="Tahoma"/>
          <w:i/>
          <w:lang w:val="sr-Cyrl-CS"/>
        </w:rPr>
        <w:t>Остале услужне дјелатност</w:t>
      </w:r>
      <w:r w:rsidR="00566911" w:rsidRPr="008D2842">
        <w:rPr>
          <w:rFonts w:ascii="Tahoma" w:hAnsi="Tahoma" w:cs="Tahoma"/>
          <w:i/>
          <w:lang w:val="sr-Cyrl-CS"/>
        </w:rPr>
        <w:t>и</w:t>
      </w:r>
      <w:r w:rsidR="00566911" w:rsidRPr="008D2842">
        <w:rPr>
          <w:rFonts w:ascii="Tahoma" w:hAnsi="Tahoma" w:cs="Tahoma"/>
          <w:lang w:val="sr-Cyrl-BA"/>
        </w:rPr>
        <w:t xml:space="preserve"> 6,7</w:t>
      </w:r>
      <w:r w:rsidRPr="008D2842">
        <w:rPr>
          <w:rFonts w:ascii="Tahoma" w:hAnsi="Tahoma" w:cs="Tahoma"/>
          <w:lang w:val="sr-Cyrl-BA"/>
        </w:rPr>
        <w:t>%</w:t>
      </w:r>
      <w:r w:rsidR="009B3A4D" w:rsidRPr="008D2842">
        <w:rPr>
          <w:rFonts w:ascii="Tahoma" w:hAnsi="Tahoma" w:cs="Tahoma"/>
          <w:lang w:val="sr-Cyrl-BA"/>
        </w:rPr>
        <w:t>,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="00566911" w:rsidRPr="008D2842">
        <w:rPr>
          <w:rFonts w:ascii="Tahoma" w:hAnsi="Tahoma" w:cs="Tahoma"/>
          <w:i/>
          <w:lang w:val="sr-Cyrl-BA"/>
        </w:rPr>
        <w:t>Умјетност, забава и рекреација</w:t>
      </w:r>
      <w:r w:rsidR="00566911" w:rsidRPr="008D2842">
        <w:rPr>
          <w:rFonts w:ascii="Tahoma" w:hAnsi="Tahoma" w:cs="Tahoma"/>
          <w:lang w:val="sr-Cyrl-CS"/>
        </w:rPr>
        <w:t xml:space="preserve"> 4,6</w:t>
      </w:r>
      <w:r w:rsidRPr="008D2842">
        <w:rPr>
          <w:rFonts w:ascii="Tahoma" w:hAnsi="Tahoma" w:cs="Tahoma"/>
          <w:lang w:val="sr-Cyrl-CS"/>
        </w:rPr>
        <w:t>%</w:t>
      </w:r>
      <w:r w:rsidR="00562019" w:rsidRPr="008D2842">
        <w:rPr>
          <w:rFonts w:ascii="Tahoma" w:hAnsi="Tahoma" w:cs="Tahoma"/>
          <w:lang w:val="sr-Cyrl-CS"/>
        </w:rPr>
        <w:t>,</w:t>
      </w:r>
      <w:r w:rsidR="00562019" w:rsidRPr="008D2842">
        <w:rPr>
          <w:rFonts w:ascii="Tahoma" w:hAnsi="Tahoma" w:cs="Tahoma"/>
          <w:i/>
          <w:lang w:val="sr-Cyrl-CS"/>
        </w:rPr>
        <w:t xml:space="preserve"> </w:t>
      </w:r>
      <w:r w:rsidR="00566911" w:rsidRPr="008D2842">
        <w:rPr>
          <w:rFonts w:ascii="Tahoma" w:hAnsi="Tahoma" w:cs="Tahoma"/>
          <w:i/>
          <w:lang w:val="sr-Cyrl-BA"/>
        </w:rPr>
        <w:t xml:space="preserve">Дјелатности пружања смјештаја, припреме и послуживања хране; хотелијерство и угоститељство </w:t>
      </w:r>
      <w:r w:rsidR="00566911" w:rsidRPr="008D2842">
        <w:rPr>
          <w:rFonts w:ascii="Tahoma" w:hAnsi="Tahoma" w:cs="Tahoma"/>
          <w:lang w:val="sr-Cyrl-BA"/>
        </w:rPr>
        <w:t>3,0%</w:t>
      </w:r>
      <w:r w:rsidR="00562019" w:rsidRPr="008D2842">
        <w:rPr>
          <w:rFonts w:ascii="Tahoma" w:hAnsi="Tahoma" w:cs="Tahoma"/>
          <w:i/>
          <w:lang w:val="sr-Cyrl-BA"/>
        </w:rPr>
        <w:t xml:space="preserve"> </w:t>
      </w:r>
      <w:r w:rsidR="00562019" w:rsidRPr="008D2842">
        <w:rPr>
          <w:rFonts w:ascii="Tahoma" w:hAnsi="Tahoma" w:cs="Tahoma"/>
          <w:lang w:val="sr-Cyrl-CS"/>
        </w:rPr>
        <w:t>и</w:t>
      </w:r>
      <w:r w:rsidR="00562019" w:rsidRPr="008D2842">
        <w:rPr>
          <w:rFonts w:ascii="Tahoma" w:hAnsi="Tahoma" w:cs="Tahoma"/>
          <w:i/>
          <w:lang w:val="sr-Cyrl-BA"/>
        </w:rPr>
        <w:t xml:space="preserve"> Вађење руда и камена </w:t>
      </w:r>
      <w:r w:rsidR="00562019" w:rsidRPr="008D2842">
        <w:rPr>
          <w:rFonts w:ascii="Tahoma" w:hAnsi="Tahoma" w:cs="Tahoma"/>
          <w:lang w:val="sr-Cyrl-BA"/>
        </w:rPr>
        <w:t>2,5%</w:t>
      </w:r>
      <w:r w:rsidR="00562019" w:rsidRPr="008D2842">
        <w:rPr>
          <w:rFonts w:ascii="Tahoma" w:hAnsi="Tahoma" w:cs="Tahoma"/>
          <w:i/>
          <w:lang w:val="sr-Cyrl-BA"/>
        </w:rPr>
        <w:t>.</w:t>
      </w:r>
    </w:p>
    <w:p w:rsidR="00764767" w:rsidRDefault="00764767" w:rsidP="00764767">
      <w:pPr>
        <w:jc w:val="both"/>
        <w:rPr>
          <w:rFonts w:ascii="Tahoma" w:hAnsi="Tahoma" w:cs="Tahoma"/>
          <w:i/>
          <w:lang w:val="sr-Cyrl-CS"/>
        </w:rPr>
      </w:pPr>
    </w:p>
    <w:p w:rsidR="00764767" w:rsidRDefault="00764767" w:rsidP="00764767">
      <w:pPr>
        <w:jc w:val="both"/>
        <w:rPr>
          <w:rFonts w:ascii="Tahoma" w:hAnsi="Tahoma" w:cs="Tahoma"/>
          <w:i/>
        </w:rPr>
      </w:pPr>
    </w:p>
    <w:p w:rsidR="00764767" w:rsidRPr="00A120EE" w:rsidRDefault="00764767" w:rsidP="00764767">
      <w:pPr>
        <w:jc w:val="both"/>
        <w:rPr>
          <w:rFonts w:ascii="Tahoma" w:hAnsi="Tahoma" w:cs="Tahoma"/>
          <w:i/>
        </w:rPr>
      </w:pPr>
    </w:p>
    <w:p w:rsidR="00764767" w:rsidRDefault="00764767" w:rsidP="00764767">
      <w:pPr>
        <w:jc w:val="both"/>
        <w:rPr>
          <w:rFonts w:ascii="Tahoma" w:hAnsi="Tahoma" w:cs="Tahoma"/>
        </w:rPr>
      </w:pPr>
      <w:r w:rsidRPr="00B47AD9">
        <w:rPr>
          <w:rFonts w:ascii="Tahoma" w:hAnsi="Tahoma" w:cs="Tahoma"/>
          <w:i/>
          <w:lang w:val="sr-Cyrl-CS"/>
        </w:rPr>
        <w:t xml:space="preserve"> </w:t>
      </w:r>
      <w:r w:rsidR="00B32799">
        <w:rPr>
          <w:rFonts w:ascii="Tahoma" w:hAnsi="Tahoma" w:cs="Tahoma"/>
          <w:lang w:val="sr-Cyrl-CS"/>
        </w:rPr>
        <w:t xml:space="preserve">          </w:t>
      </w:r>
      <w:r w:rsidR="00C155B7">
        <w:rPr>
          <w:rFonts w:ascii="Tahoma" w:hAnsi="Tahoma" w:cs="Tahoma"/>
        </w:rPr>
        <w:t xml:space="preserve">  </w:t>
      </w:r>
      <w:r w:rsidR="0076768F">
        <w:rPr>
          <w:rFonts w:ascii="Tahoma" w:hAnsi="Tahoma" w:cs="Tahoma"/>
        </w:rPr>
        <w:t xml:space="preserve"> </w:t>
      </w:r>
      <w:r w:rsidR="00B32799" w:rsidRPr="00295772">
        <w:rPr>
          <w:rFonts w:ascii="Tahoma" w:hAnsi="Tahoma" w:cs="Tahoma"/>
          <w:lang w:val="sr-Cyrl-CS"/>
        </w:rPr>
        <w:t>км</w:t>
      </w:r>
    </w:p>
    <w:p w:rsidR="0076768F" w:rsidRPr="0076768F" w:rsidRDefault="0076768F" w:rsidP="00764767">
      <w:pPr>
        <w:jc w:val="both"/>
        <w:rPr>
          <w:rFonts w:ascii="Tahoma" w:hAnsi="Tahoma" w:cs="Tahoma"/>
        </w:rPr>
      </w:pPr>
    </w:p>
    <w:p w:rsidR="00764767" w:rsidRPr="00B47AD9" w:rsidRDefault="00137828" w:rsidP="00764767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137828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5579635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37828">
        <w:rPr>
          <w:rFonts w:ascii="Tahoma" w:hAnsi="Tahoma" w:cs="Tahoma"/>
          <w:noProof/>
          <w:color w:val="FF0000"/>
          <w:sz w:val="18"/>
          <w:szCs w:val="18"/>
        </w:rPr>
        <w:t xml:space="preserve"> </w:t>
      </w:r>
      <w:r w:rsidR="00764767" w:rsidRPr="00154D02">
        <w:rPr>
          <w:rFonts w:ascii="Tahoma" w:hAnsi="Tahoma" w:cs="Tahoma"/>
          <w:noProof/>
          <w:sz w:val="18"/>
          <w:szCs w:val="18"/>
          <w:lang w:val="sr-Cyrl-CS"/>
        </w:rPr>
        <w:t xml:space="preserve">  </w:t>
      </w:r>
    </w:p>
    <w:p w:rsidR="00764767" w:rsidRPr="008D2842" w:rsidRDefault="00764767" w:rsidP="00764767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5665FA" w:rsidRPr="008D2842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BA"/>
        </w:rPr>
        <w:t>Графикон</w:t>
      </w:r>
      <w:r w:rsidR="00137828" w:rsidRPr="008D2842">
        <w:rPr>
          <w:rFonts w:ascii="Tahoma" w:hAnsi="Tahoma" w:cs="Tahoma"/>
          <w:lang w:val="sr-Cyrl-BA"/>
        </w:rPr>
        <w:t xml:space="preserve"> 1</w:t>
      </w:r>
      <w:r w:rsidR="00B32799" w:rsidRPr="008D2842">
        <w:rPr>
          <w:rFonts w:ascii="Tahoma" w:hAnsi="Tahoma" w:cs="Tahoma"/>
          <w:lang w:val="sr-Cyrl-BA"/>
        </w:rPr>
        <w:t>.</w:t>
      </w:r>
      <w:r w:rsidRPr="008D2842">
        <w:rPr>
          <w:rFonts w:ascii="Tahoma" w:hAnsi="Tahoma" w:cs="Tahoma"/>
          <w:lang w:val="sr-Cyrl-BA"/>
        </w:rPr>
        <w:t xml:space="preserve"> </w:t>
      </w:r>
      <w:r w:rsidRPr="008D2842">
        <w:rPr>
          <w:rFonts w:ascii="Tahoma" w:hAnsi="Tahoma" w:cs="Tahoma"/>
          <w:lang w:val="sr-Cyrl-CS"/>
        </w:rPr>
        <w:t>П</w:t>
      </w:r>
      <w:r w:rsidRPr="008D2842">
        <w:rPr>
          <w:rFonts w:ascii="Tahoma" w:hAnsi="Tahoma" w:cs="Tahoma"/>
          <w:lang w:val="ru-RU"/>
        </w:rPr>
        <w:t>росјечн</w:t>
      </w:r>
      <w:r w:rsidRPr="008D2842">
        <w:rPr>
          <w:rFonts w:ascii="Tahoma" w:hAnsi="Tahoma" w:cs="Tahoma"/>
        </w:rPr>
        <w:t>e</w:t>
      </w:r>
      <w:r w:rsidRPr="008D2842">
        <w:rPr>
          <w:rFonts w:ascii="Tahoma" w:hAnsi="Tahoma" w:cs="Tahoma"/>
          <w:lang w:val="ru-RU"/>
        </w:rPr>
        <w:t xml:space="preserve"> нето плат</w:t>
      </w:r>
      <w:r w:rsidRPr="008D2842">
        <w:rPr>
          <w:rFonts w:ascii="Tahoma" w:hAnsi="Tahoma" w:cs="Tahoma"/>
        </w:rPr>
        <w:t>e</w:t>
      </w:r>
      <w:r w:rsidRPr="008D2842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Pr="00806168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Pr="00806168" w:rsidRDefault="00806168" w:rsidP="00094E6E">
      <w:pPr>
        <w:jc w:val="both"/>
        <w:rPr>
          <w:rFonts w:ascii="Tahoma" w:hAnsi="Tahoma" w:cs="Tahoma"/>
          <w:lang w:val="sr-Latn-CS"/>
        </w:rPr>
      </w:pPr>
    </w:p>
    <w:p w:rsidR="0012449B" w:rsidRPr="008D2842" w:rsidRDefault="0012449B" w:rsidP="0012449B">
      <w:pPr>
        <w:rPr>
          <w:rFonts w:ascii="Tahoma" w:hAnsi="Tahoma" w:cs="Tahoma"/>
          <w:b/>
          <w:sz w:val="28"/>
          <w:szCs w:val="28"/>
          <w:lang w:val="sr-Cyrl-BA"/>
        </w:rPr>
      </w:pPr>
      <w:r w:rsidRPr="008D2842">
        <w:rPr>
          <w:rFonts w:ascii="Tahoma" w:hAnsi="Tahoma" w:cs="Tahoma"/>
          <w:b/>
          <w:sz w:val="28"/>
          <w:szCs w:val="28"/>
          <w:lang w:val="sr-Cyrl-BA"/>
        </w:rPr>
        <w:t>Мјесечна инфлација у мају 201</w:t>
      </w:r>
      <w:r w:rsidRPr="008D2842">
        <w:rPr>
          <w:rFonts w:ascii="Tahoma" w:hAnsi="Tahoma" w:cs="Tahoma"/>
          <w:b/>
          <w:sz w:val="28"/>
          <w:szCs w:val="28"/>
        </w:rPr>
        <w:t>3</w:t>
      </w:r>
      <w:r w:rsidRPr="008D2842">
        <w:rPr>
          <w:rFonts w:ascii="Tahoma" w:hAnsi="Tahoma" w:cs="Tahoma"/>
          <w:b/>
          <w:sz w:val="28"/>
          <w:szCs w:val="28"/>
          <w:lang w:val="sr-Cyrl-BA"/>
        </w:rPr>
        <w:t>. године -0,1%.</w:t>
      </w:r>
    </w:p>
    <w:p w:rsidR="0012449B" w:rsidRPr="008D2842" w:rsidRDefault="009F2D3D" w:rsidP="0012449B">
      <w:pPr>
        <w:rPr>
          <w:rFonts w:ascii="Tahoma" w:hAnsi="Tahoma" w:cs="Tahoma"/>
          <w:b/>
          <w:sz w:val="28"/>
          <w:szCs w:val="28"/>
          <w:lang w:val="sr-Cyrl-BA"/>
        </w:rPr>
      </w:pPr>
      <w:r w:rsidRPr="008D2842">
        <w:rPr>
          <w:rFonts w:ascii="Tahoma" w:hAnsi="Tahoma" w:cs="Tahoma"/>
          <w:b/>
          <w:sz w:val="28"/>
          <w:szCs w:val="28"/>
          <w:lang w:val="sr-Cyrl-BA"/>
        </w:rPr>
        <w:t>Годишња инфлација (</w:t>
      </w:r>
      <w:r w:rsidRPr="008D2842">
        <w:rPr>
          <w:rFonts w:ascii="Tahoma" w:hAnsi="Tahoma" w:cs="Tahoma"/>
          <w:b/>
          <w:sz w:val="28"/>
          <w:szCs w:val="28"/>
          <w:lang w:val="sr-Latn-CS"/>
        </w:rPr>
        <w:t>V</w:t>
      </w:r>
      <w:r w:rsidRPr="008D2842">
        <w:rPr>
          <w:rFonts w:ascii="Tahoma" w:hAnsi="Tahoma" w:cs="Tahoma"/>
          <w:b/>
          <w:sz w:val="28"/>
          <w:szCs w:val="28"/>
          <w:lang w:val="sr-Cyrl-BA"/>
        </w:rPr>
        <w:t xml:space="preserve"> 2013/</w:t>
      </w:r>
      <w:r w:rsidRPr="008D2842">
        <w:rPr>
          <w:rFonts w:ascii="Tahoma" w:hAnsi="Tahoma" w:cs="Tahoma"/>
          <w:b/>
          <w:sz w:val="28"/>
          <w:szCs w:val="28"/>
          <w:lang w:val="sr-Latn-CS"/>
        </w:rPr>
        <w:t>V</w:t>
      </w:r>
      <w:r w:rsidR="0012449B" w:rsidRPr="008D2842">
        <w:rPr>
          <w:rFonts w:ascii="Tahoma" w:hAnsi="Tahoma" w:cs="Tahoma"/>
          <w:b/>
          <w:sz w:val="28"/>
          <w:szCs w:val="28"/>
          <w:lang w:val="sr-Cyrl-BA"/>
        </w:rPr>
        <w:t xml:space="preserve"> 2012) 0,3%</w:t>
      </w:r>
    </w:p>
    <w:p w:rsidR="001561A7" w:rsidRPr="008D2842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2449B" w:rsidRPr="008D2842" w:rsidRDefault="0012449B" w:rsidP="0012449B">
      <w:pPr>
        <w:spacing w:after="120"/>
        <w:jc w:val="both"/>
        <w:rPr>
          <w:rFonts w:ascii="Tahoma" w:hAnsi="Tahoma" w:cs="Tahoma"/>
          <w:b/>
        </w:rPr>
      </w:pPr>
      <w:r w:rsidRPr="008D2842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мају 201</w:t>
      </w:r>
      <w:r w:rsidRPr="008D2842">
        <w:rPr>
          <w:rFonts w:ascii="Tahoma" w:hAnsi="Tahoma" w:cs="Tahoma"/>
        </w:rPr>
        <w:t>3</w:t>
      </w:r>
      <w:r w:rsidRPr="008D2842">
        <w:rPr>
          <w:rFonts w:ascii="Tahoma" w:hAnsi="Tahoma" w:cs="Tahoma"/>
          <w:lang w:val="sr-Cyrl-BA"/>
        </w:rPr>
        <w:t>. године у односу на април 201</w:t>
      </w:r>
      <w:r w:rsidRPr="008D2842">
        <w:rPr>
          <w:rFonts w:ascii="Tahoma" w:hAnsi="Tahoma" w:cs="Tahoma"/>
        </w:rPr>
        <w:t>3</w:t>
      </w:r>
      <w:r w:rsidRPr="008D2842">
        <w:rPr>
          <w:rFonts w:ascii="Tahoma" w:hAnsi="Tahoma" w:cs="Tahoma"/>
          <w:lang w:val="sr-Cyrl-BA"/>
        </w:rPr>
        <w:t>. године, у просјеку су ниже за 0,</w:t>
      </w:r>
      <w:r w:rsidRPr="008D2842">
        <w:rPr>
          <w:rFonts w:ascii="Tahoma" w:hAnsi="Tahoma" w:cs="Tahoma"/>
        </w:rPr>
        <w:t>1</w:t>
      </w:r>
      <w:r w:rsidRPr="008D2842">
        <w:rPr>
          <w:rFonts w:ascii="Tahoma" w:hAnsi="Tahoma" w:cs="Tahoma"/>
          <w:lang w:val="sr-Cyrl-BA"/>
        </w:rPr>
        <w:t xml:space="preserve">%. </w:t>
      </w:r>
    </w:p>
    <w:p w:rsidR="0012449B" w:rsidRPr="008D2842" w:rsidRDefault="0012449B" w:rsidP="0012449B">
      <w:pPr>
        <w:jc w:val="both"/>
        <w:rPr>
          <w:rFonts w:ascii="Tahoma" w:hAnsi="Tahoma" w:cs="Tahoma"/>
          <w:i/>
          <w:lang w:val="sr-Cyrl-BA"/>
        </w:rPr>
      </w:pPr>
      <w:r w:rsidRPr="008D2842">
        <w:rPr>
          <w:rFonts w:ascii="Tahoma" w:hAnsi="Tahoma" w:cs="Tahoma"/>
          <w:lang w:val="sr-Cyrl-BA"/>
        </w:rPr>
        <w:t>Забиљежен је раст код 2 од укупно 12 одјељака. Раст цијена у мају забиљежен је у одјељцима</w:t>
      </w:r>
      <w:r w:rsidRPr="008D2842">
        <w:rPr>
          <w:rFonts w:ascii="Tahoma" w:hAnsi="Tahoma" w:cs="Tahoma"/>
          <w:i/>
          <w:lang w:val="sr-Cyrl-BA"/>
        </w:rPr>
        <w:t xml:space="preserve"> Алкохолна пића и дуван</w:t>
      </w:r>
      <w:r w:rsidRPr="008D2842">
        <w:rPr>
          <w:rFonts w:ascii="Tahoma" w:hAnsi="Tahoma" w:cs="Tahoma"/>
          <w:lang w:val="sr-Cyrl-BA"/>
        </w:rPr>
        <w:t xml:space="preserve"> </w:t>
      </w:r>
      <w:r w:rsidRPr="008D2842">
        <w:rPr>
          <w:rFonts w:ascii="Tahoma" w:hAnsi="Tahoma" w:cs="Tahoma"/>
          <w:i/>
          <w:lang w:val="sr-Cyrl-BA"/>
        </w:rPr>
        <w:t>и Храна и безалкохолна пића.</w:t>
      </w:r>
    </w:p>
    <w:p w:rsidR="0012449B" w:rsidRPr="008D2842" w:rsidRDefault="0012449B" w:rsidP="0012449B">
      <w:pPr>
        <w:jc w:val="both"/>
        <w:rPr>
          <w:rFonts w:ascii="Tahoma" w:hAnsi="Tahoma" w:cs="Tahoma"/>
          <w:i/>
          <w:lang w:val="sr-Cyrl-BA"/>
        </w:rPr>
      </w:pPr>
    </w:p>
    <w:p w:rsidR="0012449B" w:rsidRPr="008D2842" w:rsidRDefault="0012449B" w:rsidP="0012449B">
      <w:pPr>
        <w:spacing w:after="120"/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 xml:space="preserve">Раст цијена од 0,2% који је забиљежен у одјељку </w:t>
      </w:r>
      <w:r w:rsidRPr="008D2842">
        <w:rPr>
          <w:rFonts w:ascii="Tahoma" w:hAnsi="Tahoma" w:cs="Tahoma"/>
          <w:i/>
          <w:lang w:val="sr-Cyrl-BA"/>
        </w:rPr>
        <w:t>Алкохолна пића и дуван</w:t>
      </w:r>
      <w:r w:rsidRPr="008D2842">
        <w:rPr>
          <w:rFonts w:ascii="Tahoma" w:hAnsi="Tahoma" w:cs="Tahoma"/>
          <w:lang w:val="sr-Cyrl-BA"/>
        </w:rPr>
        <w:t xml:space="preserve"> настао је због због виших цијена пива за 1,3% и жестоких пића 0,7%.</w:t>
      </w:r>
    </w:p>
    <w:p w:rsidR="0012449B" w:rsidRPr="008D2842" w:rsidRDefault="0012449B" w:rsidP="0012449B">
      <w:pPr>
        <w:jc w:val="both"/>
        <w:rPr>
          <w:rFonts w:ascii="Tahoma" w:eastAsia="Calibri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 xml:space="preserve">Одјељак </w:t>
      </w:r>
      <w:r w:rsidRPr="008D2842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8D2842">
        <w:rPr>
          <w:rFonts w:ascii="Tahoma" w:hAnsi="Tahoma" w:cs="Tahoma"/>
          <w:lang w:val="sr-Cyrl-BA"/>
        </w:rPr>
        <w:t>биљежи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раст цијена 0,1%. Група </w:t>
      </w:r>
      <w:r w:rsidRPr="008D2842">
        <w:rPr>
          <w:rFonts w:ascii="Tahoma" w:hAnsi="Tahoma" w:cs="Tahoma"/>
          <w:i/>
          <w:lang w:val="sr-Cyrl-BA"/>
        </w:rPr>
        <w:t xml:space="preserve">Храна </w:t>
      </w:r>
      <w:r w:rsidRPr="008D2842">
        <w:rPr>
          <w:rFonts w:ascii="Tahoma" w:hAnsi="Tahoma" w:cs="Tahoma"/>
          <w:lang w:val="sr-Cyrl-BA"/>
        </w:rPr>
        <w:t>биљежи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раст 0,1% и то повећање цијена је забиљежено код воћа 3,0%, поврћа 2,5%, замрзнутог лиснатог тијеста 1,2%, кукурузног брашна 1,0%, јогурта 0,9%, маслиновог уља 0,8%, конзервисане и прерађене рибе 0,5%, свјежег млијека 0,4%, концентроване супе у кесицама 0,4%, као и сладоледа 0,4%. На групу Храна утицало је и повећање цијена кондиторских производа 0,3%, додатка јелима (Вегета, зачин Ц...) 0,3%, свјеже и замрзнуте </w:t>
      </w:r>
      <w:r w:rsidR="009F2D3D" w:rsidRPr="008D2842">
        <w:rPr>
          <w:rFonts w:ascii="Tahoma" w:hAnsi="Tahoma" w:cs="Tahoma"/>
          <w:lang w:val="sr-Cyrl-BA"/>
        </w:rPr>
        <w:t xml:space="preserve">рибе 0,2%, кухињске соли 0,1%. </w:t>
      </w:r>
      <w:r w:rsidRPr="008D2842">
        <w:rPr>
          <w:rFonts w:ascii="Tahoma" w:eastAsia="Calibri" w:hAnsi="Tahoma" w:cs="Tahoma"/>
          <w:lang w:val="sr-Cyrl-BA"/>
        </w:rPr>
        <w:t xml:space="preserve">У групи </w:t>
      </w:r>
      <w:r w:rsidRPr="008D2842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="00603ED6">
        <w:rPr>
          <w:rFonts w:ascii="Tahoma" w:eastAsia="Calibri" w:hAnsi="Tahoma" w:cs="Tahoma"/>
          <w:lang w:val="sr-Cyrl-BA"/>
        </w:rPr>
        <w:t>цијене с</w:t>
      </w:r>
      <w:r w:rsidR="00603ED6">
        <w:rPr>
          <w:rFonts w:ascii="Tahoma" w:eastAsia="Calibri" w:hAnsi="Tahoma" w:cs="Tahoma"/>
          <w:lang w:val="sr-Latn-CS"/>
        </w:rPr>
        <w:t>у</w:t>
      </w:r>
      <w:r w:rsidRPr="008D2842">
        <w:rPr>
          <w:rFonts w:ascii="Tahoma" w:eastAsia="Calibri" w:hAnsi="Tahoma" w:cs="Tahoma"/>
          <w:lang w:val="sr-Cyrl-BA"/>
        </w:rPr>
        <w:t xml:space="preserve"> у просјеку ниже за 0,3% усљед нижих цијена минералне воде и газираних безалкохолних пића за 1,2% и воћних сирупа за 0,7%.</w:t>
      </w:r>
    </w:p>
    <w:p w:rsidR="0012449B" w:rsidRPr="008D2842" w:rsidRDefault="0012449B" w:rsidP="0012449B">
      <w:pPr>
        <w:spacing w:after="120"/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 xml:space="preserve"> </w:t>
      </w:r>
    </w:p>
    <w:p w:rsidR="0012449B" w:rsidRPr="008D2842" w:rsidRDefault="0012449B" w:rsidP="0012449B">
      <w:pPr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>У одјељцима</w:t>
      </w:r>
      <w:r w:rsidRPr="008D2842">
        <w:rPr>
          <w:rFonts w:ascii="Tahoma" w:hAnsi="Tahoma" w:cs="Tahoma"/>
          <w:i/>
          <w:lang w:val="sr-Cyrl-BA"/>
        </w:rPr>
        <w:t xml:space="preserve"> Одјећа и обућа, Становање,</w:t>
      </w:r>
      <w:r w:rsidRPr="008D2842">
        <w:rPr>
          <w:rFonts w:ascii="Tahoma" w:eastAsia="Calibri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i/>
          <w:lang w:val="sr-Cyrl-BA"/>
        </w:rPr>
        <w:t xml:space="preserve">Комуникације, Рекреација и култура, Образовање и </w:t>
      </w:r>
      <w:r w:rsidRPr="008D2842">
        <w:rPr>
          <w:rFonts w:ascii="Tahoma" w:eastAsia="Calibri" w:hAnsi="Tahoma" w:cs="Tahoma"/>
          <w:i/>
          <w:lang w:val="sr-Cyrl-BA"/>
        </w:rPr>
        <w:t>Ресторани и хотели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lang w:val="sr-Cyrl-BA"/>
        </w:rPr>
        <w:t>цијене су у просјеку остале исте.</w:t>
      </w:r>
    </w:p>
    <w:p w:rsidR="0012449B" w:rsidRPr="008D2842" w:rsidRDefault="0012449B" w:rsidP="0012449B">
      <w:pPr>
        <w:jc w:val="both"/>
        <w:rPr>
          <w:rFonts w:ascii="Tahoma" w:hAnsi="Tahoma" w:cs="Tahoma"/>
          <w:lang w:val="sr-Cyrl-BA"/>
        </w:rPr>
      </w:pPr>
    </w:p>
    <w:p w:rsidR="0012449B" w:rsidRPr="008D2842" w:rsidRDefault="0012449B" w:rsidP="0012449B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8D2842">
        <w:rPr>
          <w:rFonts w:ascii="Tahoma" w:eastAsia="Calibri" w:hAnsi="Tahoma" w:cs="Tahoma"/>
          <w:lang w:val="sr-Cyrl-BA"/>
        </w:rPr>
        <w:t xml:space="preserve">У одјељку </w:t>
      </w:r>
      <w:r w:rsidRPr="008D2842">
        <w:rPr>
          <w:rFonts w:ascii="Tahoma" w:eastAsia="Calibri" w:hAnsi="Tahoma" w:cs="Tahoma"/>
          <w:i/>
          <w:lang w:val="sr-Cyrl-BA"/>
        </w:rPr>
        <w:t>Здравство</w:t>
      </w:r>
      <w:r w:rsidRPr="008D2842">
        <w:rPr>
          <w:rFonts w:ascii="Tahoma" w:eastAsia="Calibri" w:hAnsi="Tahoma" w:cs="Tahoma"/>
          <w:lang w:val="sr-Cyrl-BA"/>
        </w:rPr>
        <w:t xml:space="preserve"> пад цијена од 0,1% настао је усљед нижих цијена појединих лијекова.</w:t>
      </w:r>
    </w:p>
    <w:p w:rsidR="00806168" w:rsidRDefault="00806168" w:rsidP="0012449B">
      <w:pPr>
        <w:spacing w:after="120"/>
        <w:jc w:val="both"/>
        <w:rPr>
          <w:rFonts w:ascii="Tahoma" w:eastAsia="Calibri" w:hAnsi="Tahoma" w:cs="Tahoma"/>
          <w:lang w:val="sr-Latn-CS"/>
        </w:rPr>
      </w:pPr>
    </w:p>
    <w:p w:rsidR="0012449B" w:rsidRPr="008D2842" w:rsidRDefault="0012449B" w:rsidP="0012449B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8D2842">
        <w:rPr>
          <w:rFonts w:ascii="Tahoma" w:eastAsia="Calibri" w:hAnsi="Tahoma" w:cs="Tahoma"/>
          <w:lang w:val="sr-Cyrl-BA"/>
        </w:rPr>
        <w:lastRenderedPageBreak/>
        <w:t xml:space="preserve">У одјељку </w:t>
      </w:r>
      <w:r w:rsidRPr="008D2842">
        <w:rPr>
          <w:rFonts w:ascii="Tahoma" w:hAnsi="Tahoma" w:cs="Tahoma"/>
          <w:i/>
          <w:lang w:val="sr-Cyrl-BA"/>
        </w:rPr>
        <w:t>Намјештај и покућство</w:t>
      </w:r>
      <w:r w:rsidRPr="008D2842">
        <w:rPr>
          <w:rFonts w:ascii="Tahoma" w:eastAsia="Calibri" w:hAnsi="Tahoma" w:cs="Tahoma"/>
          <w:lang w:val="sr-Cyrl-BA"/>
        </w:rPr>
        <w:t xml:space="preserve"> пад цијена од 0,2% настао је усљед нижих цијена </w:t>
      </w:r>
      <w:r w:rsidRPr="008D2842">
        <w:rPr>
          <w:rFonts w:ascii="Tahoma" w:hAnsi="Tahoma" w:cs="Tahoma"/>
          <w:lang w:val="sr-Cyrl-BA"/>
        </w:rPr>
        <w:t>производа за чишћење и одржавање куће за 1,0%</w:t>
      </w:r>
      <w:r w:rsidRPr="008D2842">
        <w:rPr>
          <w:rFonts w:ascii="Tahoma" w:eastAsia="Calibri" w:hAnsi="Tahoma" w:cs="Tahoma"/>
          <w:lang w:val="sr-Cyrl-BA"/>
        </w:rPr>
        <w:t>.</w:t>
      </w:r>
    </w:p>
    <w:p w:rsidR="0012449B" w:rsidRPr="008D2842" w:rsidRDefault="0012449B" w:rsidP="0012449B">
      <w:pPr>
        <w:spacing w:after="120"/>
        <w:jc w:val="both"/>
        <w:rPr>
          <w:rFonts w:ascii="Tahoma" w:hAnsi="Tahoma" w:cs="Tahoma"/>
          <w:lang w:val="sr-Cyrl-BA" w:eastAsia="sr-Latn-BA"/>
        </w:rPr>
      </w:pPr>
      <w:r w:rsidRPr="008D2842">
        <w:rPr>
          <w:rFonts w:ascii="Tahoma" w:hAnsi="Tahoma" w:cs="Tahoma"/>
          <w:lang w:val="sr-Cyrl-BA"/>
        </w:rPr>
        <w:t>У одјељку Остала добра и услуге забиљежен је пад цијена 0,3% усљед нижих</w:t>
      </w:r>
      <w:r w:rsidRPr="008D2842">
        <w:rPr>
          <w:rFonts w:ascii="Calibri" w:hAnsi="Calibri" w:cs="Arial"/>
        </w:rPr>
        <w:t xml:space="preserve"> </w:t>
      </w:r>
      <w:r w:rsidRPr="008D2842">
        <w:rPr>
          <w:rFonts w:ascii="Tahoma" w:hAnsi="Tahoma" w:cs="Tahoma"/>
          <w:lang w:val="sr-Cyrl-BA"/>
        </w:rPr>
        <w:t>цијена производа за личн</w:t>
      </w:r>
      <w:r w:rsidR="009F2D3D" w:rsidRPr="008D2842">
        <w:rPr>
          <w:rFonts w:ascii="Tahoma" w:hAnsi="Tahoma" w:cs="Tahoma"/>
          <w:lang w:val="sr-Latn-CS"/>
        </w:rPr>
        <w:t>у</w:t>
      </w:r>
      <w:r w:rsidRPr="008D2842">
        <w:rPr>
          <w:rFonts w:ascii="Tahoma" w:hAnsi="Tahoma" w:cs="Tahoma"/>
          <w:lang w:val="sr-Cyrl-BA"/>
        </w:rPr>
        <w:t xml:space="preserve"> његу (дезодоранси</w:t>
      </w:r>
      <w:r w:rsidRPr="008D2842">
        <w:rPr>
          <w:rFonts w:ascii="Tahoma" w:hAnsi="Tahoma" w:cs="Tahoma"/>
          <w:lang w:eastAsia="sr-Latn-BA"/>
        </w:rPr>
        <w:t>,</w:t>
      </w:r>
      <w:r w:rsidRPr="008D2842">
        <w:rPr>
          <w:rFonts w:ascii="Tahoma" w:hAnsi="Tahoma" w:cs="Tahoma"/>
          <w:lang w:val="sr-Cyrl-BA" w:eastAsia="sr-Latn-BA"/>
        </w:rPr>
        <w:t xml:space="preserve"> лакови за косу, фарбе за косу, тоалетни папир, хигијенски улошци, пелене, тоалетни сапун, шампон, пасте за зубе, креме) за 1,2%.</w:t>
      </w:r>
    </w:p>
    <w:p w:rsidR="0012449B" w:rsidRPr="008D2842" w:rsidRDefault="0012449B" w:rsidP="0012449B">
      <w:pPr>
        <w:spacing w:after="120"/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 xml:space="preserve">И у одјељку </w:t>
      </w:r>
      <w:r w:rsidRPr="008D2842">
        <w:rPr>
          <w:rFonts w:ascii="Tahoma" w:hAnsi="Tahoma" w:cs="Tahoma"/>
          <w:i/>
          <w:lang w:val="sr-Cyrl-BA"/>
        </w:rPr>
        <w:t>Превоз</w:t>
      </w:r>
      <w:r w:rsidRPr="008D2842">
        <w:rPr>
          <w:rFonts w:ascii="Tahoma" w:hAnsi="Tahoma" w:cs="Tahoma"/>
          <w:lang w:val="sr-Cyrl-BA"/>
        </w:rPr>
        <w:t xml:space="preserve"> забиљежен</w:t>
      </w:r>
      <w:r w:rsidR="009F2D3D" w:rsidRPr="008D2842">
        <w:rPr>
          <w:rFonts w:ascii="Tahoma" w:hAnsi="Tahoma" w:cs="Tahoma"/>
          <w:lang w:val="sr-Cyrl-BA"/>
        </w:rPr>
        <w:t xml:space="preserve"> је</w:t>
      </w:r>
      <w:r w:rsidRPr="008D2842">
        <w:rPr>
          <w:rFonts w:ascii="Tahoma" w:hAnsi="Tahoma" w:cs="Tahoma"/>
          <w:lang w:val="sr-Cyrl-BA"/>
        </w:rPr>
        <w:t xml:space="preserve"> пад цијена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0,7% због појефтињења свих врста горива што је утицало на укупан пад цијена у подгрупи </w:t>
      </w:r>
      <w:r w:rsidRPr="008D2842">
        <w:rPr>
          <w:rFonts w:ascii="Tahoma" w:hAnsi="Tahoma" w:cs="Tahoma"/>
          <w:i/>
          <w:lang w:val="sr-Cyrl-BA"/>
        </w:rPr>
        <w:t xml:space="preserve">Горива и мазива </w:t>
      </w:r>
      <w:r w:rsidRPr="008D2842">
        <w:rPr>
          <w:rFonts w:ascii="Tahoma" w:hAnsi="Tahoma" w:cs="Tahoma"/>
          <w:lang w:val="sr-Cyrl-BA"/>
        </w:rPr>
        <w:t>за</w:t>
      </w:r>
      <w:r w:rsidRPr="008D2842">
        <w:rPr>
          <w:rFonts w:ascii="Tahoma" w:hAnsi="Tahoma" w:cs="Tahoma"/>
          <w:i/>
          <w:lang w:val="sr-Cyrl-B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1,2%. </w:t>
      </w:r>
    </w:p>
    <w:p w:rsidR="001561A7" w:rsidRPr="008D2842" w:rsidRDefault="001561A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>Цијене производа и услуга</w:t>
      </w:r>
      <w:r w:rsidRPr="008D2842">
        <w:rPr>
          <w:rFonts w:ascii="Tahoma" w:hAnsi="Tahoma" w:cs="Tahoma"/>
          <w:lang w:val="sr-Cyrl-CS"/>
        </w:rPr>
        <w:t xml:space="preserve">, </w:t>
      </w:r>
      <w:r w:rsidRPr="008D2842">
        <w:rPr>
          <w:rFonts w:ascii="Tahoma" w:hAnsi="Tahoma" w:cs="Tahoma"/>
          <w:lang w:val="sr-Cyrl-BA"/>
        </w:rPr>
        <w:t>кој</w:t>
      </w:r>
      <w:r w:rsidR="00001AA6" w:rsidRPr="008D2842">
        <w:rPr>
          <w:rFonts w:ascii="Tahoma" w:hAnsi="Tahoma" w:cs="Tahoma"/>
          <w:lang w:val="sr-Latn-CS"/>
        </w:rPr>
        <w:t>e</w:t>
      </w:r>
      <w:r w:rsidRPr="008D2842">
        <w:rPr>
          <w:rFonts w:ascii="Tahoma" w:hAnsi="Tahoma" w:cs="Tahoma"/>
          <w:lang w:val="sr-Cyrl-BA"/>
        </w:rPr>
        <w:t xml:space="preserve"> се користе за личну потрошњу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Републици Српској,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r w:rsidR="0012449B" w:rsidRPr="008D2842">
        <w:rPr>
          <w:rFonts w:ascii="Tahoma" w:hAnsi="Tahoma" w:cs="Tahoma"/>
          <w:lang w:val="sr-Cyrl-BA"/>
        </w:rPr>
        <w:t>мају</w:t>
      </w:r>
      <w:r w:rsidR="00B66B55" w:rsidRPr="008D2842">
        <w:rPr>
          <w:rFonts w:ascii="Tahoma" w:hAnsi="Tahoma" w:cs="Tahoma"/>
          <w:lang w:val="sr-Cyrl-CS"/>
        </w:rPr>
        <w:t xml:space="preserve"> 2013</w:t>
      </w:r>
      <w:r w:rsidRPr="008D2842">
        <w:rPr>
          <w:rFonts w:ascii="Tahoma" w:hAnsi="Tahoma" w:cs="Tahoma"/>
          <w:lang w:val="sr-Cyrl-CS"/>
        </w:rPr>
        <w:t xml:space="preserve">. </w:t>
      </w:r>
      <w:r w:rsidRPr="008D2842">
        <w:rPr>
          <w:rFonts w:ascii="Tahoma" w:hAnsi="Tahoma" w:cs="Tahoma"/>
          <w:lang w:val="sr-Cyrl-BA"/>
        </w:rPr>
        <w:t>године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у односу на исти мјесец</w:t>
      </w:r>
      <w:r w:rsidR="003C7538" w:rsidRPr="008D2842">
        <w:rPr>
          <w:rFonts w:ascii="Tahoma" w:hAnsi="Tahoma" w:cs="Tahoma"/>
          <w:lang w:val="sr-Cyrl-CS"/>
        </w:rPr>
        <w:t xml:space="preserve"> 201</w:t>
      </w:r>
      <w:r w:rsidR="00B66B55" w:rsidRPr="008D2842">
        <w:rPr>
          <w:rFonts w:ascii="Tahoma" w:hAnsi="Tahoma" w:cs="Tahoma"/>
          <w:lang w:val="sr-Cyrl-CS"/>
        </w:rPr>
        <w:t>2</w:t>
      </w:r>
      <w:r w:rsidRPr="008D2842">
        <w:rPr>
          <w:rFonts w:ascii="Tahoma" w:hAnsi="Tahoma" w:cs="Tahoma"/>
          <w:lang w:val="sr-Cyrl-CS"/>
        </w:rPr>
        <w:t xml:space="preserve">. </w:t>
      </w:r>
      <w:r w:rsidRPr="008D2842">
        <w:rPr>
          <w:rFonts w:ascii="Tahoma" w:hAnsi="Tahoma" w:cs="Tahoma"/>
          <w:lang w:val="sr-Cyrl-BA"/>
        </w:rPr>
        <w:t>године,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више су у просјеку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за</w:t>
      </w:r>
      <w:r w:rsidR="00BB4227" w:rsidRPr="008D2842">
        <w:rPr>
          <w:rFonts w:ascii="Tahoma" w:hAnsi="Tahoma" w:cs="Tahoma"/>
          <w:lang w:val="sr-Cyrl-CS"/>
        </w:rPr>
        <w:t xml:space="preserve"> </w:t>
      </w:r>
      <w:r w:rsidR="00844688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  <w:lang w:val="sr-Cyrl-CS"/>
        </w:rPr>
        <w:t>,</w:t>
      </w:r>
      <w:r w:rsidR="00A60737" w:rsidRPr="008D2842">
        <w:rPr>
          <w:rFonts w:ascii="Tahoma" w:hAnsi="Tahoma" w:cs="Tahoma"/>
          <w:lang w:val="sr-Cyrl-CS"/>
        </w:rPr>
        <w:t>3</w:t>
      </w:r>
      <w:r w:rsidRPr="008D2842">
        <w:rPr>
          <w:rFonts w:ascii="Tahoma" w:hAnsi="Tahoma" w:cs="Tahoma"/>
          <w:lang w:val="sr-Cyrl-CS"/>
        </w:rPr>
        <w:t>%.</w:t>
      </w:r>
    </w:p>
    <w:p w:rsidR="004A08B4" w:rsidRPr="008D2842" w:rsidRDefault="001561A7" w:rsidP="00983E6E">
      <w:pPr>
        <w:jc w:val="both"/>
        <w:rPr>
          <w:rFonts w:ascii="Tahoma" w:hAnsi="Tahoma" w:cs="Tahoma"/>
          <w:b/>
          <w:lang w:val="ru-RU"/>
        </w:rPr>
      </w:pPr>
      <w:r w:rsidRPr="008D2842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12449B" w:rsidRPr="008D2842">
        <w:rPr>
          <w:rFonts w:ascii="Tahoma" w:hAnsi="Tahoma" w:cs="Tahoma"/>
          <w:lang w:val="sr-Cyrl-BA"/>
        </w:rPr>
        <w:t>мају</w:t>
      </w:r>
      <w:r w:rsidR="00844688" w:rsidRPr="008D2842">
        <w:rPr>
          <w:rFonts w:ascii="Tahoma" w:hAnsi="Tahoma" w:cs="Tahoma"/>
          <w:lang w:val="sr-Cyrl-BA"/>
        </w:rPr>
        <w:t xml:space="preserve"> </w:t>
      </w:r>
      <w:r w:rsidR="00B66B55" w:rsidRPr="008D2842">
        <w:rPr>
          <w:rFonts w:ascii="Tahoma" w:hAnsi="Tahoma" w:cs="Tahoma"/>
          <w:lang w:val="sr-Cyrl-BA"/>
        </w:rPr>
        <w:t>2013</w:t>
      </w:r>
      <w:r w:rsidRPr="008D2842">
        <w:rPr>
          <w:rFonts w:ascii="Tahoma" w:hAnsi="Tahoma" w:cs="Tahoma"/>
          <w:lang w:val="sr-Cyrl-BA"/>
        </w:rPr>
        <w:t xml:space="preserve">. године у односу на </w:t>
      </w:r>
      <w:r w:rsidR="0012449B" w:rsidRPr="008D2842">
        <w:rPr>
          <w:rFonts w:ascii="Tahoma" w:hAnsi="Tahoma" w:cs="Tahoma"/>
          <w:lang w:val="sr-Cyrl-BA"/>
        </w:rPr>
        <w:t>мај</w:t>
      </w:r>
      <w:r w:rsidR="00166C85" w:rsidRPr="008D2842">
        <w:rPr>
          <w:rFonts w:ascii="Tahoma" w:hAnsi="Tahoma" w:cs="Tahoma"/>
          <w:lang w:val="sr-Cyrl-BA"/>
        </w:rPr>
        <w:t xml:space="preserve"> </w:t>
      </w:r>
      <w:r w:rsidR="00F463FE" w:rsidRPr="008D2842">
        <w:rPr>
          <w:rFonts w:ascii="Tahoma" w:hAnsi="Tahoma" w:cs="Tahoma"/>
          <w:lang w:val="sr-Cyrl-BA"/>
        </w:rPr>
        <w:t>201</w:t>
      </w:r>
      <w:r w:rsidR="00B66B55" w:rsidRPr="008D2842">
        <w:rPr>
          <w:rFonts w:ascii="Tahoma" w:hAnsi="Tahoma" w:cs="Tahoma"/>
          <w:lang w:val="sr-Cyrl-BA"/>
        </w:rPr>
        <w:t>2</w:t>
      </w:r>
      <w:r w:rsidRPr="008D2842">
        <w:rPr>
          <w:rFonts w:ascii="Tahoma" w:hAnsi="Tahoma" w:cs="Tahoma"/>
          <w:lang w:val="sr-Cyrl-BA"/>
        </w:rPr>
        <w:t>. год</w:t>
      </w:r>
      <w:r w:rsidR="00E96567" w:rsidRPr="008D2842">
        <w:rPr>
          <w:rFonts w:ascii="Tahoma" w:hAnsi="Tahoma" w:cs="Tahoma"/>
          <w:lang w:val="sr-Cyrl-BA"/>
        </w:rPr>
        <w:t xml:space="preserve">ине, највиши раст забиљежен је </w:t>
      </w:r>
      <w:r w:rsidRPr="008D2842">
        <w:rPr>
          <w:rFonts w:ascii="Tahoma" w:hAnsi="Tahoma" w:cs="Tahoma"/>
          <w:lang w:val="sr-Cyrl-BA"/>
        </w:rPr>
        <w:t>код одјељка</w:t>
      </w:r>
      <w:r w:rsidR="00F463FE" w:rsidRPr="008D2842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8D2842">
        <w:rPr>
          <w:rFonts w:ascii="Tahoma" w:hAnsi="Tahoma" w:cs="Tahoma"/>
          <w:lang w:val="sr-Cyrl-BA"/>
        </w:rPr>
        <w:t xml:space="preserve"> </w:t>
      </w:r>
      <w:r w:rsidR="00A60737" w:rsidRPr="008D2842">
        <w:rPr>
          <w:rFonts w:ascii="Tahoma" w:hAnsi="Tahoma" w:cs="Tahoma"/>
          <w:lang w:val="sr-Cyrl-BA"/>
        </w:rPr>
        <w:t>5</w:t>
      </w:r>
      <w:r w:rsidR="00166C85" w:rsidRPr="008D2842">
        <w:rPr>
          <w:rFonts w:ascii="Tahoma" w:hAnsi="Tahoma" w:cs="Tahoma"/>
          <w:lang w:val="sr-Cyrl-BA"/>
        </w:rPr>
        <w:t>,</w:t>
      </w:r>
      <w:r w:rsidR="0012449B" w:rsidRPr="008D2842">
        <w:rPr>
          <w:rFonts w:ascii="Tahoma" w:hAnsi="Tahoma" w:cs="Tahoma"/>
          <w:lang w:val="sr-Cyrl-BA"/>
        </w:rPr>
        <w:t>9</w:t>
      </w:r>
      <w:r w:rsidR="00A60737" w:rsidRPr="008D2842">
        <w:rPr>
          <w:rFonts w:ascii="Tahoma" w:hAnsi="Tahoma" w:cs="Tahoma"/>
          <w:lang w:val="sr-Cyrl-BA"/>
        </w:rPr>
        <w:t>%</w:t>
      </w:r>
      <w:r w:rsidR="005665FA" w:rsidRPr="008D2842">
        <w:rPr>
          <w:rFonts w:ascii="Tahoma" w:hAnsi="Tahoma" w:cs="Tahoma"/>
          <w:lang w:val="sr-Cyrl-BA"/>
        </w:rPr>
        <w:t>.</w:t>
      </w:r>
    </w:p>
    <w:p w:rsidR="004A08B4" w:rsidRPr="008D2842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62A34" w:rsidRPr="008D2842" w:rsidRDefault="00E62A34" w:rsidP="004641E9">
      <w:pPr>
        <w:rPr>
          <w:rFonts w:ascii="Tahoma" w:hAnsi="Tahoma" w:cs="Tahoma"/>
          <w:b/>
          <w:lang w:val="sr-Latn-CS"/>
        </w:rPr>
      </w:pPr>
    </w:p>
    <w:p w:rsidR="005E0301" w:rsidRPr="008D2842" w:rsidRDefault="005E0301" w:rsidP="004641E9">
      <w:pPr>
        <w:rPr>
          <w:rFonts w:ascii="Tahoma" w:hAnsi="Tahoma" w:cs="Tahoma"/>
          <w:b/>
          <w:lang w:val="sr-Cyrl-BA"/>
        </w:rPr>
      </w:pPr>
      <w:r w:rsidRPr="008D2842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</w:t>
      </w:r>
      <w:r w:rsidR="00F24C99" w:rsidRPr="008D2842">
        <w:rPr>
          <w:rFonts w:ascii="Tahoma" w:hAnsi="Tahoma" w:cs="Tahoma"/>
          <w:b/>
          <w:sz w:val="28"/>
          <w:szCs w:val="28"/>
          <w:lang w:val="sr-Cyrl-CS"/>
        </w:rPr>
        <w:t xml:space="preserve"> на домаћем тржишту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8D2842">
        <w:rPr>
          <w:rFonts w:ascii="Tahoma" w:hAnsi="Tahoma" w:cs="Tahoma"/>
          <w:b/>
          <w:sz w:val="28"/>
          <w:szCs w:val="28"/>
          <w:lang w:val="sr-Cyrl-CS"/>
        </w:rPr>
        <w:t>(</w:t>
      </w:r>
      <w:r w:rsidR="007D1A13" w:rsidRPr="008D2842">
        <w:rPr>
          <w:rFonts w:ascii="Tahoma" w:hAnsi="Tahoma" w:cs="Tahoma"/>
          <w:b/>
          <w:sz w:val="28"/>
          <w:szCs w:val="28"/>
          <w:lang w:val="sr-Latn-CS"/>
        </w:rPr>
        <w:t>V</w:t>
      </w:r>
      <w:r w:rsidR="00BE5202"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8D2842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8D2842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8D2842">
        <w:rPr>
          <w:rFonts w:ascii="Tahoma" w:hAnsi="Tahoma" w:cs="Tahoma"/>
          <w:b/>
          <w:sz w:val="28"/>
          <w:szCs w:val="28"/>
          <w:lang w:val="sr-Cyrl-CS"/>
        </w:rPr>
        <w:t>/</w:t>
      </w:r>
      <w:r w:rsidR="007D1A13" w:rsidRPr="008D2842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3C6A" w:rsidRPr="008D2842">
        <w:rPr>
          <w:rFonts w:ascii="Tahoma" w:hAnsi="Tahoma" w:cs="Tahoma"/>
          <w:b/>
          <w:sz w:val="28"/>
          <w:szCs w:val="28"/>
          <w:lang w:val="sr-Latn-CS"/>
        </w:rPr>
        <w:t>V</w:t>
      </w:r>
      <w:r w:rsidR="0009483B" w:rsidRPr="008D284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8D2842">
        <w:rPr>
          <w:rFonts w:ascii="Tahoma" w:hAnsi="Tahoma" w:cs="Tahoma"/>
          <w:b/>
          <w:sz w:val="28"/>
          <w:szCs w:val="28"/>
          <w:lang w:val="sr-Latn-CS"/>
        </w:rPr>
        <w:t>3</w:t>
      </w:r>
      <w:r w:rsidR="00153234" w:rsidRPr="008D2842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8D2842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8D2842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093C6A" w:rsidRPr="008D2842">
        <w:rPr>
          <w:rFonts w:ascii="Tahoma" w:hAnsi="Tahoma" w:cs="Tahoma"/>
          <w:b/>
          <w:sz w:val="28"/>
          <w:szCs w:val="28"/>
          <w:lang w:val="sr-Cyrl-CS"/>
        </w:rPr>
        <w:t>више</w:t>
      </w:r>
      <w:r w:rsidR="00FF2941" w:rsidRPr="008D2842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093C6A" w:rsidRPr="008D2842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8D2842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8D2842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5A5687" w:rsidRPr="008D2842" w:rsidRDefault="00076AB1" w:rsidP="00CF3976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CS"/>
        </w:rPr>
        <w:t>Цијен</w:t>
      </w:r>
      <w:r w:rsidRPr="008D2842">
        <w:rPr>
          <w:rFonts w:ascii="Tahoma" w:hAnsi="Tahoma" w:cs="Tahoma"/>
        </w:rPr>
        <w:t>e</w:t>
      </w:r>
      <w:r w:rsidRPr="008D2842">
        <w:rPr>
          <w:rFonts w:ascii="Tahoma" w:hAnsi="Tahoma" w:cs="Tahoma"/>
          <w:lang w:val="sr-Cyrl-CS"/>
        </w:rPr>
        <w:t xml:space="preserve"> произвођач</w:t>
      </w:r>
      <w:r w:rsidRPr="008D2842">
        <w:rPr>
          <w:rFonts w:ascii="Tahoma" w:hAnsi="Tahoma" w:cs="Tahoma"/>
        </w:rPr>
        <w:t xml:space="preserve">a </w:t>
      </w:r>
      <w:r w:rsidRPr="008D2842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8D2842">
        <w:rPr>
          <w:rFonts w:ascii="Tahoma" w:hAnsi="Tahoma" w:cs="Tahoma"/>
          <w:lang w:val="hr-HR"/>
        </w:rPr>
        <w:t xml:space="preserve"> у </w:t>
      </w:r>
      <w:r w:rsidR="00093C6A" w:rsidRPr="008D2842">
        <w:rPr>
          <w:rFonts w:ascii="Tahoma" w:hAnsi="Tahoma" w:cs="Tahoma"/>
          <w:lang w:val="sr-Cyrl-CS"/>
        </w:rPr>
        <w:t>мају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20</w:t>
      </w:r>
      <w:r w:rsidRPr="008D2842">
        <w:rPr>
          <w:rFonts w:ascii="Tahoma" w:hAnsi="Tahoma" w:cs="Tahoma"/>
          <w:lang w:val="sr-Cyrl-CS"/>
        </w:rPr>
        <w:t>13</w:t>
      </w:r>
      <w:r w:rsidRPr="008D2842">
        <w:rPr>
          <w:rFonts w:ascii="Tahoma" w:hAnsi="Tahoma" w:cs="Tahoma"/>
          <w:lang w:val="hr-HR"/>
        </w:rPr>
        <w:t xml:space="preserve">. </w:t>
      </w:r>
      <w:r w:rsidRPr="008D2842">
        <w:rPr>
          <w:rFonts w:ascii="Tahoma" w:hAnsi="Tahoma" w:cs="Tahoma"/>
          <w:lang w:val="sr-Cyrl-CS"/>
        </w:rPr>
        <w:t xml:space="preserve">године </w:t>
      </w:r>
      <w:r w:rsidRPr="008D2842">
        <w:rPr>
          <w:rFonts w:ascii="Tahoma" w:hAnsi="Tahoma" w:cs="Tahoma"/>
          <w:lang w:val="hr-HR"/>
        </w:rPr>
        <w:t>у односу на</w:t>
      </w:r>
      <w:r w:rsidRPr="008D2842">
        <w:rPr>
          <w:rFonts w:ascii="Tahoma" w:hAnsi="Tahoma" w:cs="Tahoma"/>
          <w:lang w:val="sr-Cyrl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>април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201</w:t>
      </w:r>
      <w:r w:rsidRPr="008D2842">
        <w:rPr>
          <w:rFonts w:ascii="Tahoma" w:hAnsi="Tahoma" w:cs="Tahoma"/>
          <w:lang w:val="sr-Cyrl-CS"/>
        </w:rPr>
        <w:t>3</w:t>
      </w:r>
      <w:r w:rsidRPr="008D2842">
        <w:rPr>
          <w:rFonts w:ascii="Tahoma" w:hAnsi="Tahoma" w:cs="Tahoma"/>
          <w:lang w:val="hr-HR"/>
        </w:rPr>
        <w:t>.</w:t>
      </w:r>
      <w:r w:rsidRPr="008D2842">
        <w:rPr>
          <w:rFonts w:ascii="Tahoma" w:hAnsi="Tahoma" w:cs="Tahoma"/>
          <w:lang w:val="sr-Cyrl-CS"/>
        </w:rPr>
        <w:t xml:space="preserve"> године у просјеку су </w:t>
      </w:r>
      <w:r w:rsidR="00093C6A" w:rsidRPr="008D2842">
        <w:rPr>
          <w:rFonts w:ascii="Tahoma" w:hAnsi="Tahoma" w:cs="Tahoma"/>
          <w:lang w:val="sr-Cyrl-CS"/>
        </w:rPr>
        <w:t>више</w:t>
      </w:r>
      <w:r w:rsidRPr="008D2842">
        <w:rPr>
          <w:rFonts w:ascii="Tahoma" w:hAnsi="Tahoma" w:cs="Tahoma"/>
          <w:lang w:val="sr-Cyrl-CS"/>
        </w:rPr>
        <w:t xml:space="preserve"> за 0</w:t>
      </w:r>
      <w:r w:rsidRPr="008D2842">
        <w:rPr>
          <w:rFonts w:ascii="Tahoma" w:hAnsi="Tahoma" w:cs="Tahoma"/>
          <w:lang w:val="sr-Latn-CS"/>
        </w:rPr>
        <w:t>,</w:t>
      </w:r>
      <w:r w:rsidR="00093C6A" w:rsidRPr="008D2842">
        <w:rPr>
          <w:rFonts w:ascii="Tahoma" w:hAnsi="Tahoma" w:cs="Tahoma"/>
          <w:lang w:val="sr-Cyrl-CS"/>
        </w:rPr>
        <w:t>1%, у односу на мај</w:t>
      </w:r>
      <w:r w:rsidRPr="008D2842">
        <w:rPr>
          <w:rFonts w:ascii="Tahoma" w:hAnsi="Tahoma" w:cs="Tahoma"/>
          <w:lang w:val="sr-Cyrl-CS"/>
        </w:rPr>
        <w:t xml:space="preserve"> 2012. године више су за </w:t>
      </w:r>
      <w:r w:rsidRPr="008D2842">
        <w:rPr>
          <w:rFonts w:ascii="Tahoma" w:hAnsi="Tahoma" w:cs="Tahoma"/>
          <w:lang w:val="sr-Latn-CS"/>
        </w:rPr>
        <w:t>0</w:t>
      </w:r>
      <w:r w:rsidR="00093C6A" w:rsidRPr="008D2842">
        <w:rPr>
          <w:rFonts w:ascii="Tahoma" w:hAnsi="Tahoma" w:cs="Tahoma"/>
          <w:lang w:val="sr-Cyrl-CS"/>
        </w:rPr>
        <w:t>,9</w:t>
      </w:r>
      <w:r w:rsidRPr="008D2842">
        <w:rPr>
          <w:rFonts w:ascii="Tahoma" w:hAnsi="Tahoma" w:cs="Tahoma"/>
          <w:lang w:val="sr-Cyrl-CS"/>
        </w:rPr>
        <w:t>%, док су у односу на децембар 2012. године у просјеку ниже за 0</w:t>
      </w:r>
      <w:r w:rsidR="00093C6A" w:rsidRPr="008D2842">
        <w:rPr>
          <w:rFonts w:ascii="Tahoma" w:hAnsi="Tahoma" w:cs="Tahoma"/>
          <w:lang w:val="sr-Latn-CS"/>
        </w:rPr>
        <w:t>,</w:t>
      </w:r>
      <w:r w:rsidR="00093C6A" w:rsidRPr="008D2842">
        <w:rPr>
          <w:rFonts w:ascii="Tahoma" w:hAnsi="Tahoma" w:cs="Tahoma"/>
          <w:lang w:val="sr-Cyrl-CS"/>
        </w:rPr>
        <w:t>2</w:t>
      </w:r>
      <w:r w:rsidRPr="008D2842">
        <w:rPr>
          <w:rFonts w:ascii="Tahoma" w:hAnsi="Tahoma" w:cs="Tahoma"/>
          <w:lang w:val="sr-Cyrl-CS"/>
        </w:rPr>
        <w:t>%.</w:t>
      </w:r>
    </w:p>
    <w:p w:rsidR="0038415D" w:rsidRPr="008D2842" w:rsidRDefault="00EC4B52" w:rsidP="00CF3976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hr-HR"/>
        </w:rPr>
        <w:t>Посматрано</w:t>
      </w:r>
      <w:r w:rsidRPr="008D2842">
        <w:rPr>
          <w:rFonts w:ascii="Tahoma" w:hAnsi="Tahoma" w:cs="Tahoma"/>
          <w:lang w:val="sr-Cyrl-CS"/>
        </w:rPr>
        <w:t xml:space="preserve"> п</w:t>
      </w:r>
      <w:r w:rsidRPr="008D2842">
        <w:rPr>
          <w:rFonts w:ascii="Tahoma" w:hAnsi="Tahoma" w:cs="Tahoma"/>
          <w:lang w:val="hr-HR"/>
        </w:rPr>
        <w:t>о</w:t>
      </w:r>
      <w:r w:rsidRPr="008D2842">
        <w:rPr>
          <w:rFonts w:ascii="Tahoma" w:hAnsi="Tahoma" w:cs="Tahoma"/>
          <w:lang w:val="sr-Cyrl-CS"/>
        </w:rPr>
        <w:t xml:space="preserve"> намјени потрошње, </w:t>
      </w:r>
      <w:r w:rsidRPr="008D2842">
        <w:rPr>
          <w:rFonts w:ascii="Tahoma" w:hAnsi="Tahoma" w:cs="Tahoma"/>
          <w:lang w:val="hr-HR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>мај</w:t>
      </w:r>
      <w:r w:rsidRPr="008D2842">
        <w:rPr>
          <w:rFonts w:ascii="Tahoma" w:hAnsi="Tahoma" w:cs="Tahoma"/>
          <w:lang w:val="sr-Cyrl-CS"/>
        </w:rPr>
        <w:t xml:space="preserve">у </w:t>
      </w:r>
      <w:r w:rsidRPr="008D2842">
        <w:rPr>
          <w:rFonts w:ascii="Tahoma" w:hAnsi="Tahoma" w:cs="Tahoma"/>
          <w:lang w:val="hr-HR"/>
        </w:rPr>
        <w:t>20</w:t>
      </w:r>
      <w:r w:rsidRPr="008D2842">
        <w:rPr>
          <w:rFonts w:ascii="Tahoma" w:hAnsi="Tahoma" w:cs="Tahoma"/>
          <w:lang w:val="sr-Cyrl-CS"/>
        </w:rPr>
        <w:t>13</w:t>
      </w:r>
      <w:r w:rsidRPr="008D2842">
        <w:rPr>
          <w:rFonts w:ascii="Tahoma" w:hAnsi="Tahoma" w:cs="Tahoma"/>
          <w:lang w:val="hr-HR"/>
        </w:rPr>
        <w:t xml:space="preserve">. </w:t>
      </w:r>
      <w:r w:rsidR="009F2D3D" w:rsidRPr="008D2842">
        <w:rPr>
          <w:rFonts w:ascii="Tahoma" w:hAnsi="Tahoma" w:cs="Tahoma"/>
          <w:lang w:val="sr-Cyrl-CS"/>
        </w:rPr>
        <w:t>г</w:t>
      </w:r>
      <w:r w:rsidRPr="008D2842">
        <w:rPr>
          <w:rFonts w:ascii="Tahoma" w:hAnsi="Tahoma" w:cs="Tahoma"/>
          <w:lang w:val="sr-Cyrl-CS"/>
        </w:rPr>
        <w:t>одине</w:t>
      </w:r>
      <w:r w:rsidR="009F2D3D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у односу на</w:t>
      </w:r>
      <w:r w:rsidRPr="008D2842">
        <w:rPr>
          <w:rFonts w:ascii="Tahoma" w:hAnsi="Tahoma" w:cs="Tahoma"/>
          <w:lang w:val="sr-Cyrl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>април</w:t>
      </w:r>
      <w:r w:rsidRPr="008D2842">
        <w:rPr>
          <w:rFonts w:ascii="Tahoma" w:hAnsi="Tahoma" w:cs="Tahoma"/>
          <w:lang w:val="sr-Latn-CS"/>
        </w:rPr>
        <w:t xml:space="preserve"> </w:t>
      </w:r>
      <w:r w:rsidRPr="008D2842">
        <w:rPr>
          <w:rFonts w:ascii="Tahoma" w:hAnsi="Tahoma" w:cs="Tahoma"/>
          <w:lang w:val="hr-HR"/>
        </w:rPr>
        <w:t>201</w:t>
      </w:r>
      <w:r w:rsidRPr="008D2842">
        <w:rPr>
          <w:rFonts w:ascii="Tahoma" w:hAnsi="Tahoma" w:cs="Tahoma"/>
          <w:lang w:val="sr-Cyrl-CS"/>
        </w:rPr>
        <w:t>3. године</w:t>
      </w:r>
      <w:r w:rsidRPr="008D2842">
        <w:rPr>
          <w:rFonts w:ascii="Tahoma" w:hAnsi="Tahoma" w:cs="Tahoma"/>
          <w:lang w:val="sr-Latn-CS"/>
        </w:rPr>
        <w:t>,</w:t>
      </w:r>
      <w:r w:rsidRPr="008D2842">
        <w:rPr>
          <w:rFonts w:ascii="Tahoma" w:hAnsi="Tahoma" w:cs="Tahoma"/>
          <w:lang w:val="sr-Cyrl-CS"/>
        </w:rPr>
        <w:t xml:space="preserve"> цијене</w:t>
      </w:r>
      <w:r w:rsidRPr="008D2842">
        <w:rPr>
          <w:rFonts w:ascii="Tahoma" w:hAnsi="Tahoma" w:cs="Tahoma"/>
          <w:lang w:val="sr-Latn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>не</w:t>
      </w:r>
      <w:r w:rsidRPr="008D2842">
        <w:rPr>
          <w:rFonts w:ascii="Tahoma" w:hAnsi="Tahoma" w:cs="Tahoma"/>
          <w:lang w:val="sr-Cyrl-CS"/>
        </w:rPr>
        <w:t>трајних производа за широку потрошњу</w:t>
      </w:r>
      <w:r w:rsidRPr="008D2842">
        <w:rPr>
          <w:rFonts w:ascii="Tahoma" w:hAnsi="Tahoma" w:cs="Tahoma"/>
          <w:lang w:val="sr-Latn-BA"/>
        </w:rPr>
        <w:t xml:space="preserve"> </w:t>
      </w:r>
      <w:r w:rsidRPr="008D2842">
        <w:rPr>
          <w:rFonts w:ascii="Tahoma" w:hAnsi="Tahoma" w:cs="Tahoma"/>
          <w:lang w:val="sr-Cyrl-CS"/>
        </w:rPr>
        <w:t>у просјеку</w:t>
      </w:r>
      <w:r w:rsidRPr="008D2842">
        <w:rPr>
          <w:rFonts w:ascii="Tahoma" w:hAnsi="Tahoma" w:cs="Tahoma"/>
          <w:lang w:val="sr-Latn-BA"/>
        </w:rPr>
        <w:t xml:space="preserve"> </w:t>
      </w:r>
      <w:r w:rsidRPr="008D2842">
        <w:rPr>
          <w:rFonts w:ascii="Tahoma" w:hAnsi="Tahoma" w:cs="Tahoma"/>
          <w:lang w:val="sr-Cyrl-CS"/>
        </w:rPr>
        <w:t>су више</w:t>
      </w:r>
      <w:r w:rsidRPr="008D2842">
        <w:rPr>
          <w:rFonts w:ascii="Tahoma" w:hAnsi="Tahoma" w:cs="Tahoma"/>
          <w:lang w:val="sr-Latn-BA"/>
        </w:rPr>
        <w:t xml:space="preserve"> </w:t>
      </w:r>
      <w:r w:rsidRPr="008D2842">
        <w:rPr>
          <w:rFonts w:ascii="Tahoma" w:hAnsi="Tahoma" w:cs="Tahoma"/>
          <w:lang w:val="sr-Cyrl-CS"/>
        </w:rPr>
        <w:t>за</w:t>
      </w:r>
      <w:r w:rsidRPr="008D2842">
        <w:rPr>
          <w:rFonts w:ascii="Tahoma" w:hAnsi="Tahoma" w:cs="Tahoma"/>
          <w:lang w:val="sr-Latn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>0,1</w:t>
      </w:r>
      <w:r w:rsidRPr="008D2842">
        <w:rPr>
          <w:rFonts w:ascii="Tahoma" w:hAnsi="Tahoma" w:cs="Tahoma"/>
          <w:lang w:val="sr-Latn-CS"/>
        </w:rPr>
        <w:t>%</w:t>
      </w:r>
      <w:r w:rsidRPr="008D2842">
        <w:rPr>
          <w:rFonts w:ascii="Tahoma" w:hAnsi="Tahoma" w:cs="Tahoma"/>
          <w:lang w:val="sr-Cyrl-CS"/>
        </w:rPr>
        <w:t xml:space="preserve">, </w:t>
      </w:r>
      <w:r w:rsidR="00093C6A" w:rsidRPr="008D2842">
        <w:rPr>
          <w:rFonts w:ascii="Tahoma" w:hAnsi="Tahoma" w:cs="Tahoma"/>
          <w:lang w:val="sr-Cyrl-CS"/>
        </w:rPr>
        <w:t xml:space="preserve">док су </w:t>
      </w:r>
      <w:r w:rsidRPr="008D2842">
        <w:rPr>
          <w:rFonts w:ascii="Tahoma" w:hAnsi="Tahoma" w:cs="Tahoma"/>
          <w:lang w:val="sr-Cyrl-CS"/>
        </w:rPr>
        <w:t>цијене</w:t>
      </w:r>
      <w:r w:rsidR="00093C6A" w:rsidRPr="008D2842">
        <w:rPr>
          <w:rFonts w:ascii="Tahoma" w:hAnsi="Tahoma" w:cs="Tahoma"/>
          <w:lang w:val="sr-Cyrl-CS"/>
        </w:rPr>
        <w:t xml:space="preserve"> енергије, цијене</w:t>
      </w:r>
      <w:r w:rsidRPr="008D2842">
        <w:rPr>
          <w:rFonts w:ascii="Tahoma" w:hAnsi="Tahoma" w:cs="Tahoma"/>
          <w:lang w:val="sr-Cyrl-CS"/>
        </w:rPr>
        <w:t xml:space="preserve"> </w:t>
      </w:r>
      <w:r w:rsidR="00093C6A" w:rsidRPr="008D2842">
        <w:rPr>
          <w:rFonts w:ascii="Tahoma" w:hAnsi="Tahoma" w:cs="Tahoma"/>
          <w:lang w:val="sr-Cyrl-CS"/>
        </w:rPr>
        <w:t xml:space="preserve">интермедијарних производа, цијене </w:t>
      </w:r>
      <w:r w:rsidRPr="008D2842">
        <w:rPr>
          <w:rFonts w:ascii="Tahoma" w:hAnsi="Tahoma" w:cs="Tahoma"/>
          <w:lang w:val="sr-Cyrl-CS"/>
        </w:rPr>
        <w:t xml:space="preserve">капиталних прозвода </w:t>
      </w:r>
      <w:r w:rsidR="00093C6A" w:rsidRPr="008D2842">
        <w:rPr>
          <w:rFonts w:ascii="Tahoma" w:hAnsi="Tahoma" w:cs="Tahoma"/>
          <w:lang w:val="sr-Cyrl-CS"/>
        </w:rPr>
        <w:t xml:space="preserve">као и цијене </w:t>
      </w:r>
      <w:r w:rsidRPr="008D2842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="00705ECC" w:rsidRPr="008D2842">
        <w:rPr>
          <w:rFonts w:ascii="Tahoma" w:hAnsi="Tahoma" w:cs="Tahoma"/>
          <w:lang w:val="sr-Cyrl-CS"/>
        </w:rPr>
        <w:t xml:space="preserve">у просјеку </w:t>
      </w:r>
      <w:r w:rsidRPr="008D2842">
        <w:rPr>
          <w:rFonts w:ascii="Tahoma" w:hAnsi="Tahoma" w:cs="Tahoma"/>
          <w:lang w:val="sr-Cyrl-CS"/>
        </w:rPr>
        <w:t>остале на истом нивоу.</w:t>
      </w:r>
    </w:p>
    <w:p w:rsidR="00CB271B" w:rsidRPr="008D2842" w:rsidRDefault="005E0301" w:rsidP="00705ECC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CS"/>
        </w:rPr>
        <w:t xml:space="preserve">Цијене </w:t>
      </w:r>
      <w:r w:rsidR="001A1901" w:rsidRPr="008D2842">
        <w:rPr>
          <w:rFonts w:ascii="Tahoma" w:hAnsi="Tahoma" w:cs="Tahoma"/>
          <w:lang w:val="sr-Cyrl-CS"/>
        </w:rPr>
        <w:t>интермедијарних производа</w:t>
      </w:r>
      <w:r w:rsidRPr="008D2842">
        <w:rPr>
          <w:rFonts w:ascii="Tahoma" w:hAnsi="Tahoma" w:cs="Tahoma"/>
          <w:lang w:val="sr-Cyrl-CS"/>
        </w:rPr>
        <w:t>, п</w:t>
      </w:r>
      <w:r w:rsidRPr="008D2842">
        <w:rPr>
          <w:rFonts w:ascii="Tahoma" w:hAnsi="Tahoma" w:cs="Tahoma"/>
          <w:lang w:val="hr-HR"/>
        </w:rPr>
        <w:t>осматрано</w:t>
      </w:r>
      <w:r w:rsidRPr="008D2842">
        <w:rPr>
          <w:rFonts w:ascii="Tahoma" w:hAnsi="Tahoma" w:cs="Tahoma"/>
          <w:lang w:val="sr-Cyrl-CS"/>
        </w:rPr>
        <w:t xml:space="preserve"> п</w:t>
      </w:r>
      <w:r w:rsidRPr="008D2842">
        <w:rPr>
          <w:rFonts w:ascii="Tahoma" w:hAnsi="Tahoma" w:cs="Tahoma"/>
          <w:lang w:val="hr-HR"/>
        </w:rPr>
        <w:t>о</w:t>
      </w:r>
      <w:r w:rsidRPr="008D2842">
        <w:rPr>
          <w:rFonts w:ascii="Tahoma" w:hAnsi="Tahoma" w:cs="Tahoma"/>
          <w:lang w:val="sr-Cyrl-CS"/>
        </w:rPr>
        <w:t xml:space="preserve"> намјени потрошње,</w:t>
      </w:r>
      <w:r w:rsidRPr="008D2842">
        <w:rPr>
          <w:rFonts w:ascii="Tahoma" w:hAnsi="Tahoma" w:cs="Tahoma"/>
          <w:lang w:val="hr-HR"/>
        </w:rPr>
        <w:t xml:space="preserve"> у</w:t>
      </w:r>
      <w:r w:rsidRPr="008D2842">
        <w:rPr>
          <w:rFonts w:ascii="Tahoma" w:hAnsi="Tahoma" w:cs="Tahoma"/>
          <w:lang w:val="sr-Cyrl-CS"/>
        </w:rPr>
        <w:t xml:space="preserve"> </w:t>
      </w:r>
      <w:r w:rsidR="00E62D2F" w:rsidRPr="008D2842">
        <w:rPr>
          <w:rFonts w:ascii="Tahoma" w:hAnsi="Tahoma" w:cs="Tahoma"/>
          <w:lang w:val="sr-Cyrl-CS"/>
        </w:rPr>
        <w:t>мај</w:t>
      </w:r>
      <w:r w:rsidR="007D1A13" w:rsidRPr="008D2842">
        <w:rPr>
          <w:rFonts w:ascii="Tahoma" w:hAnsi="Tahoma" w:cs="Tahoma"/>
          <w:lang w:val="sr-Cyrl-CS"/>
        </w:rPr>
        <w:t>у</w:t>
      </w:r>
      <w:r w:rsidR="00CB271B"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20</w:t>
      </w:r>
      <w:r w:rsidR="0038415D" w:rsidRPr="008D2842">
        <w:rPr>
          <w:rFonts w:ascii="Tahoma" w:hAnsi="Tahoma" w:cs="Tahoma"/>
          <w:lang w:val="sr-Cyrl-CS"/>
        </w:rPr>
        <w:t>13</w:t>
      </w:r>
      <w:r w:rsidRPr="008D2842">
        <w:rPr>
          <w:rFonts w:ascii="Tahoma" w:hAnsi="Tahoma" w:cs="Tahoma"/>
          <w:lang w:val="hr-HR"/>
        </w:rPr>
        <w:t xml:space="preserve">. </w:t>
      </w:r>
      <w:r w:rsidRPr="008D2842">
        <w:rPr>
          <w:rFonts w:ascii="Tahoma" w:hAnsi="Tahoma" w:cs="Tahoma"/>
          <w:lang w:val="sr-Cyrl-CS"/>
        </w:rPr>
        <w:t xml:space="preserve">године </w:t>
      </w:r>
      <w:r w:rsidRPr="008D2842">
        <w:rPr>
          <w:rFonts w:ascii="Tahoma" w:hAnsi="Tahoma" w:cs="Tahoma"/>
          <w:lang w:val="hr-HR"/>
        </w:rPr>
        <w:t>у односу на</w:t>
      </w:r>
      <w:r w:rsidR="00AA2389" w:rsidRPr="008D2842">
        <w:rPr>
          <w:rFonts w:ascii="Tahoma" w:hAnsi="Tahoma" w:cs="Tahoma"/>
          <w:lang w:val="sr-Cyrl-CS"/>
        </w:rPr>
        <w:t xml:space="preserve"> </w:t>
      </w:r>
      <w:r w:rsidR="00E62D2F" w:rsidRPr="008D2842">
        <w:rPr>
          <w:rFonts w:ascii="Tahoma" w:hAnsi="Tahoma" w:cs="Tahoma"/>
          <w:lang w:val="sr-Cyrl-CS"/>
        </w:rPr>
        <w:t xml:space="preserve">мај </w:t>
      </w:r>
      <w:r w:rsidR="0038415D" w:rsidRPr="008D2842">
        <w:rPr>
          <w:rFonts w:ascii="Tahoma" w:hAnsi="Tahoma" w:cs="Tahoma"/>
          <w:lang w:val="sr-Cyrl-CS"/>
        </w:rPr>
        <w:t xml:space="preserve"> 2012</w:t>
      </w:r>
      <w:r w:rsidRPr="008D2842">
        <w:rPr>
          <w:rFonts w:ascii="Tahoma" w:hAnsi="Tahoma" w:cs="Tahoma"/>
          <w:lang w:val="sr-Cyrl-CS"/>
        </w:rPr>
        <w:t xml:space="preserve">. </w:t>
      </w:r>
      <w:r w:rsidR="00AA2389" w:rsidRPr="008D2842">
        <w:rPr>
          <w:rFonts w:ascii="Tahoma" w:hAnsi="Tahoma" w:cs="Tahoma"/>
          <w:lang w:val="sr-Cyrl-CS"/>
        </w:rPr>
        <w:t>г</w:t>
      </w:r>
      <w:r w:rsidRPr="008D2842">
        <w:rPr>
          <w:rFonts w:ascii="Tahoma" w:hAnsi="Tahoma" w:cs="Tahoma"/>
          <w:lang w:val="sr-Cyrl-CS"/>
        </w:rPr>
        <w:t>одине</w:t>
      </w:r>
      <w:r w:rsidR="00153234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у просјеку</w:t>
      </w:r>
      <w:r w:rsidRPr="008D2842">
        <w:rPr>
          <w:rFonts w:ascii="Tahoma" w:hAnsi="Tahoma" w:cs="Tahoma"/>
          <w:lang w:val="sr-Latn-BA"/>
        </w:rPr>
        <w:t xml:space="preserve"> </w:t>
      </w:r>
      <w:r w:rsidRPr="008D2842">
        <w:rPr>
          <w:rFonts w:ascii="Tahoma" w:hAnsi="Tahoma" w:cs="Tahoma"/>
          <w:lang w:val="sr-Cyrl-CS"/>
        </w:rPr>
        <w:t>су више</w:t>
      </w:r>
      <w:r w:rsidRPr="008D2842">
        <w:rPr>
          <w:rFonts w:ascii="Tahoma" w:hAnsi="Tahoma" w:cs="Tahoma"/>
          <w:lang w:val="sr-Latn-BA"/>
        </w:rPr>
        <w:t xml:space="preserve"> </w:t>
      </w:r>
      <w:r w:rsidR="002C2F32" w:rsidRPr="008D2842">
        <w:rPr>
          <w:rFonts w:ascii="Tahoma" w:hAnsi="Tahoma" w:cs="Tahoma"/>
          <w:lang w:val="sr-Cyrl-CS"/>
        </w:rPr>
        <w:t xml:space="preserve">за </w:t>
      </w:r>
      <w:r w:rsidR="007D1A13" w:rsidRPr="008D2842">
        <w:rPr>
          <w:rFonts w:ascii="Tahoma" w:hAnsi="Tahoma" w:cs="Tahoma"/>
          <w:lang w:val="sr-Cyrl-CS"/>
        </w:rPr>
        <w:t>2</w:t>
      </w:r>
      <w:r w:rsidR="004B0BF9" w:rsidRPr="008D2842">
        <w:rPr>
          <w:rFonts w:ascii="Tahoma" w:hAnsi="Tahoma" w:cs="Tahoma"/>
          <w:lang w:val="sr-Latn-CS"/>
        </w:rPr>
        <w:t>,2</w:t>
      </w:r>
      <w:r w:rsidRPr="008D2842">
        <w:rPr>
          <w:rFonts w:ascii="Tahoma" w:hAnsi="Tahoma" w:cs="Tahoma"/>
          <w:lang w:val="sr-Cyrl-CS"/>
        </w:rPr>
        <w:t>%</w:t>
      </w:r>
      <w:r w:rsidR="00153234" w:rsidRPr="008D2842">
        <w:rPr>
          <w:rFonts w:ascii="Tahoma" w:hAnsi="Tahoma" w:cs="Tahoma"/>
          <w:lang w:val="sr-Cyrl-CS"/>
        </w:rPr>
        <w:t>,</w:t>
      </w:r>
      <w:r w:rsidR="00D070A9" w:rsidRPr="008D2842">
        <w:rPr>
          <w:rFonts w:ascii="Tahoma" w:hAnsi="Tahoma" w:cs="Tahoma"/>
          <w:lang w:val="sr-Cyrl-CS"/>
        </w:rPr>
        <w:t xml:space="preserve"> </w:t>
      </w:r>
      <w:r w:rsidR="004B0BF9" w:rsidRPr="008D2842">
        <w:rPr>
          <w:rFonts w:ascii="Tahoma" w:hAnsi="Tahoma" w:cs="Tahoma"/>
          <w:lang w:val="sr-Cyrl-CS"/>
        </w:rPr>
        <w:t>цијене нетрајних производа за широку потрошњу за 0,</w:t>
      </w:r>
      <w:r w:rsidR="004B0BF9" w:rsidRPr="008D2842">
        <w:rPr>
          <w:rFonts w:ascii="Tahoma" w:hAnsi="Tahoma" w:cs="Tahoma"/>
          <w:lang w:val="sr-Latn-CS"/>
        </w:rPr>
        <w:t>4</w:t>
      </w:r>
      <w:r w:rsidR="004B0BF9" w:rsidRPr="008D2842">
        <w:rPr>
          <w:rFonts w:ascii="Tahoma" w:hAnsi="Tahoma" w:cs="Tahoma"/>
          <w:lang w:val="sr-Cyrl-CS"/>
        </w:rPr>
        <w:t>%</w:t>
      </w:r>
      <w:r w:rsidR="004B0BF9" w:rsidRPr="008D2842">
        <w:rPr>
          <w:rFonts w:ascii="Tahoma" w:hAnsi="Tahoma" w:cs="Tahoma"/>
          <w:lang w:val="sr-Latn-CS"/>
        </w:rPr>
        <w:t xml:space="preserve">, </w:t>
      </w:r>
      <w:r w:rsidR="004B0BF9" w:rsidRPr="008D2842">
        <w:rPr>
          <w:rFonts w:ascii="Tahoma" w:hAnsi="Tahoma" w:cs="Tahoma"/>
          <w:lang w:val="sr-Cyrl-CS"/>
        </w:rPr>
        <w:t>цијене енергије за 0,</w:t>
      </w:r>
      <w:r w:rsidR="004B0BF9" w:rsidRPr="008D2842">
        <w:rPr>
          <w:rFonts w:ascii="Tahoma" w:hAnsi="Tahoma" w:cs="Tahoma"/>
          <w:lang w:val="sr-Latn-CS"/>
        </w:rPr>
        <w:t>3</w:t>
      </w:r>
      <w:r w:rsidR="005D441C" w:rsidRPr="008D2842">
        <w:rPr>
          <w:rFonts w:ascii="Tahoma" w:hAnsi="Tahoma" w:cs="Tahoma"/>
          <w:lang w:val="sr-Cyrl-CS"/>
        </w:rPr>
        <w:t>%,</w:t>
      </w:r>
      <w:r w:rsidR="007D1A13" w:rsidRPr="008D2842">
        <w:rPr>
          <w:rFonts w:ascii="Tahoma" w:hAnsi="Tahoma" w:cs="Tahoma"/>
          <w:lang w:val="sr-Cyrl-CS"/>
        </w:rPr>
        <w:t xml:space="preserve"> док су</w:t>
      </w:r>
      <w:r w:rsidR="0038415D" w:rsidRPr="008D2842">
        <w:rPr>
          <w:rFonts w:ascii="Tahoma" w:hAnsi="Tahoma" w:cs="Tahoma"/>
          <w:lang w:val="sr-Cyrl-CS"/>
        </w:rPr>
        <w:t xml:space="preserve"> </w:t>
      </w:r>
      <w:r w:rsidR="007D1A13" w:rsidRPr="008D2842">
        <w:rPr>
          <w:rFonts w:ascii="Tahoma" w:hAnsi="Tahoma" w:cs="Tahoma"/>
          <w:lang w:val="sr-Cyrl-CS"/>
        </w:rPr>
        <w:t>цијене капиталних</w:t>
      </w:r>
      <w:r w:rsidR="004B0BF9" w:rsidRPr="008D2842">
        <w:rPr>
          <w:rFonts w:ascii="Tahoma" w:hAnsi="Tahoma" w:cs="Tahoma"/>
          <w:lang w:val="sr-Cyrl-CS"/>
        </w:rPr>
        <w:t xml:space="preserve"> прозвода у просјеку ниже за 0,</w:t>
      </w:r>
      <w:r w:rsidR="004B0BF9" w:rsidRPr="008D2842">
        <w:rPr>
          <w:rFonts w:ascii="Tahoma" w:hAnsi="Tahoma" w:cs="Tahoma"/>
          <w:lang w:val="sr-Latn-CS"/>
        </w:rPr>
        <w:t>5</w:t>
      </w:r>
      <w:r w:rsidR="007D1A13" w:rsidRPr="008D2842">
        <w:rPr>
          <w:rFonts w:ascii="Tahoma" w:hAnsi="Tahoma" w:cs="Tahoma"/>
          <w:lang w:val="sr-Cyrl-CS"/>
        </w:rPr>
        <w:t>%</w:t>
      </w:r>
      <w:r w:rsidR="0023009E">
        <w:rPr>
          <w:rFonts w:ascii="Tahoma" w:hAnsi="Tahoma" w:cs="Tahoma"/>
          <w:lang w:val="sr-Latn-CS"/>
        </w:rPr>
        <w:t xml:space="preserve">, </w:t>
      </w:r>
      <w:r w:rsidR="0023009E">
        <w:rPr>
          <w:rFonts w:ascii="Tahoma" w:hAnsi="Tahoma" w:cs="Tahoma"/>
          <w:lang w:val="sr-Cyrl-CS"/>
        </w:rPr>
        <w:t>и</w:t>
      </w:r>
      <w:r w:rsidR="007D1A13" w:rsidRPr="008D2842">
        <w:rPr>
          <w:rFonts w:ascii="Tahoma" w:hAnsi="Tahoma" w:cs="Tahoma"/>
          <w:lang w:val="sr-Cyrl-CS"/>
        </w:rPr>
        <w:t xml:space="preserve"> </w:t>
      </w:r>
      <w:r w:rsidR="001A1901" w:rsidRPr="008D2842">
        <w:rPr>
          <w:rFonts w:ascii="Tahoma" w:hAnsi="Tahoma" w:cs="Tahoma"/>
          <w:lang w:val="sr-Cyrl-CS"/>
        </w:rPr>
        <w:t>цијене</w:t>
      </w:r>
      <w:r w:rsidR="00552353" w:rsidRPr="008D2842">
        <w:rPr>
          <w:rFonts w:ascii="Tahoma" w:hAnsi="Tahoma" w:cs="Tahoma"/>
          <w:lang w:val="sr-Cyrl-CS"/>
        </w:rPr>
        <w:t xml:space="preserve"> </w:t>
      </w:r>
      <w:r w:rsidR="001A1901" w:rsidRPr="008D2842">
        <w:rPr>
          <w:rFonts w:ascii="Tahoma" w:hAnsi="Tahoma" w:cs="Tahoma"/>
          <w:lang w:val="sr-Cyrl-CS"/>
        </w:rPr>
        <w:t>трајних производа за широку потрошњу</w:t>
      </w:r>
      <w:r w:rsidR="0038415D" w:rsidRPr="008D2842">
        <w:rPr>
          <w:rFonts w:ascii="Tahoma" w:hAnsi="Tahoma" w:cs="Tahoma"/>
          <w:lang w:val="sr-Cyrl-CS"/>
        </w:rPr>
        <w:t xml:space="preserve"> </w:t>
      </w:r>
      <w:r w:rsidR="007D1A13" w:rsidRPr="008D2842">
        <w:rPr>
          <w:rFonts w:ascii="Tahoma" w:hAnsi="Tahoma" w:cs="Tahoma"/>
          <w:lang w:val="sr-Cyrl-CS"/>
        </w:rPr>
        <w:t>за 0,3</w:t>
      </w:r>
      <w:r w:rsidR="00F14F2F" w:rsidRPr="008D2842">
        <w:rPr>
          <w:rFonts w:ascii="Tahoma" w:hAnsi="Tahoma" w:cs="Tahoma"/>
          <w:lang w:val="sr-Cyrl-CS"/>
        </w:rPr>
        <w:t>%</w:t>
      </w:r>
      <w:r w:rsidR="007D1A13" w:rsidRPr="008D2842">
        <w:rPr>
          <w:rFonts w:ascii="Tahoma" w:hAnsi="Tahoma" w:cs="Tahoma"/>
          <w:lang w:val="sr-Cyrl-CS"/>
        </w:rPr>
        <w:t>.</w:t>
      </w:r>
      <w:r w:rsidR="00D070A9" w:rsidRPr="008D2842">
        <w:rPr>
          <w:rFonts w:ascii="Tahoma" w:hAnsi="Tahoma" w:cs="Tahoma"/>
          <w:lang w:val="sr-Cyrl-CS"/>
        </w:rPr>
        <w:t xml:space="preserve"> </w:t>
      </w:r>
    </w:p>
    <w:p w:rsidR="00D070A9" w:rsidRPr="008D2842" w:rsidRDefault="007D1A13" w:rsidP="00D070A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hr-HR"/>
        </w:rPr>
        <w:t xml:space="preserve">Посматрано по </w:t>
      </w:r>
      <w:r w:rsidRPr="008D2842">
        <w:rPr>
          <w:rFonts w:ascii="Tahoma" w:hAnsi="Tahoma" w:cs="Tahoma"/>
          <w:lang w:val="sr-Cyrl-CS"/>
        </w:rPr>
        <w:t>подручјима</w:t>
      </w:r>
      <w:r w:rsidRPr="008D2842">
        <w:rPr>
          <w:rFonts w:ascii="Tahoma" w:hAnsi="Tahoma" w:cs="Tahoma"/>
          <w:lang w:val="hr-HR"/>
        </w:rPr>
        <w:t xml:space="preserve"> </w:t>
      </w:r>
      <w:r w:rsidRPr="008D2842">
        <w:rPr>
          <w:rFonts w:ascii="Tahoma" w:hAnsi="Tahoma" w:cs="Tahoma"/>
          <w:lang w:val="sr-Cyrl-CS"/>
        </w:rPr>
        <w:t>индустријске производње</w:t>
      </w:r>
      <w:r w:rsidRPr="008D2842">
        <w:rPr>
          <w:rFonts w:ascii="Tahoma" w:hAnsi="Tahoma" w:cs="Tahoma"/>
          <w:lang w:val="hr-HR"/>
        </w:rPr>
        <w:t xml:space="preserve"> (</w:t>
      </w:r>
      <w:r w:rsidRPr="008D2842">
        <w:rPr>
          <w:rFonts w:ascii="Tahoma" w:hAnsi="Tahoma" w:cs="Tahoma"/>
          <w:lang w:val="sr-Cyrl-CS"/>
        </w:rPr>
        <w:t>PRODCOM</w:t>
      </w:r>
      <w:r w:rsidRPr="008D2842">
        <w:rPr>
          <w:rFonts w:ascii="Tahoma" w:hAnsi="Tahoma" w:cs="Tahoma"/>
          <w:lang w:val="hr-HR"/>
        </w:rPr>
        <w:t>)</w:t>
      </w:r>
      <w:r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hr-HR"/>
        </w:rPr>
        <w:t xml:space="preserve"> </w:t>
      </w:r>
      <w:r w:rsidRPr="008D2842">
        <w:rPr>
          <w:rFonts w:ascii="Tahoma" w:hAnsi="Tahoma" w:cs="Tahoma"/>
          <w:lang w:val="sr-Cyrl-CS"/>
        </w:rPr>
        <w:t>цијене</w:t>
      </w:r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CS"/>
        </w:rPr>
        <w:t xml:space="preserve">подручја </w:t>
      </w:r>
      <w:r w:rsidR="00E62D2F" w:rsidRPr="008D2842">
        <w:rPr>
          <w:rFonts w:ascii="Tahoma" w:hAnsi="Tahoma" w:cs="Tahoma"/>
          <w:lang w:val="sr-Cyrl-CS"/>
        </w:rPr>
        <w:t>(Б)</w:t>
      </w:r>
      <w:r w:rsidR="00E62D2F" w:rsidRPr="008D2842">
        <w:rPr>
          <w:rFonts w:ascii="Tahoma" w:hAnsi="Tahoma" w:cs="Tahoma"/>
          <w:lang w:val="hr-HR"/>
        </w:rPr>
        <w:t xml:space="preserve"> </w:t>
      </w:r>
      <w:r w:rsidR="00E62D2F" w:rsidRPr="008D2842">
        <w:rPr>
          <w:rFonts w:ascii="Tahoma" w:hAnsi="Tahoma" w:cs="Tahoma"/>
          <w:lang w:val="sr-Cyrl-CS"/>
        </w:rPr>
        <w:t xml:space="preserve">вађење руда и камена </w:t>
      </w:r>
      <w:r w:rsidRPr="008D2842">
        <w:rPr>
          <w:rFonts w:ascii="Tahoma" w:hAnsi="Tahoma" w:cs="Tahoma"/>
          <w:lang w:val="hr-HR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r w:rsidR="00E62D2F" w:rsidRPr="008D2842">
        <w:rPr>
          <w:rFonts w:ascii="Tahoma" w:hAnsi="Tahoma" w:cs="Tahoma"/>
          <w:lang w:val="sr-Cyrl-CS"/>
        </w:rPr>
        <w:t>мају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20</w:t>
      </w:r>
      <w:r w:rsidRPr="008D2842">
        <w:rPr>
          <w:rFonts w:ascii="Tahoma" w:hAnsi="Tahoma" w:cs="Tahoma"/>
          <w:lang w:val="sr-Cyrl-CS"/>
        </w:rPr>
        <w:t>13</w:t>
      </w:r>
      <w:r w:rsidRPr="008D2842">
        <w:rPr>
          <w:rFonts w:ascii="Tahoma" w:hAnsi="Tahoma" w:cs="Tahoma"/>
          <w:lang w:val="hr-HR"/>
        </w:rPr>
        <w:t xml:space="preserve">. </w:t>
      </w:r>
      <w:r w:rsidRPr="008D2842">
        <w:rPr>
          <w:rFonts w:ascii="Tahoma" w:hAnsi="Tahoma" w:cs="Tahoma"/>
          <w:lang w:val="sr-Cyrl-CS"/>
        </w:rPr>
        <w:t>године у</w:t>
      </w:r>
      <w:r w:rsidRPr="008D2842">
        <w:rPr>
          <w:rFonts w:ascii="Tahoma" w:hAnsi="Tahoma" w:cs="Tahoma"/>
          <w:lang w:val="hr-HR"/>
        </w:rPr>
        <w:t xml:space="preserve"> односу на</w:t>
      </w:r>
      <w:r w:rsidRPr="008D2842">
        <w:rPr>
          <w:rFonts w:ascii="Tahoma" w:hAnsi="Tahoma" w:cs="Tahoma"/>
          <w:lang w:val="sr-Cyrl-CS"/>
        </w:rPr>
        <w:t xml:space="preserve"> </w:t>
      </w:r>
      <w:r w:rsidR="00E62D2F" w:rsidRPr="008D2842">
        <w:rPr>
          <w:rFonts w:ascii="Tahoma" w:hAnsi="Tahoma" w:cs="Tahoma"/>
          <w:lang w:val="sr-Cyrl-CS"/>
        </w:rPr>
        <w:t>април</w:t>
      </w:r>
      <w:r w:rsidRPr="008D2842">
        <w:rPr>
          <w:rFonts w:ascii="Tahoma" w:hAnsi="Tahoma" w:cs="Tahoma"/>
          <w:lang w:val="hr-HR"/>
        </w:rPr>
        <w:t xml:space="preserve"> 201</w:t>
      </w:r>
      <w:r w:rsidRPr="008D2842">
        <w:rPr>
          <w:rFonts w:ascii="Tahoma" w:hAnsi="Tahoma" w:cs="Tahoma"/>
          <w:lang w:val="sr-Cyrl-CS"/>
        </w:rPr>
        <w:t>3</w:t>
      </w:r>
      <w:r w:rsidRPr="008D2842">
        <w:rPr>
          <w:rFonts w:ascii="Tahoma" w:hAnsi="Tahoma" w:cs="Tahoma"/>
          <w:lang w:val="hr-HR"/>
        </w:rPr>
        <w:t>.</w:t>
      </w:r>
      <w:r w:rsidRPr="008D2842">
        <w:rPr>
          <w:rFonts w:ascii="Tahoma" w:hAnsi="Tahoma" w:cs="Tahoma"/>
          <w:lang w:val="sr-Cyrl-CS"/>
        </w:rPr>
        <w:t xml:space="preserve"> године у просјеку су ниже за 0,</w:t>
      </w:r>
      <w:r w:rsidR="00E62D2F" w:rsidRPr="008D2842">
        <w:rPr>
          <w:rFonts w:ascii="Tahoma" w:hAnsi="Tahoma" w:cs="Tahoma"/>
          <w:lang w:val="sr-Cyrl-CS"/>
        </w:rPr>
        <w:t>2</w:t>
      </w:r>
      <w:r w:rsidRPr="008D2842">
        <w:rPr>
          <w:rFonts w:ascii="Tahoma" w:hAnsi="Tahoma" w:cs="Tahoma"/>
          <w:lang w:val="sr-Cyrl-CS"/>
        </w:rPr>
        <w:t xml:space="preserve">%, док су цијене подручја </w:t>
      </w:r>
      <w:r w:rsidR="00E62D2F" w:rsidRPr="008D2842">
        <w:rPr>
          <w:rFonts w:ascii="Tahoma" w:hAnsi="Tahoma" w:cs="Tahoma"/>
          <w:lang w:val="sr-Cyrl-CS"/>
        </w:rPr>
        <w:t xml:space="preserve">(Ц) прерађивачка индустрија </w:t>
      </w:r>
      <w:r w:rsidRPr="008D2842">
        <w:rPr>
          <w:rFonts w:ascii="Tahoma" w:hAnsi="Tahoma" w:cs="Tahoma"/>
          <w:lang w:val="sr-Cyrl-CS"/>
        </w:rPr>
        <w:t>као и цијене подручја (Д) производња и снабдијевање електричном енергијом, гасом</w:t>
      </w:r>
      <w:r w:rsidR="003F28F6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паром и климатизација, у просјеку остале на истом нивоу.</w:t>
      </w:r>
    </w:p>
    <w:p w:rsidR="002874ED" w:rsidRPr="008D2842" w:rsidRDefault="005E0301" w:rsidP="00094E6E">
      <w:pPr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bs-Cyrl-BA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r w:rsidR="004B0BF9" w:rsidRPr="008D2842">
        <w:rPr>
          <w:rFonts w:ascii="Tahoma" w:hAnsi="Tahoma" w:cs="Tahoma"/>
          <w:lang w:val="sr-Cyrl-CS"/>
        </w:rPr>
        <w:t xml:space="preserve">мају </w:t>
      </w:r>
      <w:r w:rsidRPr="008D2842">
        <w:rPr>
          <w:rFonts w:ascii="Tahoma" w:hAnsi="Tahoma" w:cs="Tahoma"/>
          <w:lang w:val="hr-HR"/>
        </w:rPr>
        <w:t>20</w:t>
      </w:r>
      <w:r w:rsidR="0038415D" w:rsidRPr="008D2842">
        <w:rPr>
          <w:rFonts w:ascii="Tahoma" w:hAnsi="Tahoma" w:cs="Tahoma"/>
          <w:lang w:val="sr-Cyrl-CS"/>
        </w:rPr>
        <w:t>13</w:t>
      </w:r>
      <w:r w:rsidRPr="008D2842">
        <w:rPr>
          <w:rFonts w:ascii="Tahoma" w:hAnsi="Tahoma" w:cs="Tahoma"/>
          <w:lang w:val="hr-HR"/>
        </w:rPr>
        <w:t xml:space="preserve">. </w:t>
      </w:r>
      <w:r w:rsidR="00E11FDF" w:rsidRPr="008D2842">
        <w:rPr>
          <w:rFonts w:ascii="Tahoma" w:hAnsi="Tahoma" w:cs="Tahoma"/>
          <w:lang w:val="sr-Cyrl-CS"/>
        </w:rPr>
        <w:t>г</w:t>
      </w:r>
      <w:r w:rsidRPr="008D2842">
        <w:rPr>
          <w:rFonts w:ascii="Tahoma" w:hAnsi="Tahoma" w:cs="Tahoma"/>
          <w:lang w:val="sr-Cyrl-CS"/>
        </w:rPr>
        <w:t>одине</w:t>
      </w:r>
      <w:r w:rsidR="001F5630" w:rsidRPr="008D2842">
        <w:rPr>
          <w:rFonts w:ascii="Tahoma" w:hAnsi="Tahoma" w:cs="Tahoma"/>
          <w:lang w:val="sr-Cyrl-CS"/>
        </w:rPr>
        <w:t>,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у односу на</w:t>
      </w:r>
      <w:r w:rsidR="00CD26F2" w:rsidRPr="008D2842">
        <w:rPr>
          <w:rFonts w:ascii="Tahoma" w:hAnsi="Tahoma" w:cs="Tahoma"/>
          <w:lang w:val="sr-Cyrl-CS"/>
        </w:rPr>
        <w:t xml:space="preserve"> </w:t>
      </w:r>
      <w:r w:rsidR="004B0BF9" w:rsidRPr="008D2842">
        <w:rPr>
          <w:rFonts w:ascii="Tahoma" w:hAnsi="Tahoma" w:cs="Tahoma"/>
          <w:lang w:val="sr-Cyrl-CS"/>
        </w:rPr>
        <w:t>мај</w:t>
      </w:r>
      <w:r w:rsidR="007D1A13"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hr-HR"/>
        </w:rPr>
        <w:t>20</w:t>
      </w:r>
      <w:r w:rsidR="0038415D" w:rsidRPr="008D2842">
        <w:rPr>
          <w:rFonts w:ascii="Tahoma" w:hAnsi="Tahoma" w:cs="Tahoma"/>
          <w:lang w:val="sr-Cyrl-CS"/>
        </w:rPr>
        <w:t>12</w:t>
      </w:r>
      <w:r w:rsidRPr="008D2842">
        <w:rPr>
          <w:rFonts w:ascii="Tahoma" w:hAnsi="Tahoma" w:cs="Tahoma"/>
          <w:lang w:val="hr-HR"/>
        </w:rPr>
        <w:t>.</w:t>
      </w:r>
      <w:r w:rsidRPr="008D2842">
        <w:rPr>
          <w:rFonts w:ascii="Tahoma" w:hAnsi="Tahoma" w:cs="Tahoma"/>
          <w:lang w:val="sr-Cyrl-CS"/>
        </w:rPr>
        <w:t xml:space="preserve"> године,</w:t>
      </w:r>
      <w:r w:rsidRPr="008D2842">
        <w:rPr>
          <w:rFonts w:ascii="Tahoma" w:hAnsi="Tahoma" w:cs="Tahoma"/>
          <w:lang w:val="sr-Cyrl-BA"/>
        </w:rPr>
        <w:t xml:space="preserve"> </w:t>
      </w:r>
      <w:r w:rsidR="0036123C" w:rsidRPr="008D2842">
        <w:rPr>
          <w:rFonts w:ascii="Tahoma" w:hAnsi="Tahoma" w:cs="Tahoma"/>
          <w:bCs/>
          <w:lang w:val="sr-Cyrl-CS"/>
        </w:rPr>
        <w:t>цијене подручја</w:t>
      </w:r>
      <w:r w:rsidR="0036123C" w:rsidRPr="008D2842">
        <w:rPr>
          <w:rFonts w:ascii="Tahoma" w:hAnsi="Tahoma" w:cs="Tahoma"/>
          <w:i/>
          <w:lang w:val="sr-Cyrl-CS"/>
        </w:rPr>
        <w:t xml:space="preserve"> </w:t>
      </w:r>
      <w:r w:rsidR="004B0BF9" w:rsidRPr="008D2842">
        <w:rPr>
          <w:rFonts w:ascii="Tahoma" w:hAnsi="Tahoma" w:cs="Tahoma"/>
          <w:i/>
          <w:lang w:val="sr-Cyrl-CS"/>
        </w:rPr>
        <w:t xml:space="preserve">Вађење руда и камена </w:t>
      </w:r>
      <w:r w:rsidR="0036123C" w:rsidRPr="008D2842">
        <w:rPr>
          <w:rFonts w:ascii="Tahoma" w:hAnsi="Tahoma" w:cs="Tahoma"/>
          <w:lang w:val="sr-Cyrl-CS"/>
        </w:rPr>
        <w:t xml:space="preserve">више су за </w:t>
      </w:r>
      <w:r w:rsidR="00D070A9" w:rsidRPr="008D2842">
        <w:rPr>
          <w:rFonts w:ascii="Tahoma" w:hAnsi="Tahoma" w:cs="Tahoma"/>
          <w:lang w:val="sr-Cyrl-CS"/>
        </w:rPr>
        <w:t>1,</w:t>
      </w:r>
      <w:r w:rsidR="004B0BF9" w:rsidRPr="008D2842">
        <w:rPr>
          <w:rFonts w:ascii="Tahoma" w:hAnsi="Tahoma" w:cs="Tahoma"/>
          <w:lang w:val="sr-Cyrl-CS"/>
        </w:rPr>
        <w:t>8</w:t>
      </w:r>
      <w:r w:rsidR="0036123C" w:rsidRPr="008D2842">
        <w:rPr>
          <w:rFonts w:ascii="Tahoma" w:hAnsi="Tahoma" w:cs="Tahoma"/>
          <w:lang w:val="sr-Cyrl-CS"/>
        </w:rPr>
        <w:t xml:space="preserve">%, </w:t>
      </w:r>
      <w:r w:rsidRPr="008D2842">
        <w:rPr>
          <w:rFonts w:ascii="Tahoma" w:hAnsi="Tahoma" w:cs="Tahoma"/>
          <w:lang w:val="sr-Cyrl-CS"/>
        </w:rPr>
        <w:t>цијене подруч</w:t>
      </w:r>
      <w:r w:rsidRPr="008D2842">
        <w:rPr>
          <w:rFonts w:ascii="Tahoma" w:hAnsi="Tahoma" w:cs="Tahoma"/>
        </w:rPr>
        <w:t>j</w:t>
      </w:r>
      <w:r w:rsidRPr="008D2842">
        <w:rPr>
          <w:rFonts w:ascii="Tahoma" w:hAnsi="Tahoma" w:cs="Tahoma"/>
          <w:lang w:val="sr-Cyrl-CS"/>
        </w:rPr>
        <w:t xml:space="preserve">а </w:t>
      </w:r>
      <w:r w:rsidR="004B0BF9" w:rsidRPr="008D2842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4B0BF9" w:rsidRPr="008D2842">
        <w:rPr>
          <w:rFonts w:ascii="Tahoma" w:hAnsi="Tahoma" w:cs="Tahoma"/>
          <w:lang w:val="sr-Cyrl-CS"/>
        </w:rPr>
        <w:t xml:space="preserve"> </w:t>
      </w:r>
      <w:r w:rsidR="0036123C" w:rsidRPr="008D2842">
        <w:rPr>
          <w:rFonts w:ascii="Tahoma" w:hAnsi="Tahoma" w:cs="Tahoma"/>
          <w:lang w:val="sr-Cyrl-CS"/>
        </w:rPr>
        <w:t xml:space="preserve">за </w:t>
      </w:r>
      <w:r w:rsidR="004B0BF9" w:rsidRPr="008D2842">
        <w:rPr>
          <w:rFonts w:ascii="Tahoma" w:hAnsi="Tahoma" w:cs="Tahoma"/>
          <w:lang w:val="sr-Cyrl-CS"/>
        </w:rPr>
        <w:t>1,2</w:t>
      </w:r>
      <w:r w:rsidR="0038415D" w:rsidRPr="008D2842">
        <w:rPr>
          <w:rFonts w:ascii="Tahoma" w:hAnsi="Tahoma" w:cs="Tahoma"/>
          <w:lang w:val="sr-Cyrl-CS"/>
        </w:rPr>
        <w:t xml:space="preserve">%, </w:t>
      </w:r>
      <w:r w:rsidR="003A4D8B" w:rsidRPr="008D2842">
        <w:rPr>
          <w:rFonts w:ascii="Tahoma" w:hAnsi="Tahoma" w:cs="Tahoma"/>
          <w:lang w:val="sr-Cyrl-CS"/>
        </w:rPr>
        <w:t>док су</w:t>
      </w:r>
      <w:r w:rsidR="00F364E1" w:rsidRPr="008D2842">
        <w:rPr>
          <w:rFonts w:ascii="Tahoma" w:hAnsi="Tahoma" w:cs="Tahoma"/>
          <w:i/>
          <w:lang w:val="sr-Cyrl-CS"/>
        </w:rPr>
        <w:t xml:space="preserve"> </w:t>
      </w:r>
      <w:r w:rsidR="009A4953" w:rsidRPr="008D2842">
        <w:rPr>
          <w:rFonts w:ascii="Tahoma" w:hAnsi="Tahoma" w:cs="Tahoma"/>
          <w:lang w:val="sr-Cyrl-CS"/>
        </w:rPr>
        <w:t xml:space="preserve">цијене </w:t>
      </w:r>
      <w:r w:rsidR="00F364E1" w:rsidRPr="008D2842">
        <w:rPr>
          <w:rFonts w:ascii="Tahoma" w:hAnsi="Tahoma" w:cs="Tahoma"/>
          <w:lang w:val="sr-Cyrl-CS"/>
        </w:rPr>
        <w:t>подручја</w:t>
      </w:r>
      <w:r w:rsidR="00310650" w:rsidRPr="008D2842">
        <w:rPr>
          <w:rFonts w:ascii="Tahoma" w:hAnsi="Tahoma" w:cs="Tahoma"/>
          <w:bCs/>
          <w:i/>
          <w:lang w:val="sr-Cyrl-CS"/>
        </w:rPr>
        <w:t xml:space="preserve"> </w:t>
      </w:r>
      <w:r w:rsidR="008F77F6" w:rsidRPr="008D2842">
        <w:rPr>
          <w:rFonts w:ascii="Tahoma" w:hAnsi="Tahoma" w:cs="Tahoma"/>
          <w:lang w:val="sr-Cyrl-CS"/>
        </w:rPr>
        <w:t>производња и снабдијевање електричном енергијом, гасом</w:t>
      </w:r>
      <w:r w:rsidR="003F28F6" w:rsidRPr="008D2842">
        <w:rPr>
          <w:rFonts w:ascii="Tahoma" w:hAnsi="Tahoma" w:cs="Tahoma"/>
          <w:lang w:val="sr-Cyrl-CS"/>
        </w:rPr>
        <w:t>,</w:t>
      </w:r>
      <w:r w:rsidR="008F77F6" w:rsidRPr="008D2842">
        <w:rPr>
          <w:rFonts w:ascii="Tahoma" w:hAnsi="Tahoma" w:cs="Tahoma"/>
          <w:lang w:val="sr-Cyrl-CS"/>
        </w:rPr>
        <w:t xml:space="preserve"> паром и климатизација </w:t>
      </w:r>
      <w:r w:rsidR="007E6760" w:rsidRPr="008D2842">
        <w:rPr>
          <w:rFonts w:ascii="Tahoma" w:hAnsi="Tahoma" w:cs="Tahoma"/>
          <w:lang w:val="sr-Cyrl-CS"/>
        </w:rPr>
        <w:t>у просјеку остале на истом нивоу.</w:t>
      </w:r>
    </w:p>
    <w:p w:rsidR="006B3FBB" w:rsidRPr="00806168" w:rsidRDefault="006B3FBB" w:rsidP="00094E6E">
      <w:pPr>
        <w:jc w:val="both"/>
        <w:rPr>
          <w:rFonts w:ascii="Tahoma" w:hAnsi="Tahoma" w:cs="Tahoma"/>
          <w:lang w:val="sr-Cyrl-CS"/>
        </w:rPr>
      </w:pPr>
    </w:p>
    <w:p w:rsidR="00C155B7" w:rsidRPr="00806168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053F7" w:rsidRPr="006053F7" w:rsidRDefault="006053F7" w:rsidP="006053F7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6"/>
          <w:szCs w:val="26"/>
          <w:lang w:val="sr-Cyrl-CS"/>
        </w:rPr>
      </w:pPr>
      <w:r w:rsidRPr="006053F7">
        <w:rPr>
          <w:rFonts w:ascii="Tahoma" w:hAnsi="Tahoma" w:cs="Tahoma"/>
          <w:b/>
          <w:sz w:val="26"/>
          <w:szCs w:val="26"/>
          <w:lang w:val="ru-RU"/>
        </w:rPr>
        <w:t>Индекс запослених у индустрији</w:t>
      </w:r>
      <w:r w:rsidRPr="006053F7">
        <w:rPr>
          <w:rFonts w:ascii="Tahoma" w:hAnsi="Tahoma" w:cs="Tahoma"/>
          <w:b/>
          <w:sz w:val="26"/>
          <w:szCs w:val="26"/>
          <w:lang w:val="sr-Latn-BA"/>
        </w:rPr>
        <w:t xml:space="preserve"> (</w:t>
      </w:r>
      <w:r w:rsidRPr="006053F7">
        <w:rPr>
          <w:rFonts w:ascii="Tahoma" w:hAnsi="Tahoma" w:cs="Tahoma"/>
          <w:b/>
          <w:sz w:val="26"/>
          <w:szCs w:val="26"/>
        </w:rPr>
        <w:t>V</w:t>
      </w:r>
      <w:r w:rsidRPr="006053F7">
        <w:rPr>
          <w:rFonts w:ascii="Tahoma" w:hAnsi="Tahoma" w:cs="Tahoma"/>
          <w:b/>
          <w:sz w:val="26"/>
          <w:szCs w:val="26"/>
          <w:lang w:val="sr-Latn-BA"/>
        </w:rPr>
        <w:t xml:space="preserve"> 20</w:t>
      </w:r>
      <w:r w:rsidRPr="006053F7">
        <w:rPr>
          <w:rFonts w:ascii="Tahoma" w:hAnsi="Tahoma" w:cs="Tahoma"/>
          <w:b/>
          <w:sz w:val="26"/>
          <w:szCs w:val="26"/>
          <w:lang w:val="sr-Cyrl-CS"/>
        </w:rPr>
        <w:t>13</w:t>
      </w:r>
      <w:r w:rsidRPr="006053F7">
        <w:rPr>
          <w:rFonts w:ascii="Tahoma" w:hAnsi="Tahoma" w:cs="Tahoma"/>
          <w:b/>
          <w:sz w:val="26"/>
          <w:szCs w:val="26"/>
          <w:lang w:val="sr-Latn-BA"/>
        </w:rPr>
        <w:t>/</w:t>
      </w:r>
      <w:r w:rsidRPr="006053F7">
        <w:rPr>
          <w:rFonts w:ascii="Tahoma" w:hAnsi="Tahoma" w:cs="Tahoma"/>
          <w:b/>
          <w:bCs/>
          <w:sz w:val="26"/>
          <w:szCs w:val="26"/>
        </w:rPr>
        <w:t>IV</w:t>
      </w:r>
      <w:r w:rsidRPr="006053F7">
        <w:rPr>
          <w:rFonts w:ascii="Tahoma" w:hAnsi="Tahoma" w:cs="Tahoma"/>
          <w:b/>
          <w:bCs/>
          <w:sz w:val="26"/>
          <w:szCs w:val="26"/>
          <w:lang w:val="sr-Cyrl-CS"/>
        </w:rPr>
        <w:t xml:space="preserve"> </w:t>
      </w:r>
      <w:r w:rsidRPr="006053F7">
        <w:rPr>
          <w:rFonts w:ascii="Tahoma" w:hAnsi="Tahoma" w:cs="Tahoma"/>
          <w:b/>
          <w:bCs/>
          <w:sz w:val="26"/>
          <w:szCs w:val="26"/>
          <w:lang w:val="ru-RU"/>
        </w:rPr>
        <w:t>201</w:t>
      </w:r>
      <w:r w:rsidRPr="006053F7">
        <w:rPr>
          <w:rFonts w:ascii="Tahoma" w:hAnsi="Tahoma" w:cs="Tahoma"/>
          <w:b/>
          <w:bCs/>
          <w:sz w:val="26"/>
          <w:szCs w:val="26"/>
          <w:lang w:val="sr-Latn-CS"/>
        </w:rPr>
        <w:t>3</w:t>
      </w:r>
      <w:r w:rsidRPr="006053F7">
        <w:rPr>
          <w:rFonts w:ascii="Tahoma" w:hAnsi="Tahoma" w:cs="Tahoma"/>
          <w:b/>
          <w:bCs/>
          <w:sz w:val="26"/>
          <w:szCs w:val="26"/>
          <w:lang w:val="hr-HR"/>
        </w:rPr>
        <w:t>)</w:t>
      </w:r>
      <w:r w:rsidRPr="006053F7">
        <w:rPr>
          <w:rFonts w:ascii="Tahoma" w:hAnsi="Tahoma" w:cs="Tahoma"/>
          <w:b/>
          <w:sz w:val="26"/>
          <w:szCs w:val="26"/>
          <w:lang w:val="sr-Latn-BA"/>
        </w:rPr>
        <w:t xml:space="preserve"> </w:t>
      </w:r>
      <w:r w:rsidRPr="006053F7">
        <w:rPr>
          <w:rFonts w:ascii="Tahoma" w:hAnsi="Tahoma" w:cs="Tahoma"/>
          <w:b/>
          <w:sz w:val="26"/>
          <w:szCs w:val="26"/>
          <w:lang w:val="sr-Cyrl-CS"/>
        </w:rPr>
        <w:t>већи</w:t>
      </w:r>
      <w:r w:rsidRPr="006053F7">
        <w:rPr>
          <w:rFonts w:ascii="Tahoma" w:hAnsi="Tahoma" w:cs="Tahoma"/>
          <w:b/>
          <w:sz w:val="26"/>
          <w:szCs w:val="26"/>
          <w:lang w:val="ru-RU"/>
        </w:rPr>
        <w:t xml:space="preserve"> 0</w:t>
      </w:r>
      <w:r w:rsidRPr="006053F7">
        <w:rPr>
          <w:rFonts w:ascii="Tahoma" w:hAnsi="Tahoma" w:cs="Tahoma"/>
          <w:b/>
          <w:sz w:val="26"/>
          <w:szCs w:val="26"/>
          <w:lang w:val="sr-Cyrl-BA"/>
        </w:rPr>
        <w:t>,5</w:t>
      </w:r>
      <w:r w:rsidRPr="006053F7">
        <w:rPr>
          <w:rFonts w:ascii="Tahoma" w:hAnsi="Tahoma" w:cs="Tahoma"/>
          <w:b/>
          <w:sz w:val="26"/>
          <w:szCs w:val="26"/>
          <w:lang w:val="ru-RU"/>
        </w:rPr>
        <w:t>%</w:t>
      </w:r>
    </w:p>
    <w:p w:rsidR="00517795" w:rsidRPr="006053F7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6053F7">
        <w:rPr>
          <w:rFonts w:ascii="Tahoma" w:hAnsi="Tahoma" w:cs="Tahoma"/>
          <w:spacing w:val="-4"/>
          <w:sz w:val="28"/>
          <w:szCs w:val="28"/>
          <w:lang w:val="sr-Cyrl-CS"/>
        </w:rPr>
        <w:t xml:space="preserve">Десезонирана </w:t>
      </w:r>
      <w:r w:rsidRPr="006053F7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="00052E0C" w:rsidRPr="006053F7">
        <w:rPr>
          <w:rFonts w:ascii="Tahoma" w:hAnsi="Tahoma" w:cs="Tahoma"/>
          <w:spacing w:val="-4"/>
          <w:sz w:val="28"/>
          <w:szCs w:val="28"/>
          <w:lang w:val="hr-HR"/>
        </w:rPr>
        <w:t>(</w:t>
      </w:r>
      <w:r w:rsidRPr="006053F7">
        <w:rPr>
          <w:rFonts w:ascii="Tahoma" w:hAnsi="Tahoma" w:cs="Tahoma"/>
          <w:spacing w:val="-4"/>
          <w:sz w:val="28"/>
          <w:szCs w:val="28"/>
          <w:lang w:val="hr-HR"/>
        </w:rPr>
        <w:t>V</w:t>
      </w:r>
      <w:r w:rsidR="0010528B" w:rsidRPr="006053F7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6053F7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6053F7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6053F7">
        <w:rPr>
          <w:rFonts w:ascii="Tahoma" w:hAnsi="Tahoma" w:cs="Tahoma"/>
          <w:spacing w:val="-4"/>
          <w:sz w:val="28"/>
          <w:szCs w:val="28"/>
          <w:lang w:val="hr-HR"/>
        </w:rPr>
        <w:t>/I</w:t>
      </w:r>
      <w:r w:rsidR="00052E0C" w:rsidRPr="006053F7">
        <w:rPr>
          <w:rFonts w:ascii="Tahoma" w:hAnsi="Tahoma" w:cs="Tahoma"/>
          <w:spacing w:val="-4"/>
          <w:sz w:val="28"/>
          <w:szCs w:val="28"/>
          <w:lang w:val="hr-HR"/>
        </w:rPr>
        <w:t>V</w:t>
      </w:r>
      <w:r w:rsidR="0010528B" w:rsidRPr="006053F7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6053F7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Pr="006053F7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Pr="006053F7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="00052E0C" w:rsidRPr="006053F7">
        <w:rPr>
          <w:rFonts w:ascii="Tahoma" w:hAnsi="Tahoma" w:cs="Tahoma"/>
          <w:bCs/>
          <w:spacing w:val="-4"/>
          <w:sz w:val="28"/>
          <w:szCs w:val="28"/>
          <w:lang w:val="sr-Cyrl-CS"/>
        </w:rPr>
        <w:t>мања</w:t>
      </w:r>
      <w:r w:rsidRPr="006053F7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</w:t>
      </w:r>
      <w:r w:rsidR="00052E0C" w:rsidRPr="006053F7">
        <w:rPr>
          <w:rFonts w:ascii="Tahoma" w:hAnsi="Tahoma" w:cs="Tahoma"/>
          <w:bCs/>
          <w:spacing w:val="-4"/>
          <w:sz w:val="28"/>
          <w:szCs w:val="28"/>
          <w:lang w:val="sr-Cyrl-BA"/>
        </w:rPr>
        <w:t>4</w:t>
      </w:r>
      <w:r w:rsidRPr="006053F7">
        <w:rPr>
          <w:rFonts w:ascii="Tahoma" w:hAnsi="Tahoma" w:cs="Tahoma"/>
          <w:bCs/>
          <w:spacing w:val="-4"/>
          <w:sz w:val="28"/>
          <w:szCs w:val="28"/>
          <w:lang w:val="sr-Cyrl-BA"/>
        </w:rPr>
        <w:t>,</w:t>
      </w:r>
      <w:r w:rsidR="00052E0C" w:rsidRPr="006053F7">
        <w:rPr>
          <w:rFonts w:ascii="Tahoma" w:hAnsi="Tahoma" w:cs="Tahoma"/>
          <w:bCs/>
          <w:spacing w:val="-4"/>
          <w:sz w:val="28"/>
          <w:szCs w:val="28"/>
          <w:lang w:val="sr-Cyrl-BA"/>
        </w:rPr>
        <w:t>6</w:t>
      </w:r>
      <w:r w:rsidRPr="006053F7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517795" w:rsidRPr="008D2842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6"/>
          <w:szCs w:val="26"/>
          <w:lang w:val="ru-RU"/>
        </w:rPr>
      </w:pPr>
      <w:r w:rsidRPr="008D2842">
        <w:rPr>
          <w:rFonts w:ascii="Tahoma" w:hAnsi="Tahoma" w:cs="Tahoma"/>
          <w:spacing w:val="-4"/>
          <w:sz w:val="26"/>
          <w:szCs w:val="26"/>
          <w:lang w:val="sr-Cyrl-CS"/>
        </w:rPr>
        <w:t xml:space="preserve">Календарски пилагођена </w:t>
      </w:r>
      <w:r w:rsidRPr="008D2842">
        <w:rPr>
          <w:rFonts w:ascii="Tahoma" w:hAnsi="Tahoma" w:cs="Tahoma"/>
          <w:spacing w:val="-4"/>
          <w:sz w:val="26"/>
          <w:szCs w:val="26"/>
          <w:lang w:val="ru-RU"/>
        </w:rPr>
        <w:t xml:space="preserve">индустријска производња </w:t>
      </w:r>
      <w:r w:rsidR="00052E0C" w:rsidRPr="008D2842">
        <w:rPr>
          <w:rFonts w:ascii="Tahoma" w:hAnsi="Tahoma" w:cs="Tahoma"/>
          <w:spacing w:val="-4"/>
          <w:sz w:val="26"/>
          <w:szCs w:val="26"/>
          <w:lang w:val="hr-HR"/>
        </w:rPr>
        <w:t>(</w:t>
      </w:r>
      <w:r w:rsidRPr="008D2842">
        <w:rPr>
          <w:rFonts w:ascii="Tahoma" w:hAnsi="Tahoma" w:cs="Tahoma"/>
          <w:spacing w:val="-4"/>
          <w:sz w:val="26"/>
          <w:szCs w:val="26"/>
          <w:lang w:val="hr-HR"/>
        </w:rPr>
        <w:t>V</w:t>
      </w:r>
      <w:r w:rsidR="0010528B" w:rsidRPr="008D2842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8D2842">
        <w:rPr>
          <w:rFonts w:ascii="Tahoma" w:hAnsi="Tahoma" w:cs="Tahoma"/>
          <w:spacing w:val="-4"/>
          <w:sz w:val="26"/>
          <w:szCs w:val="26"/>
          <w:lang w:val="hr-HR"/>
        </w:rPr>
        <w:t>201</w:t>
      </w:r>
      <w:r w:rsidRPr="008D2842">
        <w:rPr>
          <w:rFonts w:ascii="Tahoma" w:hAnsi="Tahoma" w:cs="Tahoma"/>
          <w:spacing w:val="-4"/>
          <w:sz w:val="26"/>
          <w:szCs w:val="26"/>
          <w:lang w:val="sr-Cyrl-CS"/>
        </w:rPr>
        <w:t>3</w:t>
      </w:r>
      <w:r w:rsidR="0010528B" w:rsidRPr="008D2842">
        <w:rPr>
          <w:rFonts w:ascii="Tahoma" w:hAnsi="Tahoma" w:cs="Tahoma"/>
          <w:spacing w:val="-4"/>
          <w:sz w:val="26"/>
          <w:szCs w:val="26"/>
          <w:lang w:val="hr-HR"/>
        </w:rPr>
        <w:t>/</w:t>
      </w:r>
      <w:r w:rsidRPr="008D2842">
        <w:rPr>
          <w:rFonts w:ascii="Tahoma" w:hAnsi="Tahoma" w:cs="Tahoma"/>
          <w:spacing w:val="-4"/>
          <w:sz w:val="26"/>
          <w:szCs w:val="26"/>
          <w:lang w:val="hr-HR"/>
        </w:rPr>
        <w:t>V</w:t>
      </w:r>
      <w:r w:rsidRPr="008D2842">
        <w:rPr>
          <w:rFonts w:ascii="Tahoma" w:hAnsi="Tahoma" w:cs="Tahoma"/>
          <w:bCs/>
          <w:spacing w:val="-4"/>
          <w:sz w:val="26"/>
          <w:szCs w:val="26"/>
          <w:lang w:val="ru-RU"/>
        </w:rPr>
        <w:t xml:space="preserve"> 20</w:t>
      </w:r>
      <w:r w:rsidR="0010528B" w:rsidRPr="008D2842">
        <w:rPr>
          <w:rFonts w:ascii="Tahoma" w:hAnsi="Tahoma" w:cs="Tahoma"/>
          <w:bCs/>
          <w:spacing w:val="-4"/>
          <w:sz w:val="26"/>
          <w:szCs w:val="26"/>
          <w:lang w:val="sr-Cyrl-CS"/>
        </w:rPr>
        <w:t>12</w:t>
      </w:r>
      <w:r w:rsidRPr="008D2842">
        <w:rPr>
          <w:rFonts w:ascii="Tahoma" w:hAnsi="Tahoma" w:cs="Tahoma"/>
          <w:bCs/>
          <w:spacing w:val="-4"/>
          <w:sz w:val="26"/>
          <w:szCs w:val="26"/>
          <w:lang w:val="hr-HR"/>
        </w:rPr>
        <w:t xml:space="preserve">) </w:t>
      </w:r>
      <w:r w:rsidRPr="008D2842">
        <w:rPr>
          <w:rFonts w:ascii="Tahoma" w:hAnsi="Tahoma" w:cs="Tahoma"/>
          <w:bCs/>
          <w:spacing w:val="-4"/>
          <w:sz w:val="26"/>
          <w:szCs w:val="26"/>
          <w:lang w:val="sr-Cyrl-CS"/>
        </w:rPr>
        <w:t>већа</w:t>
      </w:r>
      <w:r w:rsidRPr="008D2842">
        <w:rPr>
          <w:rFonts w:ascii="Tahoma" w:hAnsi="Tahoma" w:cs="Tahoma"/>
          <w:bCs/>
          <w:spacing w:val="-4"/>
          <w:sz w:val="26"/>
          <w:szCs w:val="26"/>
          <w:lang w:val="sr-Cyrl-BA"/>
        </w:rPr>
        <w:t xml:space="preserve"> </w:t>
      </w:r>
      <w:r w:rsidR="00052E0C" w:rsidRPr="008D2842">
        <w:rPr>
          <w:rFonts w:ascii="Tahoma" w:hAnsi="Tahoma" w:cs="Tahoma"/>
          <w:bCs/>
          <w:spacing w:val="-4"/>
          <w:sz w:val="26"/>
          <w:szCs w:val="26"/>
          <w:lang w:val="sr-Cyrl-CS"/>
        </w:rPr>
        <w:t>3</w:t>
      </w:r>
      <w:r w:rsidRPr="008D2842">
        <w:rPr>
          <w:rFonts w:ascii="Tahoma" w:hAnsi="Tahoma" w:cs="Tahoma"/>
          <w:bCs/>
          <w:spacing w:val="-4"/>
          <w:sz w:val="26"/>
          <w:szCs w:val="26"/>
          <w:lang w:val="sr-Cyrl-BA"/>
        </w:rPr>
        <w:t>,</w:t>
      </w:r>
      <w:r w:rsidR="00052E0C" w:rsidRPr="008D2842">
        <w:rPr>
          <w:rFonts w:ascii="Tahoma" w:hAnsi="Tahoma" w:cs="Tahoma"/>
          <w:bCs/>
          <w:spacing w:val="-4"/>
          <w:sz w:val="26"/>
          <w:szCs w:val="26"/>
          <w:lang w:val="sr-Cyrl-BA"/>
        </w:rPr>
        <w:t>5</w:t>
      </w:r>
      <w:r w:rsidRPr="008D2842">
        <w:rPr>
          <w:rFonts w:ascii="Tahoma" w:hAnsi="Tahoma" w:cs="Tahoma"/>
          <w:spacing w:val="-4"/>
          <w:sz w:val="26"/>
          <w:szCs w:val="26"/>
          <w:lang w:val="ru-RU"/>
        </w:rPr>
        <w:t>%</w:t>
      </w:r>
    </w:p>
    <w:p w:rsidR="00517795" w:rsidRPr="008D2842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6053F7" w:rsidRPr="008D2842" w:rsidRDefault="006053F7" w:rsidP="006053F7">
      <w:pPr>
        <w:jc w:val="both"/>
        <w:rPr>
          <w:rFonts w:ascii="Tahoma" w:hAnsi="Tahoma" w:cs="Tahoma"/>
          <w:lang w:val="ru-RU"/>
        </w:rPr>
      </w:pPr>
      <w:r w:rsidRPr="008D2842">
        <w:rPr>
          <w:rFonts w:ascii="Tahoma" w:hAnsi="Tahoma" w:cs="Tahoma"/>
          <w:b/>
          <w:lang w:val="ru-RU"/>
        </w:rPr>
        <w:t>Број запослених у индустрији</w:t>
      </w:r>
      <w:r w:rsidRPr="008D2842">
        <w:rPr>
          <w:rFonts w:ascii="Tahoma" w:hAnsi="Tahoma" w:cs="Tahoma"/>
          <w:lang w:val="ru-RU"/>
        </w:rPr>
        <w:t xml:space="preserve"> у </w:t>
      </w:r>
      <w:r w:rsidRPr="008D2842">
        <w:rPr>
          <w:rFonts w:ascii="Tahoma" w:hAnsi="Tahoma" w:cs="Tahoma"/>
          <w:lang w:val="sr-Cyrl-CS"/>
        </w:rPr>
        <w:t>мају</w:t>
      </w:r>
      <w:r w:rsidRPr="008D2842">
        <w:rPr>
          <w:rFonts w:ascii="Tahoma" w:hAnsi="Tahoma" w:cs="Tahoma"/>
          <w:lang w:val="ru-RU"/>
        </w:rPr>
        <w:t xml:space="preserve"> 2013. године </w:t>
      </w:r>
      <w:r w:rsidRPr="008D2842">
        <w:rPr>
          <w:rFonts w:ascii="Tahoma" w:hAnsi="Tahoma" w:cs="Tahoma"/>
          <w:lang w:val="sr-Cyrl-CS"/>
        </w:rPr>
        <w:t xml:space="preserve">у </w:t>
      </w:r>
      <w:r w:rsidRPr="008D2842">
        <w:rPr>
          <w:rFonts w:ascii="Tahoma" w:hAnsi="Tahoma" w:cs="Tahoma"/>
          <w:lang w:val="ru-RU"/>
        </w:rPr>
        <w:t>односу на април</w:t>
      </w:r>
      <w:r w:rsidRPr="008D2842">
        <w:rPr>
          <w:rFonts w:ascii="Tahoma" w:hAnsi="Tahoma" w:cs="Tahoma"/>
          <w:lang w:val="sr-Cyrl-CS"/>
        </w:rPr>
        <w:t xml:space="preserve"> 2013.</w:t>
      </w:r>
      <w:r w:rsidRPr="008D2842">
        <w:rPr>
          <w:rFonts w:ascii="Tahoma" w:hAnsi="Tahoma" w:cs="Tahoma"/>
          <w:lang w:val="ru-RU"/>
        </w:rPr>
        <w:t xml:space="preserve"> године већи је за 0,5%.</w:t>
      </w:r>
    </w:p>
    <w:p w:rsidR="006053F7" w:rsidRPr="008D2842" w:rsidRDefault="006053F7" w:rsidP="006053F7">
      <w:pPr>
        <w:jc w:val="both"/>
        <w:rPr>
          <w:rFonts w:ascii="Tahoma" w:hAnsi="Tahoma" w:cs="Tahoma"/>
          <w:lang w:val="ru-RU"/>
        </w:rPr>
      </w:pPr>
    </w:p>
    <w:p w:rsidR="006053F7" w:rsidRDefault="006053F7" w:rsidP="006053F7">
      <w:pPr>
        <w:jc w:val="both"/>
        <w:rPr>
          <w:rFonts w:ascii="Tahoma" w:hAnsi="Tahoma" w:cs="Tahoma"/>
          <w:lang w:val="sr-Latn-CS"/>
        </w:rPr>
      </w:pPr>
      <w:r w:rsidRPr="008D2842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8D2842">
        <w:rPr>
          <w:rFonts w:ascii="Tahoma" w:hAnsi="Tahoma" w:cs="Tahoma"/>
          <w:lang w:val="ru-RU"/>
        </w:rPr>
        <w:t>периоду јануар - мај</w:t>
      </w:r>
      <w:r w:rsidRPr="008D2842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0,4%</w:t>
      </w:r>
      <w:r w:rsidRPr="008D2842">
        <w:rPr>
          <w:rFonts w:ascii="Tahoma" w:hAnsi="Tahoma" w:cs="Tahoma"/>
          <w:lang w:val="ru-RU"/>
        </w:rPr>
        <w:t xml:space="preserve">, при чему је </w:t>
      </w:r>
      <w:r w:rsidRPr="008D2842">
        <w:rPr>
          <w:rFonts w:ascii="Tahoma" w:hAnsi="Tahoma" w:cs="Tahoma"/>
          <w:lang w:val="sr-Cyrl-CS"/>
        </w:rPr>
        <w:t xml:space="preserve">у подручју </w:t>
      </w:r>
      <w:r w:rsidRPr="008D2842">
        <w:rPr>
          <w:rFonts w:ascii="Tahoma" w:hAnsi="Tahoma" w:cs="Tahoma"/>
          <w:i/>
          <w:lang w:val="ru-RU"/>
        </w:rPr>
        <w:t>Производња и снабдијевање електричном енергијом</w:t>
      </w:r>
      <w:r w:rsidRPr="008D2842">
        <w:rPr>
          <w:rFonts w:ascii="Tahoma" w:hAnsi="Tahoma" w:cs="Tahoma"/>
          <w:lang w:val="sr-Cyrl-CS"/>
        </w:rPr>
        <w:t xml:space="preserve"> остварен раст од 3</w:t>
      </w:r>
      <w:r w:rsidRPr="008D2842">
        <w:rPr>
          <w:rFonts w:ascii="Tahoma" w:hAnsi="Tahoma" w:cs="Tahoma"/>
          <w:lang w:val="ru-RU"/>
        </w:rPr>
        <w:t>,2%</w:t>
      </w:r>
      <w:r w:rsidRPr="008D2842">
        <w:rPr>
          <w:rFonts w:ascii="Tahoma" w:hAnsi="Tahoma" w:cs="Tahoma"/>
          <w:lang w:val="sr-Latn-CS"/>
        </w:rPr>
        <w:t xml:space="preserve">, </w:t>
      </w:r>
      <w:r w:rsidRPr="008D2842">
        <w:rPr>
          <w:rFonts w:ascii="Tahoma" w:hAnsi="Tahoma" w:cs="Tahoma"/>
          <w:lang w:val="ru-RU"/>
        </w:rPr>
        <w:t xml:space="preserve">у подручју </w:t>
      </w:r>
      <w:r w:rsidRPr="008D2842">
        <w:rPr>
          <w:rFonts w:ascii="Tahoma" w:hAnsi="Tahoma" w:cs="Tahoma"/>
          <w:i/>
          <w:lang w:val="sr-Cyrl-CS"/>
        </w:rPr>
        <w:t>Вађење руда и камена</w:t>
      </w:r>
      <w:r w:rsidRPr="008D2842">
        <w:rPr>
          <w:rFonts w:ascii="Tahoma" w:hAnsi="Tahoma" w:cs="Tahoma"/>
          <w:i/>
          <w:lang w:val="ru-RU"/>
        </w:rPr>
        <w:t xml:space="preserve"> </w:t>
      </w:r>
      <w:r w:rsidRPr="008D2842">
        <w:rPr>
          <w:rFonts w:ascii="Tahoma" w:hAnsi="Tahoma" w:cs="Tahoma"/>
          <w:lang w:val="ru-RU"/>
        </w:rPr>
        <w:t xml:space="preserve">раст </w:t>
      </w:r>
      <w:r w:rsidRPr="008D2842">
        <w:rPr>
          <w:rFonts w:ascii="Tahoma" w:hAnsi="Tahoma" w:cs="Tahoma"/>
          <w:lang w:val="sr-Cyrl-CS"/>
        </w:rPr>
        <w:t>од 0,4</w:t>
      </w:r>
      <w:r w:rsidRPr="008D2842">
        <w:rPr>
          <w:rFonts w:ascii="Tahoma" w:hAnsi="Tahoma" w:cs="Tahoma"/>
          <w:lang w:val="ru-RU"/>
        </w:rPr>
        <w:t xml:space="preserve">%, док је у подручју </w:t>
      </w:r>
      <w:r w:rsidRPr="008D2842">
        <w:rPr>
          <w:rFonts w:ascii="Tahoma" w:hAnsi="Tahoma" w:cs="Tahoma"/>
          <w:i/>
          <w:lang w:val="ru-RU"/>
        </w:rPr>
        <w:t>Прерађивачка индустрија</w:t>
      </w:r>
      <w:r w:rsidRPr="008D2842">
        <w:rPr>
          <w:rFonts w:ascii="Tahoma" w:hAnsi="Tahoma" w:cs="Tahoma"/>
          <w:lang w:val="ru-RU"/>
        </w:rPr>
        <w:t xml:space="preserve"> забиљежен пад </w:t>
      </w:r>
      <w:r w:rsidRPr="008D2842">
        <w:rPr>
          <w:rFonts w:ascii="Tahoma" w:hAnsi="Tahoma" w:cs="Tahoma"/>
          <w:lang w:val="sr-Cyrl-CS"/>
        </w:rPr>
        <w:t xml:space="preserve">броја запослених </w:t>
      </w:r>
      <w:r w:rsidRPr="008D2842">
        <w:rPr>
          <w:rFonts w:ascii="Tahoma" w:hAnsi="Tahoma" w:cs="Tahoma"/>
          <w:lang w:val="ru-RU"/>
        </w:rPr>
        <w:t xml:space="preserve">од 0,9%. </w:t>
      </w:r>
    </w:p>
    <w:p w:rsidR="006053F7" w:rsidRPr="006053F7" w:rsidRDefault="006053F7" w:rsidP="006053F7">
      <w:pPr>
        <w:jc w:val="both"/>
        <w:rPr>
          <w:rFonts w:ascii="Tahoma" w:hAnsi="Tahoma" w:cs="Tahoma"/>
          <w:lang w:val="sr-Latn-CS"/>
        </w:rPr>
      </w:pPr>
    </w:p>
    <w:p w:rsidR="00517795" w:rsidRPr="008D2842" w:rsidRDefault="00517795" w:rsidP="00517795">
      <w:pPr>
        <w:jc w:val="both"/>
        <w:rPr>
          <w:rFonts w:ascii="Tahoma" w:hAnsi="Tahoma" w:cs="Tahoma"/>
        </w:rPr>
      </w:pPr>
      <w:r w:rsidRPr="008D2842">
        <w:rPr>
          <w:rFonts w:ascii="Tahoma" w:hAnsi="Tahoma" w:cs="Tahoma"/>
          <w:b/>
          <w:lang w:val="sr-Cyrl-CS"/>
        </w:rPr>
        <w:t>Д</w:t>
      </w:r>
      <w:proofErr w:type="spellStart"/>
      <w:r w:rsidRPr="008D2842">
        <w:rPr>
          <w:rFonts w:ascii="Tahoma" w:hAnsi="Tahoma" w:cs="Tahoma"/>
          <w:b/>
        </w:rPr>
        <w:t>есезонирана</w:t>
      </w:r>
      <w:proofErr w:type="spellEnd"/>
      <w:r w:rsidRPr="008D2842">
        <w:rPr>
          <w:rFonts w:ascii="Tahoma" w:hAnsi="Tahoma" w:cs="Tahoma"/>
          <w:b/>
        </w:rPr>
        <w:t xml:space="preserve"> </w:t>
      </w:r>
      <w:proofErr w:type="spellStart"/>
      <w:r w:rsidRPr="008D2842">
        <w:rPr>
          <w:rFonts w:ascii="Tahoma" w:hAnsi="Tahoma" w:cs="Tahoma"/>
          <w:b/>
        </w:rPr>
        <w:t>индустријска</w:t>
      </w:r>
      <w:proofErr w:type="spellEnd"/>
      <w:r w:rsidRPr="008D2842">
        <w:rPr>
          <w:rFonts w:ascii="Tahoma" w:hAnsi="Tahoma" w:cs="Tahoma"/>
          <w:b/>
        </w:rPr>
        <w:t xml:space="preserve"> </w:t>
      </w:r>
      <w:proofErr w:type="spellStart"/>
      <w:r w:rsidRPr="008D2842">
        <w:rPr>
          <w:rFonts w:ascii="Tahoma" w:hAnsi="Tahoma" w:cs="Tahoma"/>
          <w:b/>
        </w:rPr>
        <w:t>производња</w:t>
      </w:r>
      <w:proofErr w:type="spellEnd"/>
      <w:r w:rsidRPr="008D2842">
        <w:rPr>
          <w:rFonts w:ascii="Tahoma" w:hAnsi="Tahoma" w:cs="Tahoma"/>
        </w:rPr>
        <w:t xml:space="preserve"> у </w:t>
      </w:r>
      <w:r w:rsidR="00052E0C" w:rsidRPr="008D2842">
        <w:rPr>
          <w:rFonts w:ascii="Tahoma" w:hAnsi="Tahoma" w:cs="Tahoma"/>
          <w:spacing w:val="-2"/>
          <w:lang w:val="sr-Cyrl-CS"/>
        </w:rPr>
        <w:t>мају</w:t>
      </w:r>
      <w:r w:rsidRPr="008D2842">
        <w:rPr>
          <w:rFonts w:ascii="Tahoma" w:hAnsi="Tahoma" w:cs="Tahoma"/>
          <w:spacing w:val="-2"/>
        </w:rPr>
        <w:t xml:space="preserve"> </w:t>
      </w:r>
      <w:r w:rsidRPr="008D2842">
        <w:rPr>
          <w:rFonts w:ascii="Tahoma" w:hAnsi="Tahoma" w:cs="Tahoma"/>
        </w:rPr>
        <w:t xml:space="preserve">2013. </w:t>
      </w:r>
      <w:r w:rsidRPr="008D2842">
        <w:rPr>
          <w:rFonts w:ascii="Tahoma" w:hAnsi="Tahoma" w:cs="Tahoma"/>
          <w:lang w:val="sr-Cyrl-BA"/>
        </w:rPr>
        <w:t>г</w:t>
      </w:r>
      <w:proofErr w:type="spellStart"/>
      <w:r w:rsidRPr="008D2842">
        <w:rPr>
          <w:rFonts w:ascii="Tahoma" w:hAnsi="Tahoma" w:cs="Tahoma"/>
        </w:rPr>
        <w:t>одине</w:t>
      </w:r>
      <w:proofErr w:type="spellEnd"/>
      <w:r w:rsidRPr="008D2842">
        <w:rPr>
          <w:rFonts w:ascii="Tahoma" w:hAnsi="Tahoma" w:cs="Tahoma"/>
          <w:spacing w:val="-4"/>
          <w:lang w:val="sr-Cyrl-BA"/>
        </w:rPr>
        <w:t xml:space="preserve"> </w:t>
      </w:r>
      <w:r w:rsidRPr="008D2842">
        <w:rPr>
          <w:rFonts w:ascii="Tahoma" w:hAnsi="Tahoma" w:cs="Tahoma"/>
        </w:rPr>
        <w:t xml:space="preserve">у </w:t>
      </w:r>
      <w:proofErr w:type="spellStart"/>
      <w:r w:rsidRPr="008D2842">
        <w:rPr>
          <w:rFonts w:ascii="Tahoma" w:hAnsi="Tahoma" w:cs="Tahoma"/>
        </w:rPr>
        <w:t>поређењу</w:t>
      </w:r>
      <w:proofErr w:type="spellEnd"/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са </w:t>
      </w:r>
      <w:r w:rsidR="00052E0C" w:rsidRPr="008D2842">
        <w:rPr>
          <w:rFonts w:ascii="Tahoma" w:hAnsi="Tahoma" w:cs="Tahoma"/>
          <w:lang w:val="ru-RU"/>
        </w:rPr>
        <w:t>априлом</w:t>
      </w:r>
      <w:r w:rsidRPr="008D2842">
        <w:rPr>
          <w:rFonts w:ascii="Tahoma" w:hAnsi="Tahoma" w:cs="Tahoma"/>
          <w:lang w:val="ru-RU"/>
        </w:rPr>
        <w:t xml:space="preserve"> 2013.</w:t>
      </w:r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године</w:t>
      </w:r>
      <w:proofErr w:type="spellEnd"/>
      <w:r w:rsidRPr="008D2842">
        <w:rPr>
          <w:rFonts w:ascii="Tahoma" w:hAnsi="Tahoma" w:cs="Tahoma"/>
        </w:rPr>
        <w:t xml:space="preserve">, у </w:t>
      </w:r>
      <w:proofErr w:type="spellStart"/>
      <w:r w:rsidR="00052E0C" w:rsidRPr="008D2842">
        <w:rPr>
          <w:rFonts w:ascii="Tahoma" w:hAnsi="Tahoma" w:cs="Tahoma"/>
          <w:i/>
        </w:rPr>
        <w:t>Производњ</w:t>
      </w:r>
      <w:proofErr w:type="spellEnd"/>
      <w:r w:rsidR="00052E0C" w:rsidRPr="008D2842">
        <w:rPr>
          <w:rFonts w:ascii="Tahoma" w:hAnsi="Tahoma" w:cs="Tahoma"/>
          <w:i/>
          <w:lang w:val="sr-Cyrl-CS"/>
        </w:rPr>
        <w:t>и</w:t>
      </w:r>
      <w:r w:rsidR="00052E0C" w:rsidRPr="008D2842">
        <w:rPr>
          <w:rFonts w:ascii="Tahoma" w:hAnsi="Tahoma" w:cs="Tahoma"/>
          <w:i/>
        </w:rPr>
        <w:t xml:space="preserve"> и </w:t>
      </w:r>
      <w:proofErr w:type="spellStart"/>
      <w:r w:rsidR="00052E0C" w:rsidRPr="008D2842">
        <w:rPr>
          <w:rFonts w:ascii="Tahoma" w:hAnsi="Tahoma" w:cs="Tahoma"/>
          <w:i/>
        </w:rPr>
        <w:t>снабдијевањ</w:t>
      </w:r>
      <w:proofErr w:type="spellEnd"/>
      <w:r w:rsidR="00052E0C" w:rsidRPr="008D2842">
        <w:rPr>
          <w:rFonts w:ascii="Tahoma" w:hAnsi="Tahoma" w:cs="Tahoma"/>
          <w:i/>
          <w:lang w:val="sr-Cyrl-CS"/>
        </w:rPr>
        <w:t>у</w:t>
      </w:r>
      <w:r w:rsidR="00052E0C" w:rsidRPr="008D2842">
        <w:rPr>
          <w:rFonts w:ascii="Tahoma" w:hAnsi="Tahoma" w:cs="Tahoma"/>
          <w:i/>
        </w:rPr>
        <w:t xml:space="preserve"> </w:t>
      </w:r>
      <w:proofErr w:type="spellStart"/>
      <w:r w:rsidR="00052E0C" w:rsidRPr="008D2842">
        <w:rPr>
          <w:rFonts w:ascii="Tahoma" w:hAnsi="Tahoma" w:cs="Tahoma"/>
          <w:i/>
        </w:rPr>
        <w:t>електричном</w:t>
      </w:r>
      <w:proofErr w:type="spellEnd"/>
      <w:r w:rsidR="00052E0C" w:rsidRPr="008D2842">
        <w:rPr>
          <w:rFonts w:ascii="Tahoma" w:hAnsi="Tahoma" w:cs="Tahoma"/>
          <w:i/>
        </w:rPr>
        <w:t xml:space="preserve"> </w:t>
      </w:r>
      <w:proofErr w:type="spellStart"/>
      <w:r w:rsidR="00052E0C" w:rsidRPr="008D2842">
        <w:rPr>
          <w:rFonts w:ascii="Tahoma" w:hAnsi="Tahoma" w:cs="Tahoma"/>
          <w:i/>
        </w:rPr>
        <w:t>енергијом</w:t>
      </w:r>
      <w:proofErr w:type="spellEnd"/>
      <w:r w:rsidR="00052E0C" w:rsidRPr="008D2842">
        <w:rPr>
          <w:rFonts w:ascii="Tahoma" w:hAnsi="Tahoma" w:cs="Tahoma"/>
          <w:i/>
        </w:rPr>
        <w:t xml:space="preserve">, </w:t>
      </w:r>
      <w:proofErr w:type="spellStart"/>
      <w:r w:rsidR="00052E0C" w:rsidRPr="008D2842">
        <w:rPr>
          <w:rFonts w:ascii="Tahoma" w:hAnsi="Tahoma" w:cs="Tahoma"/>
          <w:i/>
        </w:rPr>
        <w:t>гасом</w:t>
      </w:r>
      <w:proofErr w:type="spellEnd"/>
      <w:r w:rsidR="00052E0C" w:rsidRPr="008D2842">
        <w:rPr>
          <w:rFonts w:ascii="Tahoma" w:hAnsi="Tahoma" w:cs="Tahoma"/>
          <w:i/>
        </w:rPr>
        <w:t xml:space="preserve">, </w:t>
      </w:r>
      <w:proofErr w:type="spellStart"/>
      <w:r w:rsidR="00052E0C" w:rsidRPr="008D2842">
        <w:rPr>
          <w:rFonts w:ascii="Tahoma" w:hAnsi="Tahoma" w:cs="Tahoma"/>
          <w:i/>
        </w:rPr>
        <w:t>паром</w:t>
      </w:r>
      <w:proofErr w:type="spellEnd"/>
      <w:r w:rsidR="00052E0C" w:rsidRPr="008D2842">
        <w:rPr>
          <w:rFonts w:ascii="Tahoma" w:hAnsi="Tahoma" w:cs="Tahoma"/>
          <w:i/>
        </w:rPr>
        <w:t xml:space="preserve"> и </w:t>
      </w:r>
      <w:proofErr w:type="spellStart"/>
      <w:r w:rsidR="00052E0C" w:rsidRPr="008D2842">
        <w:rPr>
          <w:rFonts w:ascii="Tahoma" w:hAnsi="Tahoma" w:cs="Tahoma"/>
          <w:i/>
        </w:rPr>
        <w:t>климатизацији</w:t>
      </w:r>
      <w:proofErr w:type="spellEnd"/>
      <w:r w:rsidR="00052E0C"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биљежи</w:t>
      </w:r>
      <w:proofErr w:type="spellEnd"/>
      <w:r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пад</w:t>
      </w:r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BA"/>
        </w:rPr>
        <w:t>од</w:t>
      </w:r>
      <w:r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5</w:t>
      </w:r>
      <w:r w:rsidRPr="008D2842">
        <w:rPr>
          <w:rFonts w:ascii="Tahoma" w:hAnsi="Tahoma" w:cs="Tahoma"/>
        </w:rPr>
        <w:t>,</w:t>
      </w:r>
      <w:r w:rsidR="00052E0C" w:rsidRPr="008D2842">
        <w:rPr>
          <w:rFonts w:ascii="Tahoma" w:hAnsi="Tahoma" w:cs="Tahoma"/>
          <w:lang w:val="sr-Cyrl-CS"/>
        </w:rPr>
        <w:t>4</w:t>
      </w:r>
      <w:r w:rsidRPr="008D2842">
        <w:rPr>
          <w:rFonts w:ascii="Tahoma" w:hAnsi="Tahoma" w:cs="Tahoma"/>
        </w:rPr>
        <w:t>%</w:t>
      </w:r>
      <w:r w:rsidR="004641F7" w:rsidRPr="008D2842">
        <w:rPr>
          <w:rFonts w:ascii="Tahoma" w:hAnsi="Tahoma" w:cs="Tahoma"/>
          <w:lang w:val="sr-Latn-CS"/>
        </w:rPr>
        <w:t>,</w:t>
      </w:r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BA"/>
        </w:rPr>
        <w:t xml:space="preserve">у </w:t>
      </w:r>
      <w:proofErr w:type="spellStart"/>
      <w:r w:rsidR="00052E0C" w:rsidRPr="008D2842">
        <w:rPr>
          <w:rFonts w:ascii="Tahoma" w:hAnsi="Tahoma" w:cs="Tahoma"/>
          <w:i/>
        </w:rPr>
        <w:t>Прерађивачкој</w:t>
      </w:r>
      <w:proofErr w:type="spellEnd"/>
      <w:r w:rsidR="00052E0C" w:rsidRPr="008D2842">
        <w:rPr>
          <w:rFonts w:ascii="Tahoma" w:hAnsi="Tahoma" w:cs="Tahoma"/>
          <w:i/>
        </w:rPr>
        <w:t xml:space="preserve"> </w:t>
      </w:r>
      <w:proofErr w:type="spellStart"/>
      <w:r w:rsidR="00052E0C" w:rsidRPr="008D2842">
        <w:rPr>
          <w:rFonts w:ascii="Tahoma" w:hAnsi="Tahoma" w:cs="Tahoma"/>
          <w:i/>
        </w:rPr>
        <w:t>индустрији</w:t>
      </w:r>
      <w:proofErr w:type="spellEnd"/>
      <w:r w:rsidR="00052E0C"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пад</w:t>
      </w:r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BA"/>
        </w:rPr>
        <w:t>од</w:t>
      </w:r>
      <w:r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12</w:t>
      </w:r>
      <w:r w:rsidRPr="008D2842">
        <w:rPr>
          <w:rFonts w:ascii="Tahoma" w:hAnsi="Tahoma" w:cs="Tahoma"/>
        </w:rPr>
        <w:t>,</w:t>
      </w:r>
      <w:r w:rsidR="00052E0C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</w:rPr>
        <w:t>%</w:t>
      </w:r>
      <w:r w:rsidR="00052E0C" w:rsidRPr="008D2842">
        <w:rPr>
          <w:rFonts w:ascii="Tahoma" w:hAnsi="Tahoma" w:cs="Tahoma"/>
          <w:lang w:val="sr-Cyrl-CS"/>
        </w:rPr>
        <w:t>, док је у</w:t>
      </w:r>
      <w:r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BA"/>
        </w:rPr>
        <w:t xml:space="preserve">подручју </w:t>
      </w:r>
      <w:proofErr w:type="spellStart"/>
      <w:r w:rsidR="00052E0C" w:rsidRPr="008D2842">
        <w:rPr>
          <w:rFonts w:ascii="Tahoma" w:hAnsi="Tahoma" w:cs="Tahoma"/>
          <w:i/>
        </w:rPr>
        <w:t>Вађењ</w:t>
      </w:r>
      <w:proofErr w:type="spellEnd"/>
      <w:r w:rsidR="00052E0C" w:rsidRPr="008D2842">
        <w:rPr>
          <w:rFonts w:ascii="Tahoma" w:hAnsi="Tahoma" w:cs="Tahoma"/>
          <w:i/>
          <w:lang w:val="sr-Cyrl-BA"/>
        </w:rPr>
        <w:t>а</w:t>
      </w:r>
      <w:r w:rsidR="00052E0C" w:rsidRPr="008D2842">
        <w:rPr>
          <w:rFonts w:ascii="Tahoma" w:hAnsi="Tahoma" w:cs="Tahoma"/>
          <w:i/>
        </w:rPr>
        <w:t xml:space="preserve"> </w:t>
      </w:r>
      <w:proofErr w:type="spellStart"/>
      <w:r w:rsidR="00052E0C" w:rsidRPr="008D2842">
        <w:rPr>
          <w:rFonts w:ascii="Tahoma" w:hAnsi="Tahoma" w:cs="Tahoma"/>
          <w:i/>
        </w:rPr>
        <w:t>руда</w:t>
      </w:r>
      <w:proofErr w:type="spellEnd"/>
      <w:r w:rsidR="00052E0C" w:rsidRPr="008D2842">
        <w:rPr>
          <w:rFonts w:ascii="Tahoma" w:hAnsi="Tahoma" w:cs="Tahoma"/>
          <w:i/>
        </w:rPr>
        <w:t xml:space="preserve"> и </w:t>
      </w:r>
      <w:proofErr w:type="spellStart"/>
      <w:r w:rsidR="00052E0C" w:rsidRPr="008D2842">
        <w:rPr>
          <w:rFonts w:ascii="Tahoma" w:hAnsi="Tahoma" w:cs="Tahoma"/>
          <w:i/>
        </w:rPr>
        <w:t>камена</w:t>
      </w:r>
      <w:proofErr w:type="spellEnd"/>
      <w:r w:rsidR="00052E0C"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забиљежен раст</w:t>
      </w:r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CS"/>
        </w:rPr>
        <w:t>од</w:t>
      </w:r>
      <w:r w:rsidRPr="008D2842">
        <w:rPr>
          <w:rFonts w:ascii="Tahoma" w:hAnsi="Tahoma" w:cs="Tahom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2</w:t>
      </w:r>
      <w:r w:rsidRPr="008D2842">
        <w:rPr>
          <w:rFonts w:ascii="Tahoma" w:hAnsi="Tahoma" w:cs="Tahoma"/>
        </w:rPr>
        <w:t>,</w:t>
      </w:r>
      <w:r w:rsidR="00052E0C" w:rsidRPr="008D2842">
        <w:rPr>
          <w:rFonts w:ascii="Tahoma" w:hAnsi="Tahoma" w:cs="Tahoma"/>
          <w:lang w:val="sr-Cyrl-CS"/>
        </w:rPr>
        <w:t>9</w:t>
      </w:r>
      <w:r w:rsidRPr="008D2842">
        <w:rPr>
          <w:rFonts w:ascii="Tahoma" w:hAnsi="Tahoma" w:cs="Tahoma"/>
        </w:rPr>
        <w:t>%.</w:t>
      </w:r>
    </w:p>
    <w:p w:rsidR="00295772" w:rsidRPr="008D2842" w:rsidRDefault="00295772" w:rsidP="00517795">
      <w:pPr>
        <w:jc w:val="both"/>
        <w:rPr>
          <w:rFonts w:ascii="Tahoma" w:hAnsi="Tahoma" w:cs="Tahoma"/>
          <w:lang w:val="sr-Cyrl-CS"/>
        </w:rPr>
      </w:pPr>
    </w:p>
    <w:p w:rsidR="00517795" w:rsidRPr="008D2842" w:rsidRDefault="00517795" w:rsidP="00517795">
      <w:pPr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8D2842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8D2842">
        <w:rPr>
          <w:rFonts w:ascii="Tahoma" w:hAnsi="Tahoma" w:cs="Tahoma"/>
          <w:spacing w:val="-2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интермедијарних производа мања</w:t>
      </w:r>
      <w:r w:rsidRPr="008D2842">
        <w:rPr>
          <w:rFonts w:ascii="Tahoma" w:hAnsi="Tahoma" w:cs="Tahoma"/>
          <w:lang w:val="sr-Cyrl-CS"/>
        </w:rPr>
        <w:t xml:space="preserve"> је за </w:t>
      </w:r>
      <w:r w:rsidR="00052E0C" w:rsidRPr="008D2842">
        <w:rPr>
          <w:rFonts w:ascii="Tahoma" w:hAnsi="Tahoma" w:cs="Tahoma"/>
          <w:lang w:val="sr-Cyrl-CS"/>
        </w:rPr>
        <w:t>5</w:t>
      </w:r>
      <w:r w:rsidRPr="008D2842">
        <w:rPr>
          <w:rFonts w:ascii="Tahoma" w:hAnsi="Tahoma" w:cs="Tahoma"/>
          <w:lang w:val="sr-Cyrl-CS"/>
        </w:rPr>
        <w:t>,</w:t>
      </w:r>
      <w:r w:rsidR="00052E0C" w:rsidRPr="008D2842">
        <w:rPr>
          <w:rFonts w:ascii="Tahoma" w:hAnsi="Tahoma" w:cs="Tahoma"/>
          <w:lang w:val="sr-Cyrl-CS"/>
        </w:rPr>
        <w:t>4</w:t>
      </w:r>
      <w:r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, </w:t>
      </w:r>
      <w:r w:rsidR="00052E0C" w:rsidRPr="008D2842">
        <w:rPr>
          <w:rFonts w:ascii="Tahoma" w:hAnsi="Tahoma" w:cs="Tahoma"/>
          <w:lang w:val="sr-Cyrl-CS"/>
        </w:rPr>
        <w:t xml:space="preserve">енергије </w:t>
      </w:r>
      <w:r w:rsidRPr="008D2842">
        <w:rPr>
          <w:rFonts w:ascii="Tahoma" w:hAnsi="Tahoma" w:cs="Tahoma"/>
          <w:lang w:val="sr-Cyrl-CS"/>
        </w:rPr>
        <w:t xml:space="preserve">за </w:t>
      </w:r>
      <w:r w:rsidR="00052E0C" w:rsidRPr="008D2842">
        <w:rPr>
          <w:rFonts w:ascii="Tahoma" w:hAnsi="Tahoma" w:cs="Tahoma"/>
          <w:lang w:val="sr-Cyrl-CS"/>
        </w:rPr>
        <w:t>10</w:t>
      </w:r>
      <w:r w:rsidRPr="008D2842">
        <w:rPr>
          <w:rFonts w:ascii="Tahoma" w:hAnsi="Tahoma" w:cs="Tahoma"/>
          <w:lang w:val="sr-Cyrl-CS"/>
        </w:rPr>
        <w:t>,</w:t>
      </w:r>
      <w:r w:rsidR="00052E0C" w:rsidRPr="008D2842">
        <w:rPr>
          <w:rFonts w:ascii="Tahoma" w:hAnsi="Tahoma" w:cs="Tahoma"/>
          <w:lang w:val="sr-Cyrl-CS"/>
        </w:rPr>
        <w:t>4% и</w:t>
      </w:r>
      <w:r w:rsidRPr="008D2842">
        <w:rPr>
          <w:rFonts w:ascii="Tahoma" w:hAnsi="Tahoma" w:cs="Tahoma"/>
          <w:lang w:val="sr-Cyrl-CS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 xml:space="preserve">нетрајних производа за </w:t>
      </w:r>
      <w:r w:rsidR="00052E0C" w:rsidRPr="008D2842">
        <w:rPr>
          <w:rFonts w:ascii="Tahoma" w:hAnsi="Tahoma" w:cs="Tahoma"/>
          <w:lang w:val="sr-Cyrl-CS"/>
        </w:rPr>
        <w:lastRenderedPageBreak/>
        <w:t xml:space="preserve">широку потрошњу </w:t>
      </w:r>
      <w:r w:rsidRPr="008D2842">
        <w:rPr>
          <w:rFonts w:ascii="Tahoma" w:hAnsi="Tahoma" w:cs="Tahoma"/>
          <w:lang w:val="sr-Cyrl-CS"/>
        </w:rPr>
        <w:t xml:space="preserve">за </w:t>
      </w:r>
      <w:r w:rsidR="00052E0C" w:rsidRPr="008D2842">
        <w:rPr>
          <w:rFonts w:ascii="Tahoma" w:hAnsi="Tahoma" w:cs="Tahoma"/>
          <w:lang w:val="sr-Cyrl-CS"/>
        </w:rPr>
        <w:t>16</w:t>
      </w:r>
      <w:r w:rsidRPr="008D2842">
        <w:rPr>
          <w:rFonts w:ascii="Tahoma" w:hAnsi="Tahoma" w:cs="Tahoma"/>
          <w:lang w:val="sr-Cyrl-CS"/>
        </w:rPr>
        <w:t>,9%</w:t>
      </w:r>
      <w:r w:rsidR="00052E0C" w:rsidRPr="008D2842">
        <w:rPr>
          <w:rFonts w:ascii="Tahoma" w:hAnsi="Tahoma" w:cs="Tahoma"/>
          <w:lang w:val="sr-Cyrl-CS"/>
        </w:rPr>
        <w:t>, док је</w:t>
      </w:r>
      <w:r w:rsidRPr="008D2842">
        <w:rPr>
          <w:rFonts w:ascii="Tahoma" w:hAnsi="Tahoma" w:cs="Tahoma"/>
          <w:lang w:val="sr-Cyrl-CS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>производња капиталних производа</w:t>
      </w:r>
      <w:r w:rsidR="00052E0C" w:rsidRPr="008D2842">
        <w:rPr>
          <w:rFonts w:ascii="Tahoma" w:hAnsi="Tahoma" w:cs="Tahoma"/>
          <w:lang w:val="sr-Cyrl-BA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 xml:space="preserve">већа </w:t>
      </w:r>
      <w:r w:rsidRPr="008D2842">
        <w:rPr>
          <w:rFonts w:ascii="Tahoma" w:hAnsi="Tahoma" w:cs="Tahoma"/>
          <w:lang w:val="sr-Cyrl-CS"/>
        </w:rPr>
        <w:t xml:space="preserve">за </w:t>
      </w:r>
      <w:r w:rsidR="00052E0C" w:rsidRPr="008D2842">
        <w:rPr>
          <w:rFonts w:ascii="Tahoma" w:hAnsi="Tahoma" w:cs="Tahoma"/>
          <w:lang w:val="sr-Cyrl-CS"/>
        </w:rPr>
        <w:t>14</w:t>
      </w:r>
      <w:r w:rsidRPr="008D2842">
        <w:rPr>
          <w:rFonts w:ascii="Tahoma" w:hAnsi="Tahoma" w:cs="Tahoma"/>
          <w:lang w:val="bs-Latn-BA"/>
        </w:rPr>
        <w:t>,</w:t>
      </w:r>
      <w:r w:rsidR="00052E0C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  <w:lang w:val="sr-Cyrl-CS"/>
        </w:rPr>
        <w:t>%</w:t>
      </w:r>
      <w:r w:rsidR="00052E0C" w:rsidRPr="008D2842">
        <w:rPr>
          <w:rFonts w:ascii="Tahoma" w:hAnsi="Tahoma" w:cs="Tahoma"/>
          <w:lang w:val="sr-Cyrl-CS"/>
        </w:rPr>
        <w:t xml:space="preserve"> и</w:t>
      </w:r>
      <w:r w:rsidRPr="008D2842">
        <w:rPr>
          <w:rFonts w:ascii="Tahoma" w:hAnsi="Tahoma" w:cs="Tahoma"/>
          <w:lang w:val="sr-Cyrl-CS"/>
        </w:rPr>
        <w:t xml:space="preserve"> </w:t>
      </w:r>
      <w:r w:rsidR="00052E0C" w:rsidRPr="008D2842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Pr="008D2842">
        <w:rPr>
          <w:rFonts w:ascii="Tahoma" w:hAnsi="Tahoma" w:cs="Tahoma"/>
          <w:lang w:val="sr-Cyrl-CS"/>
        </w:rPr>
        <w:t xml:space="preserve">за </w:t>
      </w:r>
      <w:r w:rsidR="00052E0C" w:rsidRPr="008D2842">
        <w:rPr>
          <w:rFonts w:ascii="Tahoma" w:hAnsi="Tahoma" w:cs="Tahoma"/>
          <w:lang w:val="sr-Cyrl-CS"/>
        </w:rPr>
        <w:t>12</w:t>
      </w:r>
      <w:r w:rsidRPr="008D2842">
        <w:rPr>
          <w:rFonts w:ascii="Tahoma" w:hAnsi="Tahoma" w:cs="Tahoma"/>
          <w:lang w:val="bs-Latn-BA"/>
        </w:rPr>
        <w:t>,</w:t>
      </w:r>
      <w:r w:rsidR="00052E0C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  <w:lang w:val="sr-Cyrl-CS"/>
        </w:rPr>
        <w:t>%.</w:t>
      </w:r>
    </w:p>
    <w:p w:rsidR="00517795" w:rsidRPr="008D2842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17795" w:rsidRPr="008D2842" w:rsidRDefault="00517795" w:rsidP="00517795">
      <w:pPr>
        <w:jc w:val="both"/>
        <w:rPr>
          <w:rFonts w:ascii="Tahoma" w:hAnsi="Tahoma" w:cs="Tahoma"/>
        </w:rPr>
      </w:pPr>
      <w:r w:rsidRPr="008D2842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8D2842">
        <w:rPr>
          <w:rFonts w:ascii="Tahoma" w:hAnsi="Tahoma" w:cs="Tahoma"/>
          <w:spacing w:val="-4"/>
          <w:lang w:val="sr-Cyrl-BA"/>
        </w:rPr>
        <w:t xml:space="preserve"> у</w:t>
      </w:r>
      <w:r w:rsidRPr="008D2842">
        <w:rPr>
          <w:rFonts w:ascii="Tahoma" w:hAnsi="Tahoma" w:cs="Tahoma"/>
        </w:rPr>
        <w:t xml:space="preserve"> </w:t>
      </w:r>
      <w:r w:rsidR="008026FD" w:rsidRPr="008D2842">
        <w:rPr>
          <w:rFonts w:ascii="Tahoma" w:hAnsi="Tahoma" w:cs="Tahoma"/>
          <w:spacing w:val="-2"/>
          <w:lang w:val="sr-Cyrl-CS"/>
        </w:rPr>
        <w:t>мају</w:t>
      </w:r>
      <w:r w:rsidRPr="008D2842">
        <w:rPr>
          <w:rFonts w:ascii="Tahoma" w:hAnsi="Tahoma" w:cs="Tahoma"/>
          <w:spacing w:val="-2"/>
        </w:rPr>
        <w:t xml:space="preserve"> </w:t>
      </w:r>
      <w:r w:rsidRPr="008D2842">
        <w:rPr>
          <w:rFonts w:ascii="Tahoma" w:hAnsi="Tahoma" w:cs="Tahoma"/>
        </w:rPr>
        <w:t xml:space="preserve">2013. </w:t>
      </w:r>
      <w:proofErr w:type="spellStart"/>
      <w:proofErr w:type="gramStart"/>
      <w:r w:rsidRPr="008D2842">
        <w:rPr>
          <w:rFonts w:ascii="Tahoma" w:hAnsi="Tahoma" w:cs="Tahoma"/>
        </w:rPr>
        <w:t>године</w:t>
      </w:r>
      <w:proofErr w:type="spellEnd"/>
      <w:proofErr w:type="gramEnd"/>
      <w:r w:rsidRPr="008D2842">
        <w:rPr>
          <w:rFonts w:ascii="Tahoma" w:hAnsi="Tahoma" w:cs="Tahoma"/>
        </w:rPr>
        <w:t xml:space="preserve"> у </w:t>
      </w:r>
      <w:proofErr w:type="spellStart"/>
      <w:r w:rsidRPr="008D2842">
        <w:rPr>
          <w:rFonts w:ascii="Tahoma" w:hAnsi="Tahoma" w:cs="Tahoma"/>
        </w:rPr>
        <w:t>поређењу</w:t>
      </w:r>
      <w:proofErr w:type="spellEnd"/>
      <w:r w:rsidRPr="008D2842">
        <w:rPr>
          <w:rFonts w:ascii="Tahoma" w:hAnsi="Tahoma" w:cs="Tahoma"/>
        </w:rPr>
        <w:t xml:space="preserve"> </w:t>
      </w:r>
      <w:proofErr w:type="spellStart"/>
      <w:r w:rsidRPr="008D2842">
        <w:rPr>
          <w:rFonts w:ascii="Tahoma" w:hAnsi="Tahoma" w:cs="Tahoma"/>
        </w:rPr>
        <w:t>са</w:t>
      </w:r>
      <w:proofErr w:type="spellEnd"/>
      <w:r w:rsidRPr="008D2842">
        <w:rPr>
          <w:rFonts w:ascii="Tahoma" w:hAnsi="Tahoma" w:cs="Tahoma"/>
        </w:rPr>
        <w:t xml:space="preserve"> </w:t>
      </w:r>
      <w:r w:rsidR="008026FD" w:rsidRPr="008D2842">
        <w:rPr>
          <w:rFonts w:ascii="Tahoma" w:hAnsi="Tahoma" w:cs="Tahoma"/>
          <w:lang w:val="sr-Cyrl-CS"/>
        </w:rPr>
        <w:t>мајом</w:t>
      </w:r>
      <w:r w:rsidRPr="008D2842">
        <w:rPr>
          <w:rFonts w:ascii="Tahoma" w:hAnsi="Tahoma" w:cs="Tahoma"/>
        </w:rPr>
        <w:t xml:space="preserve"> 2012. </w:t>
      </w:r>
      <w:proofErr w:type="spellStart"/>
      <w:r w:rsidRPr="008D2842">
        <w:rPr>
          <w:rFonts w:ascii="Tahoma" w:hAnsi="Tahoma" w:cs="Tahoma"/>
        </w:rPr>
        <w:t>године</w:t>
      </w:r>
      <w:proofErr w:type="spellEnd"/>
      <w:r w:rsidRPr="008D2842">
        <w:rPr>
          <w:rFonts w:ascii="Tahoma" w:hAnsi="Tahoma" w:cs="Tahoma"/>
        </w:rPr>
        <w:t>,</w:t>
      </w:r>
      <w:r w:rsidRPr="008D2842">
        <w:rPr>
          <w:rFonts w:ascii="Tahoma" w:hAnsi="Tahoma" w:cs="Tahoma"/>
          <w:lang w:val="sr-Cyrl-BA"/>
        </w:rPr>
        <w:t xml:space="preserve"> </w:t>
      </w:r>
      <w:r w:rsidRPr="008D2842">
        <w:rPr>
          <w:rFonts w:ascii="Tahoma" w:hAnsi="Tahoma" w:cs="Tahoma"/>
        </w:rPr>
        <w:t>у</w:t>
      </w:r>
      <w:r w:rsidRPr="008D2842">
        <w:rPr>
          <w:rFonts w:ascii="Tahoma" w:hAnsi="Tahoma" w:cs="Tahoma"/>
          <w:lang w:val="sr-Cyrl-CS"/>
        </w:rPr>
        <w:t xml:space="preserve"> </w:t>
      </w:r>
      <w:proofErr w:type="spellStart"/>
      <w:r w:rsidR="008026FD" w:rsidRPr="008D2842">
        <w:rPr>
          <w:rFonts w:ascii="Tahoma" w:hAnsi="Tahoma" w:cs="Tahoma"/>
          <w:i/>
        </w:rPr>
        <w:t>Производњ</w:t>
      </w:r>
      <w:proofErr w:type="spellEnd"/>
      <w:r w:rsidR="00CE2E20" w:rsidRPr="008D2842">
        <w:rPr>
          <w:rFonts w:ascii="Tahoma" w:hAnsi="Tahoma" w:cs="Tahoma"/>
          <w:i/>
          <w:lang w:val="sr-Cyrl-CS"/>
        </w:rPr>
        <w:t>и</w:t>
      </w:r>
      <w:r w:rsidR="008026FD" w:rsidRPr="008D2842">
        <w:rPr>
          <w:rFonts w:ascii="Tahoma" w:hAnsi="Tahoma" w:cs="Tahoma"/>
          <w:i/>
        </w:rPr>
        <w:t xml:space="preserve"> и </w:t>
      </w:r>
      <w:proofErr w:type="spellStart"/>
      <w:r w:rsidR="008026FD" w:rsidRPr="008D2842">
        <w:rPr>
          <w:rFonts w:ascii="Tahoma" w:hAnsi="Tahoma" w:cs="Tahoma"/>
          <w:i/>
        </w:rPr>
        <w:t>снабдијевањ</w:t>
      </w:r>
      <w:proofErr w:type="spellEnd"/>
      <w:r w:rsidR="00CE2E20" w:rsidRPr="008D2842">
        <w:rPr>
          <w:rFonts w:ascii="Tahoma" w:hAnsi="Tahoma" w:cs="Tahoma"/>
          <w:i/>
          <w:lang w:val="sr-Cyrl-CS"/>
        </w:rPr>
        <w:t>у</w:t>
      </w:r>
      <w:r w:rsidR="008026FD" w:rsidRPr="008D2842">
        <w:rPr>
          <w:rFonts w:ascii="Tahoma" w:hAnsi="Tahoma" w:cs="Tahoma"/>
          <w:i/>
        </w:rPr>
        <w:t xml:space="preserve"> </w:t>
      </w:r>
      <w:proofErr w:type="spellStart"/>
      <w:r w:rsidR="008026FD" w:rsidRPr="008D2842">
        <w:rPr>
          <w:rFonts w:ascii="Tahoma" w:hAnsi="Tahoma" w:cs="Tahoma"/>
          <w:i/>
        </w:rPr>
        <w:t>електричном</w:t>
      </w:r>
      <w:proofErr w:type="spellEnd"/>
      <w:r w:rsidR="008026FD" w:rsidRPr="008D2842">
        <w:rPr>
          <w:rFonts w:ascii="Tahoma" w:hAnsi="Tahoma" w:cs="Tahoma"/>
          <w:i/>
        </w:rPr>
        <w:t xml:space="preserve"> </w:t>
      </w:r>
      <w:proofErr w:type="spellStart"/>
      <w:r w:rsidR="008026FD" w:rsidRPr="008D2842">
        <w:rPr>
          <w:rFonts w:ascii="Tahoma" w:hAnsi="Tahoma" w:cs="Tahoma"/>
          <w:i/>
        </w:rPr>
        <w:t>енергијом</w:t>
      </w:r>
      <w:proofErr w:type="spellEnd"/>
      <w:r w:rsidR="008026FD" w:rsidRPr="008D2842">
        <w:rPr>
          <w:rFonts w:ascii="Tahoma" w:hAnsi="Tahoma" w:cs="Tahoma"/>
          <w:i/>
        </w:rPr>
        <w:t xml:space="preserve">, </w:t>
      </w:r>
      <w:proofErr w:type="spellStart"/>
      <w:r w:rsidR="008026FD" w:rsidRPr="008D2842">
        <w:rPr>
          <w:rFonts w:ascii="Tahoma" w:hAnsi="Tahoma" w:cs="Tahoma"/>
          <w:i/>
        </w:rPr>
        <w:t>гасом</w:t>
      </w:r>
      <w:proofErr w:type="spellEnd"/>
      <w:r w:rsidR="008026FD" w:rsidRPr="008D2842">
        <w:rPr>
          <w:rFonts w:ascii="Tahoma" w:hAnsi="Tahoma" w:cs="Tahoma"/>
          <w:i/>
        </w:rPr>
        <w:t xml:space="preserve">, </w:t>
      </w:r>
      <w:proofErr w:type="spellStart"/>
      <w:r w:rsidR="008026FD" w:rsidRPr="008D2842">
        <w:rPr>
          <w:rFonts w:ascii="Tahoma" w:hAnsi="Tahoma" w:cs="Tahoma"/>
          <w:i/>
        </w:rPr>
        <w:t>паром</w:t>
      </w:r>
      <w:proofErr w:type="spellEnd"/>
      <w:r w:rsidR="008026FD" w:rsidRPr="008D2842">
        <w:rPr>
          <w:rFonts w:ascii="Tahoma" w:hAnsi="Tahoma" w:cs="Tahoma"/>
          <w:i/>
        </w:rPr>
        <w:t xml:space="preserve"> и </w:t>
      </w:r>
      <w:proofErr w:type="spellStart"/>
      <w:r w:rsidR="008026FD" w:rsidRPr="008D2842">
        <w:rPr>
          <w:rFonts w:ascii="Tahoma" w:hAnsi="Tahoma" w:cs="Tahoma"/>
          <w:i/>
        </w:rPr>
        <w:t>климатизациј</w:t>
      </w:r>
      <w:proofErr w:type="spellEnd"/>
      <w:r w:rsidR="00CE2E20" w:rsidRPr="008D2842">
        <w:rPr>
          <w:rFonts w:ascii="Tahoma" w:hAnsi="Tahoma" w:cs="Tahoma"/>
          <w:i/>
          <w:lang w:val="sr-Cyrl-CS"/>
        </w:rPr>
        <w:t xml:space="preserve">и </w:t>
      </w:r>
      <w:proofErr w:type="spellStart"/>
      <w:r w:rsidRPr="008D2842">
        <w:rPr>
          <w:rFonts w:ascii="Tahoma" w:hAnsi="Tahoma" w:cs="Tahoma"/>
        </w:rPr>
        <w:t>биљежи</w:t>
      </w:r>
      <w:proofErr w:type="spellEnd"/>
      <w:r w:rsidRPr="008D2842">
        <w:rPr>
          <w:rFonts w:ascii="Tahoma" w:hAnsi="Tahoma" w:cs="Tahoma"/>
        </w:rPr>
        <w:t xml:space="preserve"> </w:t>
      </w:r>
      <w:r w:rsidRPr="008D2842">
        <w:rPr>
          <w:rFonts w:ascii="Tahoma" w:hAnsi="Tahoma" w:cs="Tahoma"/>
          <w:lang w:val="sr-Cyrl-CS"/>
        </w:rPr>
        <w:t xml:space="preserve">раст од </w:t>
      </w:r>
      <w:r w:rsidR="00CE2E20" w:rsidRPr="008D2842">
        <w:rPr>
          <w:rFonts w:ascii="Tahoma" w:hAnsi="Tahoma" w:cs="Tahoma"/>
          <w:lang w:val="sr-Cyrl-CS"/>
        </w:rPr>
        <w:t>11</w:t>
      </w:r>
      <w:r w:rsidRPr="008D2842">
        <w:rPr>
          <w:rFonts w:ascii="Tahoma" w:hAnsi="Tahoma" w:cs="Tahoma"/>
        </w:rPr>
        <w:t>,</w:t>
      </w:r>
      <w:r w:rsidRPr="008D2842">
        <w:rPr>
          <w:rFonts w:ascii="Tahoma" w:hAnsi="Tahoma" w:cs="Tahoma"/>
          <w:lang w:val="sr-Cyrl-CS"/>
        </w:rPr>
        <w:t>1</w:t>
      </w:r>
      <w:r w:rsidRPr="008D2842">
        <w:rPr>
          <w:rFonts w:ascii="Tahoma" w:hAnsi="Tahoma" w:cs="Tahoma"/>
        </w:rPr>
        <w:t>%</w:t>
      </w:r>
      <w:r w:rsidR="00CE2E20" w:rsidRPr="008D2842">
        <w:rPr>
          <w:rFonts w:ascii="Tahoma" w:hAnsi="Tahoma" w:cs="Tahoma"/>
          <w:lang w:val="sr-Cyrl-CS"/>
        </w:rPr>
        <w:t xml:space="preserve"> и</w:t>
      </w:r>
      <w:r w:rsidRPr="008D2842">
        <w:rPr>
          <w:rFonts w:ascii="Tahoma" w:hAnsi="Tahoma" w:cs="Tahoma"/>
          <w:lang w:val="sr-Cyrl-CS"/>
        </w:rPr>
        <w:t xml:space="preserve"> </w:t>
      </w:r>
      <w:r w:rsidRPr="008D2842">
        <w:rPr>
          <w:rFonts w:ascii="Tahoma" w:hAnsi="Tahoma" w:cs="Tahoma"/>
          <w:lang w:val="sr-Cyrl-BA"/>
        </w:rPr>
        <w:t>у</w:t>
      </w:r>
      <w:r w:rsidRPr="008D2842">
        <w:rPr>
          <w:rFonts w:ascii="Tahoma" w:hAnsi="Tahoma" w:cs="Tahoma"/>
        </w:rPr>
        <w:t xml:space="preserve"> </w:t>
      </w:r>
      <w:r w:rsidR="008026FD" w:rsidRPr="008D2842">
        <w:rPr>
          <w:rFonts w:ascii="Tahoma" w:hAnsi="Tahoma" w:cs="Tahoma"/>
          <w:lang w:val="sr-Cyrl-BA"/>
        </w:rPr>
        <w:t xml:space="preserve">подручју </w:t>
      </w:r>
      <w:proofErr w:type="spellStart"/>
      <w:r w:rsidR="008026FD" w:rsidRPr="008D2842">
        <w:rPr>
          <w:rFonts w:ascii="Tahoma" w:hAnsi="Tahoma" w:cs="Tahoma"/>
          <w:i/>
        </w:rPr>
        <w:t>Вађењ</w:t>
      </w:r>
      <w:proofErr w:type="spellEnd"/>
      <w:r w:rsidR="008026FD" w:rsidRPr="008D2842">
        <w:rPr>
          <w:rFonts w:ascii="Tahoma" w:hAnsi="Tahoma" w:cs="Tahoma"/>
          <w:i/>
          <w:lang w:val="sr-Cyrl-BA"/>
        </w:rPr>
        <w:t>а</w:t>
      </w:r>
      <w:r w:rsidR="008026FD" w:rsidRPr="008D2842">
        <w:rPr>
          <w:rFonts w:ascii="Tahoma" w:hAnsi="Tahoma" w:cs="Tahoma"/>
          <w:i/>
        </w:rPr>
        <w:t xml:space="preserve"> </w:t>
      </w:r>
      <w:proofErr w:type="spellStart"/>
      <w:r w:rsidR="008026FD" w:rsidRPr="008D2842">
        <w:rPr>
          <w:rFonts w:ascii="Tahoma" w:hAnsi="Tahoma" w:cs="Tahoma"/>
          <w:i/>
        </w:rPr>
        <w:t>руда</w:t>
      </w:r>
      <w:proofErr w:type="spellEnd"/>
      <w:r w:rsidR="008026FD" w:rsidRPr="008D2842">
        <w:rPr>
          <w:rFonts w:ascii="Tahoma" w:hAnsi="Tahoma" w:cs="Tahoma"/>
          <w:i/>
        </w:rPr>
        <w:t xml:space="preserve"> и </w:t>
      </w:r>
      <w:proofErr w:type="spellStart"/>
      <w:r w:rsidR="008026FD" w:rsidRPr="008D2842">
        <w:rPr>
          <w:rFonts w:ascii="Tahoma" w:hAnsi="Tahoma" w:cs="Tahoma"/>
          <w:i/>
        </w:rPr>
        <w:t>камена</w:t>
      </w:r>
      <w:proofErr w:type="spellEnd"/>
      <w:r w:rsidR="008026FD" w:rsidRPr="008D2842">
        <w:rPr>
          <w:rFonts w:ascii="Tahoma" w:hAnsi="Tahoma" w:cs="Tahoma"/>
          <w:i/>
        </w:rPr>
        <w:t xml:space="preserve"> </w:t>
      </w:r>
      <w:r w:rsidRPr="008D2842">
        <w:rPr>
          <w:rFonts w:ascii="Tahoma" w:hAnsi="Tahoma" w:cs="Tahoma"/>
          <w:lang w:val="sr-Cyrl-CS"/>
        </w:rPr>
        <w:t>раст од</w:t>
      </w:r>
      <w:r w:rsidRPr="008D2842">
        <w:rPr>
          <w:rFonts w:ascii="Tahoma" w:hAnsi="Tahoma" w:cs="Tahoma"/>
          <w:lang w:val="sr-Cyrl-BA"/>
        </w:rPr>
        <w:t xml:space="preserve"> </w:t>
      </w:r>
      <w:r w:rsidR="00CE2E20" w:rsidRPr="008D2842">
        <w:rPr>
          <w:rFonts w:ascii="Tahoma" w:hAnsi="Tahoma" w:cs="Tahoma"/>
          <w:lang w:val="sr-Cyrl-BA"/>
        </w:rPr>
        <w:t>0</w:t>
      </w:r>
      <w:r w:rsidRPr="008D2842">
        <w:rPr>
          <w:rFonts w:ascii="Tahoma" w:hAnsi="Tahoma" w:cs="Tahoma"/>
        </w:rPr>
        <w:t>,</w:t>
      </w:r>
      <w:r w:rsidR="00CE2E20" w:rsidRPr="008D2842">
        <w:rPr>
          <w:rFonts w:ascii="Tahoma" w:hAnsi="Tahoma" w:cs="Tahoma"/>
          <w:lang w:val="sr-Cyrl-CS"/>
        </w:rPr>
        <w:t>6</w:t>
      </w:r>
      <w:r w:rsidRPr="008D2842">
        <w:rPr>
          <w:rFonts w:ascii="Tahoma" w:hAnsi="Tahoma" w:cs="Tahoma"/>
        </w:rPr>
        <w:t>%</w:t>
      </w:r>
      <w:r w:rsidR="00CE2E20" w:rsidRPr="008D2842">
        <w:rPr>
          <w:rFonts w:ascii="Tahoma" w:hAnsi="Tahoma" w:cs="Tahoma"/>
          <w:lang w:val="sr-Cyrl-CS"/>
        </w:rPr>
        <w:t>, док је</w:t>
      </w:r>
      <w:r w:rsidRPr="008D2842">
        <w:rPr>
          <w:rFonts w:ascii="Tahoma" w:hAnsi="Tahoma" w:cs="Tahoma"/>
          <w:lang w:val="sr-Cyrl-BA"/>
        </w:rPr>
        <w:t xml:space="preserve"> </w:t>
      </w:r>
      <w:r w:rsidRPr="008D2842">
        <w:rPr>
          <w:rFonts w:ascii="Tahoma" w:hAnsi="Tahoma" w:cs="Tahoma"/>
        </w:rPr>
        <w:t xml:space="preserve">у </w:t>
      </w:r>
      <w:proofErr w:type="spellStart"/>
      <w:r w:rsidR="008026FD" w:rsidRPr="008D2842">
        <w:rPr>
          <w:rFonts w:ascii="Tahoma" w:hAnsi="Tahoma" w:cs="Tahoma"/>
          <w:i/>
        </w:rPr>
        <w:t>Прерађивачк</w:t>
      </w:r>
      <w:proofErr w:type="spellEnd"/>
      <w:r w:rsidR="00CE2E20" w:rsidRPr="008D2842">
        <w:rPr>
          <w:rFonts w:ascii="Tahoma" w:hAnsi="Tahoma" w:cs="Tahoma"/>
          <w:i/>
          <w:lang w:val="sr-Cyrl-CS"/>
        </w:rPr>
        <w:t>ој</w:t>
      </w:r>
      <w:r w:rsidR="008026FD" w:rsidRPr="008D2842">
        <w:rPr>
          <w:rFonts w:ascii="Tahoma" w:hAnsi="Tahoma" w:cs="Tahoma"/>
          <w:i/>
        </w:rPr>
        <w:t xml:space="preserve"> </w:t>
      </w:r>
      <w:proofErr w:type="spellStart"/>
      <w:r w:rsidR="008026FD" w:rsidRPr="008D2842">
        <w:rPr>
          <w:rFonts w:ascii="Tahoma" w:hAnsi="Tahoma" w:cs="Tahoma"/>
          <w:i/>
        </w:rPr>
        <w:t>индустриј</w:t>
      </w:r>
      <w:proofErr w:type="spellEnd"/>
      <w:r w:rsidR="00CE2E20" w:rsidRPr="008D2842">
        <w:rPr>
          <w:rFonts w:ascii="Tahoma" w:hAnsi="Tahoma" w:cs="Tahoma"/>
          <w:i/>
          <w:lang w:val="sr-Cyrl-CS"/>
        </w:rPr>
        <w:t>и</w:t>
      </w:r>
      <w:r w:rsidR="008026FD" w:rsidRPr="008D2842">
        <w:rPr>
          <w:rFonts w:ascii="Tahoma" w:hAnsi="Tahoma" w:cs="Tahoma"/>
        </w:rPr>
        <w:t xml:space="preserve"> </w:t>
      </w:r>
      <w:r w:rsidR="00CE2E20" w:rsidRPr="008D2842">
        <w:rPr>
          <w:rFonts w:ascii="Tahoma" w:hAnsi="Tahoma" w:cs="Tahoma"/>
          <w:lang w:val="sr-Cyrl-CS"/>
        </w:rPr>
        <w:t>забиљежен пад</w:t>
      </w:r>
      <w:r w:rsidRPr="008D2842">
        <w:rPr>
          <w:rFonts w:ascii="Tahoma" w:hAnsi="Tahoma" w:cs="Tahoma"/>
          <w:lang w:val="sr-Cyrl-CS"/>
        </w:rPr>
        <w:t xml:space="preserve"> од</w:t>
      </w:r>
      <w:r w:rsidRPr="008D2842">
        <w:rPr>
          <w:rFonts w:ascii="Tahoma" w:hAnsi="Tahoma" w:cs="Tahoma"/>
        </w:rPr>
        <w:t xml:space="preserve"> </w:t>
      </w:r>
      <w:r w:rsidR="00CE2E20" w:rsidRPr="008D2842">
        <w:rPr>
          <w:rFonts w:ascii="Tahoma" w:hAnsi="Tahoma" w:cs="Tahoma"/>
          <w:lang w:val="sr-Cyrl-CS"/>
        </w:rPr>
        <w:t>1</w:t>
      </w:r>
      <w:r w:rsidRPr="008D2842">
        <w:rPr>
          <w:rFonts w:ascii="Tahoma" w:hAnsi="Tahoma" w:cs="Tahoma"/>
        </w:rPr>
        <w:t>,</w:t>
      </w:r>
      <w:r w:rsidR="00CE2E20" w:rsidRPr="008D2842">
        <w:rPr>
          <w:rFonts w:ascii="Tahoma" w:hAnsi="Tahoma" w:cs="Tahoma"/>
          <w:lang w:val="sr-Cyrl-CS"/>
        </w:rPr>
        <w:t>6</w:t>
      </w:r>
      <w:r w:rsidRPr="008D2842">
        <w:rPr>
          <w:rFonts w:ascii="Tahoma" w:hAnsi="Tahoma" w:cs="Tahoma"/>
        </w:rPr>
        <w:t>%.</w:t>
      </w:r>
    </w:p>
    <w:p w:rsidR="00517795" w:rsidRPr="008D2842" w:rsidRDefault="00517795" w:rsidP="00517795">
      <w:pPr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BA"/>
        </w:rPr>
        <w:t xml:space="preserve">Календарски прилагођена </w:t>
      </w:r>
      <w:r w:rsidRPr="008D2842">
        <w:rPr>
          <w:rFonts w:ascii="Tahoma" w:hAnsi="Tahoma" w:cs="Tahoma"/>
          <w:spacing w:val="-2"/>
          <w:lang w:val="sr-Cyrl-BA"/>
        </w:rPr>
        <w:t>производња</w:t>
      </w:r>
      <w:r w:rsidR="00CE2E20" w:rsidRPr="008D2842">
        <w:rPr>
          <w:rFonts w:ascii="Tahoma" w:hAnsi="Tahoma" w:cs="Tahoma"/>
          <w:lang w:val="sr-Cyrl-CS"/>
        </w:rPr>
        <w:t xml:space="preserve"> трајних производа за широку потрошњу</w:t>
      </w:r>
      <w:r w:rsidRPr="008D2842">
        <w:rPr>
          <w:rFonts w:ascii="Tahoma" w:hAnsi="Tahoma" w:cs="Tahoma"/>
          <w:lang w:val="sr-Cyrl-CS"/>
        </w:rPr>
        <w:t>, у</w:t>
      </w:r>
      <w:r w:rsidRPr="008D2842">
        <w:rPr>
          <w:rFonts w:ascii="Tahoma" w:hAnsi="Tahoma" w:cs="Tahoma"/>
          <w:spacing w:val="-2"/>
        </w:rPr>
        <w:t xml:space="preserve"> </w:t>
      </w:r>
      <w:r w:rsidR="00CE2E20" w:rsidRPr="008D2842">
        <w:rPr>
          <w:rFonts w:ascii="Tahoma" w:hAnsi="Tahoma" w:cs="Tahoma"/>
          <w:spacing w:val="-2"/>
          <w:lang w:val="sr-Cyrl-CS"/>
        </w:rPr>
        <w:t>мају</w:t>
      </w:r>
      <w:r w:rsidRPr="008D2842">
        <w:rPr>
          <w:rFonts w:ascii="Tahoma" w:hAnsi="Tahoma" w:cs="Tahoma"/>
          <w:spacing w:val="-2"/>
        </w:rPr>
        <w:t xml:space="preserve"> 2013. </w:t>
      </w:r>
      <w:proofErr w:type="spellStart"/>
      <w:proofErr w:type="gramStart"/>
      <w:r w:rsidRPr="008D2842">
        <w:rPr>
          <w:rFonts w:ascii="Tahoma" w:hAnsi="Tahoma" w:cs="Tahoma"/>
          <w:spacing w:val="-2"/>
        </w:rPr>
        <w:t>године</w:t>
      </w:r>
      <w:proofErr w:type="spellEnd"/>
      <w:proofErr w:type="gramEnd"/>
      <w:r w:rsidRPr="008D2842">
        <w:rPr>
          <w:rFonts w:ascii="Tahoma" w:hAnsi="Tahoma" w:cs="Tahoma"/>
          <w:spacing w:val="-2"/>
        </w:rPr>
        <w:t xml:space="preserve"> у </w:t>
      </w:r>
      <w:proofErr w:type="spellStart"/>
      <w:r w:rsidRPr="008D2842">
        <w:rPr>
          <w:rFonts w:ascii="Tahoma" w:hAnsi="Tahoma" w:cs="Tahoma"/>
          <w:spacing w:val="-2"/>
        </w:rPr>
        <w:t>односу</w:t>
      </w:r>
      <w:proofErr w:type="spellEnd"/>
      <w:r w:rsidRPr="008D2842">
        <w:rPr>
          <w:rFonts w:ascii="Tahoma" w:hAnsi="Tahoma" w:cs="Tahoma"/>
          <w:spacing w:val="-2"/>
        </w:rPr>
        <w:t xml:space="preserve"> </w:t>
      </w:r>
      <w:proofErr w:type="spellStart"/>
      <w:r w:rsidRPr="008D2842">
        <w:rPr>
          <w:rFonts w:ascii="Tahoma" w:hAnsi="Tahoma" w:cs="Tahoma"/>
          <w:spacing w:val="-2"/>
        </w:rPr>
        <w:t>на</w:t>
      </w:r>
      <w:proofErr w:type="spellEnd"/>
      <w:r w:rsidRPr="008D2842">
        <w:rPr>
          <w:rFonts w:ascii="Tahoma" w:hAnsi="Tahoma" w:cs="Tahoma"/>
          <w:spacing w:val="-2"/>
        </w:rPr>
        <w:t xml:space="preserve"> </w:t>
      </w:r>
      <w:r w:rsidR="00CE2E20" w:rsidRPr="008D2842">
        <w:rPr>
          <w:rFonts w:ascii="Tahoma" w:hAnsi="Tahoma" w:cs="Tahoma"/>
          <w:spacing w:val="-2"/>
          <w:lang w:val="sr-Cyrl-CS"/>
        </w:rPr>
        <w:t>мај</w:t>
      </w:r>
      <w:r w:rsidRPr="008D2842">
        <w:rPr>
          <w:rFonts w:ascii="Tahoma" w:hAnsi="Tahoma" w:cs="Tahoma"/>
          <w:spacing w:val="-2"/>
        </w:rPr>
        <w:t xml:space="preserve"> 2012</w:t>
      </w:r>
      <w:r w:rsidRPr="008D2842">
        <w:rPr>
          <w:rFonts w:ascii="Tahoma" w:hAnsi="Tahoma" w:cs="Tahoma"/>
          <w:spacing w:val="-2"/>
          <w:lang w:val="sr-Cyrl-CS"/>
        </w:rPr>
        <w:t>.</w:t>
      </w:r>
      <w:r w:rsidRPr="008D2842">
        <w:rPr>
          <w:rFonts w:ascii="Tahoma" w:hAnsi="Tahoma" w:cs="Tahoma"/>
          <w:spacing w:val="-2"/>
        </w:rPr>
        <w:t xml:space="preserve"> </w:t>
      </w:r>
      <w:r w:rsidRPr="008D2842">
        <w:rPr>
          <w:rFonts w:ascii="Tahoma" w:hAnsi="Tahoma" w:cs="Tahoma"/>
          <w:spacing w:val="-2"/>
          <w:lang w:val="sr-Cyrl-BA"/>
        </w:rPr>
        <w:t>г</w:t>
      </w:r>
      <w:proofErr w:type="spellStart"/>
      <w:r w:rsidRPr="008D2842">
        <w:rPr>
          <w:rFonts w:ascii="Tahoma" w:hAnsi="Tahoma" w:cs="Tahoma"/>
          <w:spacing w:val="-2"/>
        </w:rPr>
        <w:t>одине</w:t>
      </w:r>
      <w:proofErr w:type="spellEnd"/>
      <w:r w:rsidRPr="008D2842">
        <w:rPr>
          <w:rFonts w:ascii="Tahoma" w:hAnsi="Tahoma" w:cs="Tahoma"/>
          <w:spacing w:val="-2"/>
          <w:lang w:val="sr-Cyrl-CS"/>
        </w:rPr>
        <w:t>,</w:t>
      </w:r>
      <w:r w:rsidRPr="008D2842">
        <w:rPr>
          <w:rFonts w:ascii="Tahoma" w:hAnsi="Tahoma" w:cs="Tahoma"/>
          <w:spacing w:val="-2"/>
          <w:lang w:val="sr-Cyrl-BA"/>
        </w:rPr>
        <w:t xml:space="preserve"> </w:t>
      </w:r>
      <w:r w:rsidRPr="008D2842">
        <w:rPr>
          <w:rFonts w:ascii="Tahoma" w:hAnsi="Tahoma" w:cs="Tahoma"/>
          <w:lang w:val="sr-Cyrl-CS"/>
        </w:rPr>
        <w:t xml:space="preserve">већа је за </w:t>
      </w:r>
      <w:r w:rsidR="00CE2E20" w:rsidRPr="008D2842">
        <w:rPr>
          <w:rFonts w:ascii="Tahoma" w:hAnsi="Tahoma" w:cs="Tahoma"/>
          <w:lang w:val="sr-Cyrl-CS"/>
        </w:rPr>
        <w:t>18</w:t>
      </w:r>
      <w:r w:rsidRPr="008D2842">
        <w:rPr>
          <w:rFonts w:ascii="Tahoma" w:hAnsi="Tahoma" w:cs="Tahoma"/>
          <w:lang w:val="sr-Cyrl-CS"/>
        </w:rPr>
        <w:t>,</w:t>
      </w:r>
      <w:r w:rsidR="00CE2E20" w:rsidRPr="008D2842">
        <w:rPr>
          <w:rFonts w:ascii="Tahoma" w:hAnsi="Tahoma" w:cs="Tahoma"/>
          <w:lang w:val="sr-Cyrl-CS"/>
        </w:rPr>
        <w:t>3</w:t>
      </w:r>
      <w:r w:rsidRPr="008D2842">
        <w:rPr>
          <w:rFonts w:ascii="Tahoma" w:hAnsi="Tahoma" w:cs="Tahoma"/>
          <w:lang w:val="sr-Cyrl-CS"/>
        </w:rPr>
        <w:t>%</w:t>
      </w:r>
      <w:r w:rsidRPr="008D2842">
        <w:rPr>
          <w:rFonts w:ascii="Tahoma" w:hAnsi="Tahoma" w:cs="Tahoma"/>
        </w:rPr>
        <w:t xml:space="preserve">, </w:t>
      </w:r>
      <w:r w:rsidR="00CE2E20" w:rsidRPr="008D2842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8D2842">
        <w:rPr>
          <w:rFonts w:ascii="Tahoma" w:hAnsi="Tahoma" w:cs="Tahoma"/>
          <w:lang w:val="sr-Cyrl-CS"/>
        </w:rPr>
        <w:t xml:space="preserve">за </w:t>
      </w:r>
      <w:r w:rsidR="00CE2E20" w:rsidRPr="008D2842">
        <w:rPr>
          <w:rFonts w:ascii="Tahoma" w:hAnsi="Tahoma" w:cs="Tahoma"/>
          <w:lang w:val="sr-Cyrl-CS"/>
        </w:rPr>
        <w:t>16</w:t>
      </w:r>
      <w:r w:rsidRPr="008D2842">
        <w:rPr>
          <w:rFonts w:ascii="Tahoma" w:hAnsi="Tahoma" w:cs="Tahoma"/>
          <w:lang w:val="sr-Cyrl-CS"/>
        </w:rPr>
        <w:t>,</w:t>
      </w:r>
      <w:r w:rsidR="00CE2E20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  <w:lang w:val="sr-Cyrl-CS"/>
        </w:rPr>
        <w:t xml:space="preserve">% и </w:t>
      </w:r>
      <w:r w:rsidR="00CE2E20" w:rsidRPr="008D2842">
        <w:rPr>
          <w:rFonts w:ascii="Tahoma" w:hAnsi="Tahoma" w:cs="Tahoma"/>
          <w:lang w:val="sr-Cyrl-CS"/>
        </w:rPr>
        <w:t xml:space="preserve">енергије </w:t>
      </w:r>
      <w:r w:rsidRPr="008D2842">
        <w:rPr>
          <w:rFonts w:ascii="Tahoma" w:hAnsi="Tahoma" w:cs="Tahoma"/>
          <w:lang w:val="sr-Cyrl-CS"/>
        </w:rPr>
        <w:t xml:space="preserve">за </w:t>
      </w:r>
      <w:r w:rsidR="00CE2E20" w:rsidRPr="008D2842">
        <w:rPr>
          <w:rFonts w:ascii="Tahoma" w:hAnsi="Tahoma" w:cs="Tahoma"/>
          <w:lang w:val="sr-Cyrl-CS"/>
        </w:rPr>
        <w:t>4</w:t>
      </w:r>
      <w:r w:rsidRPr="008D2842">
        <w:rPr>
          <w:rFonts w:ascii="Tahoma" w:hAnsi="Tahoma" w:cs="Tahoma"/>
          <w:lang w:val="sr-Cyrl-CS"/>
        </w:rPr>
        <w:t>,</w:t>
      </w:r>
      <w:r w:rsidR="00CE2E20" w:rsidRPr="008D2842">
        <w:rPr>
          <w:rFonts w:ascii="Tahoma" w:hAnsi="Tahoma" w:cs="Tahoma"/>
          <w:lang w:val="sr-Cyrl-CS"/>
        </w:rPr>
        <w:t>5</w:t>
      </w:r>
      <w:r w:rsidRPr="008D2842">
        <w:rPr>
          <w:rFonts w:ascii="Tahoma" w:hAnsi="Tahoma" w:cs="Tahoma"/>
          <w:lang w:val="sr-Cyrl-CS"/>
        </w:rPr>
        <w:t xml:space="preserve">%, док је производња </w:t>
      </w:r>
      <w:r w:rsidR="00CE2E20" w:rsidRPr="008D2842">
        <w:rPr>
          <w:rFonts w:ascii="Tahoma" w:hAnsi="Tahoma" w:cs="Tahoma"/>
          <w:lang w:val="sr-Cyrl-CS"/>
        </w:rPr>
        <w:t xml:space="preserve">интермедијарних производа </w:t>
      </w:r>
      <w:r w:rsidRPr="008D2842">
        <w:rPr>
          <w:rFonts w:ascii="Tahoma" w:hAnsi="Tahoma" w:cs="Tahoma"/>
          <w:lang w:val="sr-Cyrl-CS"/>
        </w:rPr>
        <w:t xml:space="preserve">мања за </w:t>
      </w:r>
      <w:r w:rsidR="00CE2E20" w:rsidRPr="008D2842">
        <w:rPr>
          <w:rFonts w:ascii="Tahoma" w:hAnsi="Tahoma" w:cs="Tahoma"/>
          <w:lang w:val="sr-Cyrl-CS"/>
        </w:rPr>
        <w:t>1</w:t>
      </w:r>
      <w:r w:rsidRPr="008D2842">
        <w:rPr>
          <w:rFonts w:ascii="Tahoma" w:hAnsi="Tahoma" w:cs="Tahoma"/>
          <w:lang w:val="bs-Latn-BA"/>
        </w:rPr>
        <w:t>,</w:t>
      </w:r>
      <w:r w:rsidR="00CE2E20" w:rsidRPr="008D2842">
        <w:rPr>
          <w:rFonts w:ascii="Tahoma" w:hAnsi="Tahoma" w:cs="Tahoma"/>
          <w:lang w:val="sr-Cyrl-CS"/>
        </w:rPr>
        <w:t>9</w:t>
      </w:r>
      <w:r w:rsidRPr="008D2842">
        <w:rPr>
          <w:rFonts w:ascii="Tahoma" w:hAnsi="Tahoma" w:cs="Tahoma"/>
          <w:lang w:val="sr-Cyrl-CS"/>
        </w:rPr>
        <w:t>% и капиталних производа</w:t>
      </w:r>
      <w:r w:rsidRPr="008D2842">
        <w:rPr>
          <w:rFonts w:ascii="Tahoma" w:hAnsi="Tahoma" w:cs="Tahoma"/>
          <w:lang w:val="sr-Cyrl-BA"/>
        </w:rPr>
        <w:t xml:space="preserve"> </w:t>
      </w:r>
      <w:r w:rsidRPr="008D2842">
        <w:rPr>
          <w:rFonts w:ascii="Tahoma" w:hAnsi="Tahoma" w:cs="Tahoma"/>
          <w:lang w:val="sr-Cyrl-CS"/>
        </w:rPr>
        <w:t xml:space="preserve">за </w:t>
      </w:r>
      <w:r w:rsidR="00CE2E20" w:rsidRPr="008D2842">
        <w:rPr>
          <w:rFonts w:ascii="Tahoma" w:hAnsi="Tahoma" w:cs="Tahoma"/>
          <w:lang w:val="sr-Cyrl-CS"/>
        </w:rPr>
        <w:t>20</w:t>
      </w:r>
      <w:r w:rsidRPr="008D2842">
        <w:rPr>
          <w:rFonts w:ascii="Tahoma" w:hAnsi="Tahoma" w:cs="Tahoma"/>
          <w:lang w:val="bs-Latn-BA"/>
        </w:rPr>
        <w:t>,</w:t>
      </w:r>
      <w:r w:rsidR="00CE2E20" w:rsidRPr="008D2842">
        <w:rPr>
          <w:rFonts w:ascii="Tahoma" w:hAnsi="Tahoma" w:cs="Tahoma"/>
          <w:lang w:val="sr-Cyrl-CS"/>
        </w:rPr>
        <w:t>0</w:t>
      </w:r>
      <w:r w:rsidRPr="008D2842">
        <w:rPr>
          <w:rFonts w:ascii="Tahoma" w:hAnsi="Tahoma" w:cs="Tahoma"/>
          <w:lang w:val="sr-Cyrl-CS"/>
        </w:rPr>
        <w:t>%.</w:t>
      </w:r>
    </w:p>
    <w:p w:rsidR="00517795" w:rsidRPr="008D2842" w:rsidRDefault="00517795" w:rsidP="00517795">
      <w:pPr>
        <w:jc w:val="both"/>
        <w:rPr>
          <w:rFonts w:ascii="Tahoma" w:hAnsi="Tahoma" w:cs="Tahoma"/>
          <w:b/>
          <w:lang w:val="sr-Cyrl-CS"/>
        </w:rPr>
      </w:pPr>
    </w:p>
    <w:p w:rsidR="00561E71" w:rsidRPr="00A14198" w:rsidRDefault="00561E71" w:rsidP="006B3FBB">
      <w:pPr>
        <w:ind w:right="68"/>
        <w:jc w:val="both"/>
        <w:rPr>
          <w:rFonts w:ascii="Tahoma" w:hAnsi="Tahoma" w:cs="Tahoma"/>
          <w:lang w:val="sr-Latn-CS"/>
        </w:rPr>
      </w:pPr>
    </w:p>
    <w:p w:rsidR="00E62A34" w:rsidRPr="00A14198" w:rsidRDefault="00E62A34" w:rsidP="00E62A34">
      <w:pPr>
        <w:rPr>
          <w:rFonts w:ascii="Tahoma" w:hAnsi="Tahoma" w:cs="Tahoma"/>
          <w:b/>
          <w:spacing w:val="-4"/>
          <w:lang w:val="sr-Cyrl-CS"/>
        </w:rPr>
      </w:pPr>
    </w:p>
    <w:p w:rsidR="0054179E" w:rsidRPr="00A14198" w:rsidRDefault="0054179E" w:rsidP="00E62A34">
      <w:pPr>
        <w:rPr>
          <w:rFonts w:ascii="Tahoma" w:hAnsi="Tahoma" w:cs="Tahoma"/>
          <w:b/>
          <w:spacing w:val="-4"/>
          <w:lang w:val="sr-Cyrl-CS"/>
        </w:rPr>
      </w:pPr>
    </w:p>
    <w:p w:rsidR="0054179E" w:rsidRPr="00A14198" w:rsidRDefault="0054179E" w:rsidP="00E62A34">
      <w:pPr>
        <w:rPr>
          <w:rFonts w:ascii="Tahoma" w:hAnsi="Tahoma" w:cs="Tahoma"/>
          <w:b/>
          <w:spacing w:val="-4"/>
          <w:lang w:val="sr-Latn-CS"/>
        </w:rPr>
      </w:pPr>
    </w:p>
    <w:p w:rsidR="0054179E" w:rsidRDefault="00A14198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 w:rsidRPr="00A14198">
        <w:rPr>
          <w:rFonts w:ascii="Tahoma" w:hAnsi="Tahoma" w:cs="Tahoma"/>
          <w:b/>
          <w:noProof/>
          <w:spacing w:val="-4"/>
          <w:sz w:val="28"/>
          <w:szCs w:val="28"/>
        </w:rPr>
        <w:drawing>
          <wp:inline distT="0" distB="0" distL="0" distR="0">
            <wp:extent cx="6480810" cy="2800444"/>
            <wp:effectExtent l="19050" t="0" r="0" b="0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4198" w:rsidRPr="00A14198" w:rsidRDefault="00A14198" w:rsidP="00A14198">
      <w:pPr>
        <w:jc w:val="center"/>
        <w:rPr>
          <w:rFonts w:ascii="Tahoma" w:hAnsi="Tahoma" w:cs="Tahoma"/>
          <w:lang w:val="sr-Latn-CS"/>
        </w:rPr>
      </w:pPr>
      <w:r w:rsidRPr="00A14198">
        <w:rPr>
          <w:rFonts w:ascii="Tahoma" w:hAnsi="Tahoma" w:cs="Tahoma"/>
          <w:lang w:val="sr-Latn-CS"/>
        </w:rPr>
        <w:t xml:space="preserve">Графикон </w:t>
      </w:r>
      <w:r w:rsidR="008D2842">
        <w:rPr>
          <w:rFonts w:ascii="Tahoma" w:hAnsi="Tahoma" w:cs="Tahoma"/>
          <w:lang w:val="sr-Latn-CS"/>
        </w:rPr>
        <w:t>2</w:t>
      </w:r>
      <w:r w:rsidRPr="00A14198">
        <w:rPr>
          <w:rFonts w:ascii="Tahoma" w:hAnsi="Tahoma" w:cs="Tahoma"/>
          <w:lang w:val="sr-Latn-CS"/>
        </w:rPr>
        <w:t xml:space="preserve">. Индекси индустријске производње,  јануар 2009. – </w:t>
      </w:r>
      <w:r w:rsidRPr="00A14198">
        <w:rPr>
          <w:rFonts w:ascii="Tahoma" w:hAnsi="Tahoma" w:cs="Tahoma"/>
        </w:rPr>
        <w:t>м</w:t>
      </w:r>
      <w:r w:rsidRPr="00A14198">
        <w:rPr>
          <w:rFonts w:ascii="Tahoma" w:hAnsi="Tahoma" w:cs="Tahoma"/>
          <w:lang w:val="sr-Latn-CS"/>
        </w:rPr>
        <w:t>а</w:t>
      </w:r>
      <w:r w:rsidRPr="00A14198">
        <w:rPr>
          <w:rFonts w:ascii="Tahoma" w:hAnsi="Tahoma" w:cs="Tahoma"/>
        </w:rPr>
        <w:t>ј</w:t>
      </w:r>
      <w:r w:rsidRPr="00A14198">
        <w:rPr>
          <w:rFonts w:ascii="Tahoma" w:hAnsi="Tahoma" w:cs="Tahoma"/>
          <w:lang w:val="sr-Latn-CS"/>
        </w:rPr>
        <w:t xml:space="preserve"> 2013.  (</w:t>
      </w:r>
      <w:r w:rsidRPr="00A14198">
        <w:rPr>
          <w:rFonts w:ascii="Tahoma" w:hAnsi="Tahoma" w:cs="Tahoma"/>
          <w:lang w:val="sr-Latn-CS"/>
        </w:rPr>
        <w:sym w:font="Symbol" w:char="F0C6"/>
      </w:r>
      <w:r w:rsidRPr="00A14198">
        <w:rPr>
          <w:rFonts w:ascii="Tahoma" w:hAnsi="Tahoma" w:cs="Tahoma"/>
          <w:lang w:val="sr-Latn-CS"/>
        </w:rPr>
        <w:t>2010=100)</w:t>
      </w:r>
    </w:p>
    <w:p w:rsidR="0054179E" w:rsidRPr="00806168" w:rsidRDefault="0054179E" w:rsidP="00E62A34">
      <w:pPr>
        <w:rPr>
          <w:rFonts w:ascii="Tahoma" w:hAnsi="Tahoma" w:cs="Tahoma"/>
          <w:b/>
          <w:spacing w:val="-4"/>
          <w:lang w:val="sr-Cyrl-CS"/>
        </w:rPr>
      </w:pPr>
    </w:p>
    <w:p w:rsidR="0054179E" w:rsidRPr="00806168" w:rsidRDefault="0054179E" w:rsidP="00E62A34">
      <w:pPr>
        <w:rPr>
          <w:rFonts w:ascii="Tahoma" w:hAnsi="Tahoma" w:cs="Tahoma"/>
          <w:b/>
          <w:spacing w:val="-4"/>
          <w:lang w:val="sr-Cyrl-CS"/>
        </w:rPr>
      </w:pPr>
    </w:p>
    <w:p w:rsidR="0054179E" w:rsidRPr="00806168" w:rsidRDefault="0054179E" w:rsidP="00E62A34">
      <w:pPr>
        <w:rPr>
          <w:rFonts w:ascii="Tahoma" w:hAnsi="Tahoma" w:cs="Tahoma"/>
          <w:b/>
          <w:spacing w:val="-4"/>
          <w:lang w:val="sr-Cyrl-CS"/>
        </w:rPr>
      </w:pPr>
    </w:p>
    <w:p w:rsidR="00777348" w:rsidRPr="008D2842" w:rsidRDefault="00777348" w:rsidP="00777348">
      <w:pPr>
        <w:rPr>
          <w:rFonts w:ascii="Tahoma" w:hAnsi="Tahoma" w:cs="Tahoma"/>
          <w:b/>
          <w:sz w:val="28"/>
          <w:szCs w:val="28"/>
          <w:lang w:val="sr-Cyrl-CS"/>
        </w:rPr>
      </w:pPr>
      <w:r w:rsidRPr="008D2842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8D2842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8D2842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8D2842">
        <w:rPr>
          <w:rFonts w:ascii="Tahoma" w:hAnsi="Tahoma" w:cs="Tahoma"/>
          <w:b/>
          <w:sz w:val="28"/>
          <w:szCs w:val="28"/>
          <w:lang w:val="sr-Latn-CS"/>
        </w:rPr>
        <w:t>I-V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8D2842">
        <w:rPr>
          <w:rFonts w:ascii="Tahoma" w:hAnsi="Tahoma" w:cs="Tahoma"/>
          <w:b/>
          <w:sz w:val="28"/>
          <w:szCs w:val="28"/>
          <w:lang w:val="ru-RU"/>
        </w:rPr>
        <w:t>201</w:t>
      </w:r>
      <w:r w:rsidRPr="008D2842">
        <w:rPr>
          <w:rFonts w:ascii="Tahoma" w:hAnsi="Tahoma" w:cs="Tahoma"/>
          <w:b/>
          <w:sz w:val="28"/>
          <w:szCs w:val="28"/>
        </w:rPr>
        <w:t>3</w:t>
      </w:r>
      <w:r w:rsidRPr="008D2842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8D2842">
        <w:rPr>
          <w:rFonts w:ascii="Tahoma" w:hAnsi="Tahoma" w:cs="Tahoma"/>
          <w:b/>
          <w:sz w:val="28"/>
          <w:szCs w:val="28"/>
          <w:lang w:val="hr-HR"/>
        </w:rPr>
        <w:t>57</w:t>
      </w:r>
      <w:r w:rsidRPr="008D2842">
        <w:rPr>
          <w:rFonts w:ascii="Tahoma" w:hAnsi="Tahoma" w:cs="Tahoma"/>
          <w:b/>
          <w:sz w:val="28"/>
          <w:szCs w:val="28"/>
          <w:lang w:val="ru-RU"/>
        </w:rPr>
        <w:t>,</w:t>
      </w:r>
      <w:r w:rsidRPr="008D2842">
        <w:rPr>
          <w:rFonts w:ascii="Tahoma" w:hAnsi="Tahoma" w:cs="Tahoma"/>
          <w:b/>
          <w:sz w:val="28"/>
          <w:szCs w:val="28"/>
        </w:rPr>
        <w:t>1</w:t>
      </w:r>
      <w:r w:rsidRPr="008D2842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8D2842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8D2842">
        <w:rPr>
          <w:rFonts w:ascii="Tahoma" w:hAnsi="Tahoma" w:cs="Tahoma"/>
          <w:sz w:val="24"/>
          <w:szCs w:val="24"/>
          <w:lang w:val="hr-HR"/>
        </w:rPr>
        <w:t xml:space="preserve">(I-V 2013/I-V 2012) </w:t>
      </w:r>
      <w:r w:rsidRPr="008D2842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Pr="008D2842">
        <w:rPr>
          <w:rFonts w:ascii="Tahoma" w:hAnsi="Tahoma" w:cs="Tahoma"/>
          <w:sz w:val="24"/>
          <w:szCs w:val="24"/>
        </w:rPr>
        <w:t>5</w:t>
      </w:r>
      <w:r w:rsidRPr="008D2842">
        <w:rPr>
          <w:rFonts w:ascii="Tahoma" w:hAnsi="Tahoma" w:cs="Tahoma"/>
          <w:sz w:val="24"/>
          <w:szCs w:val="24"/>
          <w:lang w:val="ru-RU"/>
        </w:rPr>
        <w:t>,</w:t>
      </w:r>
      <w:r w:rsidRPr="008D2842">
        <w:rPr>
          <w:rFonts w:ascii="Tahoma" w:hAnsi="Tahoma" w:cs="Tahoma"/>
          <w:sz w:val="24"/>
          <w:szCs w:val="24"/>
        </w:rPr>
        <w:t>6</w:t>
      </w:r>
      <w:r w:rsidRPr="008D2842">
        <w:rPr>
          <w:rFonts w:ascii="Tahoma" w:hAnsi="Tahoma" w:cs="Tahoma"/>
          <w:sz w:val="24"/>
          <w:szCs w:val="24"/>
          <w:lang w:val="ru-RU"/>
        </w:rPr>
        <w:t>%</w:t>
      </w: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8D2842" w:rsidRDefault="00777348" w:rsidP="00777348">
      <w:pPr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>У мају 2013. године, остварен је извоз у вриједности 221 милиона КМ и увоз у вриједности од 381 милиона КМ.</w:t>
      </w:r>
    </w:p>
    <w:p w:rsidR="00777348" w:rsidRPr="008D2842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8D2842" w:rsidRDefault="00777348" w:rsidP="00777348">
      <w:pPr>
        <w:jc w:val="both"/>
        <w:rPr>
          <w:rFonts w:ascii="Tahoma" w:hAnsi="Tahoma" w:cs="Tahoma"/>
          <w:lang w:val="sr-Cyrl-BA"/>
        </w:rPr>
      </w:pPr>
      <w:r w:rsidRPr="008D2842">
        <w:rPr>
          <w:rFonts w:ascii="Tahoma" w:hAnsi="Tahoma" w:cs="Tahoma"/>
          <w:lang w:val="sr-Cyrl-BA"/>
        </w:rPr>
        <w:t>У оквиру укупно остварен</w:t>
      </w:r>
      <w:r w:rsidRPr="008D2842">
        <w:rPr>
          <w:rFonts w:ascii="Tahoma" w:hAnsi="Tahoma" w:cs="Tahoma"/>
          <w:lang w:val="bs-Cyrl-BA"/>
        </w:rPr>
        <w:t>е</w:t>
      </w:r>
      <w:r w:rsidRPr="008D2842">
        <w:rPr>
          <w:rFonts w:ascii="Tahoma" w:hAnsi="Tahoma" w:cs="Tahoma"/>
          <w:lang w:val="sr-Cyrl-BA"/>
        </w:rPr>
        <w:t xml:space="preserve"> робне размјене Р</w:t>
      </w:r>
      <w:r w:rsidRPr="008D2842">
        <w:rPr>
          <w:rFonts w:ascii="Tahoma" w:hAnsi="Tahoma" w:cs="Tahoma"/>
          <w:lang w:val="bs-Cyrl-BA"/>
        </w:rPr>
        <w:t xml:space="preserve">епублике </w:t>
      </w:r>
      <w:r w:rsidRPr="008D2842">
        <w:rPr>
          <w:rFonts w:ascii="Tahoma" w:hAnsi="Tahoma" w:cs="Tahoma"/>
          <w:lang w:val="sr-Cyrl-BA"/>
        </w:rPr>
        <w:t>Српске са иностранством у мају ове године, проценат покривености увоза извозом износио је 58,1%.</w:t>
      </w:r>
    </w:p>
    <w:p w:rsidR="00777348" w:rsidRPr="008D2842" w:rsidRDefault="00777348" w:rsidP="00777348">
      <w:pPr>
        <w:jc w:val="both"/>
        <w:rPr>
          <w:rFonts w:ascii="Tahoma" w:hAnsi="Tahoma" w:cs="Tahoma"/>
        </w:rPr>
      </w:pPr>
    </w:p>
    <w:p w:rsidR="00777348" w:rsidRPr="008D2842" w:rsidRDefault="00777348" w:rsidP="00777348">
      <w:pPr>
        <w:jc w:val="both"/>
        <w:rPr>
          <w:rFonts w:ascii="Tahoma" w:hAnsi="Tahoma" w:cs="Tahoma"/>
          <w:lang w:val="ru-RU"/>
        </w:rPr>
      </w:pPr>
      <w:r w:rsidRPr="008D2842">
        <w:rPr>
          <w:rFonts w:ascii="Tahoma" w:hAnsi="Tahoma" w:cs="Tahoma"/>
          <w:lang w:val="ru-RU"/>
        </w:rPr>
        <w:t>У периоду јануар - мај 2013. године остварен је извоз у вриједности од милијарду и 20 милиона КМ, што је за 5,6% више у односу на исти период претходне године. Увоз је, у истом периоду, износио милијарду и 786 милиона КМ, што је за 1,3% више у односу на исти период претходне године.</w:t>
      </w:r>
    </w:p>
    <w:p w:rsidR="00777348" w:rsidRPr="008D2842" w:rsidRDefault="00777348" w:rsidP="00777348">
      <w:pPr>
        <w:jc w:val="both"/>
        <w:rPr>
          <w:rFonts w:ascii="Tahoma" w:hAnsi="Tahoma" w:cs="Tahoma"/>
          <w:lang w:val="ru-RU"/>
        </w:rPr>
      </w:pPr>
    </w:p>
    <w:p w:rsidR="00777348" w:rsidRPr="008D2842" w:rsidRDefault="00777348" w:rsidP="00777348">
      <w:pPr>
        <w:jc w:val="both"/>
        <w:rPr>
          <w:rFonts w:ascii="Tahoma" w:hAnsi="Tahoma" w:cs="Tahoma"/>
          <w:lang w:val="ru-RU"/>
        </w:rPr>
      </w:pPr>
      <w:r w:rsidRPr="008D2842">
        <w:rPr>
          <w:rFonts w:ascii="Tahoma" w:hAnsi="Tahoma" w:cs="Tahoma"/>
          <w:lang w:val="ru-RU"/>
        </w:rPr>
        <w:t>Проценат покривености увоза извозом за првих пет мјесеца текуће године износио је 57,1%, док је спољнотрговински робни дефицит износио 766 милиона КМ.</w:t>
      </w: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8D2842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8D2842">
        <w:rPr>
          <w:rFonts w:ascii="Tahoma" w:hAnsi="Tahoma" w:cs="Tahoma"/>
        </w:rPr>
        <w:t>e</w:t>
      </w:r>
      <w:r w:rsidRPr="008D2842">
        <w:rPr>
          <w:rFonts w:ascii="Tahoma" w:hAnsi="Tahoma" w:cs="Tahoma"/>
          <w:lang w:val="ru-RU"/>
        </w:rPr>
        <w:t xml:space="preserve"> Српск</w:t>
      </w:r>
      <w:r w:rsidRPr="008D2842">
        <w:rPr>
          <w:rFonts w:ascii="Tahoma" w:hAnsi="Tahoma" w:cs="Tahoma"/>
        </w:rPr>
        <w:t>e</w:t>
      </w:r>
      <w:r w:rsidRPr="008D2842">
        <w:rPr>
          <w:rFonts w:ascii="Tahoma" w:hAnsi="Tahoma" w:cs="Tahoma"/>
          <w:lang w:val="ru-RU"/>
        </w:rPr>
        <w:t xml:space="preserve"> са иностранством, у периоду </w:t>
      </w:r>
      <w:r w:rsidRPr="008D2842">
        <w:rPr>
          <w:rFonts w:ascii="Tahoma" w:hAnsi="Tahoma" w:cs="Tahoma"/>
          <w:lang w:val="ru-RU"/>
        </w:rPr>
        <w:br/>
        <w:t xml:space="preserve">јануар - мај </w:t>
      </w:r>
      <w:r w:rsidRPr="008D2842">
        <w:rPr>
          <w:rFonts w:ascii="Tahoma" w:hAnsi="Tahoma" w:cs="Tahoma"/>
          <w:lang w:val="sr-Cyrl-CS"/>
        </w:rPr>
        <w:t>2013. године, највише се извозило у Италију и то у вриједности од 154 милион</w:t>
      </w:r>
      <w:r w:rsidR="00E94464" w:rsidRPr="008D2842">
        <w:rPr>
          <w:rFonts w:ascii="Tahoma" w:hAnsi="Tahoma" w:cs="Tahoma"/>
          <w:lang w:val="sr-Cyrl-CS"/>
        </w:rPr>
        <w:t>а</w:t>
      </w:r>
      <w:r w:rsidRPr="008D2842">
        <w:rPr>
          <w:rFonts w:ascii="Tahoma" w:hAnsi="Tahoma" w:cs="Tahoma"/>
          <w:lang w:val="sr-Cyrl-CS"/>
        </w:rPr>
        <w:t xml:space="preserve"> КМ, односно 15,1%</w:t>
      </w:r>
      <w:r w:rsidRPr="008D2842">
        <w:rPr>
          <w:rFonts w:ascii="Tahoma" w:hAnsi="Tahoma" w:cs="Tahoma"/>
          <w:lang w:val="ru-RU"/>
        </w:rPr>
        <w:t xml:space="preserve">, </w:t>
      </w:r>
      <w:r w:rsidRPr="008D2842">
        <w:rPr>
          <w:rFonts w:ascii="Tahoma" w:hAnsi="Tahoma" w:cs="Tahoma"/>
          <w:lang w:val="sr-Cyrl-CS"/>
        </w:rPr>
        <w:t>те у Србију 147 милиона КМ, односно 14,4% од укупног оствареног извоза.</w:t>
      </w: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8D2842">
        <w:rPr>
          <w:rFonts w:ascii="Tahoma" w:hAnsi="Tahoma" w:cs="Tahoma"/>
          <w:lang w:val="sr-Cyrl-CS"/>
        </w:rPr>
        <w:t xml:space="preserve">У истом периоду, </w:t>
      </w:r>
      <w:r w:rsidRPr="008D2842">
        <w:rPr>
          <w:rFonts w:ascii="Tahoma" w:hAnsi="Tahoma" w:cs="Tahoma"/>
          <w:lang w:val="sr-Cyrl-BA"/>
        </w:rPr>
        <w:t>н</w:t>
      </w:r>
      <w:r w:rsidRPr="008D2842">
        <w:rPr>
          <w:rFonts w:ascii="Tahoma" w:hAnsi="Tahoma" w:cs="Tahoma"/>
          <w:lang w:val="sr-Cyrl-CS"/>
        </w:rPr>
        <w:t>ајвише се увозило из Русије и то у вриједности од 495 милиона КМ, односно 27,7% и из Србије, у вриједности од 283 милиона КМ, односно 15,8% од укупно оствареног увоза.</w:t>
      </w: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8D2842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8D2842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8D2842">
        <w:rPr>
          <w:rFonts w:ascii="Tahoma" w:hAnsi="Tahoma" w:cs="Tahoma"/>
          <w:lang w:val="ru-RU"/>
        </w:rPr>
        <w:t xml:space="preserve">јануар - мај </w:t>
      </w:r>
      <w:r w:rsidRPr="008D2842">
        <w:rPr>
          <w:rFonts w:ascii="Tahoma" w:hAnsi="Tahoma" w:cs="Tahoma"/>
          <w:lang w:val="sr-Cyrl-CS"/>
        </w:rPr>
        <w:t xml:space="preserve">2013. године, највеће учешће у извозу остварује </w:t>
      </w:r>
      <w:r w:rsidRPr="008D2842">
        <w:rPr>
          <w:rFonts w:ascii="Tahoma" w:hAnsi="Tahoma" w:cs="Tahoma"/>
          <w:lang w:val="ru-RU"/>
        </w:rPr>
        <w:t xml:space="preserve">електрична енергија </w:t>
      </w:r>
      <w:r w:rsidRPr="008D2842">
        <w:rPr>
          <w:rFonts w:ascii="Tahoma" w:hAnsi="Tahoma" w:cs="Tahoma"/>
          <w:lang w:val="sr-Cyrl-CS"/>
        </w:rPr>
        <w:t xml:space="preserve">са укупном вриједношћу од 93 милиона КМ, што износи 9,1% од укупног извоза, док највеће учешће у увозу остварује </w:t>
      </w:r>
      <w:r w:rsidRPr="008D2842">
        <w:rPr>
          <w:rFonts w:ascii="Tahoma" w:hAnsi="Tahoma" w:cs="Tahoma"/>
          <w:lang w:val="sr-Cyrl-BA"/>
        </w:rPr>
        <w:t>н</w:t>
      </w:r>
      <w:r w:rsidRPr="008D2842">
        <w:rPr>
          <w:rFonts w:ascii="Tahoma" w:hAnsi="Tahoma" w:cs="Tahoma"/>
          <w:lang w:val="ru-RU"/>
        </w:rPr>
        <w:t>афт</w:t>
      </w:r>
      <w:r w:rsidRPr="008D2842">
        <w:rPr>
          <w:rFonts w:ascii="Tahoma" w:hAnsi="Tahoma" w:cs="Tahoma"/>
          <w:lang w:val="sr-Cyrl-BA"/>
        </w:rPr>
        <w:t xml:space="preserve">а и </w:t>
      </w:r>
      <w:r w:rsidRPr="008D2842">
        <w:rPr>
          <w:rFonts w:ascii="Tahoma" w:hAnsi="Tahoma" w:cs="Tahoma"/>
          <w:lang w:val="ru-RU"/>
        </w:rPr>
        <w:t>уља добијена од битуменозних минерала</w:t>
      </w:r>
      <w:r w:rsidRPr="008D2842">
        <w:rPr>
          <w:rFonts w:ascii="Tahoma" w:hAnsi="Tahoma" w:cs="Tahoma"/>
          <w:lang w:val="sr-Cyrl-BA"/>
        </w:rPr>
        <w:t xml:space="preserve"> (</w:t>
      </w:r>
      <w:r w:rsidRPr="008D2842">
        <w:rPr>
          <w:rFonts w:ascii="Tahoma" w:hAnsi="Tahoma" w:cs="Tahoma"/>
          <w:lang w:val="ru-RU"/>
        </w:rPr>
        <w:t>сиров</w:t>
      </w:r>
      <w:r w:rsidRPr="008D2842">
        <w:rPr>
          <w:rFonts w:ascii="Tahoma" w:hAnsi="Tahoma" w:cs="Tahoma"/>
          <w:lang w:val="sr-Cyrl-BA"/>
        </w:rPr>
        <w:t>а), са укупном вриједношћу од 486 милиона КМ, што износи 27,2% од укупног увоза.</w:t>
      </w:r>
      <w:r w:rsidRPr="008D2842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3E0BC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Default="0076768F">
      <w:pPr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115CDB" w:rsidRPr="00115CDB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115CDB" w:rsidRPr="00115CDB" w:rsidRDefault="00BA4D66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color w:val="FF0000"/>
          <w:sz w:val="18"/>
          <w:szCs w:val="18"/>
          <w:lang w:val="sr-Cyrl-CS"/>
        </w:rPr>
      </w:pPr>
      <w:r w:rsidRPr="00BA4D66">
        <w:rPr>
          <w:rFonts w:ascii="Tahoma" w:hAnsi="Tahoma" w:cs="Tahoma"/>
          <w:noProof/>
          <w:color w:val="FF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35.95pt;margin-top:.6pt;width:61.05pt;height:19.75pt;z-index:251664384;mso-width-relative:margin;mso-height-relative:margin" stroked="f">
            <v:textbox style="mso-next-textbox:#_x0000_s1068">
              <w:txbxContent>
                <w:p w:rsidR="00562019" w:rsidRPr="001631DD" w:rsidRDefault="00562019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1225F9" w:rsidRDefault="00777348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777348">
        <w:rPr>
          <w:rFonts w:ascii="Tahoma" w:hAnsi="Tahoma" w:cs="Tahoma"/>
          <w:b/>
          <w:noProof/>
        </w:rPr>
        <w:drawing>
          <wp:inline distT="0" distB="0" distL="0" distR="0">
            <wp:extent cx="4982320" cy="2568272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5CDB" w:rsidRDefault="00BA4D66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BA4D66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6pt;margin-top:-.15pt;width:36.15pt;height:16.8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562019" w:rsidRPr="001C4E5B" w:rsidRDefault="00562019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BA4D66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45pt;margin-top:-.15pt;width:36.15pt;height:16.8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562019" w:rsidRPr="001C4E5B" w:rsidRDefault="00562019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C043E2" w:rsidRDefault="00C043E2" w:rsidP="00115CDB">
      <w:pPr>
        <w:tabs>
          <w:tab w:val="left" w:pos="2535"/>
        </w:tabs>
        <w:jc w:val="center"/>
        <w:rPr>
          <w:rFonts w:ascii="Tahoma" w:hAnsi="Tahoma" w:cs="Tahoma"/>
          <w:color w:val="FF0000"/>
          <w:sz w:val="16"/>
          <w:szCs w:val="16"/>
          <w:lang w:val="ru-RU"/>
        </w:rPr>
      </w:pPr>
    </w:p>
    <w:p w:rsidR="00777348" w:rsidRPr="00806168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806168">
        <w:rPr>
          <w:rFonts w:ascii="Tahoma" w:hAnsi="Tahoma" w:cs="Tahoma"/>
          <w:lang w:val="ru-RU"/>
        </w:rPr>
        <w:t xml:space="preserve">Графикон </w:t>
      </w:r>
      <w:r w:rsidR="008D2842" w:rsidRPr="00806168">
        <w:rPr>
          <w:rFonts w:ascii="Tahoma" w:hAnsi="Tahoma" w:cs="Tahoma"/>
          <w:lang w:val="sr-Latn-CS"/>
        </w:rPr>
        <w:t>3</w:t>
      </w:r>
      <w:r w:rsidRPr="00806168">
        <w:rPr>
          <w:rFonts w:ascii="Tahoma" w:hAnsi="Tahoma" w:cs="Tahoma"/>
          <w:lang w:val="ru-RU"/>
        </w:rPr>
        <w:t xml:space="preserve">. </w:t>
      </w:r>
      <w:r w:rsidRPr="00806168">
        <w:rPr>
          <w:rFonts w:ascii="Tahoma" w:hAnsi="Tahoma" w:cs="Tahoma"/>
          <w:iCs/>
          <w:lang w:val="sr-Cyrl-CS"/>
        </w:rPr>
        <w:t>Из</w:t>
      </w:r>
      <w:r w:rsidRPr="00806168">
        <w:rPr>
          <w:rFonts w:ascii="Tahoma" w:hAnsi="Tahoma" w:cs="Tahoma"/>
          <w:iCs/>
          <w:lang w:val="ru-RU"/>
        </w:rPr>
        <w:t xml:space="preserve">воз и </w:t>
      </w:r>
      <w:r w:rsidRPr="00806168">
        <w:rPr>
          <w:rFonts w:ascii="Tahoma" w:hAnsi="Tahoma" w:cs="Tahoma"/>
          <w:iCs/>
          <w:lang w:val="sr-Cyrl-CS"/>
        </w:rPr>
        <w:t>у</w:t>
      </w:r>
      <w:r w:rsidRPr="00806168">
        <w:rPr>
          <w:rFonts w:ascii="Tahoma" w:hAnsi="Tahoma" w:cs="Tahoma"/>
          <w:iCs/>
          <w:lang w:val="ru-RU"/>
        </w:rPr>
        <w:t>воз по мјесецима</w:t>
      </w:r>
    </w:p>
    <w:p w:rsidR="00115CD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1225F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1225F9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780C4A" w:rsidRPr="003B6379" w:rsidRDefault="00780C4A" w:rsidP="003F532D">
      <w:pPr>
        <w:tabs>
          <w:tab w:val="left" w:pos="3643"/>
        </w:tabs>
        <w:rPr>
          <w:rFonts w:ascii="Tahoma" w:hAnsi="Tahoma" w:cs="Tahoma"/>
          <w:bCs/>
          <w:sz w:val="28"/>
          <w:szCs w:val="28"/>
          <w:lang w:val="sr-Latn-CS"/>
        </w:rPr>
      </w:pPr>
    </w:p>
    <w:p w:rsidR="00C77C25" w:rsidRDefault="00C77C25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76768F" w:rsidRDefault="0076768F">
      <w:pPr>
        <w:rPr>
          <w:rFonts w:ascii="Tahoma" w:hAnsi="Tahoma" w:cs="Tahoma"/>
          <w:bCs/>
          <w:lang w:val="sr-Latn-CS"/>
        </w:rPr>
      </w:pPr>
      <w:r>
        <w:rPr>
          <w:rFonts w:ascii="Tahoma" w:hAnsi="Tahoma" w:cs="Tahoma"/>
          <w:bCs/>
          <w:lang w:val="sr-Latn-CS"/>
        </w:rPr>
        <w:br w:type="page"/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9E2A9A" w:rsidRPr="00221BD9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9E2A9A" w:rsidRPr="00806168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>Статистик</w:t>
            </w:r>
            <w:r w:rsidR="00806168">
              <w:rPr>
                <w:rFonts w:ascii="Tahoma" w:hAnsi="Tahoma" w:cs="Tahoma"/>
                <w:b/>
                <w:sz w:val="16"/>
                <w:lang w:val="sr-Latn-CS"/>
              </w:rPr>
              <w:t>а</w:t>
            </w: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 w:rsidR="00806168">
              <w:rPr>
                <w:rFonts w:ascii="Tahoma" w:hAnsi="Tahoma" w:cs="Tahoma"/>
                <w:b/>
                <w:sz w:val="16"/>
                <w:lang w:val="sr-Cyrl-CS"/>
              </w:rPr>
              <w:t>социјалне заштите</w:t>
            </w:r>
          </w:p>
          <w:p w:rsidR="009E2A9A" w:rsidRPr="003E0BC7" w:rsidRDefault="00806168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Сузана Адамовић</w:t>
            </w:r>
          </w:p>
          <w:p w:rsidR="009E2A9A" w:rsidRPr="00106980" w:rsidRDefault="00BA4D66" w:rsidP="009E2A9A">
            <w:pPr>
              <w:jc w:val="both"/>
              <w:rPr>
                <w:lang w:val="sr-Cyrl-BA"/>
              </w:rPr>
            </w:pPr>
            <w:hyperlink r:id="rId12" w:history="1"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suzana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adamovic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806168" w:rsidRPr="00806168" w:rsidRDefault="00806168" w:rsidP="00806168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>Статистик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а криминалитета</w:t>
            </w:r>
          </w:p>
          <w:p w:rsidR="00806168" w:rsidRPr="003E0BC7" w:rsidRDefault="00806168" w:rsidP="00806168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Вања Вилипић</w:t>
            </w:r>
          </w:p>
          <w:p w:rsidR="00806168" w:rsidRPr="00106980" w:rsidRDefault="00BA4D66" w:rsidP="00806168">
            <w:pPr>
              <w:jc w:val="both"/>
              <w:rPr>
                <w:lang w:val="sr-Cyrl-BA"/>
              </w:rPr>
            </w:pPr>
            <w:hyperlink r:id="rId13" w:history="1"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vanja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vilipic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06168" w:rsidRPr="0010698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221BD9" w:rsidRDefault="00BA4D66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BA4D66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BA4D66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221BD9" w:rsidRDefault="00BA4D66" w:rsidP="009E2A9A">
            <w:pPr>
              <w:jc w:val="both"/>
              <w:rPr>
                <w:lang w:val="sr-Cyrl-BA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6"/>
      </w:tblGrid>
      <w:tr w:rsidR="009E2A9A" w:rsidRPr="001225F9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C4669" w:rsidRPr="00AC4669" w:rsidRDefault="00AC466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BA4D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BA4D66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9E2A9A" w:rsidRPr="001225F9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Саопштење је обја</w:t>
            </w:r>
            <w:bookmarkStart w:id="0" w:name="_GoBack"/>
            <w:bookmarkEnd w:id="0"/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BA4D66" w:rsidP="009E2A9A">
      <w:pPr>
        <w:rPr>
          <w:rFonts w:ascii="Tahoma" w:hAnsi="Tahoma" w:cs="Tahoma"/>
          <w:lang w:val="sr-Cyrl-BA"/>
        </w:rPr>
      </w:pPr>
      <w:r w:rsidRPr="00BA4D66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19" w:rsidRDefault="00562019">
      <w:r>
        <w:separator/>
      </w:r>
    </w:p>
  </w:endnote>
  <w:endnote w:type="continuationSeparator" w:id="0">
    <w:p w:rsidR="00562019" w:rsidRDefault="0056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19" w:rsidRDefault="00BA4D66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62019" w:rsidRPr="00175687" w:rsidRDefault="00BA4D66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62019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053F7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19" w:rsidRDefault="00BA4D66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62019" w:rsidRPr="00175687" w:rsidRDefault="00BA4D66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62019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053F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19" w:rsidRDefault="00562019">
      <w:r>
        <w:separator/>
      </w:r>
    </w:p>
  </w:footnote>
  <w:footnote w:type="continuationSeparator" w:id="0">
    <w:p w:rsidR="00562019" w:rsidRDefault="00562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62019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62019" w:rsidRDefault="00562019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562019" w:rsidRPr="00460A5B" w:rsidRDefault="00562019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62019" w:rsidRPr="005D5311" w:rsidRDefault="00562019" w:rsidP="0058152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 w:rsidR="00581526">
            <w:rPr>
              <w:rFonts w:ascii="Tahoma" w:hAnsi="Tahoma" w:cs="Tahoma"/>
              <w:color w:val="0070C0"/>
              <w:sz w:val="16"/>
              <w:lang w:val="sr-Cyrl-BA"/>
            </w:rPr>
            <w:t>4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581526">
            <w:rPr>
              <w:rFonts w:ascii="Tahoma" w:hAnsi="Tahoma" w:cs="Tahoma"/>
              <w:color w:val="0070C0"/>
              <w:sz w:val="16"/>
              <w:lang w:val="bs-Cyrl-BA"/>
            </w:rPr>
            <w:t>јун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 w:rsidR="00581526"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62019" w:rsidRDefault="00BA4D66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A4D66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1C"/>
    <w:rsid w:val="005D449D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7B9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4F1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nja.vilip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zana.adamov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3\Maj%202013\grafikoni%20za%20aprilsku%20plat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maj%202013\za%20Graf%20I-V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2012</c:v>
                  </c:pt>
                  <c:pt idx="8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826.01067102623165</c:v>
                </c:pt>
                <c:pt idx="1">
                  <c:v>817.55311992919314</c:v>
                </c:pt>
                <c:pt idx="2">
                  <c:v>822.66330318130667</c:v>
                </c:pt>
                <c:pt idx="3">
                  <c:v>817.70989033015576</c:v>
                </c:pt>
                <c:pt idx="4">
                  <c:v>803.63969331740441</c:v>
                </c:pt>
                <c:pt idx="5">
                  <c:v>817.48757270524629</c:v>
                </c:pt>
                <c:pt idx="6">
                  <c:v>818.85451738906727</c:v>
                </c:pt>
                <c:pt idx="7">
                  <c:v>817.89076853246104</c:v>
                </c:pt>
                <c:pt idx="8">
                  <c:v>811</c:v>
                </c:pt>
                <c:pt idx="9">
                  <c:v>811</c:v>
                </c:pt>
                <c:pt idx="10">
                  <c:v>799</c:v>
                </c:pt>
                <c:pt idx="11">
                  <c:v>798</c:v>
                </c:pt>
                <c:pt idx="12">
                  <c:v>796</c:v>
                </c:pt>
              </c:numCache>
            </c:numRef>
          </c:val>
        </c:ser>
        <c:marker val="1"/>
        <c:axId val="41395328"/>
        <c:axId val="41396864"/>
      </c:lineChart>
      <c:catAx>
        <c:axId val="41395328"/>
        <c:scaling>
          <c:orientation val="minMax"/>
        </c:scaling>
        <c:axPos val="b"/>
        <c:tickLblPos val="nextTo"/>
        <c:crossAx val="41396864"/>
        <c:crosses val="autoZero"/>
        <c:auto val="1"/>
        <c:lblAlgn val="ctr"/>
        <c:lblOffset val="100"/>
      </c:catAx>
      <c:valAx>
        <c:axId val="41396864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crossAx val="4139532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aseline="0"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Sheet2!$A$2:$B$54</c:f>
              <c:multiLvlStrCache>
                <c:ptCount val="5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Sheet2!$C$2:$C$54</c:f>
              <c:numCache>
                <c:formatCode>General</c:formatCode>
                <c:ptCount val="53"/>
                <c:pt idx="0">
                  <c:v>90.128609754117093</c:v>
                </c:pt>
                <c:pt idx="1">
                  <c:v>93.617179645377064</c:v>
                </c:pt>
                <c:pt idx="2">
                  <c:v>100.87457696104806</c:v>
                </c:pt>
                <c:pt idx="3">
                  <c:v>96.505270349489578</c:v>
                </c:pt>
                <c:pt idx="4">
                  <c:v>88.571861193823324</c:v>
                </c:pt>
                <c:pt idx="5">
                  <c:v>91.319447573637419</c:v>
                </c:pt>
                <c:pt idx="6">
                  <c:v>95.436574268839664</c:v>
                </c:pt>
                <c:pt idx="7">
                  <c:v>87.034785228198686</c:v>
                </c:pt>
                <c:pt idx="8">
                  <c:v>93.568087047143251</c:v>
                </c:pt>
                <c:pt idx="9">
                  <c:v>97.380634560203731</c:v>
                </c:pt>
                <c:pt idx="10">
                  <c:v>96.936607121897197</c:v>
                </c:pt>
                <c:pt idx="11">
                  <c:v>97.063419020027794</c:v>
                </c:pt>
                <c:pt idx="12">
                  <c:v>100.05553956259583</c:v>
                </c:pt>
                <c:pt idx="13">
                  <c:v>98.438081029690778</c:v>
                </c:pt>
                <c:pt idx="14">
                  <c:v>97.460676736555058</c:v>
                </c:pt>
                <c:pt idx="15">
                  <c:v>95.923189034793481</c:v>
                </c:pt>
                <c:pt idx="16">
                  <c:v>104.93257419305644</c:v>
                </c:pt>
                <c:pt idx="17">
                  <c:v>97.912958688745988</c:v>
                </c:pt>
                <c:pt idx="18">
                  <c:v>92.066547349072096</c:v>
                </c:pt>
                <c:pt idx="19">
                  <c:v>98.152083796050277</c:v>
                </c:pt>
                <c:pt idx="20">
                  <c:v>98.318710664920332</c:v>
                </c:pt>
                <c:pt idx="21">
                  <c:v>97.760838004462443</c:v>
                </c:pt>
                <c:pt idx="22">
                  <c:v>102.00871380072815</c:v>
                </c:pt>
                <c:pt idx="23">
                  <c:v>104.15902293857044</c:v>
                </c:pt>
                <c:pt idx="24">
                  <c:v>107.17163749469825</c:v>
                </c:pt>
                <c:pt idx="25">
                  <c:v>102.01775888730729</c:v>
                </c:pt>
                <c:pt idx="26">
                  <c:v>103.20187975406951</c:v>
                </c:pt>
                <c:pt idx="27">
                  <c:v>100.36297378737731</c:v>
                </c:pt>
                <c:pt idx="28">
                  <c:v>103.39277087785678</c:v>
                </c:pt>
                <c:pt idx="29">
                  <c:v>106.22247157330617</c:v>
                </c:pt>
                <c:pt idx="30">
                  <c:v>111.8233422183378</c:v>
                </c:pt>
                <c:pt idx="31">
                  <c:v>107.5418030370991</c:v>
                </c:pt>
                <c:pt idx="32">
                  <c:v>98.668055890406038</c:v>
                </c:pt>
                <c:pt idx="33">
                  <c:v>103.70580158585514</c:v>
                </c:pt>
                <c:pt idx="34">
                  <c:v>103.32916269272285</c:v>
                </c:pt>
                <c:pt idx="35">
                  <c:v>99.886319020167122</c:v>
                </c:pt>
                <c:pt idx="36">
                  <c:v>102.31663757487978</c:v>
                </c:pt>
                <c:pt idx="37">
                  <c:v>97.721822209454857</c:v>
                </c:pt>
                <c:pt idx="38">
                  <c:v>100.55059963394146</c:v>
                </c:pt>
                <c:pt idx="39">
                  <c:v>100.43303736466844</c:v>
                </c:pt>
                <c:pt idx="40">
                  <c:v>99.265860997392096</c:v>
                </c:pt>
                <c:pt idx="41">
                  <c:v>100.58690178079698</c:v>
                </c:pt>
                <c:pt idx="42">
                  <c:v>96.114106996461771</c:v>
                </c:pt>
                <c:pt idx="43">
                  <c:v>98.915442971325874</c:v>
                </c:pt>
                <c:pt idx="44">
                  <c:v>104.51691115203795</c:v>
                </c:pt>
                <c:pt idx="45">
                  <c:v>99.87567768013821</c:v>
                </c:pt>
                <c:pt idx="46">
                  <c:v>98.882859342718859</c:v>
                </c:pt>
                <c:pt idx="47">
                  <c:v>101.10269853547126</c:v>
                </c:pt>
                <c:pt idx="48">
                  <c:v>100.8123443571095</c:v>
                </c:pt>
                <c:pt idx="49">
                  <c:v>102.41701705988966</c:v>
                </c:pt>
                <c:pt idx="50">
                  <c:v>99.147555593644284</c:v>
                </c:pt>
                <c:pt idx="51">
                  <c:v>107.70323759149986</c:v>
                </c:pt>
                <c:pt idx="52">
                  <c:v>102.77148281626266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Sheet2!$A$2:$B$54</c:f>
              <c:multiLvlStrCache>
                <c:ptCount val="5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Sheet2!$D$2:$D$54</c:f>
              <c:numCache>
                <c:formatCode>General</c:formatCode>
                <c:ptCount val="53"/>
                <c:pt idx="0">
                  <c:v>93.741733663702618</c:v>
                </c:pt>
                <c:pt idx="1">
                  <c:v>93.924501207285132</c:v>
                </c:pt>
                <c:pt idx="2">
                  <c:v>94.110351165183388</c:v>
                </c:pt>
                <c:pt idx="3">
                  <c:v>94.097626080929984</c:v>
                </c:pt>
                <c:pt idx="4">
                  <c:v>94.013298995042945</c:v>
                </c:pt>
                <c:pt idx="5">
                  <c:v>94.116716040743569</c:v>
                </c:pt>
                <c:pt idx="6">
                  <c:v>94.313307363915541</c:v>
                </c:pt>
                <c:pt idx="7">
                  <c:v>94.546284249997058</c:v>
                </c:pt>
                <c:pt idx="8">
                  <c:v>94.994984300479942</c:v>
                </c:pt>
                <c:pt idx="9">
                  <c:v>95.543837956405639</c:v>
                </c:pt>
                <c:pt idx="10">
                  <c:v>96.030206846633419</c:v>
                </c:pt>
                <c:pt idx="11">
                  <c:v>96.49825460631952</c:v>
                </c:pt>
                <c:pt idx="12">
                  <c:v>96.932741495052539</c:v>
                </c:pt>
                <c:pt idx="13">
                  <c:v>97.287142095813266</c:v>
                </c:pt>
                <c:pt idx="14">
                  <c:v>97.581654043591968</c:v>
                </c:pt>
                <c:pt idx="15">
                  <c:v>97.916196228608527</c:v>
                </c:pt>
                <c:pt idx="16">
                  <c:v>98.265246739181478</c:v>
                </c:pt>
                <c:pt idx="17">
                  <c:v>98.449783676775326</c:v>
                </c:pt>
                <c:pt idx="18">
                  <c:v>98.644284450118747</c:v>
                </c:pt>
                <c:pt idx="19">
                  <c:v>99.051032064627378</c:v>
                </c:pt>
                <c:pt idx="20">
                  <c:v>99.525469319009048</c:v>
                </c:pt>
                <c:pt idx="21">
                  <c:v>100.04549163450702</c:v>
                </c:pt>
                <c:pt idx="22">
                  <c:v>100.6331347465451</c:v>
                </c:pt>
                <c:pt idx="23">
                  <c:v>101.19556391577211</c:v>
                </c:pt>
                <c:pt idx="24">
                  <c:v>101.62516583099156</c:v>
                </c:pt>
                <c:pt idx="25">
                  <c:v>101.90385267346129</c:v>
                </c:pt>
                <c:pt idx="26">
                  <c:v>102.12839497944159</c:v>
                </c:pt>
                <c:pt idx="27">
                  <c:v>102.35293384508505</c:v>
                </c:pt>
                <c:pt idx="28">
                  <c:v>102.61025676191271</c:v>
                </c:pt>
                <c:pt idx="29">
                  <c:v>102.85942463401332</c:v>
                </c:pt>
                <c:pt idx="30">
                  <c:v>102.96183838400296</c:v>
                </c:pt>
                <c:pt idx="31">
                  <c:v>102.7757553760428</c:v>
                </c:pt>
                <c:pt idx="32">
                  <c:v>102.44297042287171</c:v>
                </c:pt>
                <c:pt idx="33">
                  <c:v>102.19485910615505</c:v>
                </c:pt>
                <c:pt idx="34">
                  <c:v>101.92457334981397</c:v>
                </c:pt>
                <c:pt idx="35">
                  <c:v>101.61673284619482</c:v>
                </c:pt>
                <c:pt idx="36">
                  <c:v>101.34121883679865</c:v>
                </c:pt>
                <c:pt idx="37">
                  <c:v>101.08380718470605</c:v>
                </c:pt>
                <c:pt idx="38">
                  <c:v>100.91302276325442</c:v>
                </c:pt>
                <c:pt idx="39">
                  <c:v>100.78695528852971</c:v>
                </c:pt>
                <c:pt idx="40">
                  <c:v>100.68349559495275</c:v>
                </c:pt>
                <c:pt idx="41">
                  <c:v>100.62355202844388</c:v>
                </c:pt>
                <c:pt idx="42">
                  <c:v>100.60714896398771</c:v>
                </c:pt>
                <c:pt idx="43">
                  <c:v>100.7425338488594</c:v>
                </c:pt>
                <c:pt idx="44">
                  <c:v>100.946446604915</c:v>
                </c:pt>
                <c:pt idx="45">
                  <c:v>101.07201004380077</c:v>
                </c:pt>
                <c:pt idx="46">
                  <c:v>101.23437794590569</c:v>
                </c:pt>
                <c:pt idx="47">
                  <c:v>101.48778871550859</c:v>
                </c:pt>
                <c:pt idx="48">
                  <c:v>101.78971817777887</c:v>
                </c:pt>
                <c:pt idx="49">
                  <c:v>102.11103003141125</c:v>
                </c:pt>
                <c:pt idx="50">
                  <c:v>102.48669951770802</c:v>
                </c:pt>
                <c:pt idx="51">
                  <c:v>102.92412801413649</c:v>
                </c:pt>
                <c:pt idx="52">
                  <c:v>103.28360154306414</c:v>
                </c:pt>
              </c:numCache>
            </c:numRef>
          </c:val>
        </c:ser>
        <c:marker val="1"/>
        <c:axId val="41416960"/>
        <c:axId val="41603072"/>
      </c:lineChart>
      <c:catAx>
        <c:axId val="41416960"/>
        <c:scaling>
          <c:orientation val="minMax"/>
        </c:scaling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41603072"/>
        <c:crossesAt val="100"/>
        <c:lblAlgn val="ctr"/>
        <c:lblOffset val="100"/>
        <c:tickMarkSkip val="1"/>
      </c:catAx>
      <c:valAx>
        <c:axId val="41603072"/>
        <c:scaling>
          <c:orientation val="minMax"/>
          <c:min val="8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</c:title>
        <c:numFmt formatCode="General" sourceLinked="1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416960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"/>
          <c:y val="0.84418185297860704"/>
          <c:w val="0.5938216197839401"/>
          <c:h val="0.10253121768869802"/>
        </c:manualLayout>
      </c:layout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1479993256154495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zaJan_Maj2013!$A$2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zaJan_Maj2013!$B$1:$N$1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IV</c:v>
                </c:pt>
              </c:strCache>
            </c:strRef>
          </c:cat>
          <c:val>
            <c:numRef>
              <c:f>zaJan_Maj2013!$B$2:$N$2</c:f>
              <c:numCache>
                <c:formatCode>General</c:formatCode>
                <c:ptCount val="13"/>
                <c:pt idx="0">
                  <c:v>382975</c:v>
                </c:pt>
                <c:pt idx="1">
                  <c:v>381177</c:v>
                </c:pt>
                <c:pt idx="2">
                  <c:v>427969</c:v>
                </c:pt>
                <c:pt idx="3">
                  <c:v>408779</c:v>
                </c:pt>
                <c:pt idx="4">
                  <c:v>419038</c:v>
                </c:pt>
                <c:pt idx="5">
                  <c:v>486155</c:v>
                </c:pt>
                <c:pt idx="6">
                  <c:v>337128</c:v>
                </c:pt>
                <c:pt idx="7">
                  <c:v>264392</c:v>
                </c:pt>
                <c:pt idx="8">
                  <c:v>289214</c:v>
                </c:pt>
                <c:pt idx="9">
                  <c:v>342893</c:v>
                </c:pt>
                <c:pt idx="10">
                  <c:v>393365</c:v>
                </c:pt>
                <c:pt idx="11">
                  <c:v>379748</c:v>
                </c:pt>
                <c:pt idx="12">
                  <c:v>380769</c:v>
                </c:pt>
              </c:numCache>
            </c:numRef>
          </c:val>
        </c:ser>
        <c:ser>
          <c:idx val="1"/>
          <c:order val="1"/>
          <c:tx>
            <c:strRef>
              <c:f>zaJan_Maj2013!$A$3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zaJan_Maj2013!$B$1:$N$1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IV</c:v>
                </c:pt>
              </c:strCache>
            </c:strRef>
          </c:cat>
          <c:val>
            <c:numRef>
              <c:f>zaJan_Maj2013!$B$3:$N$3</c:f>
              <c:numCache>
                <c:formatCode>General</c:formatCode>
                <c:ptCount val="13"/>
                <c:pt idx="0">
                  <c:v>227243</c:v>
                </c:pt>
                <c:pt idx="1">
                  <c:v>214185</c:v>
                </c:pt>
                <c:pt idx="2">
                  <c:v>218575</c:v>
                </c:pt>
                <c:pt idx="3">
                  <c:v>184558</c:v>
                </c:pt>
                <c:pt idx="4">
                  <c:v>195623</c:v>
                </c:pt>
                <c:pt idx="5">
                  <c:v>213888</c:v>
                </c:pt>
                <c:pt idx="6">
                  <c:v>209165</c:v>
                </c:pt>
                <c:pt idx="7">
                  <c:v>172526</c:v>
                </c:pt>
                <c:pt idx="8">
                  <c:v>168025</c:v>
                </c:pt>
                <c:pt idx="9">
                  <c:v>182220</c:v>
                </c:pt>
                <c:pt idx="10">
                  <c:v>210184</c:v>
                </c:pt>
                <c:pt idx="11">
                  <c:v>238435</c:v>
                </c:pt>
                <c:pt idx="12">
                  <c:v>221243</c:v>
                </c:pt>
              </c:numCache>
            </c:numRef>
          </c:val>
        </c:ser>
        <c:marker val="1"/>
        <c:axId val="47453696"/>
        <c:axId val="47455232"/>
      </c:lineChart>
      <c:catAx>
        <c:axId val="47453696"/>
        <c:scaling>
          <c:orientation val="minMax"/>
        </c:scaling>
        <c:axPos val="b"/>
        <c:tickLblPos val="nextTo"/>
        <c:crossAx val="47455232"/>
        <c:crosses val="autoZero"/>
        <c:auto val="1"/>
        <c:lblAlgn val="ctr"/>
        <c:lblOffset val="100"/>
      </c:catAx>
      <c:valAx>
        <c:axId val="47455232"/>
        <c:scaling>
          <c:orientation val="minMax"/>
        </c:scaling>
        <c:axPos val="l"/>
        <c:majorGridlines/>
        <c:numFmt formatCode="###\ ###" sourceLinked="0"/>
        <c:tickLblPos val="nextTo"/>
        <c:crossAx val="4745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69659917468454"/>
          <c:y val="0.33727035142695311"/>
          <c:w val="0.14691268324796608"/>
          <c:h val="0.2000548264800234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8D6D-22A6-4CCF-8BB3-AD639CA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1915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13628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327</cp:revision>
  <cp:lastPrinted>2013-06-21T10:41:00Z</cp:lastPrinted>
  <dcterms:created xsi:type="dcterms:W3CDTF">2012-09-20T06:28:00Z</dcterms:created>
  <dcterms:modified xsi:type="dcterms:W3CDTF">2013-06-24T06:04:00Z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