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5D5311" w:rsidRPr="00B47AD9" w:rsidTr="008B47D1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B47AD9">
              <w:rPr>
                <w:rFonts w:ascii="Tahoma" w:hAnsi="Tahoma" w:cs="Tahoma"/>
              </w:rPr>
              <w:br w:type="column"/>
            </w:r>
            <w:r w:rsidRPr="00B47AD9">
              <w:rPr>
                <w:rFonts w:ascii="Tahoma" w:hAnsi="Tahoma" w:cs="Tahoma"/>
              </w:rPr>
              <w:br w:type="column"/>
            </w:r>
            <w:r w:rsidRPr="00B47AD9">
              <w:rPr>
                <w:rFonts w:ascii="Tahoma" w:hAnsi="Tahoma" w:cs="Tahoma"/>
              </w:rPr>
              <w:br w:type="page"/>
            </w:r>
            <w:r w:rsidRPr="00B47AD9">
              <w:rPr>
                <w:rFonts w:ascii="Tahoma" w:hAnsi="Tahoma" w:cs="Tahoma"/>
              </w:rPr>
              <w:br w:type="page"/>
            </w:r>
            <w:r w:rsidR="008B47D1" w:rsidRPr="00B47AD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B47AD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B47AD9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60387F" w:rsidRDefault="00A975F3" w:rsidP="00A93BAE">
            <w:pPr>
              <w:ind w:left="113"/>
              <w:outlineLvl w:val="0"/>
              <w:rPr>
                <w:rFonts w:ascii="Tahoma" w:hAnsi="Tahoma" w:cs="Tahoma"/>
                <w:color w:val="003366"/>
                <w:sz w:val="16"/>
                <w:lang w:val="bs-Latn-BA"/>
              </w:rPr>
            </w:pPr>
            <w:r w:rsidRPr="0060387F">
              <w:rPr>
                <w:rFonts w:ascii="Tahoma" w:hAnsi="Tahoma" w:cs="Tahoma"/>
                <w:color w:val="003366"/>
                <w:sz w:val="16"/>
                <w:lang w:val="sr-Cyrl-BA"/>
              </w:rPr>
              <w:t>2</w:t>
            </w:r>
            <w:r w:rsidR="000A376F" w:rsidRPr="0060387F">
              <w:rPr>
                <w:rFonts w:ascii="Tahoma" w:hAnsi="Tahoma" w:cs="Tahoma"/>
                <w:color w:val="003366"/>
                <w:sz w:val="16"/>
                <w:lang w:val="sr-Cyrl-BA"/>
              </w:rPr>
              <w:t>3</w:t>
            </w:r>
            <w:r w:rsidRPr="0060387F">
              <w:rPr>
                <w:rFonts w:ascii="Tahoma" w:hAnsi="Tahoma" w:cs="Tahoma"/>
                <w:color w:val="003366"/>
                <w:sz w:val="16"/>
                <w:lang w:val="bs-Cyrl-BA"/>
              </w:rPr>
              <w:t xml:space="preserve">. </w:t>
            </w:r>
            <w:r w:rsidR="00A15386" w:rsidRPr="0060387F">
              <w:rPr>
                <w:rFonts w:ascii="Tahoma" w:hAnsi="Tahoma" w:cs="Tahoma"/>
                <w:color w:val="003366"/>
                <w:sz w:val="16"/>
                <w:lang w:val="sr-Cyrl-CS"/>
              </w:rPr>
              <w:t>јануар</w:t>
            </w:r>
            <w:r w:rsidRPr="0060387F">
              <w:rPr>
                <w:rFonts w:ascii="Tahoma" w:hAnsi="Tahoma" w:cs="Tahoma"/>
                <w:color w:val="003366"/>
                <w:sz w:val="16"/>
                <w:lang w:val="sr-Cyrl-CS"/>
              </w:rPr>
              <w:t xml:space="preserve"> </w:t>
            </w:r>
            <w:r w:rsidR="00A15386" w:rsidRPr="0060387F">
              <w:rPr>
                <w:rFonts w:ascii="Tahoma" w:hAnsi="Tahoma" w:cs="Tahoma"/>
                <w:color w:val="003366"/>
                <w:sz w:val="16"/>
                <w:lang w:val="sr-Cyrl-BA"/>
              </w:rPr>
              <w:t>2013</w:t>
            </w:r>
            <w:r w:rsidRPr="0060387F">
              <w:rPr>
                <w:rFonts w:ascii="Tahoma" w:hAnsi="Tahoma" w:cs="Tahoma"/>
                <w:color w:val="003366"/>
                <w:sz w:val="16"/>
                <w:lang w:val="sr-Cyrl-BA"/>
              </w:rPr>
              <w:t xml:space="preserve">.   </w:t>
            </w:r>
            <w:r w:rsidR="000A376F" w:rsidRPr="0060387F">
              <w:rPr>
                <w:rFonts w:ascii="Tahoma" w:hAnsi="Tahoma" w:cs="Tahoma"/>
                <w:b/>
                <w:color w:val="003366"/>
                <w:sz w:val="32"/>
                <w:szCs w:val="32"/>
                <w:lang w:val="sr-Cyrl-BA"/>
              </w:rPr>
              <w:t>1</w:t>
            </w:r>
            <w:r w:rsidRPr="0060387F">
              <w:rPr>
                <w:rFonts w:ascii="Tahoma" w:hAnsi="Tahoma" w:cs="Tahoma"/>
                <w:b/>
                <w:color w:val="003366"/>
                <w:sz w:val="32"/>
                <w:szCs w:val="32"/>
                <w:lang w:val="sr-Cyrl-BA"/>
              </w:rPr>
              <w:t>/1</w:t>
            </w:r>
            <w:r w:rsidR="00A15386" w:rsidRPr="0060387F">
              <w:rPr>
                <w:rFonts w:ascii="Tahoma" w:hAnsi="Tahoma" w:cs="Tahoma"/>
                <w:b/>
                <w:color w:val="003366"/>
                <w:sz w:val="32"/>
                <w:szCs w:val="32"/>
                <w:lang w:val="sr-Cyrl-CS"/>
              </w:rPr>
              <w:t>3</w:t>
            </w:r>
            <w:r w:rsidRPr="0060387F">
              <w:rPr>
                <w:rFonts w:ascii="Tahoma" w:hAnsi="Tahoma" w:cs="Tahoma"/>
                <w:color w:val="003366"/>
                <w:sz w:val="16"/>
                <w:lang w:val="sr-Cyrl-BA"/>
              </w:rPr>
              <w:t xml:space="preserve"> </w:t>
            </w:r>
          </w:p>
        </w:tc>
      </w:tr>
      <w:tr w:rsidR="005D5311" w:rsidRPr="00B47AD9" w:rsidTr="008B47D1">
        <w:trPr>
          <w:cantSplit/>
        </w:trPr>
        <w:tc>
          <w:tcPr>
            <w:tcW w:w="5385" w:type="dxa"/>
            <w:vAlign w:val="center"/>
          </w:tcPr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B47AD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B47AD9" w:rsidRDefault="000971CB" w:rsidP="00094E6E">
      <w:pPr>
        <w:jc w:val="both"/>
        <w:rPr>
          <w:rFonts w:ascii="Tahoma" w:hAnsi="Tahoma" w:cs="Tahoma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193339" w:rsidRPr="00B47AD9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6B60" w:rsidRDefault="00AC7674" w:rsidP="00AC7674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proofErr w:type="gramStart"/>
            <w:r w:rsidRPr="001D6B60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</w:rPr>
              <w:t>јануар</w:t>
            </w:r>
            <w:proofErr w:type="gramEnd"/>
            <w:r w:rsidR="007E158B" w:rsidRPr="001D6B60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Pr="001D6B60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2013</w:t>
            </w:r>
            <w:r w:rsidR="002F5E38" w:rsidRPr="001D6B60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93339" w:rsidRPr="00B47AD9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6B60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1D6B60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E526BF" w:rsidRPr="00B47AD9" w:rsidRDefault="00E526BF" w:rsidP="00E526BF">
      <w:pPr>
        <w:rPr>
          <w:rFonts w:ascii="Calibri" w:hAnsi="Calibri"/>
          <w:sz w:val="18"/>
          <w:szCs w:val="18"/>
          <w:lang w:val="sr-Cyrl-CS" w:eastAsia="sr-Latn-BA"/>
        </w:rPr>
      </w:pPr>
    </w:p>
    <w:p w:rsidR="00B47AD9" w:rsidRDefault="00B47AD9" w:rsidP="007C3569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eastAsia="sr-Latn-BA"/>
        </w:rPr>
      </w:pPr>
    </w:p>
    <w:p w:rsidR="007C3569" w:rsidRPr="00B47AD9" w:rsidRDefault="007C3569" w:rsidP="007C3569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eastAsia="sr-Latn-BA"/>
        </w:rPr>
      </w:pPr>
      <w:r w:rsidRPr="00B47AD9">
        <w:rPr>
          <w:rFonts w:ascii="Tahoma" w:hAnsi="Tahoma" w:cs="Tahoma"/>
          <w:b/>
          <w:bCs/>
          <w:sz w:val="28"/>
          <w:szCs w:val="28"/>
          <w:lang w:eastAsia="sr-Latn-BA"/>
        </w:rPr>
        <w:t>Т</w:t>
      </w:r>
      <w:r w:rsidRPr="00B47AD9">
        <w:rPr>
          <w:rFonts w:ascii="Tahoma" w:hAnsi="Tahoma" w:cs="Tahoma"/>
          <w:b/>
          <w:bCs/>
          <w:sz w:val="28"/>
          <w:szCs w:val="28"/>
          <w:lang w:val="sr-Latn-BA" w:eastAsia="sr-Latn-BA"/>
        </w:rPr>
        <w:t>ромјесечн</w:t>
      </w:r>
      <w:r w:rsidRPr="00B47AD9">
        <w:rPr>
          <w:rFonts w:ascii="Tahoma" w:hAnsi="Tahoma" w:cs="Tahoma"/>
          <w:b/>
          <w:bCs/>
          <w:sz w:val="28"/>
          <w:szCs w:val="28"/>
          <w:lang w:eastAsia="sr-Latn-BA"/>
        </w:rPr>
        <w:t>и</w:t>
      </w:r>
      <w:r w:rsidRPr="00B47AD9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бруто домаћ</w:t>
      </w:r>
      <w:r w:rsidRPr="00B47AD9">
        <w:rPr>
          <w:rFonts w:ascii="Tahoma" w:hAnsi="Tahoma" w:cs="Tahoma"/>
          <w:b/>
          <w:bCs/>
          <w:sz w:val="28"/>
          <w:szCs w:val="28"/>
          <w:lang w:eastAsia="sr-Latn-BA"/>
        </w:rPr>
        <w:t>и</w:t>
      </w:r>
      <w:r w:rsidRPr="00B47AD9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производ</w:t>
      </w:r>
      <w:r w:rsidRPr="00B47AD9">
        <w:rPr>
          <w:rFonts w:ascii="Tahoma" w:hAnsi="Tahoma" w:cs="Tahoma"/>
          <w:b/>
          <w:bCs/>
          <w:sz w:val="28"/>
          <w:szCs w:val="28"/>
          <w:lang w:eastAsia="sr-Latn-BA"/>
        </w:rPr>
        <w:t xml:space="preserve">  </w:t>
      </w:r>
    </w:p>
    <w:p w:rsidR="007C3569" w:rsidRPr="00B47AD9" w:rsidRDefault="007C3569" w:rsidP="007C3569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  <w:r w:rsidRPr="00B47AD9">
        <w:rPr>
          <w:rFonts w:ascii="Tahoma" w:hAnsi="Tahoma" w:cs="Tahoma"/>
          <w:b/>
          <w:bCs/>
          <w:sz w:val="28"/>
          <w:szCs w:val="28"/>
          <w:lang w:val="sr-Latn-BA" w:eastAsia="sr-Latn-BA"/>
        </w:rPr>
        <w:t>(III тромјесечје 201</w:t>
      </w:r>
      <w:r w:rsidRPr="00B47AD9">
        <w:rPr>
          <w:rFonts w:ascii="Tahoma" w:hAnsi="Tahoma" w:cs="Tahoma"/>
          <w:b/>
          <w:bCs/>
          <w:sz w:val="28"/>
          <w:szCs w:val="28"/>
          <w:lang w:val="sr-Cyrl-CS" w:eastAsia="sr-Latn-BA"/>
        </w:rPr>
        <w:t>2</w:t>
      </w:r>
      <w:r w:rsidRPr="00B47AD9">
        <w:rPr>
          <w:rFonts w:ascii="Tahoma" w:hAnsi="Tahoma" w:cs="Tahoma"/>
          <w:b/>
          <w:bCs/>
          <w:sz w:val="28"/>
          <w:szCs w:val="28"/>
          <w:lang w:val="sr-Latn-BA" w:eastAsia="sr-Latn-BA"/>
        </w:rPr>
        <w:t>/III тромјесечје 20</w:t>
      </w:r>
      <w:r w:rsidRPr="00B47AD9">
        <w:rPr>
          <w:rFonts w:ascii="Tahoma" w:hAnsi="Tahoma" w:cs="Tahoma"/>
          <w:b/>
          <w:bCs/>
          <w:sz w:val="28"/>
          <w:szCs w:val="28"/>
          <w:lang w:val="sr-Cyrl-CS" w:eastAsia="sr-Latn-BA"/>
        </w:rPr>
        <w:t>11</w:t>
      </w:r>
      <w:r w:rsidRPr="00B47AD9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) </w:t>
      </w:r>
    </w:p>
    <w:p w:rsidR="007C3569" w:rsidRPr="00B47AD9" w:rsidRDefault="007C3569" w:rsidP="007C3569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</w:p>
    <w:p w:rsidR="007C3569" w:rsidRPr="00DD1048" w:rsidRDefault="00DD1048" w:rsidP="007C3569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lang w:val="sr-Cyrl-BA" w:eastAsia="sr-Latn-BA"/>
        </w:rPr>
      </w:pPr>
      <w:r>
        <w:rPr>
          <w:rFonts w:ascii="Tahoma" w:hAnsi="Tahoma" w:cs="Tahoma"/>
          <w:lang w:val="sr-Cyrl-BA" w:eastAsia="sr-Latn-BA"/>
        </w:rPr>
        <w:t>Као и земље</w:t>
      </w:r>
      <w:r w:rsidR="00171C23">
        <w:rPr>
          <w:rFonts w:ascii="Tahoma" w:hAnsi="Tahoma" w:cs="Tahoma"/>
          <w:lang w:val="sr-Cyrl-BA" w:eastAsia="sr-Latn-BA"/>
        </w:rPr>
        <w:t xml:space="preserve"> у</w:t>
      </w:r>
      <w:r>
        <w:rPr>
          <w:rFonts w:ascii="Tahoma" w:hAnsi="Tahoma" w:cs="Tahoma"/>
          <w:lang w:val="sr-Cyrl-BA" w:eastAsia="sr-Latn-BA"/>
        </w:rPr>
        <w:t xml:space="preserve"> окружењ</w:t>
      </w:r>
      <w:r w:rsidR="00171C23">
        <w:rPr>
          <w:rFonts w:ascii="Tahoma" w:hAnsi="Tahoma" w:cs="Tahoma"/>
          <w:lang w:val="sr-Cyrl-BA" w:eastAsia="sr-Latn-BA"/>
        </w:rPr>
        <w:t>у</w:t>
      </w:r>
      <w:r w:rsidR="007C3569" w:rsidRPr="00BC5005">
        <w:rPr>
          <w:rFonts w:ascii="Tahoma" w:hAnsi="Tahoma" w:cs="Tahoma"/>
          <w:lang w:val="sr-Latn-BA" w:eastAsia="sr-Latn-BA"/>
        </w:rPr>
        <w:t>,</w:t>
      </w:r>
      <w:r>
        <w:rPr>
          <w:rFonts w:ascii="Tahoma" w:hAnsi="Tahoma" w:cs="Tahoma"/>
          <w:lang w:val="sr-Cyrl-BA" w:eastAsia="sr-Latn-BA"/>
        </w:rPr>
        <w:t xml:space="preserve"> и Република Српска биљежи негативну стопу </w:t>
      </w:r>
      <w:r w:rsidR="00171C23">
        <w:rPr>
          <w:rFonts w:ascii="Tahoma" w:hAnsi="Tahoma" w:cs="Tahoma"/>
          <w:lang w:val="sr-Cyrl-BA" w:eastAsia="sr-Latn-BA"/>
        </w:rPr>
        <w:t>бруто домаћег производа</w:t>
      </w:r>
      <w:r>
        <w:rPr>
          <w:rFonts w:ascii="Tahoma" w:hAnsi="Tahoma" w:cs="Tahoma"/>
          <w:lang w:val="sr-Cyrl-BA" w:eastAsia="sr-Latn-BA"/>
        </w:rPr>
        <w:t xml:space="preserve"> у трећем тромјесечју 2012.</w:t>
      </w:r>
      <w:r>
        <w:rPr>
          <w:rFonts w:ascii="Tahoma" w:hAnsi="Tahoma" w:cs="Tahoma"/>
          <w:lang w:val="sr-Latn-BA" w:eastAsia="sr-Latn-BA"/>
        </w:rPr>
        <w:t xml:space="preserve"> </w:t>
      </w:r>
      <w:r w:rsidR="007C3569" w:rsidRPr="00BC5005">
        <w:rPr>
          <w:rFonts w:ascii="Tahoma" w:hAnsi="Tahoma" w:cs="Tahoma"/>
          <w:lang w:val="sr-Latn-BA" w:eastAsia="sr-Latn-BA"/>
        </w:rPr>
        <w:t xml:space="preserve">у односу на </w:t>
      </w:r>
      <w:r>
        <w:rPr>
          <w:rFonts w:ascii="Tahoma" w:hAnsi="Tahoma" w:cs="Tahoma"/>
          <w:lang w:val="sr-Cyrl-CS" w:eastAsia="sr-Latn-BA"/>
        </w:rPr>
        <w:t>исто</w:t>
      </w:r>
      <w:r w:rsidR="007C3569" w:rsidRPr="00BC5005">
        <w:rPr>
          <w:rFonts w:ascii="Tahoma" w:hAnsi="Tahoma" w:cs="Tahoma"/>
          <w:lang w:val="sr-Latn-BA" w:eastAsia="sr-Latn-BA"/>
        </w:rPr>
        <w:t xml:space="preserve"> тромјесечје 20</w:t>
      </w:r>
      <w:r w:rsidR="007C3569" w:rsidRPr="00BC5005">
        <w:rPr>
          <w:rFonts w:ascii="Tahoma" w:hAnsi="Tahoma" w:cs="Tahoma"/>
          <w:lang w:val="sr-Cyrl-CS" w:eastAsia="sr-Latn-BA"/>
        </w:rPr>
        <w:t>11</w:t>
      </w:r>
      <w:r w:rsidR="007C3569" w:rsidRPr="00BC5005">
        <w:rPr>
          <w:rFonts w:ascii="Tahoma" w:hAnsi="Tahoma" w:cs="Tahoma"/>
          <w:lang w:val="sr-Latn-BA" w:eastAsia="sr-Latn-BA"/>
        </w:rPr>
        <w:t>.</w:t>
      </w:r>
      <w:r w:rsidR="007C3569" w:rsidRPr="00BC5005">
        <w:rPr>
          <w:rFonts w:ascii="Tahoma" w:hAnsi="Tahoma" w:cs="Tahoma"/>
          <w:lang w:val="sr-Cyrl-CS" w:eastAsia="sr-Latn-BA"/>
        </w:rPr>
        <w:t xml:space="preserve"> </w:t>
      </w:r>
      <w:proofErr w:type="gramStart"/>
      <w:r w:rsidR="007C3569" w:rsidRPr="00BC5005">
        <w:rPr>
          <w:rFonts w:ascii="Tahoma" w:hAnsi="Tahoma" w:cs="Tahoma"/>
          <w:lang w:eastAsia="sr-Latn-BA"/>
        </w:rPr>
        <w:t>г</w:t>
      </w:r>
      <w:r w:rsidR="007C3569" w:rsidRPr="00BC5005">
        <w:rPr>
          <w:rFonts w:ascii="Tahoma" w:hAnsi="Tahoma" w:cs="Tahoma"/>
          <w:lang w:val="sr-Latn-BA" w:eastAsia="sr-Latn-BA"/>
        </w:rPr>
        <w:t>одине</w:t>
      </w:r>
      <w:proofErr w:type="gramEnd"/>
      <w:r w:rsidR="007C3569" w:rsidRPr="00BC5005">
        <w:rPr>
          <w:rFonts w:ascii="Tahoma" w:hAnsi="Tahoma" w:cs="Tahoma"/>
          <w:lang w:val="sr-Latn-BA" w:eastAsia="sr-Latn-BA"/>
        </w:rPr>
        <w:t xml:space="preserve">, </w:t>
      </w:r>
      <w:r>
        <w:rPr>
          <w:rFonts w:ascii="Tahoma" w:hAnsi="Tahoma" w:cs="Tahoma"/>
          <w:lang w:val="sr-Cyrl-BA" w:eastAsia="sr-Latn-BA"/>
        </w:rPr>
        <w:t>и то</w:t>
      </w:r>
      <w:r w:rsidR="007C3569" w:rsidRPr="00BC5005">
        <w:rPr>
          <w:rFonts w:ascii="Tahoma" w:hAnsi="Tahoma" w:cs="Tahoma"/>
          <w:lang w:val="sr-Cyrl-CS" w:eastAsia="sr-Latn-BA"/>
        </w:rPr>
        <w:t xml:space="preserve"> </w:t>
      </w:r>
      <w:r w:rsidR="007C3569" w:rsidRPr="00BC5005">
        <w:rPr>
          <w:rFonts w:ascii="Tahoma" w:hAnsi="Tahoma" w:cs="Tahoma"/>
          <w:lang w:eastAsia="sr-Latn-BA"/>
        </w:rPr>
        <w:t>0</w:t>
      </w:r>
      <w:r w:rsidR="007C3569" w:rsidRPr="00BC5005">
        <w:rPr>
          <w:rFonts w:ascii="Tahoma" w:hAnsi="Tahoma" w:cs="Tahoma"/>
          <w:lang w:val="sr-Cyrl-CS" w:eastAsia="sr-Latn-BA"/>
        </w:rPr>
        <w:t>,</w:t>
      </w:r>
      <w:r w:rsidR="00D75495" w:rsidRPr="00BC5005">
        <w:rPr>
          <w:rFonts w:ascii="Tahoma" w:hAnsi="Tahoma" w:cs="Tahoma"/>
          <w:lang w:val="sr-Cyrl-CS" w:eastAsia="sr-Latn-BA"/>
        </w:rPr>
        <w:t>9</w:t>
      </w:r>
      <w:r w:rsidR="007C3569" w:rsidRPr="00BC5005">
        <w:rPr>
          <w:rFonts w:ascii="Tahoma" w:hAnsi="Tahoma" w:cs="Tahoma"/>
          <w:lang w:val="sr-Cyrl-CS" w:eastAsia="sr-Latn-BA"/>
        </w:rPr>
        <w:t>%</w:t>
      </w:r>
      <w:r>
        <w:rPr>
          <w:rFonts w:ascii="Tahoma" w:hAnsi="Tahoma" w:cs="Tahoma"/>
          <w:lang w:val="sr-Cyrl-BA" w:eastAsia="sr-Latn-BA"/>
        </w:rPr>
        <w:t>, док десезонирани подаци показују пад од 0,3%.</w:t>
      </w:r>
    </w:p>
    <w:p w:rsidR="007C3569" w:rsidRPr="00BC5005" w:rsidRDefault="007C3569" w:rsidP="007C3569">
      <w:pPr>
        <w:spacing w:after="120"/>
        <w:jc w:val="both"/>
        <w:rPr>
          <w:rFonts w:ascii="Tahoma" w:hAnsi="Tahoma" w:cs="Tahoma"/>
          <w:lang w:val="sr-Cyrl-CS"/>
        </w:rPr>
      </w:pPr>
      <w:r w:rsidRPr="00BC5005">
        <w:rPr>
          <w:rFonts w:ascii="Tahoma" w:hAnsi="Tahoma" w:cs="Tahoma"/>
          <w:lang w:val="sr-Latn-BA" w:eastAsia="sr-Latn-BA"/>
        </w:rPr>
        <w:t xml:space="preserve">Посматрано по подручјима Класификације дјелатности, највећи реални раст </w:t>
      </w:r>
      <w:r w:rsidRPr="00BC5005">
        <w:rPr>
          <w:rFonts w:ascii="Tahoma" w:hAnsi="Tahoma" w:cs="Tahoma"/>
          <w:lang w:val="sr-Cyrl-CS" w:eastAsia="sr-Latn-BA"/>
        </w:rPr>
        <w:t xml:space="preserve">бруто додате вриједности </w:t>
      </w:r>
      <w:r w:rsidRPr="00BC5005">
        <w:rPr>
          <w:rFonts w:ascii="Tahoma" w:hAnsi="Tahoma" w:cs="Tahoma"/>
          <w:lang w:val="sr-Latn-BA" w:eastAsia="sr-Latn-BA"/>
        </w:rPr>
        <w:t>остварен</w:t>
      </w:r>
      <w:r w:rsidRPr="00BC5005">
        <w:rPr>
          <w:rFonts w:ascii="Tahoma" w:hAnsi="Tahoma" w:cs="Tahoma"/>
          <w:lang w:val="sr-Cyrl-CS" w:eastAsia="sr-Latn-BA"/>
        </w:rPr>
        <w:t xml:space="preserve"> је</w:t>
      </w:r>
      <w:r w:rsidRPr="00BC5005">
        <w:rPr>
          <w:rFonts w:ascii="Tahoma" w:hAnsi="Tahoma" w:cs="Tahoma"/>
          <w:lang w:val="sr-Latn-BA" w:eastAsia="sr-Latn-BA"/>
        </w:rPr>
        <w:t xml:space="preserve"> у подручјима </w:t>
      </w:r>
      <w:r w:rsidRPr="00BC5005">
        <w:rPr>
          <w:rFonts w:ascii="Tahoma" w:hAnsi="Tahoma" w:cs="Tahoma"/>
          <w:i/>
          <w:lang w:val="ru-RU"/>
        </w:rPr>
        <w:t xml:space="preserve">Финансијско посредовање </w:t>
      </w:r>
      <w:r w:rsidRPr="00BC5005">
        <w:rPr>
          <w:rFonts w:ascii="Tahoma" w:hAnsi="Tahoma" w:cs="Tahoma"/>
          <w:lang w:val="ru-RU"/>
        </w:rPr>
        <w:t xml:space="preserve">за </w:t>
      </w:r>
      <w:r w:rsidR="00BF096D" w:rsidRPr="00BC5005">
        <w:rPr>
          <w:rFonts w:ascii="Tahoma" w:hAnsi="Tahoma" w:cs="Tahoma"/>
          <w:lang w:val="sr-Cyrl-BA"/>
        </w:rPr>
        <w:t>7</w:t>
      </w:r>
      <w:r w:rsidRPr="00BC5005">
        <w:rPr>
          <w:rFonts w:ascii="Tahoma" w:hAnsi="Tahoma" w:cs="Tahoma"/>
          <w:lang w:val="ru-RU"/>
        </w:rPr>
        <w:t>,</w:t>
      </w:r>
      <w:r w:rsidR="00BF096D" w:rsidRPr="00BC5005">
        <w:rPr>
          <w:rFonts w:ascii="Tahoma" w:hAnsi="Tahoma" w:cs="Tahoma"/>
          <w:lang w:val="sr-Cyrl-BA"/>
        </w:rPr>
        <w:t>6</w:t>
      </w:r>
      <w:r w:rsidRPr="00BC5005">
        <w:rPr>
          <w:rFonts w:ascii="Tahoma" w:hAnsi="Tahoma" w:cs="Tahoma"/>
          <w:lang w:val="ru-RU"/>
        </w:rPr>
        <w:t>%</w:t>
      </w:r>
      <w:r w:rsidRPr="00BC5005">
        <w:rPr>
          <w:rFonts w:ascii="Tahoma" w:hAnsi="Tahoma" w:cs="Tahoma"/>
        </w:rPr>
        <w:t xml:space="preserve">, </w:t>
      </w:r>
      <w:r w:rsidR="00BF096D" w:rsidRPr="00BC5005">
        <w:rPr>
          <w:rFonts w:ascii="Tahoma" w:hAnsi="Tahoma" w:cs="Tahoma"/>
          <w:i/>
          <w:lang w:val="sr-Cyrl-CS"/>
        </w:rPr>
        <w:t xml:space="preserve">Здравствени и социјални рад </w:t>
      </w:r>
      <w:r w:rsidR="00BF096D" w:rsidRPr="00BC5005">
        <w:rPr>
          <w:rFonts w:ascii="Tahoma" w:hAnsi="Tahoma" w:cs="Tahoma"/>
          <w:lang w:val="sr-Cyrl-CS"/>
        </w:rPr>
        <w:t>за</w:t>
      </w:r>
      <w:r w:rsidR="00BF096D" w:rsidRPr="00BC5005">
        <w:rPr>
          <w:rFonts w:ascii="Tahoma" w:hAnsi="Tahoma" w:cs="Tahoma"/>
          <w:i/>
          <w:lang w:val="sr-Cyrl-CS"/>
        </w:rPr>
        <w:t xml:space="preserve"> </w:t>
      </w:r>
      <w:r w:rsidR="00BF096D" w:rsidRPr="00BC5005">
        <w:rPr>
          <w:rFonts w:ascii="Tahoma" w:hAnsi="Tahoma" w:cs="Tahoma"/>
        </w:rPr>
        <w:t>3</w:t>
      </w:r>
      <w:r w:rsidR="00BF096D" w:rsidRPr="00BC5005">
        <w:rPr>
          <w:rFonts w:ascii="Tahoma" w:hAnsi="Tahoma" w:cs="Tahoma"/>
          <w:lang w:val="sr-Cyrl-CS"/>
        </w:rPr>
        <w:t>,</w:t>
      </w:r>
      <w:r w:rsidR="00BF096D" w:rsidRPr="00BC5005">
        <w:rPr>
          <w:rFonts w:ascii="Tahoma" w:hAnsi="Tahoma" w:cs="Tahoma"/>
          <w:lang w:val="sr-Cyrl-BA"/>
        </w:rPr>
        <w:t>2</w:t>
      </w:r>
      <w:r w:rsidR="00BF096D" w:rsidRPr="00BC5005">
        <w:rPr>
          <w:rFonts w:ascii="Tahoma" w:hAnsi="Tahoma" w:cs="Tahoma"/>
          <w:lang w:val="sr-Cyrl-CS"/>
        </w:rPr>
        <w:t>%</w:t>
      </w:r>
      <w:r w:rsidR="00BF096D" w:rsidRPr="00BC5005">
        <w:rPr>
          <w:rFonts w:ascii="Tahoma" w:hAnsi="Tahoma" w:cs="Tahoma"/>
          <w:i/>
          <w:lang w:val="sr-Cyrl-CS"/>
        </w:rPr>
        <w:t xml:space="preserve">, </w:t>
      </w:r>
      <w:r w:rsidRPr="00BC5005">
        <w:rPr>
          <w:rFonts w:ascii="Tahoma" w:hAnsi="Tahoma" w:cs="Tahoma"/>
          <w:i/>
          <w:lang w:val="sr-Cyrl-BA"/>
        </w:rPr>
        <w:t>Остале јавне, комуналне, друштвене, социјалне и личне услужне дјелатности</w:t>
      </w:r>
      <w:r w:rsidRPr="00BC5005">
        <w:rPr>
          <w:rFonts w:ascii="Tahoma" w:hAnsi="Tahoma" w:cs="Tahoma"/>
          <w:lang w:val="sr-Cyrl-BA"/>
        </w:rPr>
        <w:t xml:space="preserve"> </w:t>
      </w:r>
      <w:r w:rsidRPr="00BC5005">
        <w:rPr>
          <w:rFonts w:ascii="Tahoma" w:hAnsi="Tahoma" w:cs="Tahoma"/>
          <w:i/>
          <w:lang w:val="sr-Cyrl-BA"/>
        </w:rPr>
        <w:t>за</w:t>
      </w:r>
      <w:r w:rsidRPr="00BC5005">
        <w:rPr>
          <w:rFonts w:ascii="Tahoma" w:hAnsi="Tahoma" w:cs="Tahoma"/>
          <w:lang w:val="sr-Cyrl-BA"/>
        </w:rPr>
        <w:t xml:space="preserve"> 3,</w:t>
      </w:r>
      <w:r w:rsidR="00BF096D" w:rsidRPr="00BC5005">
        <w:rPr>
          <w:rFonts w:ascii="Tahoma" w:hAnsi="Tahoma" w:cs="Tahoma"/>
          <w:lang w:val="sr-Cyrl-BA"/>
        </w:rPr>
        <w:t>0</w:t>
      </w:r>
      <w:r w:rsidRPr="00BC5005">
        <w:rPr>
          <w:rFonts w:ascii="Tahoma" w:hAnsi="Tahoma" w:cs="Tahoma"/>
          <w:lang w:val="sr-Cyrl-BA"/>
        </w:rPr>
        <w:t xml:space="preserve">%, </w:t>
      </w:r>
      <w:r w:rsidR="00BF096D" w:rsidRPr="00BC5005">
        <w:rPr>
          <w:rFonts w:ascii="Tahoma" w:hAnsi="Tahoma" w:cs="Tahoma"/>
          <w:i/>
          <w:lang w:val="sr-Cyrl-CS"/>
        </w:rPr>
        <w:t>Трговина на велико и мало</w:t>
      </w:r>
      <w:r w:rsidRPr="00BC5005">
        <w:rPr>
          <w:rFonts w:ascii="Tahoma" w:hAnsi="Tahoma" w:cs="Tahoma"/>
          <w:i/>
          <w:lang w:val="sr-Cyrl-CS"/>
        </w:rPr>
        <w:t xml:space="preserve"> </w:t>
      </w:r>
      <w:r w:rsidRPr="00BC5005">
        <w:rPr>
          <w:rFonts w:ascii="Tahoma" w:hAnsi="Tahoma" w:cs="Tahoma"/>
          <w:lang w:val="sr-Cyrl-CS"/>
        </w:rPr>
        <w:t>за</w:t>
      </w:r>
      <w:r w:rsidRPr="00BC5005">
        <w:rPr>
          <w:rFonts w:ascii="Tahoma" w:hAnsi="Tahoma" w:cs="Tahoma"/>
          <w:i/>
          <w:lang w:val="sr-Cyrl-CS"/>
        </w:rPr>
        <w:t xml:space="preserve"> </w:t>
      </w:r>
      <w:r w:rsidR="00BF096D" w:rsidRPr="00BC5005">
        <w:rPr>
          <w:rFonts w:ascii="Tahoma" w:hAnsi="Tahoma" w:cs="Tahoma"/>
          <w:lang w:val="sr-Cyrl-BA"/>
        </w:rPr>
        <w:t>1</w:t>
      </w:r>
      <w:r w:rsidRPr="00BC5005">
        <w:rPr>
          <w:rFonts w:ascii="Tahoma" w:hAnsi="Tahoma" w:cs="Tahoma"/>
          <w:lang w:val="sr-Cyrl-CS"/>
        </w:rPr>
        <w:t>,</w:t>
      </w:r>
      <w:r w:rsidR="00BF096D" w:rsidRPr="00BC5005">
        <w:rPr>
          <w:rFonts w:ascii="Tahoma" w:hAnsi="Tahoma" w:cs="Tahoma"/>
          <w:lang w:val="sr-Cyrl-BA"/>
        </w:rPr>
        <w:t>8</w:t>
      </w:r>
      <w:r w:rsidRPr="00BC5005">
        <w:rPr>
          <w:rFonts w:ascii="Tahoma" w:hAnsi="Tahoma" w:cs="Tahoma"/>
          <w:lang w:val="sr-Cyrl-CS"/>
        </w:rPr>
        <w:t>%</w:t>
      </w:r>
      <w:r w:rsidRPr="00BC5005">
        <w:rPr>
          <w:rFonts w:ascii="Tahoma" w:hAnsi="Tahoma" w:cs="Tahoma"/>
          <w:i/>
        </w:rPr>
        <w:t>,</w:t>
      </w:r>
      <w:r w:rsidRPr="00BC5005">
        <w:rPr>
          <w:rFonts w:ascii="Tahoma" w:hAnsi="Tahoma" w:cs="Tahoma"/>
          <w:lang w:val="sr-Cyrl-CS"/>
        </w:rPr>
        <w:t xml:space="preserve"> </w:t>
      </w:r>
      <w:r w:rsidRPr="00BC5005">
        <w:rPr>
          <w:rFonts w:ascii="Tahoma" w:hAnsi="Tahoma" w:cs="Tahoma"/>
          <w:lang w:val="sr-Latn-BA" w:eastAsia="sr-Latn-BA"/>
        </w:rPr>
        <w:t xml:space="preserve">док је </w:t>
      </w:r>
      <w:r w:rsidRPr="00BC5005">
        <w:rPr>
          <w:rFonts w:ascii="Tahoma" w:hAnsi="Tahoma" w:cs="Tahoma"/>
          <w:lang w:val="sr-Cyrl-CS" w:eastAsia="sr-Latn-BA"/>
        </w:rPr>
        <w:t xml:space="preserve">бруто додата вриједност реално мања </w:t>
      </w:r>
      <w:r w:rsidRPr="00BC5005">
        <w:rPr>
          <w:rFonts w:ascii="Tahoma" w:hAnsi="Tahoma" w:cs="Tahoma"/>
          <w:lang w:val="sr-Latn-BA" w:eastAsia="sr-Latn-BA"/>
        </w:rPr>
        <w:t>у подручјима:</w:t>
      </w:r>
      <w:r w:rsidR="000A376F" w:rsidRPr="00BC5005">
        <w:rPr>
          <w:rFonts w:ascii="Tahoma" w:hAnsi="Tahoma" w:cs="Tahoma"/>
          <w:lang w:val="sr-Cyrl-CS"/>
        </w:rPr>
        <w:t xml:space="preserve"> </w:t>
      </w:r>
      <w:r w:rsidR="00BF096D" w:rsidRPr="00BC5005">
        <w:rPr>
          <w:rFonts w:ascii="Tahoma" w:hAnsi="Tahoma" w:cs="Tahoma"/>
          <w:i/>
          <w:lang w:val="ru-RU"/>
        </w:rPr>
        <w:t>Производња и снабдијевање ел</w:t>
      </w:r>
      <w:r w:rsidR="00AB4A10" w:rsidRPr="00BC5005">
        <w:rPr>
          <w:rFonts w:ascii="Tahoma" w:hAnsi="Tahoma" w:cs="Tahoma"/>
          <w:i/>
          <w:lang w:val="sr-Cyrl-BA"/>
        </w:rPr>
        <w:t xml:space="preserve">ектричном </w:t>
      </w:r>
      <w:r w:rsidR="00BF096D" w:rsidRPr="00BC5005">
        <w:rPr>
          <w:rFonts w:ascii="Tahoma" w:hAnsi="Tahoma" w:cs="Tahoma"/>
          <w:i/>
          <w:lang w:val="ru-RU"/>
        </w:rPr>
        <w:t>енергијом, гасом и водом</w:t>
      </w:r>
      <w:r w:rsidR="00BF096D" w:rsidRPr="00BC5005">
        <w:rPr>
          <w:rFonts w:ascii="Tahoma" w:hAnsi="Tahoma" w:cs="Tahoma"/>
          <w:lang w:val="ru-RU"/>
        </w:rPr>
        <w:t xml:space="preserve"> </w:t>
      </w:r>
      <w:r w:rsidR="00BF096D" w:rsidRPr="00BC5005">
        <w:rPr>
          <w:rFonts w:ascii="Tahoma" w:hAnsi="Tahoma" w:cs="Tahoma"/>
          <w:i/>
          <w:lang w:val="ru-RU"/>
        </w:rPr>
        <w:t>за</w:t>
      </w:r>
      <w:r w:rsidR="00BF096D" w:rsidRPr="00BC5005">
        <w:rPr>
          <w:rFonts w:ascii="Tahoma" w:hAnsi="Tahoma" w:cs="Tahoma"/>
          <w:lang w:val="ru-RU"/>
        </w:rPr>
        <w:t xml:space="preserve"> </w:t>
      </w:r>
      <w:r w:rsidR="00BF096D" w:rsidRPr="00BC5005">
        <w:rPr>
          <w:rFonts w:ascii="Tahoma" w:hAnsi="Tahoma" w:cs="Tahoma"/>
          <w:lang w:val="sr-Cyrl-BA"/>
        </w:rPr>
        <w:t>14</w:t>
      </w:r>
      <w:r w:rsidR="00BF096D" w:rsidRPr="00BC5005">
        <w:rPr>
          <w:rFonts w:ascii="Tahoma" w:hAnsi="Tahoma" w:cs="Tahoma"/>
          <w:lang w:val="ru-RU"/>
        </w:rPr>
        <w:t>,</w:t>
      </w:r>
      <w:r w:rsidR="00BF096D" w:rsidRPr="00BC5005">
        <w:rPr>
          <w:rFonts w:ascii="Tahoma" w:hAnsi="Tahoma" w:cs="Tahoma"/>
          <w:lang w:val="sr-Cyrl-BA"/>
        </w:rPr>
        <w:t>2</w:t>
      </w:r>
      <w:r w:rsidR="00BF096D" w:rsidRPr="00BC5005">
        <w:rPr>
          <w:rFonts w:ascii="Tahoma" w:hAnsi="Tahoma" w:cs="Tahoma"/>
        </w:rPr>
        <w:t xml:space="preserve">%, </w:t>
      </w:r>
      <w:r w:rsidR="00BF096D" w:rsidRPr="00BC5005">
        <w:rPr>
          <w:rFonts w:ascii="Tahoma" w:hAnsi="Tahoma" w:cs="Tahoma"/>
          <w:i/>
          <w:lang w:val="ru-RU"/>
        </w:rPr>
        <w:t>Пољопривреда,</w:t>
      </w:r>
      <w:r w:rsidR="00BF096D" w:rsidRPr="00BC5005">
        <w:rPr>
          <w:rFonts w:ascii="Tahoma" w:hAnsi="Tahoma" w:cs="Tahoma"/>
          <w:i/>
        </w:rPr>
        <w:t xml:space="preserve"> </w:t>
      </w:r>
      <w:r w:rsidR="00BF096D" w:rsidRPr="00BC5005">
        <w:rPr>
          <w:rFonts w:ascii="Tahoma" w:hAnsi="Tahoma" w:cs="Tahoma"/>
          <w:i/>
          <w:lang w:val="ru-RU"/>
        </w:rPr>
        <w:t xml:space="preserve">лов и шумарство </w:t>
      </w:r>
      <w:r w:rsidR="00BF096D" w:rsidRPr="00BC5005">
        <w:rPr>
          <w:rFonts w:ascii="Tahoma" w:hAnsi="Tahoma" w:cs="Tahoma"/>
          <w:lang w:val="ru-RU"/>
        </w:rPr>
        <w:t>за</w:t>
      </w:r>
      <w:r w:rsidR="00BF096D" w:rsidRPr="00BC5005">
        <w:rPr>
          <w:rFonts w:ascii="Tahoma" w:hAnsi="Tahoma" w:cs="Tahoma"/>
        </w:rPr>
        <w:t xml:space="preserve"> </w:t>
      </w:r>
      <w:r w:rsidR="00BF096D" w:rsidRPr="00BC5005">
        <w:rPr>
          <w:rFonts w:ascii="Tahoma" w:hAnsi="Tahoma" w:cs="Tahoma"/>
          <w:lang w:val="sr-Cyrl-BA"/>
        </w:rPr>
        <w:t>6</w:t>
      </w:r>
      <w:r w:rsidR="00BF096D" w:rsidRPr="00BC5005">
        <w:rPr>
          <w:rFonts w:ascii="Tahoma" w:hAnsi="Tahoma" w:cs="Tahoma"/>
          <w:lang w:val="ru-RU"/>
        </w:rPr>
        <w:t>,</w:t>
      </w:r>
      <w:r w:rsidR="00BF096D" w:rsidRPr="00BC5005">
        <w:rPr>
          <w:rFonts w:ascii="Tahoma" w:hAnsi="Tahoma" w:cs="Tahoma"/>
          <w:lang w:val="sr-Cyrl-BA"/>
        </w:rPr>
        <w:t>3</w:t>
      </w:r>
      <w:r w:rsidR="00BF096D" w:rsidRPr="00BC5005">
        <w:rPr>
          <w:rFonts w:ascii="Tahoma" w:hAnsi="Tahoma" w:cs="Tahoma"/>
          <w:lang w:val="ru-RU"/>
        </w:rPr>
        <w:t xml:space="preserve">% </w:t>
      </w:r>
      <w:r w:rsidRPr="00BC5005">
        <w:rPr>
          <w:rFonts w:ascii="Tahoma" w:hAnsi="Tahoma" w:cs="Tahoma"/>
          <w:lang w:val="sr-Cyrl-BA"/>
        </w:rPr>
        <w:t xml:space="preserve">и </w:t>
      </w:r>
      <w:r w:rsidRPr="00BC5005">
        <w:rPr>
          <w:rFonts w:ascii="Tahoma" w:hAnsi="Tahoma" w:cs="Tahoma"/>
          <w:i/>
          <w:lang w:val="ru-RU"/>
        </w:rPr>
        <w:t>Грађевинарство</w:t>
      </w:r>
      <w:r w:rsidRPr="00BC5005">
        <w:rPr>
          <w:rFonts w:ascii="Tahoma" w:hAnsi="Tahoma" w:cs="Tahoma"/>
          <w:lang w:val="ru-RU"/>
        </w:rPr>
        <w:t xml:space="preserve"> за</w:t>
      </w:r>
      <w:r w:rsidRPr="00BC5005">
        <w:rPr>
          <w:rFonts w:ascii="Tahoma" w:hAnsi="Tahoma" w:cs="Tahoma"/>
          <w:i/>
          <w:lang w:val="ru-RU"/>
        </w:rPr>
        <w:t xml:space="preserve"> </w:t>
      </w:r>
      <w:r w:rsidR="00BF096D" w:rsidRPr="00BC5005">
        <w:rPr>
          <w:rFonts w:ascii="Tahoma" w:hAnsi="Tahoma" w:cs="Tahoma"/>
          <w:lang w:val="sr-Cyrl-BA"/>
        </w:rPr>
        <w:t>4</w:t>
      </w:r>
      <w:r w:rsidR="00BF096D" w:rsidRPr="00BC5005">
        <w:rPr>
          <w:rFonts w:ascii="Tahoma" w:hAnsi="Tahoma" w:cs="Tahoma"/>
        </w:rPr>
        <w:t>,</w:t>
      </w:r>
      <w:r w:rsidR="00BF096D" w:rsidRPr="00BC5005">
        <w:rPr>
          <w:rFonts w:ascii="Tahoma" w:hAnsi="Tahoma" w:cs="Tahoma"/>
          <w:lang w:val="sr-Cyrl-BA"/>
        </w:rPr>
        <w:t>5</w:t>
      </w:r>
      <w:r w:rsidRPr="00BC5005">
        <w:rPr>
          <w:rFonts w:ascii="Tahoma" w:hAnsi="Tahoma" w:cs="Tahoma"/>
        </w:rPr>
        <w:t>%</w:t>
      </w:r>
      <w:r w:rsidRPr="00BC5005">
        <w:rPr>
          <w:rFonts w:ascii="Tahoma" w:hAnsi="Tahoma" w:cs="Tahoma"/>
          <w:lang w:val="sr-Cyrl-BA"/>
        </w:rPr>
        <w:t>.</w:t>
      </w:r>
    </w:p>
    <w:p w:rsidR="007412C5" w:rsidRPr="00DD1048" w:rsidRDefault="007C3569" w:rsidP="00F97060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lang w:val="sr-Cyrl-CS" w:eastAsia="sr-Latn-BA"/>
        </w:rPr>
      </w:pPr>
      <w:r w:rsidRPr="00BC5005">
        <w:rPr>
          <w:rFonts w:ascii="Tahoma" w:hAnsi="Tahoma" w:cs="Tahoma"/>
          <w:lang w:val="sr-Latn-BA" w:eastAsia="sr-Latn-BA"/>
        </w:rPr>
        <w:t>У земљама из окружења</w:t>
      </w:r>
      <w:r w:rsidRPr="00BC5005">
        <w:rPr>
          <w:rFonts w:ascii="Tahoma" w:hAnsi="Tahoma" w:cs="Tahoma"/>
          <w:lang w:val="sr-Cyrl-CS" w:eastAsia="sr-Latn-BA"/>
        </w:rPr>
        <w:t xml:space="preserve"> забиљежене су сљедеће стопе реалног раста </w:t>
      </w:r>
      <w:r w:rsidR="00D75495" w:rsidRPr="00BC5005">
        <w:rPr>
          <w:rFonts w:ascii="Tahoma" w:hAnsi="Tahoma" w:cs="Tahoma"/>
          <w:lang w:val="sr-Cyrl-CS" w:eastAsia="sr-Latn-BA"/>
        </w:rPr>
        <w:t>бруто домаћег производа за треће</w:t>
      </w:r>
      <w:r w:rsidRPr="00BC5005">
        <w:rPr>
          <w:rFonts w:ascii="Tahoma" w:hAnsi="Tahoma" w:cs="Tahoma"/>
          <w:lang w:val="sr-Cyrl-CS" w:eastAsia="sr-Latn-BA"/>
        </w:rPr>
        <w:t xml:space="preserve"> тромјесечје 2012. године у односу на исто тромјесечје 20</w:t>
      </w:r>
      <w:r w:rsidR="00BF096D" w:rsidRPr="00BC5005">
        <w:rPr>
          <w:rFonts w:ascii="Tahoma" w:hAnsi="Tahoma" w:cs="Tahoma"/>
          <w:lang w:val="sr-Cyrl-CS" w:eastAsia="sr-Latn-BA"/>
        </w:rPr>
        <w:t xml:space="preserve">11. године и то: Словенија (-3,3%), Хрватска </w:t>
      </w:r>
      <w:r w:rsidR="00BC5005">
        <w:rPr>
          <w:rFonts w:ascii="Tahoma" w:hAnsi="Tahoma" w:cs="Tahoma"/>
          <w:lang w:val="sr-Cyrl-CS" w:eastAsia="sr-Latn-BA"/>
        </w:rPr>
        <w:br w:type="textWrapping" w:clear="all"/>
      </w:r>
      <w:r w:rsidR="00BF096D" w:rsidRPr="00BC5005">
        <w:rPr>
          <w:rFonts w:ascii="Tahoma" w:hAnsi="Tahoma" w:cs="Tahoma"/>
          <w:lang w:val="sr-Cyrl-CS" w:eastAsia="sr-Latn-BA"/>
        </w:rPr>
        <w:t>(-1,9</w:t>
      </w:r>
      <w:r w:rsidRPr="00BC5005">
        <w:rPr>
          <w:rFonts w:ascii="Tahoma" w:hAnsi="Tahoma" w:cs="Tahoma"/>
          <w:lang w:val="sr-Cyrl-CS" w:eastAsia="sr-Latn-BA"/>
        </w:rPr>
        <w:t>%)</w:t>
      </w:r>
      <w:r w:rsidR="00DD1048">
        <w:rPr>
          <w:rFonts w:ascii="Tahoma" w:hAnsi="Tahoma" w:cs="Tahoma"/>
          <w:lang w:val="sr-Cyrl-BA" w:eastAsia="sr-Latn-BA"/>
        </w:rPr>
        <w:t xml:space="preserve"> </w:t>
      </w:r>
      <w:r w:rsidR="00DD1048" w:rsidRPr="00BC5005">
        <w:rPr>
          <w:rFonts w:ascii="Tahoma" w:hAnsi="Tahoma" w:cs="Tahoma"/>
          <w:lang w:val="sr-Cyrl-CS" w:eastAsia="sr-Latn-BA"/>
        </w:rPr>
        <w:t xml:space="preserve">и </w:t>
      </w:r>
      <w:r w:rsidR="00BF096D" w:rsidRPr="00BC5005">
        <w:rPr>
          <w:rFonts w:ascii="Tahoma" w:hAnsi="Tahoma" w:cs="Tahoma"/>
          <w:lang w:val="sr-Cyrl-CS" w:eastAsia="sr-Latn-BA"/>
        </w:rPr>
        <w:t>Србија (-2,2</w:t>
      </w:r>
      <w:r w:rsidRPr="00BC5005">
        <w:rPr>
          <w:rFonts w:ascii="Tahoma" w:hAnsi="Tahoma" w:cs="Tahoma"/>
          <w:lang w:val="sr-Cyrl-CS" w:eastAsia="sr-Latn-BA"/>
        </w:rPr>
        <w:t>%)</w:t>
      </w:r>
      <w:r w:rsidRPr="00BC5005">
        <w:rPr>
          <w:rFonts w:ascii="Tahoma" w:hAnsi="Tahoma" w:cs="Tahoma"/>
          <w:lang w:eastAsia="sr-Latn-BA"/>
        </w:rPr>
        <w:t>.</w:t>
      </w:r>
    </w:p>
    <w:p w:rsidR="00923B9E" w:rsidRPr="00B47AD9" w:rsidRDefault="00D6623F" w:rsidP="00CF07E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D6623F">
        <w:rPr>
          <w:rFonts w:ascii="Tahoma" w:hAnsi="Tahoma" w:cs="Tahoma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22.7pt;margin-top:13.55pt;width:36.85pt;height:19.75pt;z-index:251660288;mso-width-relative:margin;mso-height-relative:margin" filled="f" stroked="f">
            <v:textbox style="mso-next-textbox:#_x0000_s1065">
              <w:txbxContent>
                <w:p w:rsidR="002630E0" w:rsidRPr="002630E0" w:rsidRDefault="002630E0" w:rsidP="00C11CD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%</w:t>
                  </w:r>
                </w:p>
              </w:txbxContent>
            </v:textbox>
          </v:shape>
        </w:pict>
      </w:r>
      <w:r w:rsidR="00923B9E" w:rsidRPr="00B47AD9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6598310" cy="2838298"/>
            <wp:effectExtent l="0" t="0" r="0" b="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3B9E" w:rsidRPr="00B47AD9" w:rsidRDefault="00F97060" w:rsidP="00C11CDB">
      <w:pPr>
        <w:jc w:val="center"/>
        <w:rPr>
          <w:rFonts w:ascii="Tahoma" w:hAnsi="Tahoma" w:cs="Tahoma"/>
          <w:b/>
          <w:sz w:val="18"/>
          <w:szCs w:val="18"/>
          <w:lang w:val="sr-Cyrl-CS"/>
        </w:rPr>
      </w:pPr>
      <w:r w:rsidRPr="00B47AD9">
        <w:rPr>
          <w:rFonts w:ascii="Tahoma" w:hAnsi="Tahoma" w:cs="Tahoma"/>
          <w:sz w:val="18"/>
          <w:szCs w:val="18"/>
          <w:lang w:val="sr-Cyrl-BA"/>
        </w:rPr>
        <w:t>Графикон 1</w:t>
      </w:r>
      <w:r w:rsidRPr="00B47AD9">
        <w:rPr>
          <w:rFonts w:ascii="Tahoma" w:hAnsi="Tahoma" w:cs="Tahoma"/>
          <w:sz w:val="18"/>
          <w:szCs w:val="18"/>
          <w:lang w:val="ru-RU"/>
        </w:rPr>
        <w:t>.</w:t>
      </w:r>
      <w:r w:rsidRPr="00B47AD9">
        <w:rPr>
          <w:rFonts w:ascii="Tahoma" w:hAnsi="Tahoma" w:cs="Tahoma"/>
          <w:sz w:val="18"/>
          <w:szCs w:val="18"/>
          <w:lang w:val="sr-Cyrl-BA"/>
        </w:rPr>
        <w:t xml:space="preserve"> Тромјесечни бруто домаћи производ, стопе реалног раста, %</w:t>
      </w:r>
    </w:p>
    <w:p w:rsidR="00923B9E" w:rsidRPr="00B47AD9" w:rsidRDefault="00923B9E" w:rsidP="00CF07E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923B9E" w:rsidRPr="00B47AD9" w:rsidRDefault="00923B9E" w:rsidP="00CF07E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923B9E" w:rsidRPr="00B47AD9" w:rsidRDefault="00923B9E" w:rsidP="00CF07E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923B9E" w:rsidRPr="00B47AD9" w:rsidRDefault="00923B9E" w:rsidP="00CF07E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923B9E" w:rsidRPr="00B47AD9" w:rsidRDefault="00923B9E" w:rsidP="00CF07E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923B9E" w:rsidRPr="00B47AD9" w:rsidRDefault="00923B9E" w:rsidP="00CF07E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923B9E" w:rsidRPr="00B47AD9" w:rsidRDefault="00923B9E" w:rsidP="00CF07E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A15386" w:rsidRPr="00B47AD9" w:rsidRDefault="00A15386" w:rsidP="00CF07E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A15386" w:rsidRPr="00B47AD9" w:rsidRDefault="00A15386" w:rsidP="00CF07E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A15386" w:rsidRPr="00B47AD9" w:rsidRDefault="00A15386" w:rsidP="00CF07E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923B9E" w:rsidRPr="00B47AD9" w:rsidRDefault="00923B9E" w:rsidP="00CF07E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CF07EF" w:rsidRPr="00B47AD9" w:rsidRDefault="00CF07EF" w:rsidP="00CF07EF">
      <w:pPr>
        <w:jc w:val="both"/>
        <w:rPr>
          <w:rFonts w:ascii="Tahoma" w:hAnsi="Tahoma" w:cs="Tahoma"/>
          <w:sz w:val="28"/>
          <w:szCs w:val="28"/>
          <w:lang w:val="sr-Cyrl-CS"/>
        </w:rPr>
      </w:pPr>
      <w:r w:rsidRPr="00B47AD9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B47AD9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B47AD9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="009B2700" w:rsidRPr="00B47AD9">
        <w:rPr>
          <w:rFonts w:ascii="Tahoma" w:hAnsi="Tahoma" w:cs="Tahoma"/>
          <w:b/>
          <w:sz w:val="28"/>
          <w:szCs w:val="28"/>
          <w:lang w:val="ru-RU"/>
        </w:rPr>
        <w:t xml:space="preserve"> у деце</w:t>
      </w:r>
      <w:r w:rsidRPr="00B47AD9">
        <w:rPr>
          <w:rFonts w:ascii="Tahoma" w:hAnsi="Tahoma" w:cs="Tahoma"/>
          <w:b/>
          <w:sz w:val="28"/>
          <w:szCs w:val="28"/>
          <w:lang w:val="ru-RU"/>
        </w:rPr>
        <w:t>м</w:t>
      </w:r>
      <w:r w:rsidRPr="00B47AD9">
        <w:rPr>
          <w:rFonts w:ascii="Tahoma" w:hAnsi="Tahoma" w:cs="Tahoma"/>
          <w:b/>
          <w:sz w:val="28"/>
          <w:szCs w:val="28"/>
          <w:lang w:val="sr-Cyrl-CS"/>
        </w:rPr>
        <w:t>бру 8</w:t>
      </w:r>
      <w:r w:rsidRPr="00B47AD9">
        <w:rPr>
          <w:rFonts w:ascii="Tahoma" w:hAnsi="Tahoma" w:cs="Tahoma"/>
          <w:b/>
          <w:sz w:val="28"/>
          <w:szCs w:val="28"/>
        </w:rPr>
        <w:t>1</w:t>
      </w:r>
      <w:r w:rsidR="009B2700" w:rsidRPr="00B47AD9">
        <w:rPr>
          <w:rFonts w:ascii="Tahoma" w:hAnsi="Tahoma" w:cs="Tahoma"/>
          <w:b/>
          <w:sz w:val="28"/>
          <w:szCs w:val="28"/>
          <w:lang w:val="sr-Cyrl-BA"/>
        </w:rPr>
        <w:t>8</w:t>
      </w:r>
      <w:r w:rsidRPr="00B47AD9">
        <w:rPr>
          <w:rFonts w:ascii="Tahoma" w:hAnsi="Tahoma" w:cs="Tahoma"/>
          <w:b/>
          <w:sz w:val="28"/>
          <w:szCs w:val="28"/>
          <w:lang w:val="ru-RU"/>
        </w:rPr>
        <w:t xml:space="preserve"> КМ</w:t>
      </w:r>
    </w:p>
    <w:p w:rsidR="00CF07EF" w:rsidRPr="00B47AD9" w:rsidRDefault="00CF07EF" w:rsidP="00CF07EF">
      <w:pPr>
        <w:tabs>
          <w:tab w:val="left" w:pos="4343"/>
        </w:tabs>
        <w:jc w:val="both"/>
        <w:rPr>
          <w:rFonts w:ascii="Tahoma" w:hAnsi="Tahoma" w:cs="Tahoma"/>
          <w:sz w:val="26"/>
          <w:szCs w:val="26"/>
          <w:lang w:val="ru-RU"/>
        </w:rPr>
      </w:pPr>
      <w:r w:rsidRPr="00B47AD9">
        <w:rPr>
          <w:rFonts w:ascii="Tahoma" w:hAnsi="Tahoma" w:cs="Tahoma"/>
          <w:sz w:val="26"/>
          <w:szCs w:val="26"/>
          <w:lang w:val="ru-RU"/>
        </w:rPr>
        <w:t>Највиша просјечна нето плата у подручју</w:t>
      </w:r>
      <w:r w:rsidRPr="00B47AD9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B47AD9">
        <w:rPr>
          <w:rFonts w:ascii="Tahoma" w:hAnsi="Tahoma" w:cs="Tahoma"/>
          <w:i/>
          <w:sz w:val="26"/>
          <w:szCs w:val="26"/>
          <w:lang w:val="ru-RU"/>
        </w:rPr>
        <w:t>Финансијско посредовање</w:t>
      </w:r>
      <w:r w:rsidRPr="00B47AD9">
        <w:rPr>
          <w:rFonts w:ascii="Tahoma" w:hAnsi="Tahoma" w:cs="Tahoma"/>
          <w:sz w:val="26"/>
          <w:szCs w:val="26"/>
          <w:lang w:val="ru-RU"/>
        </w:rPr>
        <w:t xml:space="preserve"> 1 314 КМ</w:t>
      </w:r>
      <w:r w:rsidRPr="00B47AD9">
        <w:rPr>
          <w:rFonts w:ascii="Tahoma" w:hAnsi="Tahoma" w:cs="Tahoma"/>
          <w:sz w:val="26"/>
          <w:szCs w:val="26"/>
          <w:lang w:val="sr-Cyrl-CS"/>
        </w:rPr>
        <w:t xml:space="preserve">, најнижа у подручју </w:t>
      </w:r>
      <w:r w:rsidRPr="00B47AD9">
        <w:rPr>
          <w:rFonts w:ascii="Tahoma" w:hAnsi="Tahoma" w:cs="Tahoma"/>
          <w:i/>
          <w:sz w:val="26"/>
          <w:szCs w:val="26"/>
          <w:lang w:val="sr-Cyrl-CS"/>
        </w:rPr>
        <w:t>Угоститељство</w:t>
      </w:r>
      <w:r w:rsidR="009B2700" w:rsidRPr="00B47AD9">
        <w:rPr>
          <w:rFonts w:ascii="Tahoma" w:hAnsi="Tahoma" w:cs="Tahoma"/>
          <w:sz w:val="26"/>
          <w:szCs w:val="26"/>
          <w:lang w:val="sr-Cyrl-CS"/>
        </w:rPr>
        <w:t xml:space="preserve"> 544</w:t>
      </w:r>
      <w:r w:rsidRPr="00B47AD9">
        <w:rPr>
          <w:rFonts w:ascii="Tahoma" w:hAnsi="Tahoma" w:cs="Tahoma"/>
          <w:sz w:val="26"/>
          <w:szCs w:val="26"/>
          <w:lang w:val="sr-Cyrl-CS"/>
        </w:rPr>
        <w:t xml:space="preserve"> КМ</w:t>
      </w:r>
      <w:r w:rsidR="00842B37" w:rsidRPr="00B47AD9">
        <w:rPr>
          <w:rFonts w:ascii="Tahoma" w:hAnsi="Tahoma" w:cs="Tahoma"/>
          <w:sz w:val="26"/>
          <w:szCs w:val="26"/>
          <w:lang w:val="sr-Cyrl-CS"/>
        </w:rPr>
        <w:t>.</w:t>
      </w:r>
    </w:p>
    <w:p w:rsidR="00137550" w:rsidRDefault="00137550" w:rsidP="00CF07EF">
      <w:pPr>
        <w:tabs>
          <w:tab w:val="left" w:pos="1134"/>
        </w:tabs>
        <w:jc w:val="both"/>
        <w:rPr>
          <w:rFonts w:ascii="Tahoma" w:hAnsi="Tahoma" w:cs="Tahoma"/>
          <w:b/>
        </w:rPr>
      </w:pPr>
    </w:p>
    <w:p w:rsidR="00CF07EF" w:rsidRPr="00B47AD9" w:rsidRDefault="00CF07EF" w:rsidP="00CF07EF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B47AD9">
        <w:rPr>
          <w:rFonts w:ascii="Tahoma" w:hAnsi="Tahoma" w:cs="Tahoma"/>
          <w:b/>
          <w:lang w:val="sr-Cyrl-BA"/>
        </w:rPr>
        <w:t>П</w:t>
      </w:r>
      <w:r w:rsidRPr="00B47AD9">
        <w:rPr>
          <w:rFonts w:ascii="Tahoma" w:hAnsi="Tahoma" w:cs="Tahoma"/>
          <w:b/>
          <w:lang w:val="sr-Cyrl-CS"/>
        </w:rPr>
        <w:t>росјечна</w:t>
      </w:r>
      <w:r w:rsidRPr="00B47AD9">
        <w:rPr>
          <w:rFonts w:ascii="Tahoma" w:hAnsi="Tahoma" w:cs="Tahoma"/>
          <w:b/>
          <w:lang w:val="ru-RU"/>
        </w:rPr>
        <w:t xml:space="preserve"> </w:t>
      </w:r>
      <w:r w:rsidRPr="00B47AD9">
        <w:rPr>
          <w:rFonts w:ascii="Tahoma" w:hAnsi="Tahoma" w:cs="Tahoma"/>
          <w:b/>
          <w:lang w:val="sr-Cyrl-CS"/>
        </w:rPr>
        <w:t>мјесечна нето плата</w:t>
      </w:r>
      <w:r w:rsidRPr="00B47AD9">
        <w:rPr>
          <w:rFonts w:ascii="Tahoma" w:hAnsi="Tahoma" w:cs="Tahoma"/>
          <w:b/>
          <w:lang w:val="ru-RU"/>
        </w:rPr>
        <w:t xml:space="preserve"> </w:t>
      </w:r>
      <w:r w:rsidRPr="00B47AD9">
        <w:rPr>
          <w:rFonts w:ascii="Tahoma" w:hAnsi="Tahoma" w:cs="Tahoma"/>
          <w:lang w:val="sr-Cyrl-CS"/>
        </w:rPr>
        <w:t>запослених у Републици Српској,</w:t>
      </w:r>
      <w:r w:rsidRPr="00B47AD9">
        <w:rPr>
          <w:rFonts w:ascii="Tahoma" w:hAnsi="Tahoma" w:cs="Tahoma"/>
          <w:b/>
          <w:lang w:val="ru-RU"/>
        </w:rPr>
        <w:t xml:space="preserve"> </w:t>
      </w:r>
      <w:r w:rsidR="009B2700" w:rsidRPr="00B47AD9">
        <w:rPr>
          <w:rFonts w:ascii="Tahoma" w:hAnsi="Tahoma" w:cs="Tahoma"/>
          <w:lang w:val="sr-Cyrl-CS"/>
        </w:rPr>
        <w:t>исплаћена у дец</w:t>
      </w:r>
      <w:r w:rsidRPr="00B47AD9">
        <w:rPr>
          <w:rFonts w:ascii="Tahoma" w:hAnsi="Tahoma" w:cs="Tahoma"/>
          <w:lang w:val="sr-Cyrl-CS"/>
        </w:rPr>
        <w:t>ембру 2012.</w:t>
      </w:r>
      <w:r w:rsidRPr="00B47AD9">
        <w:rPr>
          <w:rFonts w:ascii="Tahoma" w:hAnsi="Tahoma" w:cs="Tahoma"/>
          <w:lang w:val="ru-RU"/>
        </w:rPr>
        <w:t xml:space="preserve"> </w:t>
      </w:r>
      <w:r w:rsidRPr="00B47AD9">
        <w:rPr>
          <w:rFonts w:ascii="Tahoma" w:hAnsi="Tahoma" w:cs="Tahoma"/>
          <w:lang w:val="sr-Cyrl-CS"/>
        </w:rPr>
        <w:t>године износи</w:t>
      </w:r>
      <w:r w:rsidRPr="00B47AD9">
        <w:rPr>
          <w:rFonts w:ascii="Tahoma" w:hAnsi="Tahoma" w:cs="Tahoma"/>
          <w:b/>
          <w:lang w:val="sr-Cyrl-CS"/>
        </w:rPr>
        <w:t xml:space="preserve"> </w:t>
      </w:r>
      <w:r w:rsidR="009B2700" w:rsidRPr="00B47AD9">
        <w:rPr>
          <w:rFonts w:ascii="Tahoma" w:hAnsi="Tahoma" w:cs="Tahoma"/>
          <w:lang w:val="sr-Cyrl-CS"/>
        </w:rPr>
        <w:t>818</w:t>
      </w:r>
      <w:r w:rsidRPr="00B47AD9">
        <w:rPr>
          <w:rFonts w:ascii="Tahoma" w:hAnsi="Tahoma" w:cs="Tahoma"/>
          <w:lang w:val="sr-Cyrl-CS"/>
        </w:rPr>
        <w:t xml:space="preserve"> КМ</w:t>
      </w:r>
      <w:r w:rsidRPr="00B47AD9">
        <w:rPr>
          <w:rFonts w:ascii="Tahoma" w:hAnsi="Tahoma" w:cs="Tahoma"/>
          <w:lang w:val="hr-HR"/>
        </w:rPr>
        <w:t>,</w:t>
      </w:r>
      <w:r w:rsidRPr="00B47AD9">
        <w:rPr>
          <w:rFonts w:ascii="Tahoma" w:hAnsi="Tahoma" w:cs="Tahoma"/>
          <w:lang w:val="ru-RU"/>
        </w:rPr>
        <w:t xml:space="preserve"> а п</w:t>
      </w:r>
      <w:r w:rsidRPr="00B47AD9">
        <w:rPr>
          <w:rFonts w:ascii="Tahoma" w:hAnsi="Tahoma" w:cs="Tahoma"/>
          <w:lang w:val="sr-Cyrl-CS"/>
        </w:rPr>
        <w:t>росјечна</w:t>
      </w:r>
      <w:r w:rsidRPr="00B47AD9">
        <w:rPr>
          <w:rFonts w:ascii="Tahoma" w:hAnsi="Tahoma" w:cs="Tahoma"/>
          <w:lang w:val="ru-RU"/>
        </w:rPr>
        <w:t xml:space="preserve"> </w:t>
      </w:r>
      <w:r w:rsidRPr="00B47AD9">
        <w:rPr>
          <w:rFonts w:ascii="Tahoma" w:hAnsi="Tahoma" w:cs="Tahoma"/>
          <w:lang w:val="sr-Cyrl-CS"/>
        </w:rPr>
        <w:t>мјесечна бруто плата</w:t>
      </w:r>
      <w:r w:rsidRPr="00B47AD9">
        <w:rPr>
          <w:rFonts w:ascii="Tahoma" w:hAnsi="Tahoma" w:cs="Tahoma"/>
          <w:lang w:val="ru-RU"/>
        </w:rPr>
        <w:t xml:space="preserve"> </w:t>
      </w:r>
      <w:r w:rsidR="009B2700" w:rsidRPr="00B47AD9">
        <w:rPr>
          <w:rFonts w:ascii="Tahoma" w:hAnsi="Tahoma" w:cs="Tahoma"/>
          <w:lang w:val="sr-Cyrl-CS"/>
        </w:rPr>
        <w:t>1 349</w:t>
      </w:r>
      <w:r w:rsidRPr="00B47AD9">
        <w:rPr>
          <w:rFonts w:ascii="Tahoma" w:hAnsi="Tahoma" w:cs="Tahoma"/>
          <w:lang w:val="sr-Cyrl-CS"/>
        </w:rPr>
        <w:t xml:space="preserve"> КМ. </w:t>
      </w:r>
    </w:p>
    <w:p w:rsidR="00CF07EF" w:rsidRPr="00B47AD9" w:rsidRDefault="00CF07EF" w:rsidP="00137550">
      <w:pPr>
        <w:tabs>
          <w:tab w:val="left" w:pos="1134"/>
        </w:tabs>
        <w:spacing w:after="60"/>
        <w:jc w:val="both"/>
        <w:rPr>
          <w:rFonts w:ascii="Tahoma" w:hAnsi="Tahoma" w:cs="Tahoma"/>
          <w:lang w:val="sr-Cyrl-CS"/>
        </w:rPr>
      </w:pPr>
      <w:r w:rsidRPr="00B47AD9">
        <w:rPr>
          <w:rFonts w:ascii="Tahoma" w:hAnsi="Tahoma" w:cs="Tahoma"/>
          <w:lang w:val="sr-Cyrl-CS"/>
        </w:rPr>
        <w:t>Прос</w:t>
      </w:r>
      <w:r w:rsidR="009B2700" w:rsidRPr="00B47AD9">
        <w:rPr>
          <w:rFonts w:ascii="Tahoma" w:hAnsi="Tahoma" w:cs="Tahoma"/>
          <w:lang w:val="sr-Cyrl-CS"/>
        </w:rPr>
        <w:t>јечна нето плата исплаћена у дец</w:t>
      </w:r>
      <w:r w:rsidRPr="00B47AD9">
        <w:rPr>
          <w:rFonts w:ascii="Tahoma" w:hAnsi="Tahoma" w:cs="Tahoma"/>
          <w:lang w:val="sr-Cyrl-CS"/>
        </w:rPr>
        <w:t>ембр</w:t>
      </w:r>
      <w:r w:rsidR="009B2700" w:rsidRPr="00B47AD9">
        <w:rPr>
          <w:rFonts w:ascii="Tahoma" w:hAnsi="Tahoma" w:cs="Tahoma"/>
          <w:lang w:val="sr-Cyrl-CS"/>
        </w:rPr>
        <w:t>у 2012. године у односу на новембар 2012. године мања је номинално и реално за 0,1</w:t>
      </w:r>
      <w:r w:rsidRPr="00B47AD9">
        <w:rPr>
          <w:rFonts w:ascii="Tahoma" w:hAnsi="Tahoma" w:cs="Tahoma"/>
          <w:lang w:val="sr-Cyrl-CS"/>
        </w:rPr>
        <w:t>%. У односу на просјечну нето плату у 2011. го</w:t>
      </w:r>
      <w:r w:rsidR="009B2700" w:rsidRPr="00B47AD9">
        <w:rPr>
          <w:rFonts w:ascii="Tahoma" w:hAnsi="Tahoma" w:cs="Tahoma"/>
          <w:lang w:val="sr-Cyrl-CS"/>
        </w:rPr>
        <w:t>дини, просјечна нето плата у дец</w:t>
      </w:r>
      <w:r w:rsidRPr="00B47AD9">
        <w:rPr>
          <w:rFonts w:ascii="Tahoma" w:hAnsi="Tahoma" w:cs="Tahoma"/>
          <w:lang w:val="sr-Cyrl-CS"/>
        </w:rPr>
        <w:t>ембру 2012.</w:t>
      </w:r>
      <w:r w:rsidR="009B2700" w:rsidRPr="00B47AD9">
        <w:rPr>
          <w:rFonts w:ascii="Tahoma" w:hAnsi="Tahoma" w:cs="Tahoma"/>
          <w:lang w:val="sr-Cyrl-CS"/>
        </w:rPr>
        <w:t xml:space="preserve"> године већа је номинално за 1,1</w:t>
      </w:r>
      <w:r w:rsidRPr="00B47AD9">
        <w:rPr>
          <w:rFonts w:ascii="Tahoma" w:hAnsi="Tahoma" w:cs="Tahoma"/>
          <w:lang w:val="sr-Cyrl-CS"/>
        </w:rPr>
        <w:t xml:space="preserve">%, а </w:t>
      </w:r>
      <w:r w:rsidR="009B2700" w:rsidRPr="00B47AD9">
        <w:rPr>
          <w:rFonts w:ascii="Tahoma" w:hAnsi="Tahoma" w:cs="Tahoma"/>
          <w:lang w:val="sr-Cyrl-CS"/>
        </w:rPr>
        <w:t>реално мања за 1,6%. У дец</w:t>
      </w:r>
      <w:r w:rsidRPr="00B47AD9">
        <w:rPr>
          <w:rFonts w:ascii="Tahoma" w:hAnsi="Tahoma" w:cs="Tahoma"/>
          <w:lang w:val="sr-Cyrl-CS"/>
        </w:rPr>
        <w:t>ембру 2012. године у односу на исти мјесец прошле године просјечна нет</w:t>
      </w:r>
      <w:r w:rsidR="009B2700" w:rsidRPr="00B47AD9">
        <w:rPr>
          <w:rFonts w:ascii="Tahoma" w:hAnsi="Tahoma" w:cs="Tahoma"/>
          <w:lang w:val="sr-Cyrl-CS"/>
        </w:rPr>
        <w:t>о плата номинално је већа за 0,4</w:t>
      </w:r>
      <w:r w:rsidRPr="00B47AD9">
        <w:rPr>
          <w:rFonts w:ascii="Tahoma" w:hAnsi="Tahoma" w:cs="Tahoma"/>
          <w:lang w:val="sr-Cyrl-CS"/>
        </w:rPr>
        <w:t xml:space="preserve">% док је </w:t>
      </w:r>
      <w:r w:rsidR="009B2700" w:rsidRPr="00B47AD9">
        <w:rPr>
          <w:rFonts w:ascii="Tahoma" w:hAnsi="Tahoma" w:cs="Tahoma"/>
          <w:lang w:val="sr-Cyrl-BA"/>
        </w:rPr>
        <w:t>реално мања за 1,6</w:t>
      </w:r>
      <w:r w:rsidRPr="00B47AD9">
        <w:rPr>
          <w:rFonts w:ascii="Tahoma" w:hAnsi="Tahoma" w:cs="Tahoma"/>
          <w:lang w:val="sr-Cyrl-BA"/>
        </w:rPr>
        <w:t>%.</w:t>
      </w:r>
    </w:p>
    <w:p w:rsidR="00CF07EF" w:rsidRPr="00B47AD9" w:rsidRDefault="00CF07EF" w:rsidP="00137550">
      <w:pPr>
        <w:tabs>
          <w:tab w:val="left" w:pos="1134"/>
        </w:tabs>
        <w:spacing w:after="60"/>
        <w:jc w:val="both"/>
        <w:rPr>
          <w:rFonts w:ascii="Tahoma" w:hAnsi="Tahoma" w:cs="Tahoma"/>
          <w:lang w:val="sr-Cyrl-CS"/>
        </w:rPr>
      </w:pPr>
      <w:r w:rsidRPr="00B47AD9">
        <w:rPr>
          <w:rFonts w:ascii="Tahoma" w:hAnsi="Tahoma" w:cs="Tahoma"/>
          <w:lang w:val="sr-Cyrl-CS"/>
        </w:rPr>
        <w:t>На</w:t>
      </w:r>
      <w:r w:rsidR="009B2700" w:rsidRPr="00B47AD9">
        <w:rPr>
          <w:rFonts w:ascii="Tahoma" w:hAnsi="Tahoma" w:cs="Tahoma"/>
          <w:lang w:val="sr-Cyrl-CS"/>
        </w:rPr>
        <w:t>јвиша просјечна нето плата у дец</w:t>
      </w:r>
      <w:r w:rsidRPr="00B47AD9">
        <w:rPr>
          <w:rFonts w:ascii="Tahoma" w:hAnsi="Tahoma" w:cs="Tahoma"/>
          <w:lang w:val="sr-Cyrl-CS"/>
        </w:rPr>
        <w:t xml:space="preserve">ембру 2012. године, посматрано по подручјима дјелатности, исплаћена је у подручју </w:t>
      </w:r>
      <w:r w:rsidRPr="00B47AD9">
        <w:rPr>
          <w:rFonts w:ascii="Tahoma" w:hAnsi="Tahoma" w:cs="Tahoma"/>
          <w:i/>
          <w:lang w:val="sr-Cyrl-CS"/>
        </w:rPr>
        <w:t xml:space="preserve">Финансијско посредовање </w:t>
      </w:r>
      <w:r w:rsidRPr="00B47AD9">
        <w:rPr>
          <w:rFonts w:ascii="Tahoma" w:hAnsi="Tahoma" w:cs="Tahoma"/>
          <w:lang w:val="sr-Cyrl-CS"/>
        </w:rPr>
        <w:t xml:space="preserve">и износи 1 314 КМ, а најнижа у подручју </w:t>
      </w:r>
      <w:r w:rsidRPr="00B47AD9">
        <w:rPr>
          <w:rFonts w:ascii="Tahoma" w:hAnsi="Tahoma" w:cs="Tahoma"/>
          <w:i/>
          <w:lang w:val="sr-Cyrl-CS"/>
        </w:rPr>
        <w:t>Угоститељство</w:t>
      </w:r>
      <w:r w:rsidR="009B2700" w:rsidRPr="00B47AD9">
        <w:rPr>
          <w:rFonts w:ascii="Tahoma" w:hAnsi="Tahoma" w:cs="Tahoma"/>
          <w:lang w:val="sr-Cyrl-CS"/>
        </w:rPr>
        <w:t xml:space="preserve"> 544</w:t>
      </w:r>
      <w:r w:rsidRPr="00B47AD9">
        <w:rPr>
          <w:rFonts w:ascii="Tahoma" w:hAnsi="Tahoma" w:cs="Tahoma"/>
          <w:lang w:val="sr-Cyrl-CS"/>
        </w:rPr>
        <w:t xml:space="preserve"> КМ.</w:t>
      </w:r>
    </w:p>
    <w:p w:rsidR="00CF07EF" w:rsidRPr="00B47AD9" w:rsidRDefault="009B2700" w:rsidP="00CF07EF">
      <w:pPr>
        <w:jc w:val="both"/>
        <w:rPr>
          <w:rFonts w:ascii="Tahoma" w:hAnsi="Tahoma" w:cs="Tahoma"/>
          <w:i/>
        </w:rPr>
      </w:pPr>
      <w:r w:rsidRPr="00B47AD9">
        <w:rPr>
          <w:rFonts w:ascii="Tahoma" w:hAnsi="Tahoma" w:cs="Tahoma"/>
          <w:lang w:val="sr-Cyrl-CS"/>
        </w:rPr>
        <w:t>У дец</w:t>
      </w:r>
      <w:r w:rsidR="00CF07EF" w:rsidRPr="00B47AD9">
        <w:rPr>
          <w:rFonts w:ascii="Tahoma" w:hAnsi="Tahoma" w:cs="Tahoma"/>
          <w:lang w:val="sr-Cyrl-CS"/>
        </w:rPr>
        <w:t xml:space="preserve">ембру </w:t>
      </w:r>
      <w:r w:rsidRPr="00B47AD9">
        <w:rPr>
          <w:rFonts w:ascii="Tahoma" w:hAnsi="Tahoma" w:cs="Tahoma"/>
          <w:lang w:val="ru-RU"/>
        </w:rPr>
        <w:t>2012. године, у односу на новем</w:t>
      </w:r>
      <w:r w:rsidR="00CF07EF" w:rsidRPr="00B47AD9">
        <w:rPr>
          <w:rFonts w:ascii="Tahoma" w:hAnsi="Tahoma" w:cs="Tahoma"/>
          <w:lang w:val="ru-RU"/>
        </w:rPr>
        <w:t>бар 2012. године, н</w:t>
      </w:r>
      <w:r w:rsidR="00CF07EF" w:rsidRPr="00B47AD9">
        <w:rPr>
          <w:rFonts w:ascii="Tahoma" w:hAnsi="Tahoma" w:cs="Tahoma"/>
          <w:lang w:val="sr-Cyrl-CS"/>
        </w:rPr>
        <w:t>ајвећи номинални раст нето плате забиљежен је у подручјима</w:t>
      </w:r>
      <w:r w:rsidRPr="00B47AD9">
        <w:rPr>
          <w:rFonts w:ascii="Tahoma" w:hAnsi="Tahoma" w:cs="Tahoma"/>
          <w:i/>
          <w:lang w:val="sr-Cyrl-CS"/>
        </w:rPr>
        <w:t xml:space="preserve"> Вађење руда и камена</w:t>
      </w:r>
      <w:r w:rsidR="00CF07EF" w:rsidRPr="00B47AD9">
        <w:rPr>
          <w:rFonts w:ascii="Tahoma" w:hAnsi="Tahoma" w:cs="Tahoma"/>
          <w:i/>
          <w:lang w:val="sr-Cyrl-CS"/>
        </w:rPr>
        <w:t xml:space="preserve"> и </w:t>
      </w:r>
      <w:r w:rsidRPr="00B47AD9">
        <w:rPr>
          <w:rFonts w:ascii="Tahoma" w:hAnsi="Tahoma" w:cs="Tahoma"/>
          <w:i/>
          <w:lang w:val="sr-Cyrl-CS"/>
        </w:rPr>
        <w:t>Саобраћај, складиштење и комуникације 1,2</w:t>
      </w:r>
      <w:r w:rsidR="00CF07EF" w:rsidRPr="00B47AD9">
        <w:rPr>
          <w:rFonts w:ascii="Tahoma" w:hAnsi="Tahoma" w:cs="Tahoma"/>
          <w:i/>
          <w:lang w:val="sr-Cyrl-CS"/>
        </w:rPr>
        <w:t xml:space="preserve">%, </w:t>
      </w:r>
      <w:r w:rsidRPr="00B47AD9">
        <w:rPr>
          <w:rFonts w:ascii="Tahoma" w:hAnsi="Tahoma" w:cs="Tahoma"/>
          <w:i/>
          <w:lang w:val="sr-Cyrl-BA"/>
        </w:rPr>
        <w:t xml:space="preserve">Прерађивачка индустрија 1,0% и Производња и снабдијевање електричном енергијом, гасом и водом 0,4%, </w:t>
      </w:r>
      <w:r w:rsidRPr="00B47AD9">
        <w:rPr>
          <w:rFonts w:ascii="Tahoma" w:hAnsi="Tahoma" w:cs="Tahoma"/>
          <w:lang w:val="sr-Cyrl-CS"/>
        </w:rPr>
        <w:t>док је номинално нижа плата у подручјима</w:t>
      </w:r>
      <w:r w:rsidRPr="00B47AD9">
        <w:rPr>
          <w:rFonts w:ascii="Tahoma" w:hAnsi="Tahoma" w:cs="Tahoma"/>
          <w:i/>
          <w:lang w:val="sr-Cyrl-CS"/>
        </w:rPr>
        <w:t xml:space="preserve"> </w:t>
      </w:r>
      <w:r w:rsidR="00517847" w:rsidRPr="00B47AD9">
        <w:rPr>
          <w:rFonts w:ascii="Tahoma" w:hAnsi="Tahoma" w:cs="Tahoma"/>
          <w:i/>
          <w:lang w:val="sr-Cyrl-CS"/>
        </w:rPr>
        <w:t>Угоститељство 4,1%, Образовање 2,6%, Грађевинарство 1,4</w:t>
      </w:r>
      <w:r w:rsidR="00CF07EF" w:rsidRPr="00B47AD9">
        <w:rPr>
          <w:rFonts w:ascii="Tahoma" w:hAnsi="Tahoma" w:cs="Tahoma"/>
          <w:i/>
          <w:lang w:val="sr-Cyrl-CS"/>
        </w:rPr>
        <w:t>%,</w:t>
      </w:r>
      <w:r w:rsidR="00517847" w:rsidRPr="00B47AD9">
        <w:rPr>
          <w:rFonts w:ascii="Tahoma" w:hAnsi="Tahoma" w:cs="Tahoma"/>
          <w:i/>
          <w:lang w:val="sr-Cyrl-BA"/>
        </w:rPr>
        <w:t xml:space="preserve"> Здравствени и социјални рад 0,8% и</w:t>
      </w:r>
      <w:r w:rsidRPr="00B47AD9">
        <w:rPr>
          <w:rFonts w:ascii="Tahoma" w:hAnsi="Tahoma" w:cs="Tahoma"/>
          <w:i/>
          <w:lang w:val="sr-Cyrl-CS"/>
        </w:rPr>
        <w:t xml:space="preserve"> Пословање некретнинама</w:t>
      </w:r>
      <w:r w:rsidR="00517847" w:rsidRPr="00B47AD9">
        <w:rPr>
          <w:rFonts w:ascii="Tahoma" w:hAnsi="Tahoma" w:cs="Tahoma"/>
          <w:i/>
          <w:lang w:val="sr-Cyrl-CS"/>
        </w:rPr>
        <w:t xml:space="preserve"> 0,3%.</w:t>
      </w:r>
    </w:p>
    <w:p w:rsidR="007412C5" w:rsidRPr="00B47AD9" w:rsidRDefault="007412C5" w:rsidP="00CF07EF">
      <w:pPr>
        <w:jc w:val="both"/>
        <w:rPr>
          <w:rFonts w:ascii="Tahoma" w:hAnsi="Tahoma" w:cs="Tahoma"/>
          <w:i/>
        </w:rPr>
      </w:pPr>
    </w:p>
    <w:p w:rsidR="00CF07EF" w:rsidRPr="00B47AD9" w:rsidRDefault="00D6623F" w:rsidP="00CF07EF">
      <w:pPr>
        <w:jc w:val="both"/>
        <w:rPr>
          <w:rFonts w:ascii="Tahoma" w:hAnsi="Tahoma" w:cs="Tahoma"/>
          <w:i/>
          <w:lang w:val="sr-Cyrl-CS"/>
        </w:rPr>
      </w:pPr>
      <w:r>
        <w:rPr>
          <w:rFonts w:ascii="Tahoma" w:hAnsi="Tahoma" w:cs="Tahoma"/>
          <w:i/>
          <w:noProof/>
        </w:rPr>
        <w:pict>
          <v:shape id="_x0000_s1064" type="#_x0000_t202" style="position:absolute;left:0;text-align:left;margin-left:96.05pt;margin-top:9.25pt;width:36.85pt;height:19.75pt;z-index:251659264;mso-width-relative:margin;mso-height-relative:margin" filled="f" stroked="f">
            <v:textbox style="mso-next-textbox:#_x0000_s1064">
              <w:txbxContent>
                <w:p w:rsidR="00C11CDB" w:rsidRPr="0078288A" w:rsidRDefault="00C11CDB" w:rsidP="00C11CDB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 xml:space="preserve"> КМ</w:t>
                  </w:r>
                </w:p>
              </w:txbxContent>
            </v:textbox>
          </v:shape>
        </w:pict>
      </w:r>
    </w:p>
    <w:p w:rsidR="00CF07EF" w:rsidRPr="00B47AD9" w:rsidRDefault="00D6623F" w:rsidP="00397310">
      <w:pPr>
        <w:jc w:val="center"/>
        <w:rPr>
          <w:rFonts w:ascii="Tahoma" w:hAnsi="Tahoma" w:cs="Tahoma"/>
          <w:sz w:val="18"/>
          <w:szCs w:val="18"/>
          <w:lang w:val="sr-Latn-CS"/>
        </w:rPr>
      </w:pPr>
      <w:r w:rsidRPr="00D6623F">
        <w:rPr>
          <w:rFonts w:ascii="Tahoma" w:hAnsi="Tahoma" w:cs="Tahoma"/>
          <w:noProof/>
          <w:sz w:val="16"/>
          <w:szCs w:val="16"/>
        </w:rPr>
        <w:pict>
          <v:group id="_x0000_s1078" style="position:absolute;left:0;text-align:left;margin-left:75pt;margin-top:134.35pt;width:440.65pt;height:33.55pt;z-index:251684352" coordorigin="2351,9539" coordsize="8813,671">
            <v:shape id="_x0000_s1067" type="#_x0000_t202" style="position:absolute;left:2351;top:9754;width:469;height:456;mso-position-horizontal-relative:margin;mso-width-relative:margin;mso-height-relative:margin" o:regroupid="1" stroked="f">
              <v:textbox style="mso-next-textbox:#_x0000_s1067" inset=".5mm,.3mm,.5mm,.3mm">
                <w:txbxContent>
                  <w:p w:rsidR="002630E0" w:rsidRPr="00835951" w:rsidRDefault="002630E0" w:rsidP="002630E0">
                    <w:pPr>
                      <w:jc w:val="right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835951">
                      <w:rPr>
                        <w:rFonts w:ascii="Tahoma" w:hAnsi="Tahoma" w:cs="Tahoma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9" type="#_x0000_t32" style="position:absolute;left:2856;top:9608;width:8308;height:0" o:connectortype="straight" o:regroupid="2" strokecolor="white [3212]" strokeweight="3pt"/>
            <v:group id="_x0000_s1070" style="position:absolute;left:2862;top:9539;width:138;height:131" coordorigin="3692,5492" coordsize="374,203" o:regroupid="2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_x0000_s1071" type="#_x0000_t64" style="position:absolute;left:3692;top:5497;width:374;height:191" fillcolor="white [3212]" stroked="f"/>
              <v:shape id="_x0000_s1072" style="position:absolute;left:3692;top:5492;width:370;height:62" coordsize="370,62" path="m,31c26,14,52,,97,4v45,4,126,50,171,54c313,62,349,37,370,31e" filled="f" strokecolor="#7f7f7f" strokeweight=".5pt">
                <v:path arrowok="t"/>
              </v:shape>
              <v:shape id="_x0000_s1073" style="position:absolute;left:3695;top:5633;width:370;height:62" coordsize="370,62" path="m,31c26,14,52,,97,4v45,4,126,50,171,54c313,62,349,37,370,31e" filled="f" strokecolor="#7f7f7f" strokeweight=".5pt">
                <v:path arrowok="t"/>
              </v:shape>
            </v:group>
          </v:group>
        </w:pict>
      </w:r>
      <w:r w:rsidR="007170BE" w:rsidRPr="00B47AD9">
        <w:rPr>
          <w:rFonts w:ascii="Tahoma" w:hAnsi="Tahoma" w:cs="Tahoma"/>
          <w:noProof/>
          <w:sz w:val="18"/>
          <w:szCs w:val="18"/>
        </w:rPr>
        <w:t xml:space="preserve"> </w:t>
      </w:r>
      <w:r w:rsidR="007170BE" w:rsidRPr="00B47AD9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572000" cy="2743200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170BE" w:rsidRPr="00B47AD9">
        <w:rPr>
          <w:rFonts w:ascii="Tahoma" w:hAnsi="Tahoma" w:cs="Tahoma"/>
          <w:noProof/>
          <w:sz w:val="18"/>
          <w:szCs w:val="18"/>
        </w:rPr>
        <w:t xml:space="preserve"> </w:t>
      </w:r>
    </w:p>
    <w:p w:rsidR="00CF07EF" w:rsidRPr="00B47AD9" w:rsidRDefault="00CF07EF" w:rsidP="00CF07EF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CF07EF" w:rsidRPr="00A10314" w:rsidRDefault="00CF07EF" w:rsidP="00137550">
      <w:pPr>
        <w:jc w:val="center"/>
        <w:outlineLvl w:val="0"/>
        <w:rPr>
          <w:rFonts w:ascii="Tahoma" w:hAnsi="Tahoma" w:cs="Tahoma"/>
          <w:sz w:val="18"/>
          <w:szCs w:val="18"/>
          <w:lang w:val="sr-Cyrl-CS"/>
        </w:rPr>
      </w:pPr>
      <w:r w:rsidRPr="00A10314">
        <w:rPr>
          <w:rFonts w:ascii="Tahoma" w:hAnsi="Tahoma" w:cs="Tahoma"/>
          <w:sz w:val="18"/>
          <w:szCs w:val="18"/>
          <w:lang w:val="sr-Cyrl-BA"/>
        </w:rPr>
        <w:t>Графикон 1</w:t>
      </w:r>
      <w:r w:rsidRPr="00A10314">
        <w:rPr>
          <w:rFonts w:ascii="Tahoma" w:hAnsi="Tahoma" w:cs="Tahoma"/>
          <w:sz w:val="18"/>
          <w:szCs w:val="18"/>
          <w:lang w:val="ru-RU"/>
        </w:rPr>
        <w:t>.</w:t>
      </w:r>
      <w:r w:rsidRPr="00A10314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A10314">
        <w:rPr>
          <w:rFonts w:ascii="Tahoma" w:hAnsi="Tahoma" w:cs="Tahoma"/>
          <w:sz w:val="18"/>
          <w:szCs w:val="18"/>
          <w:lang w:val="sr-Cyrl-CS"/>
        </w:rPr>
        <w:t>П</w:t>
      </w:r>
      <w:r w:rsidRPr="00A10314">
        <w:rPr>
          <w:rFonts w:ascii="Tahoma" w:hAnsi="Tahoma" w:cs="Tahoma"/>
          <w:sz w:val="18"/>
          <w:szCs w:val="18"/>
          <w:lang w:val="ru-RU"/>
        </w:rPr>
        <w:t>росјечн</w:t>
      </w:r>
      <w:r w:rsidRPr="00A10314">
        <w:rPr>
          <w:rFonts w:ascii="Tahoma" w:hAnsi="Tahoma" w:cs="Tahoma"/>
          <w:sz w:val="18"/>
          <w:szCs w:val="18"/>
        </w:rPr>
        <w:t>e</w:t>
      </w:r>
      <w:r w:rsidRPr="00A10314">
        <w:rPr>
          <w:rFonts w:ascii="Tahoma" w:hAnsi="Tahoma" w:cs="Tahoma"/>
          <w:sz w:val="18"/>
          <w:szCs w:val="18"/>
          <w:lang w:val="ru-RU"/>
        </w:rPr>
        <w:t xml:space="preserve"> нето плат</w:t>
      </w:r>
      <w:r w:rsidRPr="00A10314">
        <w:rPr>
          <w:rFonts w:ascii="Tahoma" w:hAnsi="Tahoma" w:cs="Tahoma"/>
          <w:sz w:val="18"/>
          <w:szCs w:val="18"/>
        </w:rPr>
        <w:t>e</w:t>
      </w:r>
      <w:r w:rsidRPr="00A10314">
        <w:rPr>
          <w:rFonts w:ascii="Tahoma" w:hAnsi="Tahoma" w:cs="Tahoma"/>
          <w:sz w:val="18"/>
          <w:szCs w:val="18"/>
          <w:lang w:val="ru-RU"/>
        </w:rPr>
        <w:t xml:space="preserve"> запослених по мјесецима</w:t>
      </w:r>
    </w:p>
    <w:p w:rsidR="005561E5" w:rsidRPr="00B47AD9" w:rsidRDefault="005561E5" w:rsidP="005561E5">
      <w:pPr>
        <w:ind w:left="-142"/>
        <w:rPr>
          <w:rFonts w:ascii="Tahoma" w:hAnsi="Tahoma" w:cs="Tahoma"/>
          <w:b/>
          <w:sz w:val="28"/>
          <w:szCs w:val="28"/>
        </w:rPr>
      </w:pPr>
    </w:p>
    <w:p w:rsidR="00B80C4E" w:rsidRPr="00B47AD9" w:rsidRDefault="00B80C4E" w:rsidP="00094E6E">
      <w:pPr>
        <w:jc w:val="both"/>
        <w:rPr>
          <w:rFonts w:ascii="Tahoma" w:hAnsi="Tahoma" w:cs="Tahoma"/>
          <w:noProof/>
          <w:sz w:val="18"/>
          <w:szCs w:val="18"/>
          <w:lang w:val="sr-Cyrl-BA"/>
        </w:rPr>
      </w:pPr>
    </w:p>
    <w:p w:rsidR="00CF07EF" w:rsidRPr="00B47AD9" w:rsidRDefault="00CF07EF" w:rsidP="00094E6E">
      <w:pPr>
        <w:jc w:val="both"/>
        <w:rPr>
          <w:rFonts w:ascii="Tahoma" w:hAnsi="Tahoma" w:cs="Tahoma"/>
          <w:noProof/>
          <w:sz w:val="18"/>
          <w:szCs w:val="18"/>
          <w:lang w:val="sr-Cyrl-BA"/>
        </w:rPr>
      </w:pPr>
    </w:p>
    <w:p w:rsidR="00A10314" w:rsidRDefault="00B80C4E" w:rsidP="00094E6E">
      <w:pPr>
        <w:jc w:val="both"/>
        <w:rPr>
          <w:rFonts w:ascii="Tahoma" w:hAnsi="Tahoma" w:cs="Tahoma"/>
          <w:sz w:val="16"/>
          <w:szCs w:val="16"/>
        </w:rPr>
      </w:pPr>
      <w:r w:rsidRPr="00B47AD9">
        <w:rPr>
          <w:rFonts w:ascii="Tahoma" w:hAnsi="Tahoma" w:cs="Tahoma"/>
          <w:sz w:val="16"/>
          <w:szCs w:val="16"/>
        </w:rPr>
        <w:t xml:space="preserve">   </w:t>
      </w:r>
    </w:p>
    <w:p w:rsidR="00A10314" w:rsidRDefault="00A1031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:rsidR="00CD0CCB" w:rsidRPr="00B47AD9" w:rsidRDefault="00B80C4E" w:rsidP="00094E6E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47AD9">
        <w:rPr>
          <w:rFonts w:ascii="Tahoma" w:hAnsi="Tahoma" w:cs="Tahoma"/>
          <w:sz w:val="16"/>
          <w:szCs w:val="16"/>
        </w:rPr>
        <w:lastRenderedPageBreak/>
        <w:t xml:space="preserve">                            </w:t>
      </w:r>
    </w:p>
    <w:p w:rsidR="001F38C3" w:rsidRPr="00B47AD9" w:rsidRDefault="001F38C3" w:rsidP="001F38C3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B47AD9">
        <w:rPr>
          <w:rFonts w:ascii="Tahoma" w:hAnsi="Tahoma" w:cs="Tahoma"/>
          <w:b/>
          <w:sz w:val="28"/>
          <w:szCs w:val="28"/>
          <w:lang w:val="sr-Cyrl-BA"/>
        </w:rPr>
        <w:t>Мјесечна инфлација у децембру 201</w:t>
      </w:r>
      <w:r w:rsidRPr="00B47AD9">
        <w:rPr>
          <w:rFonts w:ascii="Tahoma" w:hAnsi="Tahoma" w:cs="Tahoma"/>
          <w:b/>
          <w:sz w:val="28"/>
          <w:szCs w:val="28"/>
        </w:rPr>
        <w:t>2</w:t>
      </w:r>
      <w:r w:rsidRPr="00B47AD9">
        <w:rPr>
          <w:rFonts w:ascii="Tahoma" w:hAnsi="Tahoma" w:cs="Tahoma"/>
          <w:b/>
          <w:sz w:val="28"/>
          <w:szCs w:val="28"/>
          <w:lang w:val="sr-Cyrl-BA"/>
        </w:rPr>
        <w:t>. године 0,0%.</w:t>
      </w:r>
    </w:p>
    <w:p w:rsidR="001F38C3" w:rsidRPr="00B47AD9" w:rsidRDefault="001F38C3" w:rsidP="001F38C3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B47AD9">
        <w:rPr>
          <w:rFonts w:ascii="Tahoma" w:hAnsi="Tahoma" w:cs="Tahoma"/>
          <w:b/>
          <w:sz w:val="28"/>
          <w:szCs w:val="28"/>
          <w:lang w:val="sr-Cyrl-BA"/>
        </w:rPr>
        <w:t>Годишња инфлација (децембар 201</w:t>
      </w:r>
      <w:r w:rsidRPr="00B47AD9">
        <w:rPr>
          <w:rFonts w:ascii="Tahoma" w:hAnsi="Tahoma" w:cs="Tahoma"/>
          <w:b/>
          <w:sz w:val="28"/>
          <w:szCs w:val="28"/>
        </w:rPr>
        <w:t>2</w:t>
      </w:r>
      <w:r w:rsidRPr="00B47AD9">
        <w:rPr>
          <w:rFonts w:ascii="Tahoma" w:hAnsi="Tahoma" w:cs="Tahoma"/>
          <w:b/>
          <w:sz w:val="28"/>
          <w:szCs w:val="28"/>
          <w:lang w:val="sr-Cyrl-BA"/>
        </w:rPr>
        <w:t>/децембар 201</w:t>
      </w:r>
      <w:r w:rsidRPr="00B47AD9">
        <w:rPr>
          <w:rFonts w:ascii="Tahoma" w:hAnsi="Tahoma" w:cs="Tahoma"/>
          <w:b/>
          <w:sz w:val="28"/>
          <w:szCs w:val="28"/>
        </w:rPr>
        <w:t>1</w:t>
      </w:r>
      <w:r w:rsidRPr="00B47AD9">
        <w:rPr>
          <w:rFonts w:ascii="Tahoma" w:hAnsi="Tahoma" w:cs="Tahoma"/>
          <w:b/>
          <w:sz w:val="28"/>
          <w:szCs w:val="28"/>
          <w:lang w:val="sr-Cyrl-BA"/>
        </w:rPr>
        <w:t xml:space="preserve">) </w:t>
      </w:r>
      <w:r w:rsidRPr="00B47AD9">
        <w:rPr>
          <w:rFonts w:ascii="Tahoma" w:hAnsi="Tahoma" w:cs="Tahoma"/>
          <w:b/>
          <w:sz w:val="28"/>
          <w:szCs w:val="28"/>
        </w:rPr>
        <w:t>2</w:t>
      </w:r>
      <w:r w:rsidRPr="00B47AD9">
        <w:rPr>
          <w:rFonts w:ascii="Tahoma" w:hAnsi="Tahoma" w:cs="Tahoma"/>
          <w:b/>
          <w:sz w:val="28"/>
          <w:szCs w:val="28"/>
          <w:lang w:val="sr-Cyrl-BA"/>
        </w:rPr>
        <w:t>,</w:t>
      </w:r>
      <w:r w:rsidRPr="00B47AD9">
        <w:rPr>
          <w:rFonts w:ascii="Tahoma" w:hAnsi="Tahoma" w:cs="Tahoma"/>
          <w:b/>
          <w:sz w:val="28"/>
          <w:szCs w:val="28"/>
        </w:rPr>
        <w:t>0</w:t>
      </w:r>
      <w:r w:rsidRPr="00B47AD9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1F38C3" w:rsidRPr="00B47AD9" w:rsidRDefault="001F38C3" w:rsidP="001F38C3">
      <w:pPr>
        <w:spacing w:after="240"/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B47AD9">
        <w:rPr>
          <w:rFonts w:ascii="Tahoma" w:hAnsi="Tahoma" w:cs="Tahoma"/>
          <w:b/>
          <w:sz w:val="28"/>
          <w:szCs w:val="28"/>
          <w:lang w:val="sr-Cyrl-BA"/>
        </w:rPr>
        <w:t>Просјечан годишњи раст (</w:t>
      </w:r>
      <w:r w:rsidR="003E1372" w:rsidRPr="00B47AD9">
        <w:rPr>
          <w:rFonts w:ascii="Tahoma" w:hAnsi="Tahoma" w:cs="Tahoma"/>
          <w:b/>
          <w:sz w:val="28"/>
          <w:szCs w:val="28"/>
        </w:rPr>
        <w:t>I</w:t>
      </w:r>
      <w:r w:rsidR="003E1372" w:rsidRPr="00B47AD9">
        <w:rPr>
          <w:rFonts w:ascii="Tahoma" w:hAnsi="Tahoma" w:cs="Tahoma"/>
          <w:b/>
          <w:sz w:val="28"/>
          <w:szCs w:val="28"/>
          <w:lang w:val="ru-RU"/>
        </w:rPr>
        <w:t>–</w:t>
      </w:r>
      <w:r w:rsidR="003E1372" w:rsidRPr="00B47AD9">
        <w:rPr>
          <w:rFonts w:ascii="Tahoma" w:hAnsi="Tahoma" w:cs="Tahoma"/>
          <w:b/>
          <w:sz w:val="28"/>
          <w:szCs w:val="28"/>
        </w:rPr>
        <w:t>XII</w:t>
      </w:r>
      <w:r w:rsidRPr="00B47AD9">
        <w:rPr>
          <w:rFonts w:ascii="Tahoma" w:hAnsi="Tahoma" w:cs="Tahoma"/>
          <w:b/>
          <w:sz w:val="28"/>
          <w:szCs w:val="28"/>
          <w:lang w:val="sr-Cyrl-BA"/>
        </w:rPr>
        <w:t xml:space="preserve"> 201</w:t>
      </w:r>
      <w:r w:rsidRPr="00B47AD9">
        <w:rPr>
          <w:rFonts w:ascii="Tahoma" w:hAnsi="Tahoma" w:cs="Tahoma"/>
          <w:b/>
          <w:sz w:val="28"/>
          <w:szCs w:val="28"/>
        </w:rPr>
        <w:t>2</w:t>
      </w:r>
      <w:r w:rsidRPr="00B47AD9">
        <w:rPr>
          <w:rFonts w:ascii="Tahoma" w:hAnsi="Tahoma" w:cs="Tahoma"/>
          <w:b/>
          <w:sz w:val="28"/>
          <w:szCs w:val="28"/>
          <w:lang w:val="sr-Cyrl-BA"/>
        </w:rPr>
        <w:t>/</w:t>
      </w:r>
      <w:r w:rsidR="003E1372" w:rsidRPr="00B47AD9">
        <w:rPr>
          <w:rFonts w:ascii="Tahoma" w:hAnsi="Tahoma" w:cs="Tahoma"/>
          <w:b/>
          <w:sz w:val="28"/>
          <w:szCs w:val="28"/>
        </w:rPr>
        <w:t>I</w:t>
      </w:r>
      <w:r w:rsidR="003E1372" w:rsidRPr="00B47AD9">
        <w:rPr>
          <w:rFonts w:ascii="Tahoma" w:hAnsi="Tahoma" w:cs="Tahoma"/>
          <w:b/>
          <w:sz w:val="28"/>
          <w:szCs w:val="28"/>
          <w:lang w:val="ru-RU"/>
        </w:rPr>
        <w:t>–</w:t>
      </w:r>
      <w:r w:rsidR="003E1372" w:rsidRPr="00B47AD9">
        <w:rPr>
          <w:rFonts w:ascii="Tahoma" w:hAnsi="Tahoma" w:cs="Tahoma"/>
          <w:b/>
          <w:sz w:val="28"/>
          <w:szCs w:val="28"/>
        </w:rPr>
        <w:t>XII</w:t>
      </w:r>
      <w:r w:rsidRPr="00B47AD9">
        <w:rPr>
          <w:rFonts w:ascii="Tahoma" w:hAnsi="Tahoma" w:cs="Tahoma"/>
          <w:b/>
          <w:sz w:val="28"/>
          <w:szCs w:val="28"/>
          <w:lang w:val="sr-Cyrl-BA"/>
        </w:rPr>
        <w:t xml:space="preserve"> 201</w:t>
      </w:r>
      <w:r w:rsidRPr="00B47AD9">
        <w:rPr>
          <w:rFonts w:ascii="Tahoma" w:hAnsi="Tahoma" w:cs="Tahoma"/>
          <w:b/>
          <w:sz w:val="28"/>
          <w:szCs w:val="28"/>
        </w:rPr>
        <w:t>1</w:t>
      </w:r>
      <w:r w:rsidRPr="00B47AD9">
        <w:rPr>
          <w:rFonts w:ascii="Tahoma" w:hAnsi="Tahoma" w:cs="Tahoma"/>
          <w:b/>
          <w:sz w:val="28"/>
          <w:szCs w:val="28"/>
          <w:lang w:val="sr-Cyrl-BA"/>
        </w:rPr>
        <w:t xml:space="preserve">) </w:t>
      </w:r>
      <w:r w:rsidRPr="00B47AD9">
        <w:rPr>
          <w:rFonts w:ascii="Tahoma" w:hAnsi="Tahoma" w:cs="Tahoma"/>
          <w:b/>
          <w:sz w:val="28"/>
          <w:szCs w:val="28"/>
        </w:rPr>
        <w:t>2</w:t>
      </w:r>
      <w:r w:rsidRPr="00B47AD9">
        <w:rPr>
          <w:rFonts w:ascii="Tahoma" w:hAnsi="Tahoma" w:cs="Tahoma"/>
          <w:b/>
          <w:sz w:val="28"/>
          <w:szCs w:val="28"/>
          <w:lang w:val="sr-Cyrl-BA"/>
        </w:rPr>
        <w:t>,</w:t>
      </w:r>
      <w:r w:rsidRPr="00B47AD9">
        <w:rPr>
          <w:rFonts w:ascii="Tahoma" w:hAnsi="Tahoma" w:cs="Tahoma"/>
          <w:b/>
          <w:sz w:val="28"/>
          <w:szCs w:val="28"/>
        </w:rPr>
        <w:t>1</w:t>
      </w:r>
      <w:r w:rsidRPr="00B47AD9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1561A7" w:rsidRPr="00B47AD9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1F38C3" w:rsidRPr="00767D4D" w:rsidRDefault="001F38C3" w:rsidP="00A10314">
      <w:pPr>
        <w:spacing w:after="120"/>
        <w:jc w:val="both"/>
        <w:rPr>
          <w:rFonts w:ascii="Tahoma" w:hAnsi="Tahoma" w:cs="Tahoma"/>
          <w:lang w:val="sr-Cyrl-BA"/>
        </w:rPr>
      </w:pPr>
      <w:r w:rsidRPr="00767D4D">
        <w:rPr>
          <w:rFonts w:ascii="Tahoma" w:hAnsi="Tahoma" w:cs="Tahoma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децембру 201</w:t>
      </w:r>
      <w:r w:rsidRPr="00767D4D">
        <w:rPr>
          <w:rFonts w:ascii="Tahoma" w:hAnsi="Tahoma" w:cs="Tahoma"/>
        </w:rPr>
        <w:t>2</w:t>
      </w:r>
      <w:r w:rsidRPr="00767D4D">
        <w:rPr>
          <w:rFonts w:ascii="Tahoma" w:hAnsi="Tahoma" w:cs="Tahoma"/>
          <w:lang w:val="sr-Cyrl-BA"/>
        </w:rPr>
        <w:t>. године у односу на новембар 201</w:t>
      </w:r>
      <w:r w:rsidRPr="00767D4D">
        <w:rPr>
          <w:rFonts w:ascii="Tahoma" w:hAnsi="Tahoma" w:cs="Tahoma"/>
        </w:rPr>
        <w:t>2</w:t>
      </w:r>
      <w:r w:rsidRPr="00767D4D">
        <w:rPr>
          <w:rFonts w:ascii="Tahoma" w:hAnsi="Tahoma" w:cs="Tahoma"/>
          <w:lang w:val="sr-Cyrl-BA"/>
        </w:rPr>
        <w:t xml:space="preserve">. године, у просјеку су остале непромијењене. </w:t>
      </w:r>
    </w:p>
    <w:p w:rsidR="001F38C3" w:rsidRPr="00767D4D" w:rsidRDefault="001F38C3" w:rsidP="00A10314">
      <w:pPr>
        <w:spacing w:after="120"/>
        <w:jc w:val="both"/>
        <w:rPr>
          <w:rFonts w:ascii="Tahoma" w:hAnsi="Tahoma" w:cs="Tahoma"/>
          <w:i/>
          <w:lang w:val="sr-Cyrl-BA"/>
        </w:rPr>
      </w:pPr>
      <w:r w:rsidRPr="00767D4D">
        <w:rPr>
          <w:rFonts w:ascii="Tahoma" w:hAnsi="Tahoma" w:cs="Tahoma"/>
          <w:lang w:val="sr-Cyrl-BA"/>
        </w:rPr>
        <w:t xml:space="preserve">Ипак забиљежен је раст код 4 од укупно 12 одјељака и то у одјељцима </w:t>
      </w:r>
      <w:r w:rsidRPr="00767D4D">
        <w:rPr>
          <w:rFonts w:ascii="Tahoma" w:hAnsi="Tahoma" w:cs="Tahoma"/>
          <w:i/>
          <w:lang w:val="sr-Cyrl-BA"/>
        </w:rPr>
        <w:t xml:space="preserve">Храна и безалкохолна пића, Становање, Намјештај и покућство и </w:t>
      </w:r>
      <w:r w:rsidRPr="00767D4D">
        <w:rPr>
          <w:rFonts w:ascii="Tahoma" w:eastAsia="Calibri" w:hAnsi="Tahoma" w:cs="Tahoma"/>
          <w:i/>
          <w:lang w:val="sr-Cyrl-BA"/>
        </w:rPr>
        <w:t>Ресторани и хотели</w:t>
      </w:r>
      <w:r w:rsidRPr="00767D4D">
        <w:rPr>
          <w:rFonts w:ascii="Tahoma" w:hAnsi="Tahoma" w:cs="Tahoma"/>
          <w:i/>
          <w:lang w:val="sr-Cyrl-BA"/>
        </w:rPr>
        <w:t>.</w:t>
      </w:r>
    </w:p>
    <w:p w:rsidR="001F38C3" w:rsidRPr="00767D4D" w:rsidRDefault="001F38C3" w:rsidP="00A6584E">
      <w:pPr>
        <w:spacing w:after="120"/>
        <w:jc w:val="both"/>
        <w:rPr>
          <w:rFonts w:ascii="Tahoma" w:eastAsia="Calibri" w:hAnsi="Tahoma" w:cs="Tahoma"/>
          <w:lang w:val="sr-Cyrl-BA"/>
        </w:rPr>
      </w:pPr>
      <w:r w:rsidRPr="00767D4D">
        <w:rPr>
          <w:rFonts w:ascii="Tahoma" w:hAnsi="Tahoma" w:cs="Tahoma"/>
          <w:lang w:val="sr-Cyrl-BA"/>
        </w:rPr>
        <w:t xml:space="preserve">Највећи раст цијена у децембру забиљежен је у одјељку </w:t>
      </w:r>
      <w:r w:rsidRPr="00767D4D">
        <w:rPr>
          <w:rFonts w:ascii="Tahoma" w:hAnsi="Tahoma" w:cs="Tahoma"/>
          <w:i/>
          <w:lang w:val="sr-Cyrl-BA"/>
        </w:rPr>
        <w:t>Храна и безалкохолна пића</w:t>
      </w:r>
      <w:r w:rsidR="00A6584E" w:rsidRPr="00767D4D">
        <w:rPr>
          <w:rFonts w:ascii="Tahoma" w:hAnsi="Tahoma" w:cs="Tahoma"/>
          <w:i/>
          <w:lang w:val="sr-Cyrl-BA"/>
        </w:rPr>
        <w:t xml:space="preserve"> </w:t>
      </w:r>
      <w:r w:rsidR="00A6584E" w:rsidRPr="00767D4D">
        <w:rPr>
          <w:rFonts w:ascii="Tahoma" w:hAnsi="Tahoma" w:cs="Tahoma"/>
          <w:lang w:val="sr-Cyrl-BA"/>
        </w:rPr>
        <w:t>0,4%</w:t>
      </w:r>
      <w:r w:rsidRPr="00767D4D">
        <w:rPr>
          <w:rFonts w:ascii="Tahoma" w:hAnsi="Tahoma" w:cs="Tahoma"/>
          <w:lang w:val="sr-Cyrl-BA"/>
        </w:rPr>
        <w:t>.</w:t>
      </w:r>
      <w:r w:rsidR="00137550" w:rsidRPr="00767D4D">
        <w:rPr>
          <w:rFonts w:ascii="Tahoma" w:hAnsi="Tahoma" w:cs="Tahoma"/>
        </w:rPr>
        <w:t xml:space="preserve"> </w:t>
      </w:r>
      <w:r w:rsidRPr="00767D4D">
        <w:rPr>
          <w:rFonts w:ascii="Tahoma" w:hAnsi="Tahoma" w:cs="Tahoma"/>
          <w:lang w:val="sr-Cyrl-BA"/>
        </w:rPr>
        <w:t xml:space="preserve">Група </w:t>
      </w:r>
      <w:r w:rsidRPr="00767D4D">
        <w:rPr>
          <w:rFonts w:ascii="Tahoma" w:hAnsi="Tahoma" w:cs="Tahoma"/>
          <w:i/>
          <w:lang w:val="sr-Cyrl-BA"/>
        </w:rPr>
        <w:t xml:space="preserve">Храна </w:t>
      </w:r>
      <w:r w:rsidRPr="00767D4D">
        <w:rPr>
          <w:rFonts w:ascii="Tahoma" w:hAnsi="Tahoma" w:cs="Tahoma"/>
          <w:lang w:val="sr-Cyrl-BA"/>
        </w:rPr>
        <w:t>биљежи раст цијена 0,6% и то повећање цијена је забиљежено код поврћа 8,4%, биљне масти 5,9%, свињске масти 4,9%, риже 4,3%, сосова (сенф, кечап, мајонез) 2,9%, млијечних производа 1,5%, бијелог брашна 1,4%, кокошијих јаја 1,2%, маслаца и свјеж</w:t>
      </w:r>
      <w:bookmarkStart w:id="0" w:name="_GoBack"/>
      <w:bookmarkEnd w:id="0"/>
      <w:r w:rsidRPr="00767D4D">
        <w:rPr>
          <w:rFonts w:ascii="Tahoma" w:hAnsi="Tahoma" w:cs="Tahoma"/>
          <w:lang w:val="sr-Cyrl-BA"/>
        </w:rPr>
        <w:t xml:space="preserve">ег млијека 0,4%, пилетине 0,3%, тјестенине 0,1%. </w:t>
      </w:r>
      <w:r w:rsidRPr="00767D4D">
        <w:rPr>
          <w:rFonts w:ascii="Tahoma" w:eastAsia="Calibri" w:hAnsi="Tahoma" w:cs="Tahoma"/>
          <w:lang w:val="sr-Cyrl-BA"/>
        </w:rPr>
        <w:t xml:space="preserve">У групи </w:t>
      </w:r>
      <w:r w:rsidRPr="00767D4D">
        <w:rPr>
          <w:rFonts w:ascii="Tahoma" w:eastAsia="Calibri" w:hAnsi="Tahoma" w:cs="Tahoma"/>
          <w:i/>
          <w:lang w:val="sr-Cyrl-BA"/>
        </w:rPr>
        <w:t xml:space="preserve">Безалкохолних пића </w:t>
      </w:r>
      <w:r w:rsidRPr="00767D4D">
        <w:rPr>
          <w:rFonts w:ascii="Tahoma" w:eastAsia="Calibri" w:hAnsi="Tahoma" w:cs="Tahoma"/>
          <w:lang w:val="sr-Cyrl-BA"/>
        </w:rPr>
        <w:t>цијене су у просјеку ниже за 1,2% због ниже цијене кафе за 1,7%, какаа 1,6%, чаја 0,9% и минералне воде 0,8%.</w:t>
      </w:r>
    </w:p>
    <w:p w:rsidR="008B06BA" w:rsidRPr="00767D4D" w:rsidRDefault="001F38C3" w:rsidP="008B06BA">
      <w:pPr>
        <w:spacing w:after="120"/>
        <w:jc w:val="both"/>
        <w:rPr>
          <w:rFonts w:ascii="Tahoma" w:eastAsia="Calibri" w:hAnsi="Tahoma" w:cs="Tahoma"/>
          <w:lang w:val="sr-Cyrl-BA"/>
        </w:rPr>
      </w:pPr>
      <w:r w:rsidRPr="00767D4D">
        <w:rPr>
          <w:rFonts w:ascii="Tahoma" w:eastAsia="Calibri" w:hAnsi="Tahoma" w:cs="Tahoma"/>
          <w:lang w:val="sr-Cyrl-BA"/>
        </w:rPr>
        <w:t xml:space="preserve">У одјецима </w:t>
      </w:r>
      <w:r w:rsidRPr="00767D4D">
        <w:rPr>
          <w:rFonts w:ascii="Tahoma" w:hAnsi="Tahoma" w:cs="Tahoma"/>
          <w:i/>
          <w:lang w:val="sr-Cyrl-BA"/>
        </w:rPr>
        <w:t xml:space="preserve">Становање, Намјештај и покућство и </w:t>
      </w:r>
      <w:r w:rsidRPr="00767D4D">
        <w:rPr>
          <w:rFonts w:ascii="Tahoma" w:eastAsia="Calibri" w:hAnsi="Tahoma" w:cs="Tahoma"/>
          <w:i/>
          <w:lang w:val="sr-Cyrl-BA"/>
        </w:rPr>
        <w:t xml:space="preserve">Ресторани и хотели </w:t>
      </w:r>
      <w:r w:rsidRPr="00767D4D">
        <w:rPr>
          <w:rFonts w:ascii="Tahoma" w:eastAsia="Calibri" w:hAnsi="Tahoma" w:cs="Tahoma"/>
          <w:lang w:val="sr-Cyrl-BA"/>
        </w:rPr>
        <w:t>цијене су више за 0,1%.</w:t>
      </w:r>
    </w:p>
    <w:p w:rsidR="001F38C3" w:rsidRPr="00767D4D" w:rsidRDefault="001F38C3" w:rsidP="001F38C3">
      <w:pPr>
        <w:spacing w:after="120"/>
        <w:jc w:val="both"/>
        <w:rPr>
          <w:rFonts w:ascii="Tahoma" w:hAnsi="Tahoma" w:cs="Tahoma"/>
          <w:lang w:val="sr-Cyrl-BA"/>
        </w:rPr>
      </w:pPr>
      <w:r w:rsidRPr="00767D4D">
        <w:rPr>
          <w:rFonts w:ascii="Tahoma" w:hAnsi="Tahoma" w:cs="Tahoma"/>
          <w:lang w:val="sr-Cyrl-BA"/>
        </w:rPr>
        <w:t>У одјељку</w:t>
      </w:r>
      <w:r w:rsidRPr="00767D4D">
        <w:rPr>
          <w:rFonts w:ascii="Tahoma" w:hAnsi="Tahoma" w:cs="Tahoma"/>
          <w:i/>
          <w:lang w:val="sr-Cyrl-BA"/>
        </w:rPr>
        <w:t xml:space="preserve"> Становање</w:t>
      </w:r>
      <w:r w:rsidRPr="00767D4D">
        <w:rPr>
          <w:rFonts w:ascii="Tahoma" w:hAnsi="Tahoma" w:cs="Tahoma"/>
          <w:lang w:val="sr-Cyrl-BA"/>
        </w:rPr>
        <w:t xml:space="preserve"> забиљежен је раст цијена усљед повећања цијене воде и канализације у Приједору.</w:t>
      </w:r>
    </w:p>
    <w:p w:rsidR="001F38C3" w:rsidRPr="00767D4D" w:rsidRDefault="001F38C3" w:rsidP="001F38C3">
      <w:pPr>
        <w:spacing w:after="120"/>
        <w:jc w:val="both"/>
        <w:rPr>
          <w:rFonts w:ascii="Tahoma" w:hAnsi="Tahoma" w:cs="Tahoma"/>
          <w:lang w:val="sr-Cyrl-BA"/>
        </w:rPr>
      </w:pPr>
      <w:r w:rsidRPr="00767D4D">
        <w:rPr>
          <w:rFonts w:ascii="Tahoma" w:eastAsia="Calibri" w:hAnsi="Tahoma" w:cs="Tahoma"/>
          <w:lang w:val="sr-Cyrl-BA"/>
        </w:rPr>
        <w:t>Одјељак</w:t>
      </w:r>
      <w:r w:rsidRPr="00767D4D">
        <w:rPr>
          <w:rFonts w:ascii="Tahoma" w:hAnsi="Tahoma" w:cs="Tahoma"/>
          <w:i/>
          <w:lang w:val="sr-Cyrl-BA"/>
        </w:rPr>
        <w:t xml:space="preserve"> Намјештај и покућство</w:t>
      </w:r>
      <w:r w:rsidRPr="00767D4D">
        <w:rPr>
          <w:rFonts w:ascii="Tahoma" w:eastAsia="Calibri" w:hAnsi="Tahoma" w:cs="Tahoma"/>
          <w:lang w:val="sr-Cyrl-BA"/>
        </w:rPr>
        <w:t xml:space="preserve"> биљежи раст цијена због виших цијена </w:t>
      </w:r>
      <w:r w:rsidRPr="00767D4D">
        <w:rPr>
          <w:rFonts w:ascii="Tahoma" w:hAnsi="Tahoma" w:cs="Tahoma"/>
          <w:lang w:val="sr-Cyrl-BA"/>
        </w:rPr>
        <w:t>производа за чишћење и одржавање куће за 1,2%.</w:t>
      </w:r>
    </w:p>
    <w:p w:rsidR="001F38C3" w:rsidRPr="00767D4D" w:rsidRDefault="001F38C3" w:rsidP="001F38C3">
      <w:pPr>
        <w:spacing w:after="120"/>
        <w:jc w:val="both"/>
        <w:rPr>
          <w:rFonts w:ascii="Tahoma" w:hAnsi="Tahoma" w:cs="Tahoma"/>
          <w:lang w:val="sr-Cyrl-BA"/>
        </w:rPr>
      </w:pPr>
      <w:r w:rsidRPr="00767D4D">
        <w:rPr>
          <w:rFonts w:ascii="Tahoma" w:eastAsia="Calibri" w:hAnsi="Tahoma" w:cs="Tahoma"/>
          <w:lang w:val="sr-Cyrl-BA"/>
        </w:rPr>
        <w:t>Одјељак</w:t>
      </w:r>
      <w:r w:rsidRPr="00767D4D">
        <w:rPr>
          <w:rFonts w:ascii="Tahoma" w:eastAsia="Calibri" w:hAnsi="Tahoma" w:cs="Tahoma"/>
          <w:i/>
          <w:lang w:val="sr-Cyrl-BA"/>
        </w:rPr>
        <w:t xml:space="preserve"> Ресторани и хотели</w:t>
      </w:r>
      <w:r w:rsidRPr="00767D4D">
        <w:rPr>
          <w:rFonts w:ascii="Tahoma" w:hAnsi="Tahoma" w:cs="Tahoma"/>
          <w:i/>
          <w:lang w:val="sr-Cyrl-BA"/>
        </w:rPr>
        <w:t xml:space="preserve"> </w:t>
      </w:r>
      <w:r w:rsidRPr="00767D4D">
        <w:rPr>
          <w:rFonts w:ascii="Tahoma" w:eastAsia="Calibri" w:hAnsi="Tahoma" w:cs="Tahoma"/>
          <w:lang w:val="sr-Cyrl-BA"/>
        </w:rPr>
        <w:t>биљежи раст цијена због виших цијена јела, пића и напитака у кафићима и баровима за 0,2%.</w:t>
      </w:r>
    </w:p>
    <w:p w:rsidR="001F38C3" w:rsidRPr="00767D4D" w:rsidRDefault="001F38C3" w:rsidP="00137550">
      <w:pPr>
        <w:spacing w:after="120"/>
        <w:jc w:val="both"/>
        <w:rPr>
          <w:rFonts w:ascii="Tahoma" w:eastAsia="Calibri" w:hAnsi="Tahoma" w:cs="Tahoma"/>
          <w:lang w:val="sr-Cyrl-BA"/>
        </w:rPr>
      </w:pPr>
      <w:r w:rsidRPr="00767D4D">
        <w:rPr>
          <w:rFonts w:ascii="Tahoma" w:eastAsia="Calibri" w:hAnsi="Tahoma" w:cs="Tahoma"/>
          <w:lang w:val="sr-Cyrl-BA"/>
        </w:rPr>
        <w:t>У одјељцима Здравство, Комуникације и Образовање  цијене су у просјеку остале исте.</w:t>
      </w:r>
    </w:p>
    <w:p w:rsidR="001F38C3" w:rsidRPr="00767D4D" w:rsidRDefault="001F38C3" w:rsidP="008B06BA">
      <w:pPr>
        <w:spacing w:after="120"/>
        <w:jc w:val="both"/>
        <w:rPr>
          <w:rFonts w:ascii="Calibri" w:hAnsi="Calibri" w:cs="Arial"/>
          <w:lang w:val="sr-Cyrl-BA" w:eastAsia="sr-Latn-BA"/>
        </w:rPr>
      </w:pPr>
      <w:r w:rsidRPr="00767D4D">
        <w:rPr>
          <w:rFonts w:ascii="Tahoma" w:hAnsi="Tahoma" w:cs="Tahoma"/>
          <w:lang w:val="sr-Cyrl-BA"/>
        </w:rPr>
        <w:t>У одјељку</w:t>
      </w:r>
      <w:r w:rsidRPr="00767D4D">
        <w:rPr>
          <w:rFonts w:ascii="Tahoma" w:hAnsi="Tahoma" w:cs="Tahoma"/>
          <w:i/>
          <w:lang w:val="sr-Cyrl-BA"/>
        </w:rPr>
        <w:t xml:space="preserve"> Остала добра и услуге </w:t>
      </w:r>
      <w:r w:rsidRPr="00767D4D">
        <w:rPr>
          <w:rFonts w:ascii="Tahoma" w:hAnsi="Tahoma" w:cs="Tahoma"/>
          <w:lang w:val="sr-Cyrl-BA"/>
        </w:rPr>
        <w:t xml:space="preserve">забиљежен је пад цијена 0,1% усљед нижих цијена </w:t>
      </w:r>
      <w:r w:rsidRPr="00767D4D">
        <w:rPr>
          <w:rFonts w:ascii="Tahoma" w:hAnsi="Tahoma" w:cs="Tahoma"/>
          <w:lang w:val="sr-Cyrl-BA" w:eastAsia="sr-Latn-BA"/>
        </w:rPr>
        <w:t>производа за личну хигијену (тоалетни папир, хигијенски улошци, пелене за једнократну употребу и сл.) за 0,6%.</w:t>
      </w:r>
    </w:p>
    <w:p w:rsidR="001F38C3" w:rsidRPr="00767D4D" w:rsidRDefault="001F38C3" w:rsidP="008B06BA">
      <w:pPr>
        <w:spacing w:after="120"/>
        <w:jc w:val="both"/>
        <w:rPr>
          <w:rFonts w:ascii="Calibri" w:hAnsi="Calibri" w:cs="Arial"/>
          <w:lang w:eastAsia="sr-Latn-BA"/>
        </w:rPr>
      </w:pPr>
      <w:r w:rsidRPr="00767D4D">
        <w:rPr>
          <w:rFonts w:ascii="Tahoma" w:hAnsi="Tahoma" w:cs="Tahoma"/>
          <w:lang w:val="sr-Cyrl-BA"/>
        </w:rPr>
        <w:t>У одјељку</w:t>
      </w:r>
      <w:r w:rsidRPr="00767D4D">
        <w:rPr>
          <w:rFonts w:ascii="Tahoma" w:hAnsi="Tahoma" w:cs="Tahoma"/>
          <w:i/>
          <w:lang w:val="sr-Cyrl-BA"/>
        </w:rPr>
        <w:t xml:space="preserve"> Алкохолна пића и дуван </w:t>
      </w:r>
      <w:r w:rsidRPr="00767D4D">
        <w:rPr>
          <w:rFonts w:ascii="Tahoma" w:hAnsi="Tahoma" w:cs="Tahoma"/>
          <w:lang w:val="sr-Cyrl-BA"/>
        </w:rPr>
        <w:t>забиљежен је пад цијена 0,2% због нижих цијена жестоких пића за 1,4% и пива за 0,8%.</w:t>
      </w:r>
    </w:p>
    <w:p w:rsidR="001F38C3" w:rsidRPr="00767D4D" w:rsidRDefault="001F38C3" w:rsidP="00137550">
      <w:pPr>
        <w:spacing w:after="120"/>
        <w:jc w:val="both"/>
        <w:rPr>
          <w:rFonts w:ascii="Tahoma" w:hAnsi="Tahoma" w:cs="Tahoma"/>
          <w:lang w:val="sr-Cyrl-BA"/>
        </w:rPr>
      </w:pPr>
      <w:r w:rsidRPr="00767D4D">
        <w:rPr>
          <w:rFonts w:ascii="Tahoma" w:hAnsi="Tahoma" w:cs="Tahoma"/>
          <w:lang w:val="sr-Cyrl-BA"/>
        </w:rPr>
        <w:t xml:space="preserve">И у децембру је дошло до појефтињења свих врста горива за 0,9% што је узроковало пад цијена у одјељку </w:t>
      </w:r>
      <w:r w:rsidRPr="00767D4D">
        <w:rPr>
          <w:rFonts w:ascii="Tahoma" w:hAnsi="Tahoma" w:cs="Tahoma"/>
          <w:i/>
          <w:lang w:val="sr-Cyrl-BA"/>
        </w:rPr>
        <w:t>Превоз</w:t>
      </w:r>
      <w:r w:rsidRPr="00767D4D">
        <w:rPr>
          <w:rFonts w:ascii="Tahoma" w:hAnsi="Tahoma" w:cs="Tahoma"/>
          <w:lang w:val="sr-Cyrl-BA"/>
        </w:rPr>
        <w:t xml:space="preserve"> за 0,5%.</w:t>
      </w:r>
    </w:p>
    <w:p w:rsidR="001F38C3" w:rsidRPr="00767D4D" w:rsidRDefault="001F38C3" w:rsidP="00137550">
      <w:pPr>
        <w:spacing w:after="120"/>
        <w:jc w:val="both"/>
        <w:rPr>
          <w:rFonts w:ascii="Tahoma" w:hAnsi="Tahoma" w:cs="Tahoma"/>
          <w:lang w:val="sr-Cyrl-BA"/>
        </w:rPr>
      </w:pPr>
      <w:r w:rsidRPr="00767D4D">
        <w:rPr>
          <w:rFonts w:ascii="Tahoma" w:hAnsi="Tahoma" w:cs="Tahoma"/>
          <w:lang w:val="sr-Cyrl-BA"/>
        </w:rPr>
        <w:t xml:space="preserve">Највећи пад цијена био је у одјељку </w:t>
      </w:r>
      <w:r w:rsidRPr="00767D4D">
        <w:rPr>
          <w:rFonts w:ascii="Tahoma" w:hAnsi="Tahoma" w:cs="Tahoma"/>
          <w:i/>
          <w:lang w:val="sr-Cyrl-BA"/>
        </w:rPr>
        <w:t>Одјећа и обућа</w:t>
      </w:r>
      <w:r w:rsidRPr="00767D4D">
        <w:rPr>
          <w:rFonts w:ascii="Tahoma" w:hAnsi="Tahoma" w:cs="Tahoma"/>
          <w:lang w:val="sr-Cyrl-BA"/>
        </w:rPr>
        <w:t xml:space="preserve"> за 0,6% због сезонских снижења одјеће и обуће.</w:t>
      </w:r>
    </w:p>
    <w:p w:rsidR="001561A7" w:rsidRPr="00767D4D" w:rsidRDefault="001561A7" w:rsidP="00137550">
      <w:pPr>
        <w:spacing w:after="120"/>
        <w:jc w:val="both"/>
        <w:rPr>
          <w:rFonts w:ascii="Tahoma" w:hAnsi="Tahoma" w:cs="Tahoma"/>
          <w:lang w:val="sr-Cyrl-BA"/>
        </w:rPr>
      </w:pPr>
      <w:r w:rsidRPr="00767D4D">
        <w:rPr>
          <w:rFonts w:ascii="Tahoma" w:hAnsi="Tahoma" w:cs="Tahoma"/>
          <w:lang w:val="sr-Cyrl-BA"/>
        </w:rPr>
        <w:t>Цијене производа и услуга</w:t>
      </w:r>
      <w:r w:rsidRPr="00767D4D">
        <w:rPr>
          <w:rFonts w:ascii="Tahoma" w:hAnsi="Tahoma" w:cs="Tahoma"/>
          <w:lang w:val="sr-Cyrl-CS"/>
        </w:rPr>
        <w:t xml:space="preserve">, </w:t>
      </w:r>
      <w:r w:rsidRPr="00767D4D">
        <w:rPr>
          <w:rFonts w:ascii="Tahoma" w:hAnsi="Tahoma" w:cs="Tahoma"/>
          <w:lang w:val="sr-Cyrl-BA"/>
        </w:rPr>
        <w:t>који се користе за личну потрошњу</w:t>
      </w:r>
      <w:r w:rsidRPr="00767D4D">
        <w:rPr>
          <w:rFonts w:ascii="Tahoma" w:hAnsi="Tahoma" w:cs="Tahoma"/>
          <w:lang w:val="sr-Cyrl-CS"/>
        </w:rPr>
        <w:t xml:space="preserve"> </w:t>
      </w:r>
      <w:r w:rsidRPr="00767D4D">
        <w:rPr>
          <w:rFonts w:ascii="Tahoma" w:hAnsi="Tahoma" w:cs="Tahoma"/>
          <w:lang w:val="sr-Cyrl-BA"/>
        </w:rPr>
        <w:t>у</w:t>
      </w:r>
      <w:r w:rsidRPr="00767D4D">
        <w:rPr>
          <w:rFonts w:ascii="Tahoma" w:hAnsi="Tahoma" w:cs="Tahoma"/>
          <w:lang w:val="sr-Cyrl-CS"/>
        </w:rPr>
        <w:t xml:space="preserve"> </w:t>
      </w:r>
      <w:r w:rsidRPr="00767D4D">
        <w:rPr>
          <w:rFonts w:ascii="Tahoma" w:hAnsi="Tahoma" w:cs="Tahoma"/>
          <w:lang w:val="sr-Cyrl-BA"/>
        </w:rPr>
        <w:t>Републици Српској,</w:t>
      </w:r>
      <w:r w:rsidRPr="00767D4D">
        <w:rPr>
          <w:rFonts w:ascii="Tahoma" w:hAnsi="Tahoma" w:cs="Tahoma"/>
          <w:lang w:val="sr-Cyrl-CS"/>
        </w:rPr>
        <w:t xml:space="preserve"> </w:t>
      </w:r>
      <w:r w:rsidRPr="00767D4D">
        <w:rPr>
          <w:rFonts w:ascii="Tahoma" w:hAnsi="Tahoma" w:cs="Tahoma"/>
          <w:lang w:val="sr-Cyrl-BA"/>
        </w:rPr>
        <w:t>у</w:t>
      </w:r>
      <w:r w:rsidRPr="00767D4D">
        <w:rPr>
          <w:rFonts w:ascii="Tahoma" w:hAnsi="Tahoma" w:cs="Tahoma"/>
          <w:lang w:val="sr-Cyrl-CS"/>
        </w:rPr>
        <w:t xml:space="preserve"> </w:t>
      </w:r>
      <w:r w:rsidR="001F38C3" w:rsidRPr="00767D4D">
        <w:rPr>
          <w:rFonts w:ascii="Tahoma" w:hAnsi="Tahoma" w:cs="Tahoma"/>
          <w:lang w:val="sr-Cyrl-BA"/>
        </w:rPr>
        <w:t>децембру</w:t>
      </w:r>
      <w:r w:rsidR="003C7538" w:rsidRPr="00767D4D">
        <w:rPr>
          <w:rFonts w:ascii="Tahoma" w:hAnsi="Tahoma" w:cs="Tahoma"/>
          <w:lang w:val="sr-Cyrl-CS"/>
        </w:rPr>
        <w:t xml:space="preserve"> 2012</w:t>
      </w:r>
      <w:r w:rsidRPr="00767D4D">
        <w:rPr>
          <w:rFonts w:ascii="Tahoma" w:hAnsi="Tahoma" w:cs="Tahoma"/>
          <w:lang w:val="sr-Cyrl-CS"/>
        </w:rPr>
        <w:t xml:space="preserve">. </w:t>
      </w:r>
      <w:r w:rsidRPr="00767D4D">
        <w:rPr>
          <w:rFonts w:ascii="Tahoma" w:hAnsi="Tahoma" w:cs="Tahoma"/>
          <w:lang w:val="sr-Cyrl-BA"/>
        </w:rPr>
        <w:t>године</w:t>
      </w:r>
      <w:r w:rsidRPr="00767D4D">
        <w:rPr>
          <w:rFonts w:ascii="Tahoma" w:hAnsi="Tahoma" w:cs="Tahoma"/>
          <w:lang w:val="sr-Cyrl-CS"/>
        </w:rPr>
        <w:t xml:space="preserve"> </w:t>
      </w:r>
      <w:r w:rsidRPr="00767D4D">
        <w:rPr>
          <w:rFonts w:ascii="Tahoma" w:hAnsi="Tahoma" w:cs="Tahoma"/>
          <w:lang w:val="sr-Cyrl-BA"/>
        </w:rPr>
        <w:t>у односу на исти мјесец</w:t>
      </w:r>
      <w:r w:rsidR="003C7538" w:rsidRPr="00767D4D">
        <w:rPr>
          <w:rFonts w:ascii="Tahoma" w:hAnsi="Tahoma" w:cs="Tahoma"/>
          <w:lang w:val="sr-Cyrl-CS"/>
        </w:rPr>
        <w:t xml:space="preserve"> 2011</w:t>
      </w:r>
      <w:r w:rsidRPr="00767D4D">
        <w:rPr>
          <w:rFonts w:ascii="Tahoma" w:hAnsi="Tahoma" w:cs="Tahoma"/>
          <w:lang w:val="sr-Cyrl-CS"/>
        </w:rPr>
        <w:t xml:space="preserve">. </w:t>
      </w:r>
      <w:r w:rsidRPr="00767D4D">
        <w:rPr>
          <w:rFonts w:ascii="Tahoma" w:hAnsi="Tahoma" w:cs="Tahoma"/>
          <w:lang w:val="sr-Cyrl-BA"/>
        </w:rPr>
        <w:t>године,</w:t>
      </w:r>
      <w:r w:rsidRPr="00767D4D">
        <w:rPr>
          <w:rFonts w:ascii="Tahoma" w:hAnsi="Tahoma" w:cs="Tahoma"/>
          <w:lang w:val="sr-Cyrl-CS"/>
        </w:rPr>
        <w:t xml:space="preserve"> </w:t>
      </w:r>
      <w:r w:rsidRPr="00767D4D">
        <w:rPr>
          <w:rFonts w:ascii="Tahoma" w:hAnsi="Tahoma" w:cs="Tahoma"/>
          <w:lang w:val="sr-Cyrl-BA"/>
        </w:rPr>
        <w:t>више су у просјеку</w:t>
      </w:r>
      <w:r w:rsidRPr="00767D4D">
        <w:rPr>
          <w:rFonts w:ascii="Tahoma" w:hAnsi="Tahoma" w:cs="Tahoma"/>
          <w:lang w:val="sr-Cyrl-CS"/>
        </w:rPr>
        <w:t xml:space="preserve"> </w:t>
      </w:r>
      <w:r w:rsidRPr="00767D4D">
        <w:rPr>
          <w:rFonts w:ascii="Tahoma" w:hAnsi="Tahoma" w:cs="Tahoma"/>
          <w:lang w:val="sr-Cyrl-BA"/>
        </w:rPr>
        <w:t>за</w:t>
      </w:r>
      <w:r w:rsidR="00BB4227" w:rsidRPr="00767D4D">
        <w:rPr>
          <w:rFonts w:ascii="Tahoma" w:hAnsi="Tahoma" w:cs="Tahoma"/>
          <w:lang w:val="sr-Cyrl-CS"/>
        </w:rPr>
        <w:t xml:space="preserve"> </w:t>
      </w:r>
      <w:r w:rsidR="009728E0" w:rsidRPr="00767D4D">
        <w:rPr>
          <w:rFonts w:ascii="Tahoma" w:hAnsi="Tahoma" w:cs="Tahoma"/>
          <w:lang w:val="sr-Cyrl-CS"/>
        </w:rPr>
        <w:t>2</w:t>
      </w:r>
      <w:r w:rsidRPr="00767D4D">
        <w:rPr>
          <w:rFonts w:ascii="Tahoma" w:hAnsi="Tahoma" w:cs="Tahoma"/>
          <w:lang w:val="sr-Cyrl-CS"/>
        </w:rPr>
        <w:t>,</w:t>
      </w:r>
      <w:r w:rsidR="00E96567" w:rsidRPr="00767D4D">
        <w:rPr>
          <w:rFonts w:ascii="Tahoma" w:hAnsi="Tahoma" w:cs="Tahoma"/>
          <w:lang w:val="sr-Cyrl-CS"/>
        </w:rPr>
        <w:t>0</w:t>
      </w:r>
      <w:r w:rsidRPr="00767D4D">
        <w:rPr>
          <w:rFonts w:ascii="Tahoma" w:hAnsi="Tahoma" w:cs="Tahoma"/>
          <w:lang w:val="sr-Cyrl-CS"/>
        </w:rPr>
        <w:t>%.</w:t>
      </w:r>
    </w:p>
    <w:p w:rsidR="004A08B4" w:rsidRPr="00767D4D" w:rsidRDefault="001561A7" w:rsidP="00094E6E">
      <w:pPr>
        <w:jc w:val="both"/>
        <w:rPr>
          <w:rFonts w:ascii="Tahoma" w:hAnsi="Tahoma" w:cs="Tahoma"/>
          <w:b/>
          <w:lang w:val="ru-RU"/>
        </w:rPr>
      </w:pPr>
      <w:r w:rsidRPr="00767D4D">
        <w:rPr>
          <w:rFonts w:ascii="Tahoma" w:hAnsi="Tahoma" w:cs="Tahoma"/>
          <w:lang w:val="sr-Cyrl-BA"/>
        </w:rPr>
        <w:t xml:space="preserve">Посматрано по одјељцима намјене потрошње, у </w:t>
      </w:r>
      <w:r w:rsidR="001F38C3" w:rsidRPr="00767D4D">
        <w:rPr>
          <w:rFonts w:ascii="Tahoma" w:hAnsi="Tahoma" w:cs="Tahoma"/>
          <w:lang w:val="sr-Cyrl-BA"/>
        </w:rPr>
        <w:t>деце</w:t>
      </w:r>
      <w:r w:rsidR="00E96567" w:rsidRPr="00767D4D">
        <w:rPr>
          <w:rFonts w:ascii="Tahoma" w:hAnsi="Tahoma" w:cs="Tahoma"/>
          <w:lang w:val="sr-Cyrl-BA"/>
        </w:rPr>
        <w:t>мбру</w:t>
      </w:r>
      <w:r w:rsidR="00F463FE" w:rsidRPr="00767D4D">
        <w:rPr>
          <w:rFonts w:ascii="Tahoma" w:hAnsi="Tahoma" w:cs="Tahoma"/>
          <w:lang w:val="sr-Cyrl-BA"/>
        </w:rPr>
        <w:t xml:space="preserve"> 2012</w:t>
      </w:r>
      <w:r w:rsidRPr="00767D4D">
        <w:rPr>
          <w:rFonts w:ascii="Tahoma" w:hAnsi="Tahoma" w:cs="Tahoma"/>
          <w:lang w:val="sr-Cyrl-BA"/>
        </w:rPr>
        <w:t xml:space="preserve">. године у односу на </w:t>
      </w:r>
      <w:r w:rsidR="001F38C3" w:rsidRPr="00767D4D">
        <w:rPr>
          <w:rFonts w:ascii="Tahoma" w:hAnsi="Tahoma" w:cs="Tahoma"/>
          <w:lang w:val="sr-Cyrl-BA"/>
        </w:rPr>
        <w:t>дец</w:t>
      </w:r>
      <w:r w:rsidR="00E96567" w:rsidRPr="00767D4D">
        <w:rPr>
          <w:rFonts w:ascii="Tahoma" w:hAnsi="Tahoma" w:cs="Tahoma"/>
          <w:lang w:val="sr-Cyrl-BA"/>
        </w:rPr>
        <w:t>ембар</w:t>
      </w:r>
      <w:r w:rsidR="00166C85" w:rsidRPr="00767D4D">
        <w:rPr>
          <w:rFonts w:ascii="Tahoma" w:hAnsi="Tahoma" w:cs="Tahoma"/>
          <w:lang w:val="sr-Cyrl-BA"/>
        </w:rPr>
        <w:t xml:space="preserve"> </w:t>
      </w:r>
      <w:r w:rsidR="00F463FE" w:rsidRPr="00767D4D">
        <w:rPr>
          <w:rFonts w:ascii="Tahoma" w:hAnsi="Tahoma" w:cs="Tahoma"/>
          <w:lang w:val="sr-Cyrl-BA"/>
        </w:rPr>
        <w:t>2011</w:t>
      </w:r>
      <w:r w:rsidRPr="00767D4D">
        <w:rPr>
          <w:rFonts w:ascii="Tahoma" w:hAnsi="Tahoma" w:cs="Tahoma"/>
          <w:lang w:val="sr-Cyrl-BA"/>
        </w:rPr>
        <w:t>. год</w:t>
      </w:r>
      <w:r w:rsidR="00E96567" w:rsidRPr="00767D4D">
        <w:rPr>
          <w:rFonts w:ascii="Tahoma" w:hAnsi="Tahoma" w:cs="Tahoma"/>
          <w:lang w:val="sr-Cyrl-BA"/>
        </w:rPr>
        <w:t xml:space="preserve">ине, највиши раст забиљежен је </w:t>
      </w:r>
      <w:r w:rsidRPr="00767D4D">
        <w:rPr>
          <w:rFonts w:ascii="Tahoma" w:hAnsi="Tahoma" w:cs="Tahoma"/>
          <w:lang w:val="sr-Cyrl-BA"/>
        </w:rPr>
        <w:t>код одјељка</w:t>
      </w:r>
      <w:r w:rsidR="00F463FE" w:rsidRPr="00767D4D">
        <w:rPr>
          <w:rFonts w:ascii="Tahoma" w:hAnsi="Tahoma" w:cs="Tahoma"/>
          <w:i/>
          <w:lang w:val="sr-Cyrl-BA"/>
        </w:rPr>
        <w:t xml:space="preserve"> Алкохолна пића и дуван</w:t>
      </w:r>
      <w:r w:rsidR="00E54110" w:rsidRPr="00767D4D">
        <w:rPr>
          <w:rFonts w:ascii="Tahoma" w:hAnsi="Tahoma" w:cs="Tahoma"/>
          <w:lang w:val="sr-Cyrl-BA"/>
        </w:rPr>
        <w:t xml:space="preserve"> за 9</w:t>
      </w:r>
      <w:r w:rsidR="00166C85" w:rsidRPr="00767D4D">
        <w:rPr>
          <w:rFonts w:ascii="Tahoma" w:hAnsi="Tahoma" w:cs="Tahoma"/>
          <w:lang w:val="sr-Cyrl-BA"/>
        </w:rPr>
        <w:t>,</w:t>
      </w:r>
      <w:r w:rsidR="001F38C3" w:rsidRPr="00767D4D">
        <w:rPr>
          <w:rFonts w:ascii="Tahoma" w:hAnsi="Tahoma" w:cs="Tahoma"/>
          <w:lang w:val="sr-Cyrl-BA"/>
        </w:rPr>
        <w:t>6</w:t>
      </w:r>
      <w:r w:rsidR="00F463FE" w:rsidRPr="00767D4D">
        <w:rPr>
          <w:rFonts w:ascii="Tahoma" w:hAnsi="Tahoma" w:cs="Tahoma"/>
          <w:lang w:val="sr-Cyrl-BA"/>
        </w:rPr>
        <w:t>%,</w:t>
      </w:r>
      <w:r w:rsidR="00F463FE" w:rsidRPr="00767D4D">
        <w:rPr>
          <w:rFonts w:ascii="Tahoma" w:hAnsi="Tahoma" w:cs="Tahoma"/>
          <w:i/>
          <w:lang w:val="sr-Cyrl-BA"/>
        </w:rPr>
        <w:t xml:space="preserve"> </w:t>
      </w:r>
      <w:r w:rsidRPr="00767D4D">
        <w:rPr>
          <w:rFonts w:ascii="Tahoma" w:hAnsi="Tahoma" w:cs="Tahoma"/>
          <w:lang w:val="sr-Cyrl-BA"/>
        </w:rPr>
        <w:t>затим слиједе индекси одјељака:</w:t>
      </w:r>
      <w:r w:rsidR="00457F03" w:rsidRPr="00767D4D">
        <w:rPr>
          <w:rFonts w:ascii="Tahoma" w:hAnsi="Tahoma" w:cs="Tahoma"/>
          <w:i/>
          <w:lang w:val="sr-Cyrl-BA"/>
        </w:rPr>
        <w:t xml:space="preserve"> </w:t>
      </w:r>
      <w:r w:rsidR="00F463FE" w:rsidRPr="00767D4D">
        <w:rPr>
          <w:rFonts w:ascii="Tahoma" w:hAnsi="Tahoma" w:cs="Tahoma"/>
          <w:i/>
          <w:lang w:val="sr-Cyrl-BA"/>
        </w:rPr>
        <w:t>Комуникације</w:t>
      </w:r>
      <w:r w:rsidR="00F463FE" w:rsidRPr="00767D4D">
        <w:rPr>
          <w:rFonts w:ascii="Tahoma" w:hAnsi="Tahoma" w:cs="Tahoma"/>
          <w:lang w:val="sr-Cyrl-BA"/>
        </w:rPr>
        <w:t xml:space="preserve"> за 4,</w:t>
      </w:r>
      <w:r w:rsidR="00457F03" w:rsidRPr="00767D4D">
        <w:rPr>
          <w:rFonts w:ascii="Tahoma" w:hAnsi="Tahoma" w:cs="Tahoma"/>
          <w:lang w:val="sr-Cyrl-BA"/>
        </w:rPr>
        <w:t>3</w:t>
      </w:r>
      <w:r w:rsidR="00F463FE" w:rsidRPr="00767D4D">
        <w:rPr>
          <w:rFonts w:ascii="Tahoma" w:hAnsi="Tahoma" w:cs="Tahoma"/>
          <w:lang w:val="sr-Cyrl-BA"/>
        </w:rPr>
        <w:t>%,</w:t>
      </w:r>
      <w:r w:rsidR="00E96567" w:rsidRPr="00767D4D">
        <w:rPr>
          <w:rFonts w:ascii="Tahoma" w:hAnsi="Tahoma" w:cs="Tahoma"/>
          <w:i/>
          <w:lang w:val="sr-Cyrl-BA"/>
        </w:rPr>
        <w:t xml:space="preserve"> Превоз</w:t>
      </w:r>
      <w:r w:rsidR="00E96567" w:rsidRPr="00767D4D">
        <w:rPr>
          <w:rFonts w:ascii="Tahoma" w:hAnsi="Tahoma" w:cs="Tahoma"/>
          <w:lang w:val="sr-Cyrl-BA"/>
        </w:rPr>
        <w:t xml:space="preserve"> </w:t>
      </w:r>
      <w:r w:rsidR="00A6584E" w:rsidRPr="00767D4D">
        <w:rPr>
          <w:rFonts w:ascii="Tahoma" w:hAnsi="Tahoma" w:cs="Tahoma"/>
          <w:lang w:val="sr-Cyrl-BA"/>
        </w:rPr>
        <w:t xml:space="preserve"> </w:t>
      </w:r>
      <w:r w:rsidR="00E96567" w:rsidRPr="00767D4D">
        <w:rPr>
          <w:rFonts w:ascii="Tahoma" w:hAnsi="Tahoma" w:cs="Tahoma"/>
          <w:lang w:val="sr-Cyrl-BA"/>
        </w:rPr>
        <w:t>за 3,</w:t>
      </w:r>
      <w:r w:rsidR="001F38C3" w:rsidRPr="00767D4D">
        <w:rPr>
          <w:rFonts w:ascii="Tahoma" w:hAnsi="Tahoma" w:cs="Tahoma"/>
          <w:lang w:val="sr-Cyrl-BA"/>
        </w:rPr>
        <w:t>0</w:t>
      </w:r>
      <w:r w:rsidR="00E96567" w:rsidRPr="00767D4D">
        <w:rPr>
          <w:rFonts w:ascii="Tahoma" w:hAnsi="Tahoma" w:cs="Tahoma"/>
          <w:lang w:val="sr-Cyrl-BA"/>
        </w:rPr>
        <w:t xml:space="preserve">%, </w:t>
      </w:r>
      <w:r w:rsidR="00457F03" w:rsidRPr="00767D4D">
        <w:rPr>
          <w:rFonts w:ascii="Tahoma" w:hAnsi="Tahoma" w:cs="Tahoma"/>
          <w:i/>
          <w:lang w:val="sr-Cyrl-BA"/>
        </w:rPr>
        <w:t>Храна и безалкохолна пића</w:t>
      </w:r>
      <w:r w:rsidR="00457F03" w:rsidRPr="00767D4D">
        <w:rPr>
          <w:rFonts w:ascii="Tahoma" w:hAnsi="Tahoma" w:cs="Tahoma"/>
          <w:lang w:val="sr-Cyrl-BA"/>
        </w:rPr>
        <w:t xml:space="preserve"> за </w:t>
      </w:r>
      <w:r w:rsidR="00A6090F" w:rsidRPr="00767D4D">
        <w:rPr>
          <w:rFonts w:ascii="Tahoma" w:hAnsi="Tahoma" w:cs="Tahoma"/>
          <w:lang w:val="sr-Cyrl-BA"/>
        </w:rPr>
        <w:t>2</w:t>
      </w:r>
      <w:r w:rsidR="00457F03" w:rsidRPr="00767D4D">
        <w:rPr>
          <w:rFonts w:ascii="Tahoma" w:hAnsi="Tahoma" w:cs="Tahoma"/>
          <w:lang w:val="sr-Cyrl-BA"/>
        </w:rPr>
        <w:t>,</w:t>
      </w:r>
      <w:r w:rsidR="001F38C3" w:rsidRPr="00767D4D">
        <w:rPr>
          <w:rFonts w:ascii="Tahoma" w:hAnsi="Tahoma" w:cs="Tahoma"/>
          <w:lang w:val="sr-Cyrl-BA"/>
        </w:rPr>
        <w:t>7</w:t>
      </w:r>
      <w:r w:rsidR="00457F03" w:rsidRPr="00767D4D">
        <w:rPr>
          <w:rFonts w:ascii="Tahoma" w:hAnsi="Tahoma" w:cs="Tahoma"/>
          <w:lang w:val="sr-Cyrl-BA"/>
        </w:rPr>
        <w:t>%,</w:t>
      </w:r>
      <w:r w:rsidR="00A6584E" w:rsidRPr="00767D4D">
        <w:rPr>
          <w:rFonts w:ascii="Tahoma" w:hAnsi="Tahoma" w:cs="Tahoma"/>
          <w:i/>
          <w:lang w:val="sr-Cyrl-BA"/>
        </w:rPr>
        <w:t xml:space="preserve"> Становање</w:t>
      </w:r>
      <w:r w:rsidR="00A6584E" w:rsidRPr="00767D4D">
        <w:rPr>
          <w:rFonts w:ascii="Tahoma" w:hAnsi="Tahoma" w:cs="Tahoma"/>
          <w:lang w:val="sr-Cyrl-BA"/>
        </w:rPr>
        <w:t xml:space="preserve"> за 0,9%,</w:t>
      </w:r>
      <w:r w:rsidR="00A6584E" w:rsidRPr="00767D4D">
        <w:rPr>
          <w:rFonts w:ascii="Tahoma" w:hAnsi="Tahoma" w:cs="Tahoma"/>
          <w:i/>
          <w:lang w:val="sr-Cyrl-BA"/>
        </w:rPr>
        <w:t xml:space="preserve"> </w:t>
      </w:r>
      <w:r w:rsidR="00A6090F" w:rsidRPr="00767D4D">
        <w:rPr>
          <w:rFonts w:ascii="Tahoma" w:hAnsi="Tahoma" w:cs="Tahoma"/>
          <w:i/>
          <w:lang w:val="sr-Cyrl-BA"/>
        </w:rPr>
        <w:t xml:space="preserve"> Образовање </w:t>
      </w:r>
      <w:r w:rsidR="00A6090F" w:rsidRPr="00767D4D">
        <w:rPr>
          <w:rFonts w:ascii="Tahoma" w:hAnsi="Tahoma" w:cs="Tahoma"/>
          <w:lang w:val="sr-Cyrl-BA"/>
        </w:rPr>
        <w:t xml:space="preserve">за 0,9%, </w:t>
      </w:r>
      <w:r w:rsidR="00457F03" w:rsidRPr="00767D4D">
        <w:rPr>
          <w:rFonts w:ascii="Tahoma" w:hAnsi="Tahoma" w:cs="Tahoma"/>
          <w:i/>
          <w:lang w:val="sr-Cyrl-BA"/>
        </w:rPr>
        <w:t xml:space="preserve">Остала добра </w:t>
      </w:r>
      <w:r w:rsidR="00457F03" w:rsidRPr="00767D4D">
        <w:rPr>
          <w:rFonts w:ascii="Tahoma" w:hAnsi="Tahoma" w:cs="Tahoma"/>
          <w:lang w:val="sr-Cyrl-BA"/>
        </w:rPr>
        <w:t>и</w:t>
      </w:r>
      <w:r w:rsidR="00457F03" w:rsidRPr="00767D4D">
        <w:rPr>
          <w:rFonts w:ascii="Tahoma" w:hAnsi="Tahoma" w:cs="Tahoma"/>
          <w:i/>
          <w:lang w:val="sr-Cyrl-BA"/>
        </w:rPr>
        <w:t xml:space="preserve"> услуге за 0,</w:t>
      </w:r>
      <w:r w:rsidR="00E96567" w:rsidRPr="00767D4D">
        <w:rPr>
          <w:rFonts w:ascii="Tahoma" w:hAnsi="Tahoma" w:cs="Tahoma"/>
          <w:i/>
          <w:lang w:val="sr-Cyrl-BA"/>
        </w:rPr>
        <w:t>9</w:t>
      </w:r>
      <w:r w:rsidR="00457F03" w:rsidRPr="00767D4D">
        <w:rPr>
          <w:rFonts w:ascii="Tahoma" w:hAnsi="Tahoma" w:cs="Tahoma"/>
          <w:i/>
          <w:lang w:val="sr-Cyrl-BA"/>
        </w:rPr>
        <w:t>%,</w:t>
      </w:r>
      <w:r w:rsidR="00E96567" w:rsidRPr="00767D4D">
        <w:rPr>
          <w:rFonts w:ascii="Tahoma" w:hAnsi="Tahoma" w:cs="Tahoma"/>
          <w:i/>
          <w:lang w:val="sr-Cyrl-BA"/>
        </w:rPr>
        <w:t xml:space="preserve"> </w:t>
      </w:r>
      <w:r w:rsidR="00AC612E" w:rsidRPr="00767D4D">
        <w:rPr>
          <w:rFonts w:ascii="Tahoma" w:hAnsi="Tahoma" w:cs="Tahoma"/>
          <w:i/>
          <w:lang w:val="sr-Cyrl-BA"/>
        </w:rPr>
        <w:t>Здравство за 0,</w:t>
      </w:r>
      <w:r w:rsidR="00E96567" w:rsidRPr="00767D4D">
        <w:rPr>
          <w:rFonts w:ascii="Tahoma" w:hAnsi="Tahoma" w:cs="Tahoma"/>
          <w:i/>
          <w:lang w:val="sr-Cyrl-BA"/>
        </w:rPr>
        <w:t>5</w:t>
      </w:r>
      <w:r w:rsidR="00AC612E" w:rsidRPr="00767D4D">
        <w:rPr>
          <w:rFonts w:ascii="Tahoma" w:hAnsi="Tahoma" w:cs="Tahoma"/>
          <w:i/>
          <w:lang w:val="sr-Cyrl-BA"/>
        </w:rPr>
        <w:t>%</w:t>
      </w:r>
      <w:r w:rsidR="00A6090F" w:rsidRPr="00767D4D">
        <w:rPr>
          <w:rFonts w:ascii="Tahoma" w:hAnsi="Tahoma" w:cs="Tahoma"/>
          <w:lang w:val="sr-Cyrl-BA"/>
        </w:rPr>
        <w:t>. Индекс</w:t>
      </w:r>
      <w:r w:rsidR="001F38C3" w:rsidRPr="00767D4D">
        <w:rPr>
          <w:rFonts w:ascii="Tahoma" w:hAnsi="Tahoma" w:cs="Tahoma"/>
          <w:lang w:val="sr-Cyrl-BA"/>
        </w:rPr>
        <w:t>и</w:t>
      </w:r>
      <w:r w:rsidR="00A6090F" w:rsidRPr="00767D4D">
        <w:rPr>
          <w:rFonts w:ascii="Tahoma" w:hAnsi="Tahoma" w:cs="Tahoma"/>
          <w:lang w:val="sr-Cyrl-BA"/>
        </w:rPr>
        <w:t xml:space="preserve"> одјељ</w:t>
      </w:r>
      <w:r w:rsidR="001F38C3" w:rsidRPr="00767D4D">
        <w:rPr>
          <w:rFonts w:ascii="Tahoma" w:hAnsi="Tahoma" w:cs="Tahoma"/>
          <w:lang w:val="sr-Cyrl-BA"/>
        </w:rPr>
        <w:t>а</w:t>
      </w:r>
      <w:r w:rsidR="00A6090F" w:rsidRPr="00767D4D">
        <w:rPr>
          <w:rFonts w:ascii="Tahoma" w:hAnsi="Tahoma" w:cs="Tahoma"/>
          <w:lang w:val="sr-Cyrl-BA"/>
        </w:rPr>
        <w:t>ка</w:t>
      </w:r>
      <w:r w:rsidR="001F38C3" w:rsidRPr="00767D4D">
        <w:rPr>
          <w:rFonts w:ascii="Tahoma" w:hAnsi="Tahoma" w:cs="Tahoma"/>
          <w:i/>
          <w:lang w:val="sr-Cyrl-BA"/>
        </w:rPr>
        <w:t xml:space="preserve"> Рекрација и култура и</w:t>
      </w:r>
      <w:r w:rsidR="00E96567" w:rsidRPr="00767D4D">
        <w:rPr>
          <w:rFonts w:ascii="Tahoma" w:hAnsi="Tahoma" w:cs="Tahoma"/>
          <w:i/>
          <w:lang w:val="sr-Cyrl-BA"/>
        </w:rPr>
        <w:t xml:space="preserve"> Ресторани и хотели</w:t>
      </w:r>
      <w:r w:rsidR="003170C4" w:rsidRPr="00767D4D">
        <w:rPr>
          <w:rFonts w:ascii="Tahoma" w:hAnsi="Tahoma" w:cs="Tahoma"/>
          <w:i/>
          <w:lang w:val="sr-Cyrl-BA"/>
        </w:rPr>
        <w:t xml:space="preserve"> </w:t>
      </w:r>
      <w:r w:rsidR="00A6090F" w:rsidRPr="00767D4D">
        <w:rPr>
          <w:rFonts w:ascii="Tahoma" w:hAnsi="Tahoma" w:cs="Tahoma"/>
          <w:lang w:val="sr-Cyrl-BA"/>
        </w:rPr>
        <w:t xml:space="preserve">у просјеку </w:t>
      </w:r>
      <w:r w:rsidR="001F38C3" w:rsidRPr="00767D4D">
        <w:rPr>
          <w:rFonts w:ascii="Tahoma" w:hAnsi="Tahoma" w:cs="Tahoma"/>
          <w:lang w:val="sr-Cyrl-BA"/>
        </w:rPr>
        <w:t>су</w:t>
      </w:r>
      <w:r w:rsidR="00A6090F" w:rsidRPr="00767D4D">
        <w:rPr>
          <w:rFonts w:ascii="Tahoma" w:hAnsi="Tahoma" w:cs="Tahoma"/>
          <w:lang w:val="sr-Cyrl-BA"/>
        </w:rPr>
        <w:t xml:space="preserve"> оста</w:t>
      </w:r>
      <w:r w:rsidR="001F38C3" w:rsidRPr="00767D4D">
        <w:rPr>
          <w:rFonts w:ascii="Tahoma" w:hAnsi="Tahoma" w:cs="Tahoma"/>
          <w:lang w:val="sr-Cyrl-BA"/>
        </w:rPr>
        <w:t>ли</w:t>
      </w:r>
      <w:r w:rsidR="00A6090F" w:rsidRPr="00767D4D">
        <w:rPr>
          <w:rFonts w:ascii="Tahoma" w:hAnsi="Tahoma" w:cs="Tahoma"/>
          <w:lang w:val="sr-Cyrl-BA"/>
        </w:rPr>
        <w:t xml:space="preserve"> непромјењен</w:t>
      </w:r>
      <w:r w:rsidR="001F38C3" w:rsidRPr="00767D4D">
        <w:rPr>
          <w:rFonts w:ascii="Tahoma" w:hAnsi="Tahoma" w:cs="Tahoma"/>
          <w:lang w:val="sr-Cyrl-BA"/>
        </w:rPr>
        <w:t>и</w:t>
      </w:r>
      <w:r w:rsidR="003170C4" w:rsidRPr="00767D4D">
        <w:rPr>
          <w:rFonts w:ascii="Tahoma" w:hAnsi="Tahoma" w:cs="Tahoma"/>
          <w:lang w:val="sr-Cyrl-BA"/>
        </w:rPr>
        <w:t>. Индекс одјељка</w:t>
      </w:r>
      <w:r w:rsidR="00E96567" w:rsidRPr="00767D4D">
        <w:rPr>
          <w:rFonts w:ascii="Tahoma" w:hAnsi="Tahoma" w:cs="Tahoma"/>
          <w:i/>
          <w:lang w:val="sr-Cyrl-BA"/>
        </w:rPr>
        <w:t xml:space="preserve"> Намјештај и покућство</w:t>
      </w:r>
      <w:r w:rsidR="003170C4" w:rsidRPr="00767D4D">
        <w:rPr>
          <w:rFonts w:ascii="Tahoma" w:hAnsi="Tahoma" w:cs="Tahoma"/>
          <w:i/>
          <w:lang w:val="sr-Cyrl-BA"/>
        </w:rPr>
        <w:t xml:space="preserve"> </w:t>
      </w:r>
      <w:r w:rsidR="00E96567" w:rsidRPr="00767D4D">
        <w:rPr>
          <w:rFonts w:ascii="Tahoma" w:hAnsi="Tahoma" w:cs="Tahoma"/>
          <w:lang w:val="sr-Cyrl-BA"/>
        </w:rPr>
        <w:t>нижи је за 0,</w:t>
      </w:r>
      <w:r w:rsidR="00A6584E" w:rsidRPr="00767D4D">
        <w:rPr>
          <w:rFonts w:ascii="Tahoma" w:hAnsi="Tahoma" w:cs="Tahoma"/>
          <w:lang w:val="sr-Cyrl-BA"/>
        </w:rPr>
        <w:t>3</w:t>
      </w:r>
      <w:r w:rsidR="00AC612E" w:rsidRPr="00767D4D">
        <w:rPr>
          <w:rFonts w:ascii="Tahoma" w:hAnsi="Tahoma" w:cs="Tahoma"/>
          <w:lang w:val="sr-Cyrl-BA"/>
        </w:rPr>
        <w:t>%,</w:t>
      </w:r>
      <w:r w:rsidR="00AC612E" w:rsidRPr="00767D4D">
        <w:rPr>
          <w:rFonts w:ascii="Tahoma" w:hAnsi="Tahoma" w:cs="Tahoma"/>
          <w:i/>
          <w:lang w:val="sr-Cyrl-BA"/>
        </w:rPr>
        <w:t xml:space="preserve"> </w:t>
      </w:r>
      <w:r w:rsidRPr="00767D4D">
        <w:rPr>
          <w:rFonts w:ascii="Tahoma" w:hAnsi="Tahoma" w:cs="Tahoma"/>
          <w:lang w:val="sr-Cyrl-BA"/>
        </w:rPr>
        <w:t xml:space="preserve">док је индекс одјељка </w:t>
      </w:r>
      <w:r w:rsidRPr="00767D4D">
        <w:rPr>
          <w:rFonts w:ascii="Tahoma" w:hAnsi="Tahoma" w:cs="Tahoma"/>
          <w:i/>
          <w:lang w:val="sr-Cyrl-BA"/>
        </w:rPr>
        <w:t>Одјећа и обућа</w:t>
      </w:r>
      <w:r w:rsidR="00BB4227" w:rsidRPr="00767D4D">
        <w:rPr>
          <w:rFonts w:ascii="Tahoma" w:hAnsi="Tahoma" w:cs="Tahoma"/>
          <w:lang w:val="sr-Cyrl-BA"/>
        </w:rPr>
        <w:t xml:space="preserve"> нижи за </w:t>
      </w:r>
      <w:r w:rsidR="00A6584E" w:rsidRPr="00767D4D">
        <w:rPr>
          <w:rFonts w:ascii="Tahoma" w:hAnsi="Tahoma" w:cs="Tahoma"/>
          <w:lang w:val="sr-Cyrl-BA"/>
        </w:rPr>
        <w:t>4</w:t>
      </w:r>
      <w:r w:rsidRPr="00767D4D">
        <w:rPr>
          <w:rFonts w:ascii="Tahoma" w:hAnsi="Tahoma" w:cs="Tahoma"/>
          <w:lang w:val="sr-Cyrl-BA"/>
        </w:rPr>
        <w:t>,</w:t>
      </w:r>
      <w:r w:rsidR="00A6584E" w:rsidRPr="00767D4D">
        <w:rPr>
          <w:rFonts w:ascii="Tahoma" w:hAnsi="Tahoma" w:cs="Tahoma"/>
          <w:lang w:val="sr-Cyrl-BA"/>
        </w:rPr>
        <w:t>3</w:t>
      </w:r>
      <w:r w:rsidRPr="00767D4D">
        <w:rPr>
          <w:rFonts w:ascii="Tahoma" w:hAnsi="Tahoma" w:cs="Tahoma"/>
          <w:lang w:val="sr-Cyrl-BA"/>
        </w:rPr>
        <w:t>%.</w:t>
      </w:r>
    </w:p>
    <w:p w:rsidR="004A08B4" w:rsidRDefault="004A08B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10314" w:rsidRDefault="00A1031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137550" w:rsidRPr="00137550" w:rsidRDefault="00137550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E0301" w:rsidRPr="00B47AD9" w:rsidRDefault="005E0301" w:rsidP="004641E9">
      <w:pPr>
        <w:rPr>
          <w:rFonts w:ascii="Tahoma" w:hAnsi="Tahoma" w:cs="Tahoma"/>
          <w:b/>
          <w:sz w:val="28"/>
          <w:szCs w:val="28"/>
          <w:lang w:val="sr-Cyrl-CS"/>
        </w:rPr>
      </w:pPr>
      <w:r w:rsidRPr="00B47AD9">
        <w:rPr>
          <w:rFonts w:ascii="Tahoma" w:hAnsi="Tahoma" w:cs="Tahoma"/>
          <w:b/>
          <w:sz w:val="28"/>
          <w:szCs w:val="28"/>
          <w:lang w:val="sr-Cyrl-CS"/>
        </w:rPr>
        <w:t xml:space="preserve">Цијене произвођача индустријских производа </w:t>
      </w:r>
      <w:r w:rsidR="00153234" w:rsidRPr="00B47AD9">
        <w:rPr>
          <w:rFonts w:ascii="Tahoma" w:hAnsi="Tahoma" w:cs="Tahoma"/>
          <w:b/>
          <w:sz w:val="28"/>
          <w:szCs w:val="28"/>
          <w:lang w:val="sr-Cyrl-CS"/>
        </w:rPr>
        <w:t>(</w:t>
      </w:r>
      <w:r w:rsidR="008341F2" w:rsidRPr="00B47AD9">
        <w:rPr>
          <w:rFonts w:ascii="Tahoma" w:hAnsi="Tahoma" w:cs="Tahoma"/>
          <w:b/>
          <w:sz w:val="28"/>
          <w:szCs w:val="28"/>
        </w:rPr>
        <w:t>X</w:t>
      </w:r>
      <w:r w:rsidR="00F14F2F" w:rsidRPr="00B47AD9">
        <w:rPr>
          <w:rFonts w:ascii="Tahoma" w:hAnsi="Tahoma" w:cs="Tahoma"/>
          <w:b/>
          <w:sz w:val="28"/>
          <w:szCs w:val="28"/>
        </w:rPr>
        <w:t>I</w:t>
      </w:r>
      <w:r w:rsidR="003D4208" w:rsidRPr="00B47AD9">
        <w:rPr>
          <w:rFonts w:ascii="Tahoma" w:hAnsi="Tahoma" w:cs="Tahoma"/>
          <w:b/>
          <w:sz w:val="28"/>
          <w:szCs w:val="28"/>
        </w:rPr>
        <w:t>I</w:t>
      </w:r>
      <w:r w:rsidR="00BE5202" w:rsidRPr="00B47AD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B47AD9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775965" w:rsidRPr="00B47AD9">
        <w:rPr>
          <w:rFonts w:ascii="Tahoma" w:hAnsi="Tahoma" w:cs="Tahoma"/>
          <w:b/>
          <w:sz w:val="28"/>
          <w:szCs w:val="28"/>
          <w:lang w:val="sr-Latn-CS"/>
        </w:rPr>
        <w:t>2</w:t>
      </w:r>
      <w:r w:rsidR="0009483B" w:rsidRPr="00B47AD9">
        <w:rPr>
          <w:rFonts w:ascii="Tahoma" w:hAnsi="Tahoma" w:cs="Tahoma"/>
          <w:b/>
          <w:sz w:val="28"/>
          <w:szCs w:val="28"/>
          <w:lang w:val="sr-Cyrl-CS"/>
        </w:rPr>
        <w:t>/</w:t>
      </w:r>
      <w:r w:rsidR="001A1901" w:rsidRPr="00B47AD9">
        <w:rPr>
          <w:rFonts w:ascii="Tahoma" w:hAnsi="Tahoma" w:cs="Tahoma"/>
          <w:b/>
          <w:sz w:val="28"/>
          <w:szCs w:val="28"/>
          <w:lang w:val="sr-Latn-CS"/>
        </w:rPr>
        <w:t>X</w:t>
      </w:r>
      <w:r w:rsidR="003D4208" w:rsidRPr="00B47AD9">
        <w:rPr>
          <w:rFonts w:ascii="Tahoma" w:hAnsi="Tahoma" w:cs="Tahoma"/>
          <w:b/>
          <w:sz w:val="28"/>
          <w:szCs w:val="28"/>
          <w:lang w:val="sr-Latn-CS"/>
        </w:rPr>
        <w:t>I</w:t>
      </w:r>
      <w:r w:rsidR="0009483B" w:rsidRPr="00B47AD9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7A44D9" w:rsidRPr="00B47AD9">
        <w:rPr>
          <w:rFonts w:ascii="Tahoma" w:hAnsi="Tahoma" w:cs="Tahoma"/>
          <w:b/>
          <w:sz w:val="28"/>
          <w:szCs w:val="28"/>
          <w:lang w:val="sr-Latn-CS"/>
        </w:rPr>
        <w:t>2</w:t>
      </w:r>
      <w:r w:rsidR="00153234" w:rsidRPr="00B47AD9">
        <w:rPr>
          <w:rFonts w:ascii="Tahoma" w:hAnsi="Tahoma" w:cs="Tahoma"/>
          <w:b/>
          <w:sz w:val="28"/>
          <w:szCs w:val="28"/>
          <w:lang w:val="sr-Cyrl-CS"/>
        </w:rPr>
        <w:t>)</w:t>
      </w:r>
      <w:r w:rsidR="007A44D9" w:rsidRPr="00B47AD9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690920" w:rsidRPr="00B47AD9">
        <w:rPr>
          <w:rFonts w:ascii="Tahoma" w:hAnsi="Tahoma" w:cs="Tahoma"/>
          <w:b/>
          <w:sz w:val="28"/>
          <w:szCs w:val="28"/>
          <w:lang w:val="sr-Cyrl-CS"/>
        </w:rPr>
        <w:t xml:space="preserve">у просјеку </w:t>
      </w:r>
      <w:r w:rsidR="00F14F2F" w:rsidRPr="00B47AD9">
        <w:rPr>
          <w:rFonts w:ascii="Tahoma" w:hAnsi="Tahoma" w:cs="Tahoma"/>
          <w:b/>
          <w:sz w:val="28"/>
          <w:szCs w:val="28"/>
          <w:lang w:val="sr-Cyrl-CS"/>
        </w:rPr>
        <w:t>ниже</w:t>
      </w:r>
      <w:r w:rsidR="00FF2941" w:rsidRPr="00B47AD9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D155E1" w:rsidRPr="00B47AD9">
        <w:rPr>
          <w:rFonts w:ascii="Tahoma" w:hAnsi="Tahoma" w:cs="Tahoma"/>
          <w:b/>
          <w:sz w:val="28"/>
          <w:szCs w:val="28"/>
          <w:lang w:val="sr-Cyrl-CS"/>
        </w:rPr>
        <w:t>3</w:t>
      </w:r>
      <w:r w:rsidR="001B32B9" w:rsidRPr="00B47AD9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A1901" w:rsidRPr="00B47AD9" w:rsidRDefault="001A1901" w:rsidP="001A1901">
      <w:pPr>
        <w:ind w:right="68"/>
        <w:jc w:val="both"/>
        <w:rPr>
          <w:rFonts w:ascii="Tahoma" w:hAnsi="Tahoma" w:cs="Tahoma"/>
          <w:lang w:val="sr-Latn-CS"/>
        </w:rPr>
      </w:pPr>
    </w:p>
    <w:p w:rsidR="00F14F2F" w:rsidRPr="00767D4D" w:rsidRDefault="00F14F2F" w:rsidP="00F14F2F">
      <w:pPr>
        <w:ind w:right="68"/>
        <w:jc w:val="both"/>
        <w:rPr>
          <w:rFonts w:ascii="Tahoma" w:hAnsi="Tahoma" w:cs="Tahoma"/>
          <w:lang w:val="sr-Cyrl-CS"/>
        </w:rPr>
      </w:pPr>
      <w:r w:rsidRPr="00767D4D">
        <w:rPr>
          <w:rFonts w:ascii="Tahoma" w:hAnsi="Tahoma" w:cs="Tahoma"/>
          <w:lang w:val="sr-Cyrl-CS"/>
        </w:rPr>
        <w:t>Цијен</w:t>
      </w:r>
      <w:r w:rsidRPr="00767D4D">
        <w:rPr>
          <w:rFonts w:ascii="Tahoma" w:hAnsi="Tahoma" w:cs="Tahoma"/>
        </w:rPr>
        <w:t>e</w:t>
      </w:r>
      <w:r w:rsidRPr="00767D4D">
        <w:rPr>
          <w:rFonts w:ascii="Tahoma" w:hAnsi="Tahoma" w:cs="Tahoma"/>
          <w:lang w:val="sr-Cyrl-CS"/>
        </w:rPr>
        <w:t xml:space="preserve"> произвођач</w:t>
      </w:r>
      <w:r w:rsidRPr="00767D4D">
        <w:rPr>
          <w:rFonts w:ascii="Tahoma" w:hAnsi="Tahoma" w:cs="Tahoma"/>
        </w:rPr>
        <w:t xml:space="preserve">a </w:t>
      </w:r>
      <w:r w:rsidRPr="00767D4D">
        <w:rPr>
          <w:rFonts w:ascii="Tahoma" w:hAnsi="Tahoma" w:cs="Tahoma"/>
          <w:lang w:val="sr-Cyrl-CS"/>
        </w:rPr>
        <w:t>индустријских производа</w:t>
      </w:r>
      <w:r w:rsidRPr="00767D4D">
        <w:rPr>
          <w:rFonts w:ascii="Tahoma" w:hAnsi="Tahoma" w:cs="Tahoma"/>
          <w:lang w:val="hr-HR"/>
        </w:rPr>
        <w:t xml:space="preserve"> у </w:t>
      </w:r>
      <w:r w:rsidR="003D4208" w:rsidRPr="00767D4D">
        <w:rPr>
          <w:rFonts w:ascii="Tahoma" w:hAnsi="Tahoma" w:cs="Tahoma"/>
          <w:lang w:val="sr-Cyrl-CS"/>
        </w:rPr>
        <w:t>децембру</w:t>
      </w:r>
      <w:r w:rsidRPr="00767D4D">
        <w:rPr>
          <w:rFonts w:ascii="Tahoma" w:hAnsi="Tahoma" w:cs="Tahoma"/>
          <w:lang w:val="sr-Cyrl-CS"/>
        </w:rPr>
        <w:t xml:space="preserve"> </w:t>
      </w:r>
      <w:r w:rsidRPr="00767D4D">
        <w:rPr>
          <w:rFonts w:ascii="Tahoma" w:hAnsi="Tahoma" w:cs="Tahoma"/>
          <w:lang w:val="hr-HR"/>
        </w:rPr>
        <w:t>20</w:t>
      </w:r>
      <w:r w:rsidRPr="00767D4D">
        <w:rPr>
          <w:rFonts w:ascii="Tahoma" w:hAnsi="Tahoma" w:cs="Tahoma"/>
          <w:lang w:val="sr-Cyrl-CS"/>
        </w:rPr>
        <w:t>12</w:t>
      </w:r>
      <w:r w:rsidRPr="00767D4D">
        <w:rPr>
          <w:rFonts w:ascii="Tahoma" w:hAnsi="Tahoma" w:cs="Tahoma"/>
          <w:lang w:val="hr-HR"/>
        </w:rPr>
        <w:t xml:space="preserve">. </w:t>
      </w:r>
      <w:r w:rsidRPr="00767D4D">
        <w:rPr>
          <w:rFonts w:ascii="Tahoma" w:hAnsi="Tahoma" w:cs="Tahoma"/>
          <w:lang w:val="sr-Cyrl-CS"/>
        </w:rPr>
        <w:t xml:space="preserve">године </w:t>
      </w:r>
      <w:r w:rsidRPr="00767D4D">
        <w:rPr>
          <w:rFonts w:ascii="Tahoma" w:hAnsi="Tahoma" w:cs="Tahoma"/>
          <w:lang w:val="hr-HR"/>
        </w:rPr>
        <w:t>у односу на</w:t>
      </w:r>
      <w:r w:rsidR="003D4208" w:rsidRPr="00767D4D">
        <w:rPr>
          <w:rFonts w:ascii="Tahoma" w:hAnsi="Tahoma" w:cs="Tahoma"/>
          <w:lang w:val="sr-Cyrl-CS"/>
        </w:rPr>
        <w:t xml:space="preserve"> новембар</w:t>
      </w:r>
      <w:r w:rsidRPr="00767D4D">
        <w:rPr>
          <w:rFonts w:ascii="Tahoma" w:hAnsi="Tahoma" w:cs="Tahoma"/>
          <w:lang w:val="sr-Latn-CS"/>
        </w:rPr>
        <w:t xml:space="preserve"> </w:t>
      </w:r>
      <w:r w:rsidRPr="00767D4D">
        <w:rPr>
          <w:rFonts w:ascii="Tahoma" w:hAnsi="Tahoma" w:cs="Tahoma"/>
          <w:lang w:val="hr-HR"/>
        </w:rPr>
        <w:t>201</w:t>
      </w:r>
      <w:r w:rsidRPr="00767D4D">
        <w:rPr>
          <w:rFonts w:ascii="Tahoma" w:hAnsi="Tahoma" w:cs="Tahoma"/>
          <w:lang w:val="sr-Cyrl-CS"/>
        </w:rPr>
        <w:t>2</w:t>
      </w:r>
      <w:r w:rsidRPr="00767D4D">
        <w:rPr>
          <w:rFonts w:ascii="Tahoma" w:hAnsi="Tahoma" w:cs="Tahoma"/>
          <w:lang w:val="hr-HR"/>
        </w:rPr>
        <w:t>.</w:t>
      </w:r>
      <w:r w:rsidRPr="00767D4D">
        <w:rPr>
          <w:rFonts w:ascii="Tahoma" w:hAnsi="Tahoma" w:cs="Tahoma"/>
          <w:lang w:val="sr-Cyrl-CS"/>
        </w:rPr>
        <w:t xml:space="preserve"> </w:t>
      </w:r>
      <w:r w:rsidR="003D4208" w:rsidRPr="00767D4D">
        <w:rPr>
          <w:rFonts w:ascii="Tahoma" w:hAnsi="Tahoma" w:cs="Tahoma"/>
          <w:lang w:val="sr-Cyrl-CS"/>
        </w:rPr>
        <w:t>године у просјеку су ниже за 0,</w:t>
      </w:r>
      <w:r w:rsidR="003D4208" w:rsidRPr="00767D4D">
        <w:rPr>
          <w:rFonts w:ascii="Tahoma" w:hAnsi="Tahoma" w:cs="Tahoma"/>
          <w:lang w:val="sr-Latn-CS"/>
        </w:rPr>
        <w:t>3</w:t>
      </w:r>
      <w:r w:rsidRPr="00767D4D">
        <w:rPr>
          <w:rFonts w:ascii="Tahoma" w:hAnsi="Tahoma" w:cs="Tahoma"/>
          <w:lang w:val="sr-Cyrl-CS"/>
        </w:rPr>
        <w:t>%</w:t>
      </w:r>
      <w:r w:rsidR="003F0BB4" w:rsidRPr="00767D4D">
        <w:rPr>
          <w:rFonts w:ascii="Tahoma" w:hAnsi="Tahoma" w:cs="Tahoma"/>
          <w:lang w:val="sr-Cyrl-CS"/>
        </w:rPr>
        <w:t xml:space="preserve"> а</w:t>
      </w:r>
      <w:r w:rsidRPr="00767D4D">
        <w:rPr>
          <w:rFonts w:ascii="Tahoma" w:hAnsi="Tahoma" w:cs="Tahoma"/>
          <w:lang w:val="sr-Latn-CS"/>
        </w:rPr>
        <w:t xml:space="preserve"> </w:t>
      </w:r>
      <w:r w:rsidRPr="00767D4D">
        <w:rPr>
          <w:rFonts w:ascii="Tahoma" w:hAnsi="Tahoma" w:cs="Tahoma"/>
          <w:lang w:val="sr-Cyrl-CS"/>
        </w:rPr>
        <w:t xml:space="preserve">у односу на </w:t>
      </w:r>
      <w:r w:rsidR="003F0BB4" w:rsidRPr="00767D4D">
        <w:rPr>
          <w:rFonts w:ascii="Tahoma" w:hAnsi="Tahoma" w:cs="Tahoma"/>
          <w:lang w:val="sr-Cyrl-CS"/>
        </w:rPr>
        <w:t>децембар 2011. године више су за 0,9%.</w:t>
      </w:r>
    </w:p>
    <w:p w:rsidR="00D37E00" w:rsidRPr="00767D4D" w:rsidRDefault="00D37E00" w:rsidP="00494DDB">
      <w:pPr>
        <w:ind w:right="68"/>
        <w:jc w:val="both"/>
        <w:rPr>
          <w:rFonts w:ascii="Tahoma" w:hAnsi="Tahoma" w:cs="Tahoma"/>
        </w:rPr>
      </w:pPr>
    </w:p>
    <w:p w:rsidR="00F14F2F" w:rsidRPr="00767D4D" w:rsidRDefault="003F0BB4" w:rsidP="00A10314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767D4D">
        <w:rPr>
          <w:rFonts w:ascii="Tahoma" w:hAnsi="Tahoma" w:cs="Tahoma"/>
          <w:lang w:val="hr-HR"/>
        </w:rPr>
        <w:t>Посматрано</w:t>
      </w:r>
      <w:r w:rsidRPr="00767D4D">
        <w:rPr>
          <w:rFonts w:ascii="Tahoma" w:hAnsi="Tahoma" w:cs="Tahoma"/>
          <w:lang w:val="sr-Cyrl-CS"/>
        </w:rPr>
        <w:t xml:space="preserve"> п</w:t>
      </w:r>
      <w:r w:rsidRPr="00767D4D">
        <w:rPr>
          <w:rFonts w:ascii="Tahoma" w:hAnsi="Tahoma" w:cs="Tahoma"/>
          <w:lang w:val="hr-HR"/>
        </w:rPr>
        <w:t>о</w:t>
      </w:r>
      <w:r w:rsidRPr="00767D4D">
        <w:rPr>
          <w:rFonts w:ascii="Tahoma" w:hAnsi="Tahoma" w:cs="Tahoma"/>
          <w:lang w:val="sr-Cyrl-CS"/>
        </w:rPr>
        <w:t xml:space="preserve"> намјени потрошње, </w:t>
      </w:r>
      <w:r w:rsidRPr="00767D4D">
        <w:rPr>
          <w:rFonts w:ascii="Tahoma" w:hAnsi="Tahoma" w:cs="Tahoma"/>
          <w:lang w:val="hr-HR"/>
        </w:rPr>
        <w:t>у</w:t>
      </w:r>
      <w:r w:rsidRPr="00767D4D">
        <w:rPr>
          <w:rFonts w:ascii="Tahoma" w:hAnsi="Tahoma" w:cs="Tahoma"/>
          <w:lang w:val="sr-Cyrl-CS"/>
        </w:rPr>
        <w:t xml:space="preserve"> децембру </w:t>
      </w:r>
      <w:r w:rsidRPr="00767D4D">
        <w:rPr>
          <w:rFonts w:ascii="Tahoma" w:hAnsi="Tahoma" w:cs="Tahoma"/>
          <w:lang w:val="hr-HR"/>
        </w:rPr>
        <w:t>20</w:t>
      </w:r>
      <w:r w:rsidRPr="00767D4D">
        <w:rPr>
          <w:rFonts w:ascii="Tahoma" w:hAnsi="Tahoma" w:cs="Tahoma"/>
          <w:lang w:val="sr-Cyrl-CS"/>
        </w:rPr>
        <w:t>12</w:t>
      </w:r>
      <w:r w:rsidRPr="00767D4D">
        <w:rPr>
          <w:rFonts w:ascii="Tahoma" w:hAnsi="Tahoma" w:cs="Tahoma"/>
          <w:lang w:val="hr-HR"/>
        </w:rPr>
        <w:t xml:space="preserve">. </w:t>
      </w:r>
      <w:r w:rsidRPr="00767D4D">
        <w:rPr>
          <w:rFonts w:ascii="Tahoma" w:hAnsi="Tahoma" w:cs="Tahoma"/>
          <w:lang w:val="sr-Cyrl-CS"/>
        </w:rPr>
        <w:t xml:space="preserve">године </w:t>
      </w:r>
      <w:r w:rsidRPr="00767D4D">
        <w:rPr>
          <w:rFonts w:ascii="Tahoma" w:hAnsi="Tahoma" w:cs="Tahoma"/>
          <w:lang w:val="hr-HR"/>
        </w:rPr>
        <w:t>у односу на</w:t>
      </w:r>
      <w:r w:rsidRPr="00767D4D">
        <w:rPr>
          <w:rFonts w:ascii="Tahoma" w:hAnsi="Tahoma" w:cs="Tahoma"/>
          <w:lang w:val="sr-Cyrl-CS"/>
        </w:rPr>
        <w:t xml:space="preserve"> новембар</w:t>
      </w:r>
      <w:r w:rsidRPr="00767D4D">
        <w:rPr>
          <w:rFonts w:ascii="Tahoma" w:hAnsi="Tahoma" w:cs="Tahoma"/>
          <w:lang w:val="sr-Latn-CS"/>
        </w:rPr>
        <w:t xml:space="preserve"> </w:t>
      </w:r>
      <w:r w:rsidRPr="00767D4D">
        <w:rPr>
          <w:rFonts w:ascii="Tahoma" w:hAnsi="Tahoma" w:cs="Tahoma"/>
          <w:lang w:val="hr-HR"/>
        </w:rPr>
        <w:t>201</w:t>
      </w:r>
      <w:r w:rsidRPr="00767D4D">
        <w:rPr>
          <w:rFonts w:ascii="Tahoma" w:hAnsi="Tahoma" w:cs="Tahoma"/>
          <w:lang w:val="sr-Cyrl-CS"/>
        </w:rPr>
        <w:t>2. године цијене енергије у просјеку</w:t>
      </w:r>
      <w:r w:rsidRPr="00767D4D">
        <w:rPr>
          <w:rFonts w:ascii="Tahoma" w:hAnsi="Tahoma" w:cs="Tahoma"/>
          <w:lang w:val="sr-Latn-BA"/>
        </w:rPr>
        <w:t xml:space="preserve"> </w:t>
      </w:r>
      <w:r w:rsidRPr="00767D4D">
        <w:rPr>
          <w:rFonts w:ascii="Tahoma" w:hAnsi="Tahoma" w:cs="Tahoma"/>
          <w:lang w:val="sr-Cyrl-CS"/>
        </w:rPr>
        <w:t>су ниже</w:t>
      </w:r>
      <w:r w:rsidRPr="00767D4D">
        <w:rPr>
          <w:rFonts w:ascii="Tahoma" w:hAnsi="Tahoma" w:cs="Tahoma"/>
          <w:lang w:val="sr-Latn-BA"/>
        </w:rPr>
        <w:t xml:space="preserve"> </w:t>
      </w:r>
      <w:r w:rsidRPr="00767D4D">
        <w:rPr>
          <w:rFonts w:ascii="Tahoma" w:hAnsi="Tahoma" w:cs="Tahoma"/>
          <w:lang w:val="sr-Cyrl-CS"/>
        </w:rPr>
        <w:t>за</w:t>
      </w:r>
      <w:r w:rsidRPr="00767D4D">
        <w:rPr>
          <w:rFonts w:ascii="Tahoma" w:hAnsi="Tahoma" w:cs="Tahoma"/>
          <w:lang w:val="sr-Latn-CS"/>
        </w:rPr>
        <w:t xml:space="preserve"> </w:t>
      </w:r>
      <w:r w:rsidRPr="00767D4D">
        <w:rPr>
          <w:rFonts w:ascii="Tahoma" w:hAnsi="Tahoma" w:cs="Tahoma"/>
          <w:lang w:val="sr-Cyrl-CS"/>
        </w:rPr>
        <w:t>0,6</w:t>
      </w:r>
      <w:r w:rsidRPr="00767D4D">
        <w:rPr>
          <w:rFonts w:ascii="Tahoma" w:hAnsi="Tahoma" w:cs="Tahoma"/>
          <w:lang w:val="sr-Latn-CS"/>
        </w:rPr>
        <w:t>%</w:t>
      </w:r>
      <w:r w:rsidRPr="00767D4D">
        <w:rPr>
          <w:rFonts w:ascii="Tahoma" w:hAnsi="Tahoma" w:cs="Tahoma"/>
          <w:lang w:val="sr-Cyrl-CS"/>
        </w:rPr>
        <w:t>, цијене нетрајних производа за широку потрошњу</w:t>
      </w:r>
      <w:r w:rsidRPr="00767D4D">
        <w:rPr>
          <w:rFonts w:ascii="Tahoma" w:hAnsi="Tahoma" w:cs="Tahoma"/>
          <w:lang w:val="sr-Latn-BA"/>
        </w:rPr>
        <w:t xml:space="preserve"> </w:t>
      </w:r>
      <w:r w:rsidRPr="00767D4D">
        <w:rPr>
          <w:rFonts w:ascii="Tahoma" w:hAnsi="Tahoma" w:cs="Tahoma"/>
          <w:lang w:val="sr-Cyrl-CS"/>
        </w:rPr>
        <w:t>за 0,3%, док су цијене интермедијарних производа, цијене капиталних прозвода као и цијене</w:t>
      </w:r>
      <w:r w:rsidRPr="00767D4D">
        <w:rPr>
          <w:rFonts w:ascii="Tahoma" w:hAnsi="Tahoma" w:cs="Tahoma"/>
          <w:lang w:val="sr-Latn-CS"/>
        </w:rPr>
        <w:t xml:space="preserve"> </w:t>
      </w:r>
      <w:r w:rsidRPr="00767D4D">
        <w:rPr>
          <w:rFonts w:ascii="Tahoma" w:hAnsi="Tahoma" w:cs="Tahoma"/>
          <w:lang w:val="sr-Cyrl-CS"/>
        </w:rPr>
        <w:t>трајних производа за широку потрошњу</w:t>
      </w:r>
      <w:r w:rsidRPr="00767D4D">
        <w:rPr>
          <w:rFonts w:ascii="Tahoma" w:hAnsi="Tahoma" w:cs="Tahoma"/>
          <w:lang w:val="sr-Latn-BA"/>
        </w:rPr>
        <w:t xml:space="preserve"> </w:t>
      </w:r>
      <w:r w:rsidRPr="00767D4D">
        <w:rPr>
          <w:rFonts w:ascii="Tahoma" w:hAnsi="Tahoma" w:cs="Tahoma"/>
          <w:lang w:val="sr-Cyrl-CS"/>
        </w:rPr>
        <w:t>у просјеку остале на истом нивоу.</w:t>
      </w:r>
    </w:p>
    <w:p w:rsidR="00E92C59" w:rsidRPr="00767D4D" w:rsidRDefault="005E0301" w:rsidP="00094E6E">
      <w:pPr>
        <w:jc w:val="both"/>
        <w:rPr>
          <w:rFonts w:ascii="Tahoma" w:hAnsi="Tahoma" w:cs="Tahoma"/>
          <w:lang w:val="sr-Cyrl-CS"/>
        </w:rPr>
      </w:pPr>
      <w:r w:rsidRPr="00767D4D">
        <w:rPr>
          <w:rFonts w:ascii="Tahoma" w:hAnsi="Tahoma" w:cs="Tahoma"/>
          <w:lang w:val="sr-Cyrl-CS"/>
        </w:rPr>
        <w:t xml:space="preserve">Цијене </w:t>
      </w:r>
      <w:r w:rsidR="001A1901" w:rsidRPr="00767D4D">
        <w:rPr>
          <w:rFonts w:ascii="Tahoma" w:hAnsi="Tahoma" w:cs="Tahoma"/>
          <w:lang w:val="sr-Cyrl-CS"/>
        </w:rPr>
        <w:t>интермедијарних производа</w:t>
      </w:r>
      <w:r w:rsidRPr="00767D4D">
        <w:rPr>
          <w:rFonts w:ascii="Tahoma" w:hAnsi="Tahoma" w:cs="Tahoma"/>
          <w:lang w:val="sr-Cyrl-CS"/>
        </w:rPr>
        <w:t>, п</w:t>
      </w:r>
      <w:r w:rsidRPr="00767D4D">
        <w:rPr>
          <w:rFonts w:ascii="Tahoma" w:hAnsi="Tahoma" w:cs="Tahoma"/>
          <w:lang w:val="hr-HR"/>
        </w:rPr>
        <w:t>осматрано</w:t>
      </w:r>
      <w:r w:rsidRPr="00767D4D">
        <w:rPr>
          <w:rFonts w:ascii="Tahoma" w:hAnsi="Tahoma" w:cs="Tahoma"/>
          <w:lang w:val="sr-Cyrl-CS"/>
        </w:rPr>
        <w:t xml:space="preserve"> п</w:t>
      </w:r>
      <w:r w:rsidRPr="00767D4D">
        <w:rPr>
          <w:rFonts w:ascii="Tahoma" w:hAnsi="Tahoma" w:cs="Tahoma"/>
          <w:lang w:val="hr-HR"/>
        </w:rPr>
        <w:t>о</w:t>
      </w:r>
      <w:r w:rsidRPr="00767D4D">
        <w:rPr>
          <w:rFonts w:ascii="Tahoma" w:hAnsi="Tahoma" w:cs="Tahoma"/>
          <w:lang w:val="sr-Cyrl-CS"/>
        </w:rPr>
        <w:t xml:space="preserve"> намјени потрошње,</w:t>
      </w:r>
      <w:r w:rsidRPr="00767D4D">
        <w:rPr>
          <w:rFonts w:ascii="Tahoma" w:hAnsi="Tahoma" w:cs="Tahoma"/>
          <w:lang w:val="hr-HR"/>
        </w:rPr>
        <w:t xml:space="preserve"> у</w:t>
      </w:r>
      <w:r w:rsidRPr="00767D4D">
        <w:rPr>
          <w:rFonts w:ascii="Tahoma" w:hAnsi="Tahoma" w:cs="Tahoma"/>
          <w:lang w:val="sr-Cyrl-CS"/>
        </w:rPr>
        <w:t xml:space="preserve"> </w:t>
      </w:r>
      <w:r w:rsidR="00A47DD9" w:rsidRPr="00767D4D">
        <w:rPr>
          <w:rFonts w:ascii="Tahoma" w:hAnsi="Tahoma" w:cs="Tahoma"/>
          <w:lang w:val="sr-Cyrl-CS"/>
        </w:rPr>
        <w:t>децембру</w:t>
      </w:r>
      <w:r w:rsidR="00CB271B" w:rsidRPr="00767D4D">
        <w:rPr>
          <w:rFonts w:ascii="Tahoma" w:hAnsi="Tahoma" w:cs="Tahoma"/>
          <w:lang w:val="sr-Cyrl-CS"/>
        </w:rPr>
        <w:t xml:space="preserve"> </w:t>
      </w:r>
      <w:r w:rsidRPr="00767D4D">
        <w:rPr>
          <w:rFonts w:ascii="Tahoma" w:hAnsi="Tahoma" w:cs="Tahoma"/>
          <w:lang w:val="hr-HR"/>
        </w:rPr>
        <w:t>20</w:t>
      </w:r>
      <w:r w:rsidR="00561B13" w:rsidRPr="00767D4D">
        <w:rPr>
          <w:rFonts w:ascii="Tahoma" w:hAnsi="Tahoma" w:cs="Tahoma"/>
          <w:lang w:val="sr-Cyrl-CS"/>
        </w:rPr>
        <w:t>12</w:t>
      </w:r>
      <w:r w:rsidRPr="00767D4D">
        <w:rPr>
          <w:rFonts w:ascii="Tahoma" w:hAnsi="Tahoma" w:cs="Tahoma"/>
          <w:lang w:val="hr-HR"/>
        </w:rPr>
        <w:t xml:space="preserve">. </w:t>
      </w:r>
      <w:r w:rsidRPr="00767D4D">
        <w:rPr>
          <w:rFonts w:ascii="Tahoma" w:hAnsi="Tahoma" w:cs="Tahoma"/>
          <w:lang w:val="sr-Cyrl-CS"/>
        </w:rPr>
        <w:t xml:space="preserve">године </w:t>
      </w:r>
      <w:r w:rsidRPr="00767D4D">
        <w:rPr>
          <w:rFonts w:ascii="Tahoma" w:hAnsi="Tahoma" w:cs="Tahoma"/>
          <w:lang w:val="hr-HR"/>
        </w:rPr>
        <w:t>у односу на</w:t>
      </w:r>
      <w:r w:rsidR="00AA2389" w:rsidRPr="00767D4D">
        <w:rPr>
          <w:rFonts w:ascii="Tahoma" w:hAnsi="Tahoma" w:cs="Tahoma"/>
          <w:lang w:val="sr-Cyrl-CS"/>
        </w:rPr>
        <w:t xml:space="preserve"> </w:t>
      </w:r>
      <w:r w:rsidR="00E3658E" w:rsidRPr="00767D4D">
        <w:rPr>
          <w:rFonts w:ascii="Tahoma" w:hAnsi="Tahoma" w:cs="Tahoma"/>
          <w:lang w:val="sr-Cyrl-CS"/>
        </w:rPr>
        <w:t>деце</w:t>
      </w:r>
      <w:r w:rsidR="00F14F2F" w:rsidRPr="00767D4D">
        <w:rPr>
          <w:rFonts w:ascii="Tahoma" w:hAnsi="Tahoma" w:cs="Tahoma"/>
          <w:lang w:val="sr-Cyrl-CS"/>
        </w:rPr>
        <w:t>мбар</w:t>
      </w:r>
      <w:r w:rsidR="00561B13" w:rsidRPr="00767D4D">
        <w:rPr>
          <w:rFonts w:ascii="Tahoma" w:hAnsi="Tahoma" w:cs="Tahoma"/>
          <w:lang w:val="sr-Cyrl-CS"/>
        </w:rPr>
        <w:t xml:space="preserve"> 2011</w:t>
      </w:r>
      <w:r w:rsidRPr="00767D4D">
        <w:rPr>
          <w:rFonts w:ascii="Tahoma" w:hAnsi="Tahoma" w:cs="Tahoma"/>
          <w:lang w:val="sr-Cyrl-CS"/>
        </w:rPr>
        <w:t xml:space="preserve">. </w:t>
      </w:r>
      <w:r w:rsidR="00AA2389" w:rsidRPr="00767D4D">
        <w:rPr>
          <w:rFonts w:ascii="Tahoma" w:hAnsi="Tahoma" w:cs="Tahoma"/>
          <w:lang w:val="sr-Cyrl-CS"/>
        </w:rPr>
        <w:t>г</w:t>
      </w:r>
      <w:r w:rsidRPr="00767D4D">
        <w:rPr>
          <w:rFonts w:ascii="Tahoma" w:hAnsi="Tahoma" w:cs="Tahoma"/>
          <w:lang w:val="sr-Cyrl-CS"/>
        </w:rPr>
        <w:t>одине</w:t>
      </w:r>
      <w:r w:rsidR="00153234" w:rsidRPr="00767D4D">
        <w:rPr>
          <w:rFonts w:ascii="Tahoma" w:hAnsi="Tahoma" w:cs="Tahoma"/>
          <w:lang w:val="sr-Cyrl-CS"/>
        </w:rPr>
        <w:t>,</w:t>
      </w:r>
      <w:r w:rsidRPr="00767D4D">
        <w:rPr>
          <w:rFonts w:ascii="Tahoma" w:hAnsi="Tahoma" w:cs="Tahoma"/>
          <w:lang w:val="sr-Cyrl-CS"/>
        </w:rPr>
        <w:t xml:space="preserve"> у просјеку</w:t>
      </w:r>
      <w:r w:rsidRPr="00767D4D">
        <w:rPr>
          <w:rFonts w:ascii="Tahoma" w:hAnsi="Tahoma" w:cs="Tahoma"/>
          <w:lang w:val="sr-Latn-BA"/>
        </w:rPr>
        <w:t xml:space="preserve"> </w:t>
      </w:r>
      <w:r w:rsidRPr="00767D4D">
        <w:rPr>
          <w:rFonts w:ascii="Tahoma" w:hAnsi="Tahoma" w:cs="Tahoma"/>
          <w:lang w:val="sr-Cyrl-CS"/>
        </w:rPr>
        <w:t>су више</w:t>
      </w:r>
      <w:r w:rsidRPr="00767D4D">
        <w:rPr>
          <w:rFonts w:ascii="Tahoma" w:hAnsi="Tahoma" w:cs="Tahoma"/>
          <w:lang w:val="sr-Latn-BA"/>
        </w:rPr>
        <w:t xml:space="preserve"> </w:t>
      </w:r>
      <w:r w:rsidR="002C2F32" w:rsidRPr="00767D4D">
        <w:rPr>
          <w:rFonts w:ascii="Tahoma" w:hAnsi="Tahoma" w:cs="Tahoma"/>
          <w:lang w:val="sr-Cyrl-CS"/>
        </w:rPr>
        <w:t xml:space="preserve">за </w:t>
      </w:r>
      <w:r w:rsidR="00F14F2F" w:rsidRPr="00767D4D">
        <w:rPr>
          <w:rFonts w:ascii="Tahoma" w:hAnsi="Tahoma" w:cs="Tahoma"/>
          <w:lang w:val="sr-Cyrl-CS"/>
        </w:rPr>
        <w:t>1,8</w:t>
      </w:r>
      <w:r w:rsidRPr="00767D4D">
        <w:rPr>
          <w:rFonts w:ascii="Tahoma" w:hAnsi="Tahoma" w:cs="Tahoma"/>
          <w:lang w:val="sr-Cyrl-CS"/>
        </w:rPr>
        <w:t>%</w:t>
      </w:r>
      <w:r w:rsidR="00153234" w:rsidRPr="00767D4D">
        <w:rPr>
          <w:rFonts w:ascii="Tahoma" w:hAnsi="Tahoma" w:cs="Tahoma"/>
          <w:lang w:val="sr-Cyrl-CS"/>
        </w:rPr>
        <w:t>,</w:t>
      </w:r>
      <w:r w:rsidR="001A1901" w:rsidRPr="00767D4D">
        <w:rPr>
          <w:rFonts w:ascii="Tahoma" w:hAnsi="Tahoma" w:cs="Tahoma"/>
          <w:lang w:val="sr-Cyrl-CS"/>
        </w:rPr>
        <w:t xml:space="preserve"> </w:t>
      </w:r>
      <w:r w:rsidR="00E3658E" w:rsidRPr="00767D4D">
        <w:rPr>
          <w:rFonts w:ascii="Tahoma" w:hAnsi="Tahoma" w:cs="Tahoma"/>
          <w:lang w:val="sr-Cyrl-CS"/>
        </w:rPr>
        <w:t>цијене енергије за 0,6</w:t>
      </w:r>
      <w:r w:rsidR="00F14F2F" w:rsidRPr="00767D4D">
        <w:rPr>
          <w:rFonts w:ascii="Tahoma" w:hAnsi="Tahoma" w:cs="Tahoma"/>
          <w:lang w:val="sr-Cyrl-CS"/>
        </w:rPr>
        <w:t xml:space="preserve">%, </w:t>
      </w:r>
      <w:r w:rsidR="001A1901" w:rsidRPr="00767D4D">
        <w:rPr>
          <w:rFonts w:ascii="Tahoma" w:hAnsi="Tahoma" w:cs="Tahoma"/>
          <w:lang w:val="sr-Cyrl-CS"/>
        </w:rPr>
        <w:t>цијене</w:t>
      </w:r>
      <w:r w:rsidR="00552353" w:rsidRPr="00767D4D">
        <w:rPr>
          <w:rFonts w:ascii="Tahoma" w:hAnsi="Tahoma" w:cs="Tahoma"/>
          <w:lang w:val="sr-Cyrl-CS"/>
        </w:rPr>
        <w:t xml:space="preserve"> </w:t>
      </w:r>
      <w:r w:rsidR="001A1901" w:rsidRPr="00767D4D">
        <w:rPr>
          <w:rFonts w:ascii="Tahoma" w:hAnsi="Tahoma" w:cs="Tahoma"/>
          <w:lang w:val="sr-Cyrl-CS"/>
        </w:rPr>
        <w:t xml:space="preserve">трајних производа за широку потрошњу </w:t>
      </w:r>
      <w:r w:rsidR="00F14F2F" w:rsidRPr="00767D4D">
        <w:rPr>
          <w:rFonts w:ascii="Tahoma" w:hAnsi="Tahoma" w:cs="Tahoma"/>
          <w:lang w:val="sr-Cyrl-CS"/>
        </w:rPr>
        <w:t>за 0,3%</w:t>
      </w:r>
      <w:r w:rsidR="00E3658E" w:rsidRPr="00767D4D">
        <w:rPr>
          <w:rFonts w:ascii="Tahoma" w:hAnsi="Tahoma" w:cs="Tahoma"/>
          <w:lang w:val="sr-Cyrl-CS"/>
        </w:rPr>
        <w:t xml:space="preserve"> као и</w:t>
      </w:r>
      <w:r w:rsidR="00CB271B" w:rsidRPr="00767D4D">
        <w:rPr>
          <w:rFonts w:ascii="Tahoma" w:hAnsi="Tahoma" w:cs="Tahoma"/>
          <w:lang w:val="sr-Cyrl-CS"/>
        </w:rPr>
        <w:t xml:space="preserve"> цијене </w:t>
      </w:r>
      <w:r w:rsidR="00F14F2F" w:rsidRPr="00767D4D">
        <w:rPr>
          <w:rFonts w:ascii="Tahoma" w:hAnsi="Tahoma" w:cs="Tahoma"/>
          <w:lang w:val="sr-Cyrl-CS"/>
        </w:rPr>
        <w:t>не</w:t>
      </w:r>
      <w:r w:rsidR="00CB271B" w:rsidRPr="00767D4D">
        <w:rPr>
          <w:rFonts w:ascii="Tahoma" w:hAnsi="Tahoma" w:cs="Tahoma"/>
          <w:lang w:val="sr-Cyrl-CS"/>
        </w:rPr>
        <w:t>трајних про</w:t>
      </w:r>
      <w:r w:rsidR="00E3658E" w:rsidRPr="00767D4D">
        <w:rPr>
          <w:rFonts w:ascii="Tahoma" w:hAnsi="Tahoma" w:cs="Tahoma"/>
          <w:lang w:val="sr-Cyrl-CS"/>
        </w:rPr>
        <w:t>извода за широку потрошњу за 0,3</w:t>
      </w:r>
      <w:r w:rsidR="00CB271B" w:rsidRPr="00767D4D">
        <w:rPr>
          <w:rFonts w:ascii="Tahoma" w:hAnsi="Tahoma" w:cs="Tahoma"/>
          <w:lang w:val="sr-Cyrl-CS"/>
        </w:rPr>
        <w:t>%,</w:t>
      </w:r>
      <w:r w:rsidR="00A1128C" w:rsidRPr="00767D4D">
        <w:rPr>
          <w:rFonts w:ascii="Tahoma" w:hAnsi="Tahoma" w:cs="Tahoma"/>
          <w:lang w:val="sr-Cyrl-CS"/>
        </w:rPr>
        <w:t xml:space="preserve"> </w:t>
      </w:r>
      <w:r w:rsidR="003A790D" w:rsidRPr="00767D4D">
        <w:rPr>
          <w:rFonts w:ascii="Tahoma" w:hAnsi="Tahoma" w:cs="Tahoma"/>
          <w:lang w:val="sr-Cyrl-CS"/>
        </w:rPr>
        <w:t xml:space="preserve">док су </w:t>
      </w:r>
      <w:r w:rsidR="00D37E00" w:rsidRPr="00767D4D">
        <w:rPr>
          <w:rFonts w:ascii="Tahoma" w:hAnsi="Tahoma" w:cs="Tahoma"/>
          <w:lang w:val="sr-Cyrl-CS"/>
        </w:rPr>
        <w:t xml:space="preserve">цијене капиталних прозвода </w:t>
      </w:r>
      <w:r w:rsidR="003A790D" w:rsidRPr="00767D4D">
        <w:rPr>
          <w:rFonts w:ascii="Tahoma" w:hAnsi="Tahoma" w:cs="Tahoma"/>
          <w:lang w:val="sr-Cyrl-CS"/>
        </w:rPr>
        <w:t>у просјеку</w:t>
      </w:r>
      <w:r w:rsidR="00F14F2F" w:rsidRPr="00767D4D">
        <w:rPr>
          <w:rFonts w:ascii="Tahoma" w:hAnsi="Tahoma" w:cs="Tahoma"/>
          <w:lang w:val="sr-Cyrl-CS"/>
        </w:rPr>
        <w:t xml:space="preserve"> ниже за 0,3</w:t>
      </w:r>
      <w:r w:rsidR="00D37E00" w:rsidRPr="00767D4D">
        <w:rPr>
          <w:rFonts w:ascii="Tahoma" w:hAnsi="Tahoma" w:cs="Tahoma"/>
          <w:lang w:val="sr-Cyrl-CS"/>
        </w:rPr>
        <w:t>%.</w:t>
      </w:r>
    </w:p>
    <w:p w:rsidR="00CB271B" w:rsidRPr="00767D4D" w:rsidRDefault="00CB271B" w:rsidP="00094E6E">
      <w:pPr>
        <w:jc w:val="both"/>
        <w:rPr>
          <w:rFonts w:ascii="Tahoma" w:hAnsi="Tahoma" w:cs="Tahoma"/>
          <w:lang w:val="sr-Cyrl-CS"/>
        </w:rPr>
      </w:pPr>
    </w:p>
    <w:p w:rsidR="00F14F2F" w:rsidRPr="00767D4D" w:rsidRDefault="00F14F2F" w:rsidP="00F14F2F">
      <w:pPr>
        <w:ind w:right="68"/>
        <w:jc w:val="both"/>
        <w:rPr>
          <w:rFonts w:ascii="Tahoma" w:hAnsi="Tahoma" w:cs="Tahoma"/>
          <w:lang w:val="sr-Cyrl-CS"/>
        </w:rPr>
      </w:pPr>
      <w:r w:rsidRPr="00767D4D">
        <w:rPr>
          <w:rFonts w:ascii="Tahoma" w:hAnsi="Tahoma" w:cs="Tahoma"/>
          <w:lang w:val="hr-HR"/>
        </w:rPr>
        <w:t xml:space="preserve">Посматрано по </w:t>
      </w:r>
      <w:r w:rsidRPr="00767D4D">
        <w:rPr>
          <w:rFonts w:ascii="Tahoma" w:hAnsi="Tahoma" w:cs="Tahoma"/>
          <w:lang w:val="sr-Cyrl-CS"/>
        </w:rPr>
        <w:t>подручјима</w:t>
      </w:r>
      <w:r w:rsidRPr="00767D4D">
        <w:rPr>
          <w:rFonts w:ascii="Tahoma" w:hAnsi="Tahoma" w:cs="Tahoma"/>
          <w:lang w:val="hr-HR"/>
        </w:rPr>
        <w:t xml:space="preserve"> </w:t>
      </w:r>
      <w:r w:rsidRPr="00767D4D">
        <w:rPr>
          <w:rFonts w:ascii="Tahoma" w:hAnsi="Tahoma" w:cs="Tahoma"/>
          <w:lang w:val="sr-Cyrl-CS"/>
        </w:rPr>
        <w:t>индустријске производње</w:t>
      </w:r>
      <w:r w:rsidRPr="00767D4D">
        <w:rPr>
          <w:rFonts w:ascii="Tahoma" w:hAnsi="Tahoma" w:cs="Tahoma"/>
          <w:lang w:val="hr-HR"/>
        </w:rPr>
        <w:t xml:space="preserve"> (</w:t>
      </w:r>
      <w:r w:rsidRPr="00767D4D">
        <w:rPr>
          <w:rFonts w:ascii="Tahoma" w:hAnsi="Tahoma" w:cs="Tahoma"/>
          <w:lang w:val="sr-Cyrl-CS"/>
        </w:rPr>
        <w:t>PRODCOM</w:t>
      </w:r>
      <w:r w:rsidRPr="00767D4D">
        <w:rPr>
          <w:rFonts w:ascii="Tahoma" w:hAnsi="Tahoma" w:cs="Tahoma"/>
          <w:lang w:val="hr-HR"/>
        </w:rPr>
        <w:t>)</w:t>
      </w:r>
      <w:r w:rsidRPr="00767D4D">
        <w:rPr>
          <w:rFonts w:ascii="Tahoma" w:hAnsi="Tahoma" w:cs="Tahoma"/>
          <w:lang w:val="sr-Cyrl-CS"/>
        </w:rPr>
        <w:t>,</w:t>
      </w:r>
      <w:r w:rsidRPr="00767D4D">
        <w:rPr>
          <w:rFonts w:ascii="Tahoma" w:hAnsi="Tahoma" w:cs="Tahoma"/>
          <w:lang w:val="hr-HR"/>
        </w:rPr>
        <w:t xml:space="preserve"> </w:t>
      </w:r>
      <w:r w:rsidRPr="00767D4D">
        <w:rPr>
          <w:rFonts w:ascii="Tahoma" w:hAnsi="Tahoma" w:cs="Tahoma"/>
          <w:lang w:val="sr-Cyrl-CS"/>
        </w:rPr>
        <w:t>цијене подручја</w:t>
      </w:r>
      <w:r w:rsidRPr="00767D4D">
        <w:rPr>
          <w:rFonts w:ascii="Tahoma" w:hAnsi="Tahoma" w:cs="Tahoma"/>
        </w:rPr>
        <w:t xml:space="preserve"> </w:t>
      </w:r>
      <w:r w:rsidRPr="00767D4D">
        <w:rPr>
          <w:rFonts w:ascii="Tahoma" w:hAnsi="Tahoma" w:cs="Tahoma"/>
          <w:lang w:val="sr-Cyrl-CS"/>
        </w:rPr>
        <w:t>подручја (Ц)</w:t>
      </w:r>
      <w:r w:rsidRPr="00767D4D">
        <w:rPr>
          <w:rFonts w:ascii="Tahoma" w:hAnsi="Tahoma" w:cs="Tahoma"/>
          <w:lang w:val="hr-HR"/>
        </w:rPr>
        <w:t xml:space="preserve"> </w:t>
      </w:r>
      <w:r w:rsidRPr="00767D4D">
        <w:rPr>
          <w:rFonts w:ascii="Tahoma" w:hAnsi="Tahoma" w:cs="Tahoma"/>
          <w:lang w:val="sr-Cyrl-CS"/>
        </w:rPr>
        <w:t xml:space="preserve">вађење руда и камена </w:t>
      </w:r>
      <w:r w:rsidRPr="00767D4D">
        <w:rPr>
          <w:rFonts w:ascii="Tahoma" w:hAnsi="Tahoma" w:cs="Tahoma"/>
          <w:lang w:val="hr-HR"/>
        </w:rPr>
        <w:t>у</w:t>
      </w:r>
      <w:r w:rsidRPr="00767D4D">
        <w:rPr>
          <w:rFonts w:ascii="Tahoma" w:hAnsi="Tahoma" w:cs="Tahoma"/>
          <w:lang w:val="sr-Cyrl-CS"/>
        </w:rPr>
        <w:t xml:space="preserve"> </w:t>
      </w:r>
      <w:r w:rsidR="00EB6FC1" w:rsidRPr="00767D4D">
        <w:rPr>
          <w:rFonts w:ascii="Tahoma" w:hAnsi="Tahoma" w:cs="Tahoma"/>
          <w:lang w:val="sr-Cyrl-CS"/>
        </w:rPr>
        <w:t xml:space="preserve">децембру </w:t>
      </w:r>
      <w:r w:rsidRPr="00767D4D">
        <w:rPr>
          <w:rFonts w:ascii="Tahoma" w:hAnsi="Tahoma" w:cs="Tahoma"/>
          <w:lang w:val="hr-HR"/>
        </w:rPr>
        <w:t>20</w:t>
      </w:r>
      <w:r w:rsidRPr="00767D4D">
        <w:rPr>
          <w:rFonts w:ascii="Tahoma" w:hAnsi="Tahoma" w:cs="Tahoma"/>
          <w:lang w:val="sr-Cyrl-CS"/>
        </w:rPr>
        <w:t>12</w:t>
      </w:r>
      <w:r w:rsidRPr="00767D4D">
        <w:rPr>
          <w:rFonts w:ascii="Tahoma" w:hAnsi="Tahoma" w:cs="Tahoma"/>
          <w:lang w:val="hr-HR"/>
        </w:rPr>
        <w:t xml:space="preserve">. </w:t>
      </w:r>
      <w:r w:rsidRPr="00767D4D">
        <w:rPr>
          <w:rFonts w:ascii="Tahoma" w:hAnsi="Tahoma" w:cs="Tahoma"/>
          <w:lang w:val="sr-Cyrl-CS"/>
        </w:rPr>
        <w:t>године у</w:t>
      </w:r>
      <w:r w:rsidRPr="00767D4D">
        <w:rPr>
          <w:rFonts w:ascii="Tahoma" w:hAnsi="Tahoma" w:cs="Tahoma"/>
          <w:lang w:val="hr-HR"/>
        </w:rPr>
        <w:t xml:space="preserve"> односу на</w:t>
      </w:r>
      <w:r w:rsidR="00EB6FC1" w:rsidRPr="00767D4D">
        <w:rPr>
          <w:rFonts w:ascii="Tahoma" w:hAnsi="Tahoma" w:cs="Tahoma"/>
          <w:lang w:val="sr-Cyrl-CS"/>
        </w:rPr>
        <w:t xml:space="preserve"> </w:t>
      </w:r>
      <w:r w:rsidR="003A4D8B" w:rsidRPr="00767D4D">
        <w:rPr>
          <w:rFonts w:ascii="Tahoma" w:hAnsi="Tahoma" w:cs="Tahoma"/>
          <w:lang w:val="sr-Cyrl-CS"/>
        </w:rPr>
        <w:t>новембар</w:t>
      </w:r>
      <w:r w:rsidRPr="00767D4D">
        <w:rPr>
          <w:rFonts w:ascii="Tahoma" w:hAnsi="Tahoma" w:cs="Tahoma"/>
          <w:lang w:val="hr-HR"/>
        </w:rPr>
        <w:t xml:space="preserve"> 201</w:t>
      </w:r>
      <w:r w:rsidRPr="00767D4D">
        <w:rPr>
          <w:rFonts w:ascii="Tahoma" w:hAnsi="Tahoma" w:cs="Tahoma"/>
          <w:lang w:val="sr-Cyrl-CS"/>
        </w:rPr>
        <w:t>2</w:t>
      </w:r>
      <w:r w:rsidRPr="00767D4D">
        <w:rPr>
          <w:rFonts w:ascii="Tahoma" w:hAnsi="Tahoma" w:cs="Tahoma"/>
          <w:lang w:val="hr-HR"/>
        </w:rPr>
        <w:t>.</w:t>
      </w:r>
      <w:r w:rsidRPr="00767D4D">
        <w:rPr>
          <w:rFonts w:ascii="Tahoma" w:hAnsi="Tahoma" w:cs="Tahoma"/>
          <w:lang w:val="sr-Cyrl-CS"/>
        </w:rPr>
        <w:t xml:space="preserve"> године у просјеку су ниже за </w:t>
      </w:r>
      <w:r w:rsidR="003A4D8B" w:rsidRPr="00767D4D">
        <w:rPr>
          <w:rFonts w:ascii="Tahoma" w:hAnsi="Tahoma" w:cs="Tahoma"/>
          <w:lang w:val="sr-Cyrl-CS"/>
        </w:rPr>
        <w:t>2</w:t>
      </w:r>
      <w:r w:rsidR="00235B39" w:rsidRPr="00767D4D">
        <w:rPr>
          <w:rFonts w:ascii="Tahoma" w:hAnsi="Tahoma" w:cs="Tahoma"/>
          <w:lang w:val="sr-Latn-CS"/>
        </w:rPr>
        <w:t>,1</w:t>
      </w:r>
      <w:r w:rsidRPr="00767D4D">
        <w:rPr>
          <w:rFonts w:ascii="Tahoma" w:hAnsi="Tahoma" w:cs="Tahoma"/>
          <w:lang w:val="sr-Cyrl-CS"/>
        </w:rPr>
        <w:t>%, цијене подручја (Д) прерађивачка индустрија за 0,1% док су цијене подручја (Е) производња и снабдијевање електричном енергијом, гасом и водом у просјеку остале на истом нивоу.</w:t>
      </w:r>
    </w:p>
    <w:p w:rsidR="0038216B" w:rsidRPr="00767D4D" w:rsidRDefault="0038216B" w:rsidP="0038216B">
      <w:pPr>
        <w:ind w:right="68"/>
        <w:jc w:val="both"/>
        <w:rPr>
          <w:rFonts w:ascii="Tahoma" w:hAnsi="Tahoma" w:cs="Tahoma"/>
          <w:lang w:val="sr-Cyrl-CS"/>
        </w:rPr>
      </w:pPr>
    </w:p>
    <w:p w:rsidR="002874ED" w:rsidRPr="00767D4D" w:rsidRDefault="005E0301" w:rsidP="00094E6E">
      <w:pPr>
        <w:jc w:val="both"/>
        <w:rPr>
          <w:rFonts w:ascii="Tahoma" w:hAnsi="Tahoma" w:cs="Tahoma"/>
          <w:lang w:val="sr-Cyrl-CS"/>
        </w:rPr>
      </w:pPr>
      <w:r w:rsidRPr="00767D4D">
        <w:rPr>
          <w:rFonts w:ascii="Tahoma" w:hAnsi="Tahoma" w:cs="Tahoma"/>
          <w:lang w:val="bs-Cyrl-BA"/>
        </w:rPr>
        <w:t>У</w:t>
      </w:r>
      <w:r w:rsidRPr="00767D4D">
        <w:rPr>
          <w:rFonts w:ascii="Tahoma" w:hAnsi="Tahoma" w:cs="Tahoma"/>
          <w:lang w:val="sr-Cyrl-CS"/>
        </w:rPr>
        <w:t xml:space="preserve"> </w:t>
      </w:r>
      <w:r w:rsidR="003A4D8B" w:rsidRPr="00767D4D">
        <w:rPr>
          <w:rFonts w:ascii="Tahoma" w:hAnsi="Tahoma" w:cs="Tahoma"/>
          <w:lang w:val="sr-Cyrl-CS"/>
        </w:rPr>
        <w:t>децембру</w:t>
      </w:r>
      <w:r w:rsidR="00F14F2F" w:rsidRPr="00767D4D">
        <w:rPr>
          <w:rFonts w:ascii="Tahoma" w:hAnsi="Tahoma" w:cs="Tahoma"/>
          <w:lang w:val="sr-Cyrl-CS"/>
        </w:rPr>
        <w:t xml:space="preserve"> </w:t>
      </w:r>
      <w:r w:rsidRPr="00767D4D">
        <w:rPr>
          <w:rFonts w:ascii="Tahoma" w:hAnsi="Tahoma" w:cs="Tahoma"/>
          <w:lang w:val="hr-HR"/>
        </w:rPr>
        <w:t>20</w:t>
      </w:r>
      <w:r w:rsidR="0071221A" w:rsidRPr="00767D4D">
        <w:rPr>
          <w:rFonts w:ascii="Tahoma" w:hAnsi="Tahoma" w:cs="Tahoma"/>
          <w:lang w:val="sr-Cyrl-CS"/>
        </w:rPr>
        <w:t>12</w:t>
      </w:r>
      <w:r w:rsidRPr="00767D4D">
        <w:rPr>
          <w:rFonts w:ascii="Tahoma" w:hAnsi="Tahoma" w:cs="Tahoma"/>
          <w:lang w:val="hr-HR"/>
        </w:rPr>
        <w:t xml:space="preserve">. </w:t>
      </w:r>
      <w:r w:rsidR="00E11FDF" w:rsidRPr="00767D4D">
        <w:rPr>
          <w:rFonts w:ascii="Tahoma" w:hAnsi="Tahoma" w:cs="Tahoma"/>
          <w:lang w:val="sr-Cyrl-CS"/>
        </w:rPr>
        <w:t>г</w:t>
      </w:r>
      <w:r w:rsidRPr="00767D4D">
        <w:rPr>
          <w:rFonts w:ascii="Tahoma" w:hAnsi="Tahoma" w:cs="Tahoma"/>
          <w:lang w:val="sr-Cyrl-CS"/>
        </w:rPr>
        <w:t>одине</w:t>
      </w:r>
      <w:r w:rsidR="001F5630" w:rsidRPr="00767D4D">
        <w:rPr>
          <w:rFonts w:ascii="Tahoma" w:hAnsi="Tahoma" w:cs="Tahoma"/>
          <w:lang w:val="sr-Cyrl-CS"/>
        </w:rPr>
        <w:t>,</w:t>
      </w:r>
      <w:r w:rsidRPr="00767D4D">
        <w:rPr>
          <w:rFonts w:ascii="Tahoma" w:hAnsi="Tahoma" w:cs="Tahoma"/>
          <w:lang w:val="sr-Cyrl-CS"/>
        </w:rPr>
        <w:t xml:space="preserve"> </w:t>
      </w:r>
      <w:r w:rsidRPr="00767D4D">
        <w:rPr>
          <w:rFonts w:ascii="Tahoma" w:hAnsi="Tahoma" w:cs="Tahoma"/>
          <w:lang w:val="hr-HR"/>
        </w:rPr>
        <w:t>у односу на</w:t>
      </w:r>
      <w:r w:rsidR="00CD26F2" w:rsidRPr="00767D4D">
        <w:rPr>
          <w:rFonts w:ascii="Tahoma" w:hAnsi="Tahoma" w:cs="Tahoma"/>
          <w:lang w:val="sr-Cyrl-CS"/>
        </w:rPr>
        <w:t xml:space="preserve"> </w:t>
      </w:r>
      <w:r w:rsidR="003A4D8B" w:rsidRPr="00767D4D">
        <w:rPr>
          <w:rFonts w:ascii="Tahoma" w:hAnsi="Tahoma" w:cs="Tahoma"/>
          <w:lang w:val="sr-Cyrl-CS"/>
        </w:rPr>
        <w:t>децембар</w:t>
      </w:r>
      <w:r w:rsidR="00F364E1" w:rsidRPr="00767D4D">
        <w:rPr>
          <w:rFonts w:ascii="Tahoma" w:hAnsi="Tahoma" w:cs="Tahoma"/>
          <w:lang w:val="hr-HR"/>
        </w:rPr>
        <w:t xml:space="preserve"> </w:t>
      </w:r>
      <w:r w:rsidRPr="00767D4D">
        <w:rPr>
          <w:rFonts w:ascii="Tahoma" w:hAnsi="Tahoma" w:cs="Tahoma"/>
          <w:lang w:val="hr-HR"/>
        </w:rPr>
        <w:t>20</w:t>
      </w:r>
      <w:r w:rsidR="0071221A" w:rsidRPr="00767D4D">
        <w:rPr>
          <w:rFonts w:ascii="Tahoma" w:hAnsi="Tahoma" w:cs="Tahoma"/>
          <w:lang w:val="sr-Cyrl-CS"/>
        </w:rPr>
        <w:t>11</w:t>
      </w:r>
      <w:r w:rsidRPr="00767D4D">
        <w:rPr>
          <w:rFonts w:ascii="Tahoma" w:hAnsi="Tahoma" w:cs="Tahoma"/>
          <w:lang w:val="hr-HR"/>
        </w:rPr>
        <w:t>.</w:t>
      </w:r>
      <w:r w:rsidRPr="00767D4D">
        <w:rPr>
          <w:rFonts w:ascii="Tahoma" w:hAnsi="Tahoma" w:cs="Tahoma"/>
          <w:lang w:val="sr-Cyrl-CS"/>
        </w:rPr>
        <w:t xml:space="preserve"> године,</w:t>
      </w:r>
      <w:r w:rsidRPr="00767D4D">
        <w:rPr>
          <w:rFonts w:ascii="Tahoma" w:hAnsi="Tahoma" w:cs="Tahoma"/>
          <w:lang w:val="sr-Cyrl-BA"/>
        </w:rPr>
        <w:t xml:space="preserve"> </w:t>
      </w:r>
      <w:r w:rsidRPr="00767D4D">
        <w:rPr>
          <w:rFonts w:ascii="Tahoma" w:hAnsi="Tahoma" w:cs="Tahoma"/>
          <w:lang w:val="sr-Cyrl-CS"/>
        </w:rPr>
        <w:t>цијене подруч</w:t>
      </w:r>
      <w:r w:rsidRPr="00767D4D">
        <w:rPr>
          <w:rFonts w:ascii="Tahoma" w:hAnsi="Tahoma" w:cs="Tahoma"/>
        </w:rPr>
        <w:t>j</w:t>
      </w:r>
      <w:r w:rsidRPr="00767D4D">
        <w:rPr>
          <w:rFonts w:ascii="Tahoma" w:hAnsi="Tahoma" w:cs="Tahoma"/>
          <w:lang w:val="sr-Cyrl-CS"/>
        </w:rPr>
        <w:t xml:space="preserve">а </w:t>
      </w:r>
      <w:r w:rsidR="003A4D8B" w:rsidRPr="00767D4D">
        <w:rPr>
          <w:rFonts w:ascii="Tahoma" w:hAnsi="Tahoma" w:cs="Tahoma"/>
          <w:i/>
          <w:lang w:val="sr-Cyrl-CS"/>
        </w:rPr>
        <w:t xml:space="preserve">Вађење руда и камена </w:t>
      </w:r>
      <w:r w:rsidR="003A4D8B" w:rsidRPr="00767D4D">
        <w:rPr>
          <w:rFonts w:ascii="Tahoma" w:hAnsi="Tahoma" w:cs="Tahoma"/>
          <w:lang w:val="sr-Cyrl-CS"/>
        </w:rPr>
        <w:t>као и</w:t>
      </w:r>
      <w:r w:rsidR="003A4D8B" w:rsidRPr="00767D4D">
        <w:rPr>
          <w:rFonts w:ascii="Tahoma" w:hAnsi="Tahoma" w:cs="Tahoma"/>
          <w:i/>
          <w:lang w:val="sr-Cyrl-CS"/>
        </w:rPr>
        <w:t xml:space="preserve"> </w:t>
      </w:r>
      <w:r w:rsidR="003A4D8B" w:rsidRPr="00767D4D">
        <w:rPr>
          <w:rFonts w:ascii="Tahoma" w:hAnsi="Tahoma" w:cs="Tahoma"/>
          <w:bCs/>
          <w:lang w:val="sr-Cyrl-CS"/>
        </w:rPr>
        <w:t>цијене подручја</w:t>
      </w:r>
      <w:r w:rsidR="003A4D8B" w:rsidRPr="00767D4D">
        <w:rPr>
          <w:rFonts w:ascii="Tahoma" w:hAnsi="Tahoma" w:cs="Tahoma"/>
          <w:i/>
          <w:lang w:val="sr-Cyrl-CS"/>
        </w:rPr>
        <w:t xml:space="preserve"> </w:t>
      </w:r>
      <w:r w:rsidR="00F364E1" w:rsidRPr="00767D4D">
        <w:rPr>
          <w:rFonts w:ascii="Tahoma" w:hAnsi="Tahoma" w:cs="Tahoma"/>
          <w:bCs/>
          <w:i/>
          <w:lang w:val="sr-Cyrl-CS"/>
        </w:rPr>
        <w:t>Прерађивачка индустрија</w:t>
      </w:r>
      <w:r w:rsidR="00F445C9" w:rsidRPr="00767D4D">
        <w:rPr>
          <w:rFonts w:ascii="Tahoma" w:hAnsi="Tahoma" w:cs="Tahoma"/>
          <w:lang w:val="sr-Cyrl-CS"/>
        </w:rPr>
        <w:t xml:space="preserve">  у</w:t>
      </w:r>
      <w:r w:rsidR="000D4C8C" w:rsidRPr="00767D4D">
        <w:rPr>
          <w:rFonts w:ascii="Tahoma" w:hAnsi="Tahoma" w:cs="Tahoma"/>
          <w:lang w:val="sr-Cyrl-CS"/>
        </w:rPr>
        <w:t xml:space="preserve"> просјеку су више за </w:t>
      </w:r>
      <w:r w:rsidR="007E6760" w:rsidRPr="00767D4D">
        <w:rPr>
          <w:rFonts w:ascii="Tahoma" w:hAnsi="Tahoma" w:cs="Tahoma"/>
          <w:lang w:val="sr-Cyrl-CS"/>
        </w:rPr>
        <w:t>1,3</w:t>
      </w:r>
      <w:r w:rsidRPr="00767D4D">
        <w:rPr>
          <w:rFonts w:ascii="Tahoma" w:hAnsi="Tahoma" w:cs="Tahoma"/>
          <w:lang w:val="sr-Cyrl-CS"/>
        </w:rPr>
        <w:t xml:space="preserve">%, </w:t>
      </w:r>
      <w:r w:rsidR="003A4D8B" w:rsidRPr="00767D4D">
        <w:rPr>
          <w:rFonts w:ascii="Tahoma" w:hAnsi="Tahoma" w:cs="Tahoma"/>
          <w:lang w:val="sr-Cyrl-CS"/>
        </w:rPr>
        <w:t>док су</w:t>
      </w:r>
      <w:r w:rsidR="00F364E1" w:rsidRPr="00767D4D">
        <w:rPr>
          <w:rFonts w:ascii="Tahoma" w:hAnsi="Tahoma" w:cs="Tahoma"/>
          <w:i/>
          <w:lang w:val="sr-Cyrl-CS"/>
        </w:rPr>
        <w:t xml:space="preserve"> </w:t>
      </w:r>
      <w:r w:rsidR="009A4953" w:rsidRPr="00767D4D">
        <w:rPr>
          <w:rFonts w:ascii="Tahoma" w:hAnsi="Tahoma" w:cs="Tahoma"/>
          <w:lang w:val="sr-Cyrl-CS"/>
        </w:rPr>
        <w:t xml:space="preserve">цијене </w:t>
      </w:r>
      <w:r w:rsidR="00F364E1" w:rsidRPr="00767D4D">
        <w:rPr>
          <w:rFonts w:ascii="Tahoma" w:hAnsi="Tahoma" w:cs="Tahoma"/>
          <w:lang w:val="sr-Cyrl-CS"/>
        </w:rPr>
        <w:t>подручја</w:t>
      </w:r>
      <w:r w:rsidR="00310650" w:rsidRPr="00767D4D">
        <w:rPr>
          <w:rFonts w:ascii="Tahoma" w:hAnsi="Tahoma" w:cs="Tahoma"/>
          <w:bCs/>
          <w:i/>
          <w:lang w:val="sr-Cyrl-CS"/>
        </w:rPr>
        <w:t xml:space="preserve"> Производња и снабдијевање електричном енергијом</w:t>
      </w:r>
      <w:r w:rsidR="00310650" w:rsidRPr="00767D4D">
        <w:rPr>
          <w:rFonts w:ascii="Tahoma" w:hAnsi="Tahoma" w:cs="Tahoma"/>
          <w:bCs/>
          <w:lang w:val="sr-Cyrl-CS"/>
        </w:rPr>
        <w:t xml:space="preserve">, </w:t>
      </w:r>
      <w:r w:rsidR="00310650" w:rsidRPr="00767D4D">
        <w:rPr>
          <w:rFonts w:ascii="Tahoma" w:hAnsi="Tahoma" w:cs="Tahoma"/>
          <w:bCs/>
          <w:i/>
          <w:lang w:val="sr-Cyrl-CS"/>
        </w:rPr>
        <w:t>гасом и водом</w:t>
      </w:r>
      <w:r w:rsidR="00310650" w:rsidRPr="00767D4D">
        <w:rPr>
          <w:rFonts w:ascii="Tahoma" w:hAnsi="Tahoma" w:cs="Tahoma"/>
          <w:lang w:val="sr-Cyrl-CS"/>
        </w:rPr>
        <w:t xml:space="preserve"> </w:t>
      </w:r>
      <w:r w:rsidR="007E6760" w:rsidRPr="00767D4D">
        <w:rPr>
          <w:rFonts w:ascii="Tahoma" w:hAnsi="Tahoma" w:cs="Tahoma"/>
          <w:lang w:val="sr-Cyrl-CS"/>
        </w:rPr>
        <w:t>су у просјеку остале на истом нивоу.</w:t>
      </w:r>
    </w:p>
    <w:p w:rsidR="005D400E" w:rsidRPr="00B47AD9" w:rsidRDefault="005D400E" w:rsidP="00094E6E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6E2120" w:rsidRPr="00B47AD9" w:rsidRDefault="006E2120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BC381E" w:rsidRPr="00B47AD9" w:rsidRDefault="00BC381E" w:rsidP="00BC381E">
      <w:pPr>
        <w:tabs>
          <w:tab w:val="left" w:pos="0"/>
          <w:tab w:val="left" w:pos="1100"/>
        </w:tabs>
        <w:jc w:val="both"/>
        <w:rPr>
          <w:sz w:val="28"/>
          <w:szCs w:val="28"/>
          <w:lang w:val="sr-Cyrl-CS"/>
        </w:rPr>
      </w:pPr>
      <w:r w:rsidRPr="00B47AD9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Индекс </w:t>
      </w:r>
      <w:r w:rsidRPr="00B47AD9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индустријске производње </w:t>
      </w:r>
      <w:r w:rsidRPr="00B47AD9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A42F30" w:rsidRPr="00B47AD9">
        <w:rPr>
          <w:rFonts w:ascii="Tahoma" w:hAnsi="Tahoma" w:cs="Tahoma"/>
          <w:b/>
          <w:spacing w:val="-4"/>
          <w:sz w:val="28"/>
          <w:szCs w:val="28"/>
        </w:rPr>
        <w:t>X</w:t>
      </w:r>
      <w:r w:rsidR="00AD6E8E" w:rsidRPr="00B47AD9">
        <w:rPr>
          <w:rFonts w:ascii="Tahoma" w:hAnsi="Tahoma" w:cs="Tahoma"/>
          <w:b/>
          <w:spacing w:val="-4"/>
          <w:sz w:val="28"/>
          <w:szCs w:val="28"/>
        </w:rPr>
        <w:t>I</w:t>
      </w:r>
      <w:r w:rsidR="006139C7" w:rsidRPr="00B47AD9">
        <w:rPr>
          <w:rFonts w:ascii="Tahoma" w:hAnsi="Tahoma" w:cs="Tahoma"/>
          <w:b/>
          <w:spacing w:val="-4"/>
          <w:sz w:val="28"/>
          <w:szCs w:val="28"/>
        </w:rPr>
        <w:t>I</w:t>
      </w:r>
      <w:r w:rsidRPr="00B47AD9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="0045110F" w:rsidRPr="00B47AD9">
        <w:rPr>
          <w:rFonts w:ascii="Tahoma" w:hAnsi="Tahoma" w:cs="Tahoma"/>
          <w:b/>
          <w:bCs/>
          <w:sz w:val="28"/>
          <w:szCs w:val="28"/>
        </w:rPr>
        <w:sym w:font="Symbol" w:char="F0C6"/>
      </w:r>
      <w:r w:rsidRPr="00B47AD9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Pr="00B47AD9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13755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11</w:t>
      </w:r>
      <w:r w:rsidRPr="00B47AD9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="00A42F30" w:rsidRPr="00B47AD9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већи</w:t>
      </w:r>
      <w:r w:rsidRPr="00B47AD9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6139C7" w:rsidRPr="00B47AD9">
        <w:rPr>
          <w:rFonts w:ascii="Tahoma" w:hAnsi="Tahoma" w:cs="Tahoma"/>
          <w:b/>
          <w:bCs/>
          <w:spacing w:val="-4"/>
          <w:sz w:val="28"/>
          <w:szCs w:val="28"/>
        </w:rPr>
        <w:t>3</w:t>
      </w:r>
      <w:r w:rsidRPr="00B47AD9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6139C7" w:rsidRPr="00B47AD9">
        <w:rPr>
          <w:rFonts w:ascii="Tahoma" w:hAnsi="Tahoma" w:cs="Tahoma"/>
          <w:b/>
          <w:bCs/>
          <w:spacing w:val="-4"/>
          <w:sz w:val="28"/>
          <w:szCs w:val="28"/>
        </w:rPr>
        <w:t>2</w:t>
      </w:r>
      <w:r w:rsidRPr="00B47AD9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BC381E" w:rsidRPr="00B47AD9" w:rsidRDefault="00BC381E" w:rsidP="00BC381E">
      <w:pPr>
        <w:tabs>
          <w:tab w:val="left" w:pos="0"/>
          <w:tab w:val="left" w:pos="1100"/>
        </w:tabs>
        <w:jc w:val="both"/>
        <w:rPr>
          <w:rFonts w:ascii="Tahoma" w:hAnsi="Tahoma" w:cs="Tahoma"/>
          <w:sz w:val="26"/>
          <w:szCs w:val="26"/>
          <w:lang w:val="sr-Cyrl-CS"/>
        </w:rPr>
      </w:pPr>
      <w:r w:rsidRPr="00B47AD9">
        <w:rPr>
          <w:rFonts w:ascii="Tahoma" w:hAnsi="Tahoma" w:cs="Tahoma"/>
          <w:sz w:val="26"/>
          <w:szCs w:val="26"/>
          <w:lang w:val="ru-RU"/>
        </w:rPr>
        <w:t>Индекс запослених у индустрији</w:t>
      </w:r>
      <w:r w:rsidRPr="00B47AD9">
        <w:rPr>
          <w:rFonts w:ascii="Tahoma" w:hAnsi="Tahoma" w:cs="Tahoma"/>
          <w:sz w:val="26"/>
          <w:szCs w:val="26"/>
          <w:lang w:val="sr-Latn-BA"/>
        </w:rPr>
        <w:t xml:space="preserve"> (</w:t>
      </w:r>
      <w:r w:rsidR="00A42F30" w:rsidRPr="00B47AD9">
        <w:rPr>
          <w:rFonts w:ascii="Tahoma" w:hAnsi="Tahoma" w:cs="Tahoma"/>
          <w:sz w:val="26"/>
          <w:szCs w:val="26"/>
        </w:rPr>
        <w:t>X</w:t>
      </w:r>
      <w:r w:rsidR="00AD6E8E" w:rsidRPr="00B47AD9">
        <w:rPr>
          <w:rFonts w:ascii="Tahoma" w:hAnsi="Tahoma" w:cs="Tahoma"/>
          <w:sz w:val="26"/>
          <w:szCs w:val="26"/>
        </w:rPr>
        <w:t>I</w:t>
      </w:r>
      <w:r w:rsidR="006139C7" w:rsidRPr="00B47AD9">
        <w:rPr>
          <w:rFonts w:ascii="Tahoma" w:hAnsi="Tahoma" w:cs="Tahoma"/>
          <w:sz w:val="26"/>
          <w:szCs w:val="26"/>
        </w:rPr>
        <w:t>I</w:t>
      </w:r>
      <w:r w:rsidRPr="00B47AD9">
        <w:rPr>
          <w:rFonts w:ascii="Tahoma" w:hAnsi="Tahoma" w:cs="Tahoma"/>
          <w:sz w:val="26"/>
          <w:szCs w:val="26"/>
          <w:lang w:val="sr-Latn-BA"/>
        </w:rPr>
        <w:t xml:space="preserve"> 20</w:t>
      </w:r>
      <w:r w:rsidRPr="00B47AD9">
        <w:rPr>
          <w:rFonts w:ascii="Tahoma" w:hAnsi="Tahoma" w:cs="Tahoma"/>
          <w:sz w:val="26"/>
          <w:szCs w:val="26"/>
          <w:lang w:val="sr-Cyrl-CS"/>
        </w:rPr>
        <w:t>12</w:t>
      </w:r>
      <w:r w:rsidRPr="00B47AD9">
        <w:rPr>
          <w:rFonts w:ascii="Tahoma" w:hAnsi="Tahoma" w:cs="Tahoma"/>
          <w:sz w:val="26"/>
          <w:szCs w:val="26"/>
          <w:lang w:val="sr-Latn-BA"/>
        </w:rPr>
        <w:t>/</w:t>
      </w:r>
      <w:r w:rsidRPr="00B47AD9">
        <w:rPr>
          <w:rFonts w:ascii="Tahoma" w:hAnsi="Tahoma" w:cs="Tahoma"/>
          <w:bCs/>
          <w:sz w:val="26"/>
          <w:szCs w:val="26"/>
        </w:rPr>
        <w:sym w:font="Symbol" w:char="F0C6"/>
      </w:r>
      <w:r w:rsidRPr="00B47AD9">
        <w:rPr>
          <w:rFonts w:ascii="Tahoma" w:hAnsi="Tahoma" w:cs="Tahoma"/>
          <w:bCs/>
          <w:sz w:val="26"/>
          <w:szCs w:val="26"/>
          <w:lang w:val="sr-Cyrl-CS"/>
        </w:rPr>
        <w:t xml:space="preserve"> </w:t>
      </w:r>
      <w:r w:rsidRPr="00B47AD9">
        <w:rPr>
          <w:rFonts w:ascii="Tahoma" w:hAnsi="Tahoma" w:cs="Tahoma"/>
          <w:bCs/>
          <w:sz w:val="26"/>
          <w:szCs w:val="26"/>
          <w:lang w:val="ru-RU"/>
        </w:rPr>
        <w:t>2011</w:t>
      </w:r>
      <w:r w:rsidRPr="00B47AD9">
        <w:rPr>
          <w:rFonts w:ascii="Tahoma" w:hAnsi="Tahoma" w:cs="Tahoma"/>
          <w:bCs/>
          <w:sz w:val="26"/>
          <w:szCs w:val="26"/>
          <w:lang w:val="hr-HR"/>
        </w:rPr>
        <w:t>)</w:t>
      </w:r>
      <w:r w:rsidRPr="00B47AD9">
        <w:rPr>
          <w:rFonts w:ascii="Tahoma" w:hAnsi="Tahoma" w:cs="Tahoma"/>
          <w:sz w:val="26"/>
          <w:szCs w:val="26"/>
          <w:lang w:val="sr-Latn-BA"/>
        </w:rPr>
        <w:t xml:space="preserve"> </w:t>
      </w:r>
      <w:r w:rsidRPr="00B47AD9">
        <w:rPr>
          <w:rFonts w:ascii="Tahoma" w:hAnsi="Tahoma" w:cs="Tahoma"/>
          <w:sz w:val="26"/>
          <w:szCs w:val="26"/>
          <w:lang w:val="ru-RU"/>
        </w:rPr>
        <w:t xml:space="preserve">мањи </w:t>
      </w:r>
      <w:r w:rsidR="00AD6E8E" w:rsidRPr="00B47AD9">
        <w:rPr>
          <w:rFonts w:ascii="Tahoma" w:hAnsi="Tahoma" w:cs="Tahoma"/>
          <w:sz w:val="26"/>
          <w:szCs w:val="26"/>
          <w:lang w:val="sr-Cyrl-CS"/>
        </w:rPr>
        <w:t>2</w:t>
      </w:r>
      <w:r w:rsidRPr="00B47AD9">
        <w:rPr>
          <w:rFonts w:ascii="Tahoma" w:hAnsi="Tahoma" w:cs="Tahoma"/>
          <w:sz w:val="26"/>
          <w:szCs w:val="26"/>
          <w:lang w:val="sr-Cyrl-BA"/>
        </w:rPr>
        <w:t>,</w:t>
      </w:r>
      <w:r w:rsidR="00254312" w:rsidRPr="00B47AD9">
        <w:rPr>
          <w:rFonts w:ascii="Tahoma" w:hAnsi="Tahoma" w:cs="Tahoma"/>
          <w:sz w:val="26"/>
          <w:szCs w:val="26"/>
        </w:rPr>
        <w:t>9</w:t>
      </w:r>
      <w:r w:rsidRPr="00B47AD9">
        <w:rPr>
          <w:rFonts w:ascii="Tahoma" w:hAnsi="Tahoma" w:cs="Tahoma"/>
          <w:sz w:val="26"/>
          <w:szCs w:val="26"/>
          <w:lang w:val="ru-RU"/>
        </w:rPr>
        <w:t>%</w:t>
      </w:r>
    </w:p>
    <w:p w:rsidR="00BC381E" w:rsidRPr="00B47AD9" w:rsidRDefault="00BC381E" w:rsidP="00BC381E">
      <w:pPr>
        <w:tabs>
          <w:tab w:val="left" w:pos="0"/>
          <w:tab w:val="left" w:pos="1100"/>
        </w:tabs>
        <w:jc w:val="both"/>
        <w:rPr>
          <w:sz w:val="26"/>
          <w:szCs w:val="26"/>
          <w:lang w:val="sr-Latn-CS"/>
        </w:rPr>
      </w:pPr>
    </w:p>
    <w:p w:rsidR="00BC381E" w:rsidRDefault="00BC381E" w:rsidP="00137550">
      <w:pPr>
        <w:spacing w:after="120"/>
        <w:jc w:val="both"/>
        <w:rPr>
          <w:rFonts w:ascii="Tahoma" w:hAnsi="Tahoma" w:cs="Tahoma"/>
          <w:lang w:val="ru-RU"/>
        </w:rPr>
      </w:pPr>
      <w:r w:rsidRPr="00767D4D">
        <w:rPr>
          <w:rFonts w:ascii="Tahoma" w:hAnsi="Tahoma" w:cs="Tahoma"/>
          <w:b/>
          <w:lang w:val="sr-Cyrl-CS"/>
        </w:rPr>
        <w:t>И</w:t>
      </w:r>
      <w:r w:rsidRPr="00767D4D">
        <w:rPr>
          <w:rFonts w:ascii="Tahoma" w:hAnsi="Tahoma" w:cs="Tahoma"/>
          <w:b/>
          <w:lang w:val="ru-RU"/>
        </w:rPr>
        <w:t>ндустријска производња</w:t>
      </w:r>
      <w:r w:rsidRPr="00767D4D">
        <w:rPr>
          <w:rFonts w:ascii="Tahoma" w:hAnsi="Tahoma" w:cs="Tahoma"/>
          <w:lang w:val="ru-RU"/>
        </w:rPr>
        <w:t xml:space="preserve"> остварена у </w:t>
      </w:r>
      <w:r w:rsidR="006139C7" w:rsidRPr="00767D4D">
        <w:rPr>
          <w:rFonts w:ascii="Tahoma" w:hAnsi="Tahoma" w:cs="Tahoma"/>
          <w:lang w:val="sr-Cyrl-CS"/>
        </w:rPr>
        <w:t>децембру</w:t>
      </w:r>
      <w:r w:rsidRPr="00767D4D">
        <w:rPr>
          <w:rFonts w:ascii="Tahoma" w:hAnsi="Tahoma" w:cs="Tahoma"/>
          <w:lang w:val="ru-RU"/>
        </w:rPr>
        <w:t xml:space="preserve"> 2012. године у односу на </w:t>
      </w:r>
      <w:r w:rsidR="006139C7" w:rsidRPr="00767D4D">
        <w:rPr>
          <w:rFonts w:ascii="Tahoma" w:hAnsi="Tahoma" w:cs="Tahoma"/>
          <w:lang w:val="ru-RU"/>
        </w:rPr>
        <w:t>просјечну мјесечну производњу из 2011. године већа</w:t>
      </w:r>
      <w:r w:rsidRPr="00767D4D">
        <w:rPr>
          <w:rFonts w:ascii="Tahoma" w:hAnsi="Tahoma" w:cs="Tahoma"/>
          <w:lang w:val="ru-RU"/>
        </w:rPr>
        <w:t xml:space="preserve"> је за </w:t>
      </w:r>
      <w:r w:rsidR="006139C7" w:rsidRPr="00767D4D">
        <w:rPr>
          <w:rFonts w:ascii="Tahoma" w:hAnsi="Tahoma" w:cs="Tahoma"/>
          <w:lang w:val="ru-RU"/>
        </w:rPr>
        <w:t>3</w:t>
      </w:r>
      <w:r w:rsidRPr="00767D4D">
        <w:rPr>
          <w:rFonts w:ascii="Tahoma" w:hAnsi="Tahoma" w:cs="Tahoma"/>
          <w:lang w:val="ru-RU"/>
        </w:rPr>
        <w:t>,</w:t>
      </w:r>
      <w:r w:rsidR="006139C7" w:rsidRPr="00767D4D">
        <w:rPr>
          <w:rFonts w:ascii="Tahoma" w:hAnsi="Tahoma" w:cs="Tahoma"/>
          <w:lang w:val="ru-RU"/>
        </w:rPr>
        <w:t>2</w:t>
      </w:r>
      <w:r w:rsidRPr="00767D4D">
        <w:rPr>
          <w:rFonts w:ascii="Tahoma" w:hAnsi="Tahoma" w:cs="Tahoma"/>
          <w:lang w:val="ru-RU"/>
        </w:rPr>
        <w:t xml:space="preserve">%, </w:t>
      </w:r>
      <w:r w:rsidR="0045110F" w:rsidRPr="00767D4D">
        <w:rPr>
          <w:rFonts w:ascii="Tahoma" w:hAnsi="Tahoma" w:cs="Tahoma"/>
          <w:lang w:val="ru-RU"/>
        </w:rPr>
        <w:t xml:space="preserve">у односу на </w:t>
      </w:r>
      <w:r w:rsidR="006139C7" w:rsidRPr="00767D4D">
        <w:rPr>
          <w:rFonts w:ascii="Tahoma" w:hAnsi="Tahoma" w:cs="Tahoma"/>
          <w:lang w:val="ru-RU"/>
        </w:rPr>
        <w:t>претходни мјесец текуће године већа</w:t>
      </w:r>
      <w:r w:rsidR="0045110F" w:rsidRPr="00767D4D">
        <w:rPr>
          <w:rFonts w:ascii="Tahoma" w:hAnsi="Tahoma" w:cs="Tahoma"/>
          <w:lang w:val="ru-RU"/>
        </w:rPr>
        <w:t xml:space="preserve"> је за </w:t>
      </w:r>
      <w:r w:rsidR="006139C7" w:rsidRPr="00767D4D">
        <w:rPr>
          <w:rFonts w:ascii="Tahoma" w:hAnsi="Tahoma" w:cs="Tahoma"/>
          <w:lang w:val="ru-RU"/>
        </w:rPr>
        <w:t>0</w:t>
      </w:r>
      <w:r w:rsidR="0045110F" w:rsidRPr="00767D4D">
        <w:rPr>
          <w:rFonts w:ascii="Tahoma" w:hAnsi="Tahoma" w:cs="Tahoma"/>
          <w:lang w:val="ru-RU"/>
        </w:rPr>
        <w:t>,</w:t>
      </w:r>
      <w:r w:rsidR="006139C7" w:rsidRPr="00767D4D">
        <w:rPr>
          <w:rFonts w:ascii="Tahoma" w:hAnsi="Tahoma" w:cs="Tahoma"/>
          <w:lang w:val="ru-RU"/>
        </w:rPr>
        <w:t>7</w:t>
      </w:r>
      <w:r w:rsidR="00A42F30" w:rsidRPr="00767D4D">
        <w:rPr>
          <w:rFonts w:ascii="Tahoma" w:hAnsi="Tahoma" w:cs="Tahoma"/>
          <w:lang w:val="ru-RU"/>
        </w:rPr>
        <w:t>%</w:t>
      </w:r>
      <w:r w:rsidR="003C6F7F" w:rsidRPr="00767D4D">
        <w:rPr>
          <w:rFonts w:ascii="Tahoma" w:hAnsi="Tahoma" w:cs="Tahoma"/>
          <w:lang w:val="ru-RU"/>
        </w:rPr>
        <w:t>, док је</w:t>
      </w:r>
      <w:r w:rsidR="0045110F" w:rsidRPr="00767D4D">
        <w:rPr>
          <w:rFonts w:ascii="Tahoma" w:hAnsi="Tahoma" w:cs="Tahoma"/>
          <w:lang w:val="ru-RU"/>
        </w:rPr>
        <w:t xml:space="preserve"> </w:t>
      </w:r>
      <w:r w:rsidRPr="00767D4D">
        <w:rPr>
          <w:rFonts w:ascii="Tahoma" w:hAnsi="Tahoma" w:cs="Tahoma"/>
          <w:lang w:val="ru-RU"/>
        </w:rPr>
        <w:t xml:space="preserve">у односу на </w:t>
      </w:r>
      <w:r w:rsidR="006139C7" w:rsidRPr="00767D4D">
        <w:rPr>
          <w:rFonts w:ascii="Tahoma" w:hAnsi="Tahoma" w:cs="Tahoma"/>
          <w:lang w:val="ru-RU"/>
        </w:rPr>
        <w:t>исти мјесец прошле године мања</w:t>
      </w:r>
      <w:r w:rsidR="003C6F7F" w:rsidRPr="00767D4D">
        <w:rPr>
          <w:rFonts w:ascii="Tahoma" w:hAnsi="Tahoma" w:cs="Tahoma"/>
          <w:lang w:val="ru-RU"/>
        </w:rPr>
        <w:t xml:space="preserve"> </w:t>
      </w:r>
      <w:r w:rsidRPr="00767D4D">
        <w:rPr>
          <w:rFonts w:ascii="Tahoma" w:hAnsi="Tahoma" w:cs="Tahoma"/>
          <w:lang w:val="ru-RU"/>
        </w:rPr>
        <w:t xml:space="preserve">за </w:t>
      </w:r>
      <w:r w:rsidR="006139C7" w:rsidRPr="00767D4D">
        <w:rPr>
          <w:rFonts w:ascii="Tahoma" w:hAnsi="Tahoma" w:cs="Tahoma"/>
          <w:lang w:val="ru-RU"/>
        </w:rPr>
        <w:t>1</w:t>
      </w:r>
      <w:r w:rsidRPr="00767D4D">
        <w:rPr>
          <w:rFonts w:ascii="Tahoma" w:hAnsi="Tahoma" w:cs="Tahoma"/>
          <w:lang w:val="ru-RU"/>
        </w:rPr>
        <w:t>,</w:t>
      </w:r>
      <w:r w:rsidR="006139C7" w:rsidRPr="00767D4D">
        <w:rPr>
          <w:rFonts w:ascii="Tahoma" w:hAnsi="Tahoma" w:cs="Tahoma"/>
          <w:lang w:val="ru-RU"/>
        </w:rPr>
        <w:t>5</w:t>
      </w:r>
      <w:r w:rsidRPr="00767D4D">
        <w:rPr>
          <w:rFonts w:ascii="Tahoma" w:hAnsi="Tahoma" w:cs="Tahoma"/>
          <w:lang w:val="ru-RU"/>
        </w:rPr>
        <w:t>%.</w:t>
      </w:r>
    </w:p>
    <w:p w:rsidR="00A76DF8" w:rsidRPr="00A76DF8" w:rsidRDefault="00A76DF8" w:rsidP="00A76DF8">
      <w:pPr>
        <w:spacing w:after="120"/>
        <w:jc w:val="both"/>
        <w:rPr>
          <w:rFonts w:ascii="Tahoma" w:hAnsi="Tahoma" w:cs="Tahoma"/>
        </w:rPr>
      </w:pPr>
      <w:r w:rsidRPr="00A76DF8">
        <w:rPr>
          <w:rFonts w:ascii="Tahoma" w:hAnsi="Tahoma" w:cs="Tahoma"/>
          <w:lang w:val="sr-Cyrl-BA"/>
        </w:rPr>
        <w:t xml:space="preserve">На раст производње, посматрано према утицају на укупан индекс мјесеца на просјек, највише је утицало повећање производње у области </w:t>
      </w:r>
      <w:r w:rsidRPr="00A76DF8">
        <w:rPr>
          <w:rFonts w:ascii="Tahoma" w:hAnsi="Tahoma" w:cs="Tahoma"/>
          <w:lang w:val="sr-Cyrl-CS"/>
        </w:rPr>
        <w:t xml:space="preserve">производње и снабдијевања електричном енергијом, </w:t>
      </w:r>
      <w:r w:rsidRPr="00A76DF8">
        <w:rPr>
          <w:rFonts w:ascii="Tahoma" w:hAnsi="Tahoma" w:cs="Tahoma"/>
          <w:lang w:val="sr-Cyrl-BA"/>
        </w:rPr>
        <w:t>у области производњ</w:t>
      </w:r>
      <w:r w:rsidRPr="00A76DF8">
        <w:rPr>
          <w:rFonts w:ascii="Tahoma" w:hAnsi="Tahoma" w:cs="Tahoma"/>
          <w:lang w:val="sr-Cyrl-CS"/>
        </w:rPr>
        <w:t>е прехрамбених производа</w:t>
      </w:r>
      <w:r w:rsidRPr="00A76DF8">
        <w:rPr>
          <w:rFonts w:ascii="Tahoma" w:hAnsi="Tahoma" w:cs="Tahoma"/>
          <w:lang w:val="sr-Cyrl-BA"/>
        </w:rPr>
        <w:t xml:space="preserve"> и пића</w:t>
      </w:r>
      <w:r w:rsidRPr="00A76DF8">
        <w:rPr>
          <w:rFonts w:ascii="Tahoma" w:hAnsi="Tahoma" w:cs="Tahoma"/>
          <w:lang w:val="sr-Cyrl-CS"/>
        </w:rPr>
        <w:t xml:space="preserve"> и у области вађења каменог и мрког угља и лигнита. </w:t>
      </w:r>
    </w:p>
    <w:p w:rsidR="00A76DF8" w:rsidRPr="00A76DF8" w:rsidRDefault="00A76DF8" w:rsidP="00A76DF8">
      <w:pPr>
        <w:spacing w:after="120"/>
        <w:jc w:val="both"/>
        <w:rPr>
          <w:rFonts w:ascii="Tahoma" w:hAnsi="Tahoma" w:cs="Tahoma"/>
          <w:lang w:val="ru-RU"/>
        </w:rPr>
      </w:pPr>
      <w:r w:rsidRPr="00A76DF8">
        <w:rPr>
          <w:rFonts w:ascii="Tahoma" w:hAnsi="Tahoma" w:cs="Tahoma"/>
          <w:lang w:val="sr-Cyrl-BA"/>
        </w:rPr>
        <w:t xml:space="preserve">У исто вријеме, </w:t>
      </w:r>
      <w:r w:rsidRPr="00A76DF8">
        <w:rPr>
          <w:rFonts w:ascii="Tahoma" w:hAnsi="Tahoma" w:cs="Tahoma"/>
          <w:lang w:val="sr-Cyrl-CS"/>
        </w:rPr>
        <w:t xml:space="preserve">на </w:t>
      </w:r>
      <w:r w:rsidRPr="00A76DF8">
        <w:rPr>
          <w:rFonts w:ascii="Tahoma" w:hAnsi="Tahoma" w:cs="Tahoma"/>
          <w:lang w:val="sr-Cyrl-BA"/>
        </w:rPr>
        <w:t xml:space="preserve">смањење производње </w:t>
      </w:r>
      <w:r w:rsidRPr="00A76DF8">
        <w:rPr>
          <w:rFonts w:ascii="Tahoma" w:hAnsi="Tahoma" w:cs="Tahoma"/>
          <w:lang w:val="sr-Cyrl-CS"/>
        </w:rPr>
        <w:t>у подручју вађења руда и камена утицао је пад производње у области вађења руда метала и због сезонског карактера производње у области вађења осталих руда и камена.</w:t>
      </w:r>
    </w:p>
    <w:p w:rsidR="00BC381E" w:rsidRPr="00767D4D" w:rsidRDefault="00BC381E" w:rsidP="00BC381E">
      <w:pPr>
        <w:tabs>
          <w:tab w:val="left" w:pos="0"/>
          <w:tab w:val="left" w:pos="1100"/>
        </w:tabs>
        <w:jc w:val="both"/>
        <w:rPr>
          <w:rFonts w:ascii="Tahoma" w:hAnsi="Tahoma" w:cs="Tahoma"/>
        </w:rPr>
      </w:pPr>
      <w:r w:rsidRPr="00767D4D">
        <w:rPr>
          <w:rFonts w:ascii="Tahoma" w:hAnsi="Tahoma" w:cs="Tahoma"/>
          <w:lang w:val="ru-RU"/>
        </w:rPr>
        <w:t xml:space="preserve">Посматрано по економској намјени индустријских производа у периоду јануар – </w:t>
      </w:r>
      <w:r w:rsidR="006139C7" w:rsidRPr="00767D4D">
        <w:rPr>
          <w:rFonts w:ascii="Tahoma" w:hAnsi="Tahoma" w:cs="Tahoma"/>
          <w:lang w:val="ru-RU"/>
        </w:rPr>
        <w:t>децембар</w:t>
      </w:r>
      <w:r w:rsidRPr="00767D4D">
        <w:rPr>
          <w:rFonts w:ascii="Tahoma" w:hAnsi="Tahoma" w:cs="Tahoma"/>
          <w:lang w:val="ru-RU"/>
        </w:rPr>
        <w:t xml:space="preserve"> 2012. године у односу на исти период прошле године забиљежена је </w:t>
      </w:r>
      <w:r w:rsidRPr="00767D4D">
        <w:rPr>
          <w:rFonts w:ascii="Tahoma" w:hAnsi="Tahoma" w:cs="Tahoma"/>
          <w:lang w:val="sr-Cyrl-CS"/>
        </w:rPr>
        <w:t xml:space="preserve">негативна </w:t>
      </w:r>
      <w:r w:rsidRPr="00767D4D">
        <w:rPr>
          <w:rFonts w:ascii="Tahoma" w:hAnsi="Tahoma" w:cs="Tahoma"/>
          <w:lang w:val="sr-Cyrl-BA"/>
        </w:rPr>
        <w:t>стопа промјене</w:t>
      </w:r>
      <w:r w:rsidR="006139C7" w:rsidRPr="00767D4D">
        <w:rPr>
          <w:rFonts w:ascii="Tahoma" w:hAnsi="Tahoma" w:cs="Tahoma"/>
          <w:lang w:val="ru-RU"/>
        </w:rPr>
        <w:t xml:space="preserve"> нетрајних</w:t>
      </w:r>
      <w:r w:rsidR="006139C7" w:rsidRPr="00767D4D">
        <w:rPr>
          <w:rFonts w:ascii="Tahoma" w:hAnsi="Tahoma" w:cs="Tahoma"/>
          <w:lang w:val="sr-Cyrl-BA"/>
        </w:rPr>
        <w:t xml:space="preserve"> </w:t>
      </w:r>
      <w:r w:rsidR="006139C7" w:rsidRPr="00767D4D">
        <w:rPr>
          <w:rFonts w:ascii="Tahoma" w:hAnsi="Tahoma" w:cs="Tahoma"/>
          <w:lang w:val="ru-RU"/>
        </w:rPr>
        <w:t>производа од 3,3%</w:t>
      </w:r>
      <w:r w:rsidRPr="00767D4D">
        <w:rPr>
          <w:rFonts w:ascii="Tahoma" w:hAnsi="Tahoma" w:cs="Tahoma"/>
          <w:lang w:val="ru-RU"/>
        </w:rPr>
        <w:t xml:space="preserve">, </w:t>
      </w:r>
      <w:r w:rsidR="00AD6E8E" w:rsidRPr="00767D4D">
        <w:rPr>
          <w:rFonts w:ascii="Tahoma" w:hAnsi="Tahoma" w:cs="Tahoma"/>
          <w:lang w:val="ru-RU"/>
        </w:rPr>
        <w:t xml:space="preserve">енергије </w:t>
      </w:r>
      <w:r w:rsidRPr="00767D4D">
        <w:rPr>
          <w:rFonts w:ascii="Tahoma" w:hAnsi="Tahoma" w:cs="Tahoma"/>
          <w:lang w:val="sr-Cyrl-BA"/>
        </w:rPr>
        <w:t xml:space="preserve">од </w:t>
      </w:r>
      <w:r w:rsidR="006139C7" w:rsidRPr="00767D4D">
        <w:rPr>
          <w:rFonts w:ascii="Tahoma" w:hAnsi="Tahoma" w:cs="Tahoma"/>
          <w:lang w:val="sr-Cyrl-BA"/>
        </w:rPr>
        <w:t>4</w:t>
      </w:r>
      <w:r w:rsidRPr="00767D4D">
        <w:rPr>
          <w:rFonts w:ascii="Tahoma" w:hAnsi="Tahoma" w:cs="Tahoma"/>
          <w:lang w:val="sr-Cyrl-BA"/>
        </w:rPr>
        <w:t>,</w:t>
      </w:r>
      <w:r w:rsidR="006139C7" w:rsidRPr="00767D4D">
        <w:rPr>
          <w:rFonts w:ascii="Tahoma" w:hAnsi="Tahoma" w:cs="Tahoma"/>
          <w:lang w:val="sr-Cyrl-BA"/>
        </w:rPr>
        <w:t>5</w:t>
      </w:r>
      <w:r w:rsidR="001A6249" w:rsidRPr="00767D4D">
        <w:rPr>
          <w:rFonts w:ascii="Tahoma" w:hAnsi="Tahoma" w:cs="Tahoma"/>
          <w:lang w:val="sr-Cyrl-BA"/>
        </w:rPr>
        <w:t>%</w:t>
      </w:r>
      <w:r w:rsidRPr="00767D4D">
        <w:rPr>
          <w:rFonts w:ascii="Tahoma" w:hAnsi="Tahoma" w:cs="Tahoma"/>
          <w:lang w:val="sr-Cyrl-BA"/>
        </w:rPr>
        <w:t xml:space="preserve"> </w:t>
      </w:r>
      <w:r w:rsidR="001A6249" w:rsidRPr="00767D4D">
        <w:rPr>
          <w:rFonts w:ascii="Tahoma" w:hAnsi="Tahoma" w:cs="Tahoma"/>
          <w:lang w:val="ru-RU"/>
        </w:rPr>
        <w:t>и</w:t>
      </w:r>
      <w:r w:rsidR="001A6249" w:rsidRPr="00767D4D">
        <w:rPr>
          <w:rFonts w:ascii="Tahoma" w:hAnsi="Tahoma" w:cs="Tahoma"/>
          <w:lang w:val="sr-Cyrl-BA"/>
        </w:rPr>
        <w:t xml:space="preserve"> </w:t>
      </w:r>
      <w:r w:rsidR="006139C7" w:rsidRPr="00767D4D">
        <w:rPr>
          <w:rFonts w:ascii="Tahoma" w:hAnsi="Tahoma" w:cs="Tahoma"/>
          <w:lang w:val="ru-RU"/>
        </w:rPr>
        <w:t>интермедијарних</w:t>
      </w:r>
      <w:r w:rsidR="006139C7" w:rsidRPr="00767D4D">
        <w:rPr>
          <w:rFonts w:ascii="Tahoma" w:hAnsi="Tahoma" w:cs="Tahoma"/>
          <w:lang w:val="sr-Cyrl-BA"/>
        </w:rPr>
        <w:t xml:space="preserve"> производа</w:t>
      </w:r>
      <w:r w:rsidR="006139C7" w:rsidRPr="00767D4D">
        <w:rPr>
          <w:rFonts w:ascii="Tahoma" w:hAnsi="Tahoma" w:cs="Tahoma"/>
          <w:lang w:val="ru-RU"/>
        </w:rPr>
        <w:t xml:space="preserve"> од 7,9%</w:t>
      </w:r>
      <w:r w:rsidR="001A6249" w:rsidRPr="00767D4D">
        <w:rPr>
          <w:rFonts w:ascii="Tahoma" w:hAnsi="Tahoma" w:cs="Tahoma"/>
          <w:lang w:val="ru-RU"/>
        </w:rPr>
        <w:t xml:space="preserve">, </w:t>
      </w:r>
      <w:r w:rsidRPr="00767D4D">
        <w:rPr>
          <w:rFonts w:ascii="Tahoma" w:hAnsi="Tahoma" w:cs="Tahoma"/>
          <w:lang w:val="sr-Cyrl-BA"/>
        </w:rPr>
        <w:t>док је код капиталних производа</w:t>
      </w:r>
      <w:r w:rsidRPr="00767D4D">
        <w:rPr>
          <w:rFonts w:ascii="Tahoma" w:hAnsi="Tahoma" w:cs="Tahoma"/>
          <w:lang w:val="ru-RU"/>
        </w:rPr>
        <w:t xml:space="preserve"> забиљежена позитивна </w:t>
      </w:r>
      <w:r w:rsidRPr="00767D4D">
        <w:rPr>
          <w:rFonts w:ascii="Tahoma" w:hAnsi="Tahoma" w:cs="Tahoma"/>
          <w:lang w:val="sr-Cyrl-BA"/>
        </w:rPr>
        <w:t xml:space="preserve">стопа промјене </w:t>
      </w:r>
      <w:r w:rsidRPr="00767D4D">
        <w:rPr>
          <w:rFonts w:ascii="Tahoma" w:hAnsi="Tahoma" w:cs="Tahoma"/>
          <w:lang w:val="ru-RU"/>
        </w:rPr>
        <w:t>од</w:t>
      </w:r>
      <w:r w:rsidRPr="00767D4D">
        <w:rPr>
          <w:rFonts w:ascii="Tahoma" w:hAnsi="Tahoma" w:cs="Tahoma"/>
          <w:lang w:val="sr-Cyrl-CS"/>
        </w:rPr>
        <w:t xml:space="preserve"> </w:t>
      </w:r>
      <w:r w:rsidR="006139C7" w:rsidRPr="00767D4D">
        <w:rPr>
          <w:rFonts w:ascii="Tahoma" w:hAnsi="Tahoma" w:cs="Tahoma"/>
          <w:lang w:val="sr-Cyrl-CS"/>
        </w:rPr>
        <w:t>14</w:t>
      </w:r>
      <w:r w:rsidRPr="00767D4D">
        <w:rPr>
          <w:rFonts w:ascii="Tahoma" w:hAnsi="Tahoma" w:cs="Tahoma"/>
          <w:lang w:val="sr-Cyrl-CS"/>
        </w:rPr>
        <w:t>,</w:t>
      </w:r>
      <w:r w:rsidR="006139C7" w:rsidRPr="00767D4D">
        <w:rPr>
          <w:rFonts w:ascii="Tahoma" w:hAnsi="Tahoma" w:cs="Tahoma"/>
          <w:lang w:val="sr-Cyrl-CS"/>
        </w:rPr>
        <w:t>0</w:t>
      </w:r>
      <w:r w:rsidR="001A6249" w:rsidRPr="00767D4D">
        <w:rPr>
          <w:rFonts w:ascii="Tahoma" w:hAnsi="Tahoma" w:cs="Tahoma"/>
          <w:lang w:val="sr-Cyrl-BA"/>
        </w:rPr>
        <w:t>% и</w:t>
      </w:r>
      <w:r w:rsidRPr="00767D4D">
        <w:rPr>
          <w:rFonts w:ascii="Tahoma" w:hAnsi="Tahoma" w:cs="Tahoma"/>
          <w:lang w:val="ru-RU"/>
        </w:rPr>
        <w:t xml:space="preserve"> </w:t>
      </w:r>
      <w:r w:rsidR="001A6249" w:rsidRPr="00767D4D">
        <w:rPr>
          <w:rFonts w:ascii="Tahoma" w:hAnsi="Tahoma" w:cs="Tahoma"/>
          <w:lang w:val="ru-RU"/>
        </w:rPr>
        <w:t xml:space="preserve">код трајних производа </w:t>
      </w:r>
      <w:r w:rsidR="00427920" w:rsidRPr="00767D4D">
        <w:rPr>
          <w:rFonts w:ascii="Tahoma" w:hAnsi="Tahoma" w:cs="Tahoma"/>
          <w:lang w:val="ru-RU"/>
        </w:rPr>
        <w:t xml:space="preserve">позитивна </w:t>
      </w:r>
      <w:r w:rsidR="00427920" w:rsidRPr="00767D4D">
        <w:rPr>
          <w:rFonts w:ascii="Tahoma" w:hAnsi="Tahoma" w:cs="Tahoma"/>
          <w:lang w:val="sr-Cyrl-BA"/>
        </w:rPr>
        <w:t xml:space="preserve">стопа промјене </w:t>
      </w:r>
      <w:r w:rsidR="001A6249" w:rsidRPr="00767D4D">
        <w:rPr>
          <w:rFonts w:ascii="Tahoma" w:hAnsi="Tahoma" w:cs="Tahoma"/>
          <w:lang w:val="ru-RU"/>
        </w:rPr>
        <w:t xml:space="preserve">од </w:t>
      </w:r>
      <w:r w:rsidR="006139C7" w:rsidRPr="00767D4D">
        <w:rPr>
          <w:rFonts w:ascii="Tahoma" w:hAnsi="Tahoma" w:cs="Tahoma"/>
          <w:lang w:val="ru-RU"/>
        </w:rPr>
        <w:t>0</w:t>
      </w:r>
      <w:r w:rsidR="001A6249" w:rsidRPr="00767D4D">
        <w:rPr>
          <w:rFonts w:ascii="Tahoma" w:hAnsi="Tahoma" w:cs="Tahoma"/>
          <w:lang w:val="ru-RU"/>
        </w:rPr>
        <w:t>,</w:t>
      </w:r>
      <w:r w:rsidR="006139C7" w:rsidRPr="00767D4D">
        <w:rPr>
          <w:rFonts w:ascii="Tahoma" w:hAnsi="Tahoma" w:cs="Tahoma"/>
          <w:lang w:val="ru-RU"/>
        </w:rPr>
        <w:t>1</w:t>
      </w:r>
      <w:r w:rsidR="001A6249" w:rsidRPr="00767D4D">
        <w:rPr>
          <w:rFonts w:ascii="Tahoma" w:hAnsi="Tahoma" w:cs="Tahoma"/>
          <w:lang w:val="ru-RU"/>
        </w:rPr>
        <w:t>%</w:t>
      </w:r>
      <w:r w:rsidR="00B8129B" w:rsidRPr="00767D4D">
        <w:rPr>
          <w:rFonts w:ascii="Tahoma" w:hAnsi="Tahoma" w:cs="Tahoma"/>
        </w:rPr>
        <w:t>.</w:t>
      </w:r>
    </w:p>
    <w:p w:rsidR="00BC381E" w:rsidRPr="00767D4D" w:rsidRDefault="00BC381E" w:rsidP="00BC381E">
      <w:pPr>
        <w:tabs>
          <w:tab w:val="left" w:pos="0"/>
          <w:tab w:val="left" w:pos="1100"/>
        </w:tabs>
        <w:jc w:val="both"/>
        <w:rPr>
          <w:rFonts w:ascii="Tahoma" w:hAnsi="Tahoma" w:cs="Tahoma"/>
          <w:lang w:val="sr-Latn-CS"/>
        </w:rPr>
      </w:pPr>
    </w:p>
    <w:p w:rsidR="00BC381E" w:rsidRPr="00767D4D" w:rsidRDefault="00BC381E" w:rsidP="00BC381E">
      <w:pPr>
        <w:jc w:val="both"/>
        <w:rPr>
          <w:rFonts w:ascii="Tahoma" w:hAnsi="Tahoma" w:cs="Tahoma"/>
          <w:lang w:val="ru-RU"/>
        </w:rPr>
      </w:pPr>
      <w:r w:rsidRPr="00767D4D">
        <w:rPr>
          <w:rFonts w:ascii="Tahoma" w:hAnsi="Tahoma" w:cs="Tahoma"/>
          <w:b/>
          <w:lang w:val="ru-RU"/>
        </w:rPr>
        <w:t>Број запослених у индустрији</w:t>
      </w:r>
      <w:r w:rsidRPr="00767D4D">
        <w:rPr>
          <w:rFonts w:ascii="Tahoma" w:hAnsi="Tahoma" w:cs="Tahoma"/>
          <w:lang w:val="ru-RU"/>
        </w:rPr>
        <w:t xml:space="preserve"> у </w:t>
      </w:r>
      <w:r w:rsidR="00254312" w:rsidRPr="00767D4D">
        <w:rPr>
          <w:rFonts w:ascii="Tahoma" w:hAnsi="Tahoma" w:cs="Tahoma"/>
          <w:lang w:val="sr-Cyrl-CS"/>
        </w:rPr>
        <w:t>децембру</w:t>
      </w:r>
      <w:r w:rsidRPr="00767D4D">
        <w:rPr>
          <w:rFonts w:ascii="Tahoma" w:hAnsi="Tahoma" w:cs="Tahoma"/>
          <w:lang w:val="ru-RU"/>
        </w:rPr>
        <w:t xml:space="preserve"> 2012. године </w:t>
      </w:r>
      <w:r w:rsidRPr="00767D4D">
        <w:rPr>
          <w:rFonts w:ascii="Tahoma" w:hAnsi="Tahoma" w:cs="Tahoma"/>
          <w:lang w:val="sr-Cyrl-CS"/>
        </w:rPr>
        <w:t xml:space="preserve">у </w:t>
      </w:r>
      <w:r w:rsidR="0018539C" w:rsidRPr="00767D4D">
        <w:rPr>
          <w:rFonts w:ascii="Tahoma" w:hAnsi="Tahoma" w:cs="Tahoma"/>
          <w:lang w:val="ru-RU"/>
        </w:rPr>
        <w:t xml:space="preserve">односу на </w:t>
      </w:r>
      <w:r w:rsidR="00254312" w:rsidRPr="00767D4D">
        <w:rPr>
          <w:rFonts w:ascii="Tahoma" w:hAnsi="Tahoma" w:cs="Tahoma"/>
          <w:lang w:val="ru-RU"/>
        </w:rPr>
        <w:t>новембар</w:t>
      </w:r>
      <w:r w:rsidRPr="00767D4D">
        <w:rPr>
          <w:rFonts w:ascii="Tahoma" w:hAnsi="Tahoma" w:cs="Tahoma"/>
          <w:lang w:val="sr-Cyrl-CS"/>
        </w:rPr>
        <w:t xml:space="preserve"> 2012.</w:t>
      </w:r>
      <w:r w:rsidRPr="00767D4D">
        <w:rPr>
          <w:rFonts w:ascii="Tahoma" w:hAnsi="Tahoma" w:cs="Tahoma"/>
          <w:lang w:val="ru-RU"/>
        </w:rPr>
        <w:t xml:space="preserve"> године </w:t>
      </w:r>
      <w:r w:rsidR="0018539C" w:rsidRPr="00767D4D">
        <w:rPr>
          <w:rFonts w:ascii="Tahoma" w:hAnsi="Tahoma" w:cs="Tahoma"/>
          <w:lang w:val="ru-RU"/>
        </w:rPr>
        <w:t>мањи</w:t>
      </w:r>
      <w:r w:rsidRPr="00767D4D">
        <w:rPr>
          <w:rFonts w:ascii="Tahoma" w:hAnsi="Tahoma" w:cs="Tahoma"/>
          <w:lang w:val="ru-RU"/>
        </w:rPr>
        <w:t xml:space="preserve"> је за 0,</w:t>
      </w:r>
      <w:r w:rsidR="00254312" w:rsidRPr="00767D4D">
        <w:rPr>
          <w:rFonts w:ascii="Tahoma" w:hAnsi="Tahoma" w:cs="Tahoma"/>
          <w:lang w:val="ru-RU"/>
        </w:rPr>
        <w:t>6</w:t>
      </w:r>
      <w:r w:rsidRPr="00767D4D">
        <w:rPr>
          <w:rFonts w:ascii="Tahoma" w:hAnsi="Tahoma" w:cs="Tahoma"/>
          <w:lang w:val="ru-RU"/>
        </w:rPr>
        <w:t>%.</w:t>
      </w:r>
    </w:p>
    <w:p w:rsidR="00BC381E" w:rsidRPr="00767D4D" w:rsidRDefault="00BC381E" w:rsidP="00BC381E">
      <w:pPr>
        <w:jc w:val="both"/>
        <w:rPr>
          <w:rFonts w:ascii="Tahoma" w:hAnsi="Tahoma" w:cs="Tahoma"/>
          <w:lang w:val="ru-RU"/>
        </w:rPr>
      </w:pPr>
    </w:p>
    <w:p w:rsidR="00BC381E" w:rsidRPr="00767D4D" w:rsidRDefault="00BC381E" w:rsidP="00BC381E">
      <w:pPr>
        <w:jc w:val="both"/>
        <w:rPr>
          <w:rFonts w:ascii="Tahoma" w:hAnsi="Tahoma" w:cs="Tahoma"/>
          <w:lang w:val="ru-RU"/>
        </w:rPr>
      </w:pPr>
      <w:r w:rsidRPr="00767D4D">
        <w:rPr>
          <w:rFonts w:ascii="Tahoma" w:hAnsi="Tahoma" w:cs="Tahoma"/>
          <w:lang w:val="sr-Cyrl-CS"/>
        </w:rPr>
        <w:t xml:space="preserve">Укупан број запослених у индустрији у </w:t>
      </w:r>
      <w:r w:rsidRPr="00767D4D">
        <w:rPr>
          <w:rFonts w:ascii="Tahoma" w:hAnsi="Tahoma" w:cs="Tahoma"/>
          <w:lang w:val="ru-RU"/>
        </w:rPr>
        <w:t xml:space="preserve">периоду јануар - </w:t>
      </w:r>
      <w:r w:rsidR="00254312" w:rsidRPr="00767D4D">
        <w:rPr>
          <w:rFonts w:ascii="Tahoma" w:hAnsi="Tahoma" w:cs="Tahoma"/>
          <w:lang w:val="ru-RU"/>
        </w:rPr>
        <w:t>децембар</w:t>
      </w:r>
      <w:r w:rsidRPr="00767D4D">
        <w:rPr>
          <w:rFonts w:ascii="Tahoma" w:hAnsi="Tahoma" w:cs="Tahoma"/>
          <w:lang w:val="sr-Cyrl-CS"/>
        </w:rPr>
        <w:t xml:space="preserve"> 2012. године у поређењу са истим периодом прошле године мањи је за 1,</w:t>
      </w:r>
      <w:r w:rsidR="00254312" w:rsidRPr="00767D4D">
        <w:rPr>
          <w:rFonts w:ascii="Tahoma" w:hAnsi="Tahoma" w:cs="Tahoma"/>
          <w:lang w:val="sr-Cyrl-CS"/>
        </w:rPr>
        <w:t>7</w:t>
      </w:r>
      <w:r w:rsidRPr="00767D4D">
        <w:rPr>
          <w:rFonts w:ascii="Tahoma" w:hAnsi="Tahoma" w:cs="Tahoma"/>
          <w:lang w:val="sr-Cyrl-CS"/>
        </w:rPr>
        <w:t>%</w:t>
      </w:r>
      <w:r w:rsidRPr="00767D4D">
        <w:rPr>
          <w:rFonts w:ascii="Tahoma" w:hAnsi="Tahoma" w:cs="Tahoma"/>
          <w:lang w:val="ru-RU"/>
        </w:rPr>
        <w:t xml:space="preserve">, при чему је у подручју </w:t>
      </w:r>
      <w:r w:rsidRPr="00767D4D">
        <w:rPr>
          <w:rFonts w:ascii="Tahoma" w:hAnsi="Tahoma" w:cs="Tahoma"/>
          <w:i/>
          <w:lang w:val="sr-Cyrl-CS"/>
        </w:rPr>
        <w:t>Вађење руда и камена</w:t>
      </w:r>
      <w:r w:rsidRPr="00767D4D">
        <w:rPr>
          <w:rFonts w:ascii="Tahoma" w:hAnsi="Tahoma" w:cs="Tahoma"/>
          <w:lang w:val="sr-Cyrl-CS"/>
        </w:rPr>
        <w:t xml:space="preserve"> забиљежен пад</w:t>
      </w:r>
      <w:r w:rsidRPr="00767D4D">
        <w:rPr>
          <w:rFonts w:ascii="Tahoma" w:hAnsi="Tahoma" w:cs="Tahoma"/>
          <w:lang w:val="ru-RU"/>
        </w:rPr>
        <w:t xml:space="preserve"> </w:t>
      </w:r>
      <w:r w:rsidRPr="00767D4D">
        <w:rPr>
          <w:rFonts w:ascii="Tahoma" w:hAnsi="Tahoma" w:cs="Tahoma"/>
          <w:lang w:val="sr-Cyrl-CS"/>
        </w:rPr>
        <w:t>од 1</w:t>
      </w:r>
      <w:r w:rsidRPr="00767D4D">
        <w:rPr>
          <w:rFonts w:ascii="Tahoma" w:hAnsi="Tahoma" w:cs="Tahoma"/>
          <w:lang w:val="ru-RU"/>
        </w:rPr>
        <w:t>,</w:t>
      </w:r>
      <w:r w:rsidR="00AA39B4" w:rsidRPr="00767D4D">
        <w:rPr>
          <w:rFonts w:ascii="Tahoma" w:hAnsi="Tahoma" w:cs="Tahoma"/>
          <w:lang w:val="ru-RU"/>
        </w:rPr>
        <w:t>6</w:t>
      </w:r>
      <w:r w:rsidRPr="00767D4D">
        <w:rPr>
          <w:rFonts w:ascii="Tahoma" w:hAnsi="Tahoma" w:cs="Tahoma"/>
          <w:lang w:val="ru-RU"/>
        </w:rPr>
        <w:t xml:space="preserve">% и у подручју </w:t>
      </w:r>
      <w:r w:rsidRPr="00767D4D">
        <w:rPr>
          <w:rFonts w:ascii="Tahoma" w:hAnsi="Tahoma" w:cs="Tahoma"/>
          <w:i/>
          <w:lang w:val="ru-RU"/>
        </w:rPr>
        <w:t>Прерађивачка индустрија</w:t>
      </w:r>
      <w:r w:rsidRPr="00767D4D">
        <w:rPr>
          <w:rFonts w:ascii="Tahoma" w:hAnsi="Tahoma" w:cs="Tahoma"/>
          <w:lang w:val="ru-RU"/>
        </w:rPr>
        <w:t xml:space="preserve"> пад од 2,</w:t>
      </w:r>
      <w:r w:rsidR="00AA39B4" w:rsidRPr="00767D4D">
        <w:rPr>
          <w:rFonts w:ascii="Tahoma" w:hAnsi="Tahoma" w:cs="Tahoma"/>
          <w:lang w:val="ru-RU"/>
        </w:rPr>
        <w:t>1</w:t>
      </w:r>
      <w:r w:rsidRPr="00767D4D">
        <w:rPr>
          <w:rFonts w:ascii="Tahoma" w:hAnsi="Tahoma" w:cs="Tahoma"/>
          <w:lang w:val="ru-RU"/>
        </w:rPr>
        <w:t xml:space="preserve">%, док је </w:t>
      </w:r>
      <w:r w:rsidRPr="00767D4D">
        <w:rPr>
          <w:rFonts w:ascii="Tahoma" w:hAnsi="Tahoma" w:cs="Tahoma"/>
          <w:lang w:val="sr-Cyrl-CS"/>
        </w:rPr>
        <w:t xml:space="preserve">у подручју </w:t>
      </w:r>
      <w:r w:rsidRPr="00767D4D">
        <w:rPr>
          <w:rFonts w:ascii="Tahoma" w:hAnsi="Tahoma" w:cs="Tahoma"/>
          <w:i/>
          <w:lang w:val="ru-RU"/>
        </w:rPr>
        <w:t>Производња и снабдијевање електричном енергијом</w:t>
      </w:r>
      <w:r w:rsidRPr="00767D4D">
        <w:rPr>
          <w:rFonts w:ascii="Tahoma" w:hAnsi="Tahoma" w:cs="Tahoma"/>
          <w:lang w:val="ru-RU"/>
        </w:rPr>
        <w:t xml:space="preserve"> </w:t>
      </w:r>
      <w:r w:rsidRPr="00767D4D">
        <w:rPr>
          <w:rFonts w:ascii="Tahoma" w:hAnsi="Tahoma" w:cs="Tahoma"/>
          <w:lang w:val="sr-Cyrl-CS"/>
        </w:rPr>
        <w:t xml:space="preserve">забиљежен раст броја запослених од </w:t>
      </w:r>
      <w:r w:rsidR="00D907CD" w:rsidRPr="00767D4D">
        <w:rPr>
          <w:rFonts w:ascii="Tahoma" w:hAnsi="Tahoma" w:cs="Tahoma"/>
          <w:lang w:val="sr-Cyrl-CS"/>
        </w:rPr>
        <w:t>1</w:t>
      </w:r>
      <w:r w:rsidRPr="00767D4D">
        <w:rPr>
          <w:rFonts w:ascii="Tahoma" w:hAnsi="Tahoma" w:cs="Tahoma"/>
          <w:lang w:val="sr-Cyrl-CS"/>
        </w:rPr>
        <w:t>,</w:t>
      </w:r>
      <w:r w:rsidR="00254312" w:rsidRPr="00767D4D">
        <w:rPr>
          <w:rFonts w:ascii="Tahoma" w:hAnsi="Tahoma" w:cs="Tahoma"/>
          <w:lang w:val="sr-Cyrl-CS"/>
        </w:rPr>
        <w:t>9</w:t>
      </w:r>
      <w:r w:rsidRPr="00767D4D">
        <w:rPr>
          <w:rFonts w:ascii="Tahoma" w:hAnsi="Tahoma" w:cs="Tahoma"/>
          <w:lang w:val="ru-RU"/>
        </w:rPr>
        <w:t>%.</w:t>
      </w:r>
    </w:p>
    <w:p w:rsidR="00A10314" w:rsidRDefault="00A10314">
      <w:pPr>
        <w:rPr>
          <w:rFonts w:ascii="Tahoma" w:hAnsi="Tahoma" w:cs="Tahoma"/>
          <w:b/>
          <w:sz w:val="28"/>
          <w:szCs w:val="28"/>
          <w:lang w:val="sr-Latn-CS"/>
        </w:rPr>
      </w:pPr>
      <w:r>
        <w:rPr>
          <w:rFonts w:ascii="Tahoma" w:hAnsi="Tahoma" w:cs="Tahoma"/>
          <w:b/>
          <w:sz w:val="28"/>
          <w:szCs w:val="28"/>
          <w:lang w:val="sr-Latn-CS"/>
        </w:rPr>
        <w:br w:type="page"/>
      </w:r>
    </w:p>
    <w:p w:rsidR="00BC381E" w:rsidRPr="00B47AD9" w:rsidRDefault="00BC381E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Latn-CS"/>
        </w:rPr>
      </w:pPr>
    </w:p>
    <w:p w:rsidR="005875BA" w:rsidRPr="00B47AD9" w:rsidRDefault="005875BA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B47AD9">
        <w:rPr>
          <w:rFonts w:ascii="Tahoma" w:hAnsi="Tahoma" w:cs="Tahoma"/>
          <w:b/>
          <w:sz w:val="28"/>
          <w:szCs w:val="28"/>
          <w:lang w:val="bs-Cyrl-BA"/>
        </w:rPr>
        <w:t>П</w:t>
      </w:r>
      <w:r w:rsidRPr="00B47AD9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B47AD9">
        <w:rPr>
          <w:rFonts w:ascii="Tahoma" w:hAnsi="Tahoma" w:cs="Tahoma"/>
          <w:b/>
          <w:sz w:val="28"/>
          <w:szCs w:val="28"/>
          <w:lang w:val="sr-Cyrl-BA"/>
        </w:rPr>
        <w:t xml:space="preserve"> (у периоду </w:t>
      </w:r>
      <w:r w:rsidRPr="00B47AD9">
        <w:rPr>
          <w:rFonts w:ascii="Tahoma" w:hAnsi="Tahoma" w:cs="Tahoma"/>
          <w:b/>
          <w:sz w:val="28"/>
          <w:szCs w:val="28"/>
        </w:rPr>
        <w:t>I</w:t>
      </w:r>
      <w:r w:rsidRPr="00B47AD9">
        <w:rPr>
          <w:rFonts w:ascii="Tahoma" w:hAnsi="Tahoma" w:cs="Tahoma"/>
          <w:b/>
          <w:sz w:val="28"/>
          <w:szCs w:val="28"/>
          <w:lang w:val="ru-RU"/>
        </w:rPr>
        <w:t>–</w:t>
      </w:r>
      <w:r w:rsidR="002E192B" w:rsidRPr="00B47AD9">
        <w:rPr>
          <w:rFonts w:ascii="Tahoma" w:hAnsi="Tahoma" w:cs="Tahoma"/>
          <w:b/>
          <w:sz w:val="28"/>
          <w:szCs w:val="28"/>
        </w:rPr>
        <w:t>X</w:t>
      </w:r>
      <w:r w:rsidR="004B6832" w:rsidRPr="00B47AD9">
        <w:rPr>
          <w:rFonts w:ascii="Tahoma" w:hAnsi="Tahoma" w:cs="Tahoma"/>
          <w:b/>
          <w:sz w:val="28"/>
          <w:szCs w:val="28"/>
        </w:rPr>
        <w:t>I</w:t>
      </w:r>
      <w:r w:rsidR="00531AB1" w:rsidRPr="00B47AD9">
        <w:rPr>
          <w:rFonts w:ascii="Tahoma" w:hAnsi="Tahoma" w:cs="Tahoma"/>
          <w:b/>
          <w:sz w:val="28"/>
          <w:szCs w:val="28"/>
        </w:rPr>
        <w:t>I</w:t>
      </w:r>
      <w:r w:rsidRPr="00B47AD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B47AD9">
        <w:rPr>
          <w:rFonts w:ascii="Tahoma" w:hAnsi="Tahoma" w:cs="Tahoma"/>
          <w:b/>
          <w:sz w:val="28"/>
          <w:szCs w:val="28"/>
          <w:lang w:val="ru-RU"/>
        </w:rPr>
        <w:t>201</w:t>
      </w:r>
      <w:r w:rsidRPr="00B47AD9">
        <w:rPr>
          <w:rFonts w:ascii="Tahoma" w:hAnsi="Tahoma" w:cs="Tahoma"/>
          <w:b/>
          <w:sz w:val="28"/>
          <w:szCs w:val="28"/>
          <w:lang w:val="sr-Cyrl-CS"/>
        </w:rPr>
        <w:t>2</w:t>
      </w:r>
      <w:r w:rsidRPr="00B47AD9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B47AD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B47AD9">
        <w:rPr>
          <w:rFonts w:ascii="Tahoma" w:hAnsi="Tahoma" w:cs="Tahoma"/>
          <w:b/>
          <w:sz w:val="28"/>
          <w:szCs w:val="28"/>
          <w:lang w:val="hr-HR"/>
        </w:rPr>
        <w:t>5</w:t>
      </w:r>
      <w:r w:rsidR="004B6832" w:rsidRPr="00B47AD9">
        <w:rPr>
          <w:rFonts w:ascii="Tahoma" w:hAnsi="Tahoma" w:cs="Tahoma"/>
          <w:b/>
          <w:sz w:val="28"/>
          <w:szCs w:val="28"/>
          <w:lang w:val="hr-HR"/>
        </w:rPr>
        <w:t>2</w:t>
      </w:r>
      <w:r w:rsidRPr="00B47AD9">
        <w:rPr>
          <w:rFonts w:ascii="Tahoma" w:hAnsi="Tahoma" w:cs="Tahoma"/>
          <w:b/>
          <w:sz w:val="28"/>
          <w:szCs w:val="28"/>
          <w:lang w:val="ru-RU"/>
        </w:rPr>
        <w:t>,</w:t>
      </w:r>
      <w:r w:rsidR="004B6832" w:rsidRPr="00B47AD9">
        <w:rPr>
          <w:rFonts w:ascii="Tahoma" w:hAnsi="Tahoma" w:cs="Tahoma"/>
          <w:b/>
          <w:sz w:val="28"/>
          <w:szCs w:val="28"/>
        </w:rPr>
        <w:t>9</w:t>
      </w:r>
      <w:r w:rsidRPr="00B47AD9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5875BA" w:rsidRPr="00B47AD9" w:rsidRDefault="005875BA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6"/>
          <w:szCs w:val="26"/>
          <w:lang w:val="ru-RU"/>
        </w:rPr>
      </w:pPr>
      <w:r w:rsidRPr="00B47AD9">
        <w:rPr>
          <w:rFonts w:ascii="Tahoma" w:hAnsi="Tahoma" w:cs="Tahoma"/>
          <w:sz w:val="26"/>
          <w:szCs w:val="26"/>
          <w:lang w:val="sr-Cyrl-CS"/>
        </w:rPr>
        <w:t xml:space="preserve">Извоз </w:t>
      </w:r>
      <w:r w:rsidR="002E192B" w:rsidRPr="00B47AD9">
        <w:rPr>
          <w:rFonts w:ascii="Tahoma" w:hAnsi="Tahoma" w:cs="Tahoma"/>
          <w:sz w:val="26"/>
          <w:szCs w:val="26"/>
          <w:lang w:val="hr-HR"/>
        </w:rPr>
        <w:t>(I</w:t>
      </w:r>
      <w:r w:rsidR="00452F3A">
        <w:rPr>
          <w:rFonts w:ascii="Tahoma" w:hAnsi="Tahoma" w:cs="Tahoma"/>
          <w:sz w:val="26"/>
          <w:szCs w:val="26"/>
          <w:lang w:val="hr-HR"/>
        </w:rPr>
        <w:sym w:font="Symbol" w:char="F02D"/>
      </w:r>
      <w:r w:rsidR="002E192B" w:rsidRPr="00B47AD9">
        <w:rPr>
          <w:rFonts w:ascii="Tahoma" w:hAnsi="Tahoma" w:cs="Tahoma"/>
          <w:sz w:val="26"/>
          <w:szCs w:val="26"/>
          <w:lang w:val="hr-HR"/>
        </w:rPr>
        <w:t>X</w:t>
      </w:r>
      <w:r w:rsidR="004B6832" w:rsidRPr="00B47AD9">
        <w:rPr>
          <w:rFonts w:ascii="Tahoma" w:hAnsi="Tahoma" w:cs="Tahoma"/>
          <w:sz w:val="26"/>
          <w:szCs w:val="26"/>
          <w:lang w:val="hr-HR"/>
        </w:rPr>
        <w:t>I</w:t>
      </w:r>
      <w:r w:rsidR="00531AB1" w:rsidRPr="00B47AD9">
        <w:rPr>
          <w:rFonts w:ascii="Tahoma" w:hAnsi="Tahoma" w:cs="Tahoma"/>
          <w:sz w:val="26"/>
          <w:szCs w:val="26"/>
          <w:lang w:val="hr-HR"/>
        </w:rPr>
        <w:t>I</w:t>
      </w:r>
      <w:r w:rsidR="002E192B" w:rsidRPr="00B47AD9">
        <w:rPr>
          <w:rFonts w:ascii="Tahoma" w:hAnsi="Tahoma" w:cs="Tahoma"/>
          <w:sz w:val="26"/>
          <w:szCs w:val="26"/>
          <w:lang w:val="hr-HR"/>
        </w:rPr>
        <w:t xml:space="preserve"> 2012/I</w:t>
      </w:r>
      <w:r w:rsidR="00452F3A">
        <w:rPr>
          <w:rFonts w:ascii="Tahoma" w:hAnsi="Tahoma" w:cs="Tahoma"/>
          <w:sz w:val="26"/>
          <w:szCs w:val="26"/>
          <w:lang w:val="hr-HR"/>
        </w:rPr>
        <w:sym w:font="Symbol" w:char="F02D"/>
      </w:r>
      <w:r w:rsidR="002E192B" w:rsidRPr="00B47AD9">
        <w:rPr>
          <w:rFonts w:ascii="Tahoma" w:hAnsi="Tahoma" w:cs="Tahoma"/>
          <w:sz w:val="26"/>
          <w:szCs w:val="26"/>
          <w:lang w:val="hr-HR"/>
        </w:rPr>
        <w:t>X</w:t>
      </w:r>
      <w:r w:rsidR="004B6832" w:rsidRPr="00B47AD9">
        <w:rPr>
          <w:rFonts w:ascii="Tahoma" w:hAnsi="Tahoma" w:cs="Tahoma"/>
          <w:sz w:val="26"/>
          <w:szCs w:val="26"/>
          <w:lang w:val="hr-HR"/>
        </w:rPr>
        <w:t>I</w:t>
      </w:r>
      <w:r w:rsidR="00531AB1" w:rsidRPr="00B47AD9">
        <w:rPr>
          <w:rFonts w:ascii="Tahoma" w:hAnsi="Tahoma" w:cs="Tahoma"/>
          <w:sz w:val="26"/>
          <w:szCs w:val="26"/>
          <w:lang w:val="hr-HR"/>
        </w:rPr>
        <w:t>I</w:t>
      </w:r>
      <w:r w:rsidRPr="00B47AD9">
        <w:rPr>
          <w:rFonts w:ascii="Tahoma" w:hAnsi="Tahoma" w:cs="Tahoma"/>
          <w:sz w:val="26"/>
          <w:szCs w:val="26"/>
          <w:lang w:val="hr-HR"/>
        </w:rPr>
        <w:t xml:space="preserve"> 2011) </w:t>
      </w:r>
      <w:r w:rsidRPr="00B47AD9">
        <w:rPr>
          <w:rFonts w:ascii="Tahoma" w:hAnsi="Tahoma" w:cs="Tahoma"/>
          <w:sz w:val="26"/>
          <w:szCs w:val="26"/>
          <w:lang w:val="sr-Cyrl-BA"/>
        </w:rPr>
        <w:t xml:space="preserve">смањен </w:t>
      </w:r>
      <w:r w:rsidR="004B6832" w:rsidRPr="00B47AD9">
        <w:rPr>
          <w:rFonts w:ascii="Tahoma" w:hAnsi="Tahoma" w:cs="Tahoma"/>
          <w:sz w:val="26"/>
          <w:szCs w:val="26"/>
        </w:rPr>
        <w:t>7</w:t>
      </w:r>
      <w:r w:rsidRPr="00B47AD9">
        <w:rPr>
          <w:rFonts w:ascii="Tahoma" w:hAnsi="Tahoma" w:cs="Tahoma"/>
          <w:sz w:val="26"/>
          <w:szCs w:val="26"/>
          <w:lang w:val="ru-RU"/>
        </w:rPr>
        <w:t>,</w:t>
      </w:r>
      <w:r w:rsidR="004B6832" w:rsidRPr="00B47AD9">
        <w:rPr>
          <w:rFonts w:ascii="Tahoma" w:hAnsi="Tahoma" w:cs="Tahoma"/>
          <w:sz w:val="26"/>
          <w:szCs w:val="26"/>
        </w:rPr>
        <w:t>3</w:t>
      </w:r>
      <w:r w:rsidRPr="00B47AD9">
        <w:rPr>
          <w:rFonts w:ascii="Tahoma" w:hAnsi="Tahoma" w:cs="Tahoma"/>
          <w:sz w:val="26"/>
          <w:szCs w:val="26"/>
          <w:lang w:val="ru-RU"/>
        </w:rPr>
        <w:t>%</w:t>
      </w:r>
    </w:p>
    <w:p w:rsidR="0017306E" w:rsidRPr="00B47AD9" w:rsidRDefault="0017306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6"/>
          <w:szCs w:val="26"/>
          <w:lang w:val="sr-Cyrl-BA"/>
        </w:rPr>
      </w:pPr>
    </w:p>
    <w:p w:rsidR="005875BA" w:rsidRPr="000A6B98" w:rsidRDefault="00CD01B8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BA"/>
        </w:rPr>
      </w:pPr>
      <w:r w:rsidRPr="000A6B98">
        <w:rPr>
          <w:rFonts w:ascii="Tahoma" w:hAnsi="Tahoma" w:cs="Tahoma"/>
          <w:lang w:val="sr-Cyrl-BA"/>
        </w:rPr>
        <w:t xml:space="preserve">У </w:t>
      </w:r>
      <w:r w:rsidR="009A7B3B" w:rsidRPr="000A6B98">
        <w:rPr>
          <w:rFonts w:ascii="Tahoma" w:hAnsi="Tahoma" w:cs="Tahoma"/>
          <w:lang w:val="sr-Cyrl-BA"/>
        </w:rPr>
        <w:t>децембру</w:t>
      </w:r>
      <w:r w:rsidR="005875BA" w:rsidRPr="000A6B98">
        <w:rPr>
          <w:rFonts w:ascii="Tahoma" w:hAnsi="Tahoma" w:cs="Tahoma"/>
          <w:lang w:val="sr-Cyrl-BA"/>
        </w:rPr>
        <w:t xml:space="preserve"> 2012. године, остварен је извоз у вриједности </w:t>
      </w:r>
      <w:r w:rsidR="007C7AC2" w:rsidRPr="000A6B98">
        <w:rPr>
          <w:rFonts w:ascii="Tahoma" w:hAnsi="Tahoma" w:cs="Tahoma"/>
          <w:lang w:val="sr-Cyrl-BA"/>
        </w:rPr>
        <w:t>173</w:t>
      </w:r>
      <w:r w:rsidR="005875BA" w:rsidRPr="000A6B98">
        <w:rPr>
          <w:rFonts w:ascii="Tahoma" w:hAnsi="Tahoma" w:cs="Tahoma"/>
          <w:lang w:val="sr-Cyrl-BA"/>
        </w:rPr>
        <w:t xml:space="preserve"> мили</w:t>
      </w:r>
      <w:r w:rsidR="00912CA0" w:rsidRPr="000A6B98">
        <w:rPr>
          <w:rFonts w:ascii="Tahoma" w:hAnsi="Tahoma" w:cs="Tahoma"/>
          <w:lang w:val="sr-Cyrl-BA"/>
        </w:rPr>
        <w:t xml:space="preserve">она КМ и увоз у вриједности од </w:t>
      </w:r>
      <w:r w:rsidR="007C7AC2" w:rsidRPr="000A6B98">
        <w:rPr>
          <w:rFonts w:ascii="Tahoma" w:hAnsi="Tahoma" w:cs="Tahoma"/>
          <w:lang w:val="sr-Cyrl-BA"/>
        </w:rPr>
        <w:t>264</w:t>
      </w:r>
      <w:r w:rsidR="005875BA" w:rsidRPr="000A6B98">
        <w:rPr>
          <w:rFonts w:ascii="Tahoma" w:hAnsi="Tahoma" w:cs="Tahoma"/>
          <w:lang w:val="sr-Cyrl-BA"/>
        </w:rPr>
        <w:t xml:space="preserve"> милион</w:t>
      </w:r>
      <w:r w:rsidR="00BC381E" w:rsidRPr="000A6B98">
        <w:rPr>
          <w:rFonts w:ascii="Tahoma" w:hAnsi="Tahoma" w:cs="Tahoma"/>
          <w:lang w:val="sr-Cyrl-BA"/>
        </w:rPr>
        <w:t>а</w:t>
      </w:r>
      <w:r w:rsidR="005875BA" w:rsidRPr="000A6B98">
        <w:rPr>
          <w:rFonts w:ascii="Tahoma" w:hAnsi="Tahoma" w:cs="Tahoma"/>
          <w:lang w:val="sr-Cyrl-BA"/>
        </w:rPr>
        <w:t xml:space="preserve"> КМ.</w:t>
      </w:r>
    </w:p>
    <w:p w:rsidR="00A50796" w:rsidRPr="000A6B98" w:rsidRDefault="00A5079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BA"/>
        </w:rPr>
      </w:pPr>
    </w:p>
    <w:p w:rsidR="005875BA" w:rsidRPr="000A6B98" w:rsidRDefault="005875BA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BA"/>
        </w:rPr>
      </w:pPr>
      <w:r w:rsidRPr="000A6B98">
        <w:rPr>
          <w:rFonts w:ascii="Tahoma" w:hAnsi="Tahoma" w:cs="Tahoma"/>
          <w:lang w:val="sr-Cyrl-BA"/>
        </w:rPr>
        <w:t>У оквиру укупно остварен</w:t>
      </w:r>
      <w:r w:rsidRPr="000A6B98">
        <w:rPr>
          <w:rFonts w:ascii="Tahoma" w:hAnsi="Tahoma" w:cs="Tahoma"/>
          <w:lang w:val="bs-Cyrl-BA"/>
        </w:rPr>
        <w:t>е</w:t>
      </w:r>
      <w:r w:rsidRPr="000A6B98">
        <w:rPr>
          <w:rFonts w:ascii="Tahoma" w:hAnsi="Tahoma" w:cs="Tahoma"/>
          <w:lang w:val="sr-Cyrl-BA"/>
        </w:rPr>
        <w:t xml:space="preserve"> робне размјене Р</w:t>
      </w:r>
      <w:r w:rsidRPr="000A6B98">
        <w:rPr>
          <w:rFonts w:ascii="Tahoma" w:hAnsi="Tahoma" w:cs="Tahoma"/>
          <w:lang w:val="bs-Cyrl-BA"/>
        </w:rPr>
        <w:t xml:space="preserve">епублике </w:t>
      </w:r>
      <w:r w:rsidR="00CD01B8" w:rsidRPr="000A6B98">
        <w:rPr>
          <w:rFonts w:ascii="Tahoma" w:hAnsi="Tahoma" w:cs="Tahoma"/>
          <w:lang w:val="sr-Cyrl-BA"/>
        </w:rPr>
        <w:t xml:space="preserve">Српске са иностранством у </w:t>
      </w:r>
      <w:r w:rsidR="007C7AC2" w:rsidRPr="000A6B98">
        <w:rPr>
          <w:rFonts w:ascii="Tahoma" w:hAnsi="Tahoma" w:cs="Tahoma"/>
          <w:lang w:val="sr-Cyrl-BA"/>
        </w:rPr>
        <w:t xml:space="preserve">децембру </w:t>
      </w:r>
      <w:r w:rsidRPr="000A6B98">
        <w:rPr>
          <w:rFonts w:ascii="Tahoma" w:hAnsi="Tahoma" w:cs="Tahoma"/>
          <w:lang w:val="sr-Cyrl-BA"/>
        </w:rPr>
        <w:t>ове године, проценат покривен</w:t>
      </w:r>
      <w:r w:rsidR="0000692F" w:rsidRPr="000A6B98">
        <w:rPr>
          <w:rFonts w:ascii="Tahoma" w:hAnsi="Tahoma" w:cs="Tahoma"/>
          <w:lang w:val="sr-Cyrl-BA"/>
        </w:rPr>
        <w:t xml:space="preserve">ости увоза извозом износио је </w:t>
      </w:r>
      <w:r w:rsidR="00531AB1" w:rsidRPr="000A6B98">
        <w:rPr>
          <w:rFonts w:ascii="Tahoma" w:hAnsi="Tahoma" w:cs="Tahoma"/>
          <w:lang w:val="sr-Cyrl-BA"/>
        </w:rPr>
        <w:t>6</w:t>
      </w:r>
      <w:r w:rsidR="007C7AC2" w:rsidRPr="000A6B98">
        <w:rPr>
          <w:rFonts w:ascii="Tahoma" w:hAnsi="Tahoma" w:cs="Tahoma"/>
          <w:lang w:val="sr-Cyrl-BA"/>
        </w:rPr>
        <w:t>5,3</w:t>
      </w:r>
      <w:r w:rsidR="00745C5B" w:rsidRPr="000A6B98">
        <w:rPr>
          <w:rFonts w:ascii="Tahoma" w:hAnsi="Tahoma" w:cs="Tahoma"/>
          <w:lang w:val="sr-Cyrl-BA"/>
        </w:rPr>
        <w:t>%.</w:t>
      </w:r>
    </w:p>
    <w:p w:rsidR="00324BBA" w:rsidRPr="000A6B98" w:rsidRDefault="00324BBA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5875BA" w:rsidRPr="000A6B98" w:rsidRDefault="00BC381E" w:rsidP="005875BA">
      <w:pPr>
        <w:jc w:val="both"/>
        <w:rPr>
          <w:rFonts w:ascii="Tahoma" w:hAnsi="Tahoma" w:cs="Tahoma"/>
          <w:lang w:val="ru-RU"/>
        </w:rPr>
      </w:pPr>
      <w:r w:rsidRPr="000A6B98">
        <w:rPr>
          <w:rFonts w:ascii="Tahoma" w:hAnsi="Tahoma" w:cs="Tahoma"/>
          <w:lang w:val="ru-RU"/>
        </w:rPr>
        <w:t>У периоду јануар</w:t>
      </w:r>
      <w:r w:rsidR="00506303" w:rsidRPr="000A6B98">
        <w:rPr>
          <w:rFonts w:ascii="Tahoma" w:hAnsi="Tahoma" w:cs="Tahoma"/>
          <w:lang w:val="ru-RU"/>
        </w:rPr>
        <w:t xml:space="preserve"> - </w:t>
      </w:r>
      <w:r w:rsidR="00AE693E" w:rsidRPr="000A6B98">
        <w:rPr>
          <w:rFonts w:ascii="Tahoma" w:hAnsi="Tahoma" w:cs="Tahoma"/>
          <w:lang w:val="ru-RU"/>
        </w:rPr>
        <w:t>децембар</w:t>
      </w:r>
      <w:r w:rsidRPr="000A6B98">
        <w:rPr>
          <w:rFonts w:ascii="Tahoma" w:hAnsi="Tahoma" w:cs="Tahoma"/>
          <w:lang w:val="ru-RU"/>
        </w:rPr>
        <w:t xml:space="preserve"> </w:t>
      </w:r>
      <w:r w:rsidR="005875BA" w:rsidRPr="000A6B98">
        <w:rPr>
          <w:rFonts w:ascii="Tahoma" w:hAnsi="Tahoma" w:cs="Tahoma"/>
          <w:lang w:val="ru-RU"/>
        </w:rPr>
        <w:t xml:space="preserve"> 2012. године остварен је извоз у вриједности од </w:t>
      </w:r>
      <w:r w:rsidR="00531AB1" w:rsidRPr="000A6B98">
        <w:rPr>
          <w:rFonts w:ascii="Tahoma" w:hAnsi="Tahoma" w:cs="Tahoma"/>
          <w:lang w:val="ru-RU"/>
        </w:rPr>
        <w:t xml:space="preserve">2 милијарде </w:t>
      </w:r>
      <w:r w:rsidR="00AE693E" w:rsidRPr="000A6B98">
        <w:rPr>
          <w:rFonts w:ascii="Tahoma" w:hAnsi="Tahoma" w:cs="Tahoma"/>
          <w:lang w:val="ru-RU"/>
        </w:rPr>
        <w:t>374</w:t>
      </w:r>
      <w:r w:rsidR="005875BA" w:rsidRPr="000A6B98">
        <w:rPr>
          <w:rFonts w:ascii="Tahoma" w:hAnsi="Tahoma" w:cs="Tahoma"/>
          <w:lang w:val="ru-RU"/>
        </w:rPr>
        <w:t xml:space="preserve"> милиона КМ, што је за </w:t>
      </w:r>
      <w:r w:rsidR="00AE693E" w:rsidRPr="000A6B98">
        <w:rPr>
          <w:rFonts w:ascii="Tahoma" w:hAnsi="Tahoma" w:cs="Tahoma"/>
          <w:lang w:val="ru-RU"/>
        </w:rPr>
        <w:t>7</w:t>
      </w:r>
      <w:r w:rsidR="005875BA" w:rsidRPr="000A6B98">
        <w:rPr>
          <w:rFonts w:ascii="Tahoma" w:hAnsi="Tahoma" w:cs="Tahoma"/>
          <w:lang w:val="ru-RU"/>
        </w:rPr>
        <w:t>,</w:t>
      </w:r>
      <w:r w:rsidR="00AE693E" w:rsidRPr="000A6B98">
        <w:rPr>
          <w:rFonts w:ascii="Tahoma" w:hAnsi="Tahoma" w:cs="Tahoma"/>
          <w:lang w:val="ru-RU"/>
        </w:rPr>
        <w:t>3</w:t>
      </w:r>
      <w:r w:rsidR="005875BA" w:rsidRPr="000A6B98">
        <w:rPr>
          <w:rFonts w:ascii="Tahoma" w:hAnsi="Tahoma" w:cs="Tahoma"/>
          <w:lang w:val="ru-RU"/>
        </w:rPr>
        <w:t xml:space="preserve">% мање у односу на исти период претходне године. Увоз је, у истом периоду, износио </w:t>
      </w:r>
      <w:r w:rsidR="0017662B" w:rsidRPr="000A6B98">
        <w:rPr>
          <w:rFonts w:ascii="Tahoma" w:hAnsi="Tahoma" w:cs="Tahoma"/>
          <w:lang w:val="ru-RU"/>
        </w:rPr>
        <w:t>4</w:t>
      </w:r>
      <w:r w:rsidR="007A12CE" w:rsidRPr="000A6B98">
        <w:rPr>
          <w:rFonts w:ascii="Tahoma" w:hAnsi="Tahoma" w:cs="Tahoma"/>
          <w:lang w:val="ru-RU"/>
        </w:rPr>
        <w:t xml:space="preserve"> милијарде</w:t>
      </w:r>
      <w:r w:rsidR="005875BA" w:rsidRPr="000A6B98">
        <w:rPr>
          <w:rFonts w:ascii="Tahoma" w:hAnsi="Tahoma" w:cs="Tahoma"/>
          <w:lang w:val="ru-RU"/>
        </w:rPr>
        <w:t xml:space="preserve"> </w:t>
      </w:r>
      <w:r w:rsidR="00AE693E" w:rsidRPr="000A6B98">
        <w:rPr>
          <w:rFonts w:ascii="Tahoma" w:hAnsi="Tahoma" w:cs="Tahoma"/>
          <w:lang w:val="ru-RU"/>
        </w:rPr>
        <w:t>488</w:t>
      </w:r>
      <w:r w:rsidR="005875BA" w:rsidRPr="000A6B98">
        <w:rPr>
          <w:rFonts w:ascii="Tahoma" w:hAnsi="Tahoma" w:cs="Tahoma"/>
          <w:lang w:val="ru-RU"/>
        </w:rPr>
        <w:t xml:space="preserve"> милиона КМ, што је за </w:t>
      </w:r>
      <w:r w:rsidR="0017662B" w:rsidRPr="000A6B98">
        <w:rPr>
          <w:rFonts w:ascii="Tahoma" w:hAnsi="Tahoma" w:cs="Tahoma"/>
          <w:lang w:val="ru-RU"/>
        </w:rPr>
        <w:t>2</w:t>
      </w:r>
      <w:r w:rsidR="005875BA" w:rsidRPr="000A6B98">
        <w:rPr>
          <w:rFonts w:ascii="Tahoma" w:hAnsi="Tahoma" w:cs="Tahoma"/>
          <w:lang w:val="ru-RU"/>
        </w:rPr>
        <w:t>,</w:t>
      </w:r>
      <w:r w:rsidR="00AE693E" w:rsidRPr="000A6B98">
        <w:rPr>
          <w:rFonts w:ascii="Tahoma" w:hAnsi="Tahoma" w:cs="Tahoma"/>
          <w:lang w:val="ru-RU"/>
        </w:rPr>
        <w:t>0</w:t>
      </w:r>
      <w:r w:rsidR="005875BA" w:rsidRPr="000A6B98">
        <w:rPr>
          <w:rFonts w:ascii="Tahoma" w:hAnsi="Tahoma" w:cs="Tahoma"/>
          <w:lang w:val="ru-RU"/>
        </w:rPr>
        <w:t xml:space="preserve">% </w:t>
      </w:r>
      <w:r w:rsidR="00AE693E" w:rsidRPr="000A6B98">
        <w:rPr>
          <w:rFonts w:ascii="Tahoma" w:hAnsi="Tahoma" w:cs="Tahoma"/>
          <w:lang w:val="ru-RU"/>
        </w:rPr>
        <w:t xml:space="preserve">мање </w:t>
      </w:r>
      <w:r w:rsidR="005875BA" w:rsidRPr="000A6B98">
        <w:rPr>
          <w:rFonts w:ascii="Tahoma" w:hAnsi="Tahoma" w:cs="Tahoma"/>
          <w:lang w:val="ru-RU"/>
        </w:rPr>
        <w:t>у односу на исти период претходне године.</w:t>
      </w:r>
    </w:p>
    <w:p w:rsidR="007F456D" w:rsidRPr="000A6B98" w:rsidRDefault="007F456D" w:rsidP="00094E6E">
      <w:pPr>
        <w:jc w:val="both"/>
        <w:rPr>
          <w:rFonts w:ascii="Tahoma" w:hAnsi="Tahoma" w:cs="Tahoma"/>
          <w:lang w:val="ru-RU"/>
        </w:rPr>
      </w:pPr>
    </w:p>
    <w:p w:rsidR="005875BA" w:rsidRPr="000A6B98" w:rsidRDefault="005875BA" w:rsidP="005875BA">
      <w:pPr>
        <w:jc w:val="both"/>
        <w:rPr>
          <w:rFonts w:ascii="Tahoma" w:hAnsi="Tahoma" w:cs="Tahoma"/>
          <w:lang w:val="ru-RU"/>
        </w:rPr>
      </w:pPr>
      <w:r w:rsidRPr="000A6B98">
        <w:rPr>
          <w:rFonts w:ascii="Tahoma" w:hAnsi="Tahoma" w:cs="Tahoma"/>
          <w:lang w:val="ru-RU"/>
        </w:rPr>
        <w:t>Проценат покрив</w:t>
      </w:r>
      <w:r w:rsidR="00AE693E" w:rsidRPr="000A6B98">
        <w:rPr>
          <w:rFonts w:ascii="Tahoma" w:hAnsi="Tahoma" w:cs="Tahoma"/>
          <w:lang w:val="ru-RU"/>
        </w:rPr>
        <w:t xml:space="preserve">ености увоза извозом у </w:t>
      </w:r>
      <w:r w:rsidR="00BD5D63" w:rsidRPr="000A6B98">
        <w:rPr>
          <w:rFonts w:ascii="Tahoma" w:hAnsi="Tahoma" w:cs="Tahoma"/>
          <w:lang w:val="ru-RU"/>
        </w:rPr>
        <w:t xml:space="preserve">периоду јануар - децембар  </w:t>
      </w:r>
      <w:r w:rsidR="00AE693E" w:rsidRPr="000A6B98">
        <w:rPr>
          <w:rFonts w:ascii="Tahoma" w:hAnsi="Tahoma" w:cs="Tahoma"/>
          <w:lang w:val="ru-RU"/>
        </w:rPr>
        <w:t>2012. годин</w:t>
      </w:r>
      <w:r w:rsidR="00BD5D63" w:rsidRPr="000A6B98">
        <w:rPr>
          <w:rFonts w:ascii="Tahoma" w:hAnsi="Tahoma" w:cs="Tahoma"/>
          <w:lang w:val="ru-RU"/>
        </w:rPr>
        <w:t>е</w:t>
      </w:r>
      <w:r w:rsidR="00872371" w:rsidRPr="000A6B98">
        <w:rPr>
          <w:rFonts w:ascii="Tahoma" w:hAnsi="Tahoma" w:cs="Tahoma"/>
          <w:lang w:val="ru-RU"/>
        </w:rPr>
        <w:t xml:space="preserve"> износио је 5</w:t>
      </w:r>
      <w:r w:rsidR="00AE693E" w:rsidRPr="000A6B98">
        <w:rPr>
          <w:rFonts w:ascii="Tahoma" w:hAnsi="Tahoma" w:cs="Tahoma"/>
          <w:lang w:val="ru-RU"/>
        </w:rPr>
        <w:t>2</w:t>
      </w:r>
      <w:r w:rsidRPr="000A6B98">
        <w:rPr>
          <w:rFonts w:ascii="Tahoma" w:hAnsi="Tahoma" w:cs="Tahoma"/>
          <w:lang w:val="ru-RU"/>
        </w:rPr>
        <w:t>,</w:t>
      </w:r>
      <w:r w:rsidR="00AE693E" w:rsidRPr="000A6B98">
        <w:rPr>
          <w:rFonts w:ascii="Tahoma" w:hAnsi="Tahoma" w:cs="Tahoma"/>
          <w:lang w:val="ru-RU"/>
        </w:rPr>
        <w:t>9</w:t>
      </w:r>
      <w:r w:rsidRPr="000A6B98">
        <w:rPr>
          <w:rFonts w:ascii="Tahoma" w:hAnsi="Tahoma" w:cs="Tahoma"/>
          <w:lang w:val="ru-RU"/>
        </w:rPr>
        <w:t>%, док је спољнотрговински ро</w:t>
      </w:r>
      <w:r w:rsidR="00872371" w:rsidRPr="000A6B98">
        <w:rPr>
          <w:rFonts w:ascii="Tahoma" w:hAnsi="Tahoma" w:cs="Tahoma"/>
          <w:lang w:val="ru-RU"/>
        </w:rPr>
        <w:t xml:space="preserve">бни дефицит износио </w:t>
      </w:r>
      <w:r w:rsidR="00AE693E" w:rsidRPr="000A6B98">
        <w:rPr>
          <w:rFonts w:ascii="Tahoma" w:hAnsi="Tahoma" w:cs="Tahoma"/>
          <w:lang w:val="ru-RU"/>
        </w:rPr>
        <w:t xml:space="preserve">2 </w:t>
      </w:r>
      <w:r w:rsidR="00A27234" w:rsidRPr="000A6B98">
        <w:rPr>
          <w:rFonts w:ascii="Tahoma" w:hAnsi="Tahoma" w:cs="Tahoma"/>
          <w:lang w:val="ru-RU"/>
        </w:rPr>
        <w:t>милијард</w:t>
      </w:r>
      <w:r w:rsidR="00AE693E" w:rsidRPr="000A6B98">
        <w:rPr>
          <w:rFonts w:ascii="Tahoma" w:hAnsi="Tahoma" w:cs="Tahoma"/>
          <w:lang w:val="ru-RU"/>
        </w:rPr>
        <w:t>е</w:t>
      </w:r>
      <w:r w:rsidR="00A27234" w:rsidRPr="000A6B98">
        <w:rPr>
          <w:rFonts w:ascii="Tahoma" w:hAnsi="Tahoma" w:cs="Tahoma"/>
          <w:lang w:val="ru-RU"/>
        </w:rPr>
        <w:t xml:space="preserve"> и </w:t>
      </w:r>
      <w:r w:rsidR="00AE693E" w:rsidRPr="000A6B98">
        <w:rPr>
          <w:rFonts w:ascii="Tahoma" w:hAnsi="Tahoma" w:cs="Tahoma"/>
          <w:lang w:val="ru-RU"/>
        </w:rPr>
        <w:t>113</w:t>
      </w:r>
      <w:r w:rsidRPr="000A6B98">
        <w:rPr>
          <w:rFonts w:ascii="Tahoma" w:hAnsi="Tahoma" w:cs="Tahoma"/>
          <w:lang w:val="ru-RU"/>
        </w:rPr>
        <w:t xml:space="preserve"> милиона КМ.</w:t>
      </w:r>
    </w:p>
    <w:p w:rsidR="00E053E5" w:rsidRPr="000A6B98" w:rsidRDefault="00E053E5" w:rsidP="00094E6E">
      <w:pPr>
        <w:jc w:val="both"/>
        <w:rPr>
          <w:rFonts w:ascii="Tahoma" w:hAnsi="Tahoma" w:cs="Tahoma"/>
          <w:b/>
          <w:lang w:val="ru-RU"/>
        </w:rPr>
      </w:pPr>
    </w:p>
    <w:p w:rsidR="005875BA" w:rsidRPr="000A6B98" w:rsidRDefault="005875BA" w:rsidP="005875BA">
      <w:pPr>
        <w:pStyle w:val="Body2"/>
        <w:tabs>
          <w:tab w:val="left" w:pos="408"/>
        </w:tabs>
        <w:ind w:firstLine="0"/>
        <w:rPr>
          <w:rFonts w:ascii="Tahoma" w:hAnsi="Tahoma" w:cs="Tahoma"/>
          <w:sz w:val="20"/>
          <w:lang w:val="sr-Cyrl-CS"/>
        </w:rPr>
      </w:pPr>
      <w:r w:rsidRPr="000A6B98">
        <w:rPr>
          <w:rFonts w:ascii="Tahoma" w:hAnsi="Tahoma" w:cs="Tahoma"/>
          <w:sz w:val="20"/>
          <w:lang w:val="ru-RU"/>
        </w:rPr>
        <w:t>У погледу географске дистрибуције робне размјене Републик</w:t>
      </w:r>
      <w:r w:rsidRPr="000A6B98">
        <w:rPr>
          <w:rFonts w:ascii="Tahoma" w:hAnsi="Tahoma" w:cs="Tahoma"/>
          <w:sz w:val="20"/>
        </w:rPr>
        <w:t>e</w:t>
      </w:r>
      <w:r w:rsidRPr="000A6B98">
        <w:rPr>
          <w:rFonts w:ascii="Tahoma" w:hAnsi="Tahoma" w:cs="Tahoma"/>
          <w:sz w:val="20"/>
          <w:lang w:val="ru-RU"/>
        </w:rPr>
        <w:t xml:space="preserve"> Српск</w:t>
      </w:r>
      <w:r w:rsidRPr="000A6B98">
        <w:rPr>
          <w:rFonts w:ascii="Tahoma" w:hAnsi="Tahoma" w:cs="Tahoma"/>
          <w:sz w:val="20"/>
        </w:rPr>
        <w:t>e</w:t>
      </w:r>
      <w:r w:rsidRPr="000A6B98">
        <w:rPr>
          <w:rFonts w:ascii="Tahoma" w:hAnsi="Tahoma" w:cs="Tahoma"/>
          <w:sz w:val="20"/>
          <w:lang w:val="ru-RU"/>
        </w:rPr>
        <w:t xml:space="preserve"> са инос</w:t>
      </w:r>
      <w:r w:rsidR="00A05303" w:rsidRPr="000A6B98">
        <w:rPr>
          <w:rFonts w:ascii="Tahoma" w:hAnsi="Tahoma" w:cs="Tahoma"/>
          <w:sz w:val="20"/>
          <w:lang w:val="ru-RU"/>
        </w:rPr>
        <w:t xml:space="preserve">транством, у периоду јануар - </w:t>
      </w:r>
      <w:r w:rsidR="00BD5D63" w:rsidRPr="000A6B98">
        <w:rPr>
          <w:rFonts w:ascii="Tahoma" w:hAnsi="Tahoma" w:cs="Tahoma"/>
          <w:sz w:val="20"/>
          <w:lang w:val="ru-RU"/>
        </w:rPr>
        <w:t xml:space="preserve">децембар  </w:t>
      </w:r>
      <w:r w:rsidRPr="000A6B98">
        <w:rPr>
          <w:rFonts w:ascii="Tahoma" w:hAnsi="Tahoma" w:cs="Tahoma"/>
          <w:sz w:val="20"/>
          <w:lang w:val="sr-Cyrl-CS"/>
        </w:rPr>
        <w:t xml:space="preserve">2012. године, највише се извозило у </w:t>
      </w:r>
      <w:r w:rsidR="004604EB" w:rsidRPr="000A6B98">
        <w:rPr>
          <w:rFonts w:ascii="Tahoma" w:hAnsi="Tahoma" w:cs="Tahoma"/>
          <w:sz w:val="20"/>
          <w:lang w:val="sr-Cyrl-CS"/>
        </w:rPr>
        <w:t xml:space="preserve">Италију </w:t>
      </w:r>
      <w:r w:rsidR="00A05303" w:rsidRPr="000A6B98">
        <w:rPr>
          <w:rFonts w:ascii="Tahoma" w:hAnsi="Tahoma" w:cs="Tahoma"/>
          <w:sz w:val="20"/>
          <w:lang w:val="sr-Cyrl-CS"/>
        </w:rPr>
        <w:t xml:space="preserve">и то у вриједности од </w:t>
      </w:r>
      <w:r w:rsidR="000025B1" w:rsidRPr="000A6B98">
        <w:rPr>
          <w:rFonts w:ascii="Tahoma" w:hAnsi="Tahoma" w:cs="Tahoma"/>
          <w:sz w:val="20"/>
          <w:lang w:val="sr-Cyrl-CS"/>
        </w:rPr>
        <w:t>3</w:t>
      </w:r>
      <w:r w:rsidR="00BD5D63" w:rsidRPr="000A6B98">
        <w:rPr>
          <w:rFonts w:ascii="Tahoma" w:hAnsi="Tahoma" w:cs="Tahoma"/>
          <w:sz w:val="20"/>
          <w:lang w:val="sr-Cyrl-CS"/>
        </w:rPr>
        <w:t>81</w:t>
      </w:r>
      <w:r w:rsidRPr="000A6B98">
        <w:rPr>
          <w:rFonts w:ascii="Tahoma" w:hAnsi="Tahoma" w:cs="Tahoma"/>
          <w:sz w:val="20"/>
          <w:lang w:val="sr-Cyrl-CS"/>
        </w:rPr>
        <w:t xml:space="preserve"> милион КМ, односно 1</w:t>
      </w:r>
      <w:r w:rsidR="00BD5D63" w:rsidRPr="000A6B98">
        <w:rPr>
          <w:rFonts w:ascii="Tahoma" w:hAnsi="Tahoma" w:cs="Tahoma"/>
          <w:sz w:val="20"/>
          <w:lang w:val="sr-Cyrl-CS"/>
        </w:rPr>
        <w:t>6</w:t>
      </w:r>
      <w:r w:rsidRPr="000A6B98">
        <w:rPr>
          <w:rFonts w:ascii="Tahoma" w:hAnsi="Tahoma" w:cs="Tahoma"/>
          <w:sz w:val="20"/>
          <w:lang w:val="sr-Cyrl-CS"/>
        </w:rPr>
        <w:t>,</w:t>
      </w:r>
      <w:r w:rsidR="00BD5D63" w:rsidRPr="000A6B98">
        <w:rPr>
          <w:rFonts w:ascii="Tahoma" w:hAnsi="Tahoma" w:cs="Tahoma"/>
          <w:sz w:val="20"/>
          <w:lang w:val="sr-Cyrl-CS"/>
        </w:rPr>
        <w:t>0</w:t>
      </w:r>
      <w:r w:rsidRPr="000A6B98">
        <w:rPr>
          <w:rFonts w:ascii="Tahoma" w:hAnsi="Tahoma" w:cs="Tahoma"/>
          <w:sz w:val="20"/>
          <w:lang w:val="sr-Cyrl-CS"/>
        </w:rPr>
        <w:t>%</w:t>
      </w:r>
      <w:r w:rsidRPr="000A6B98">
        <w:rPr>
          <w:rFonts w:ascii="Tahoma" w:hAnsi="Tahoma" w:cs="Tahoma"/>
          <w:sz w:val="20"/>
          <w:lang w:val="ru-RU"/>
        </w:rPr>
        <w:t xml:space="preserve">, </w:t>
      </w:r>
      <w:r w:rsidRPr="000A6B98">
        <w:rPr>
          <w:rFonts w:ascii="Tahoma" w:hAnsi="Tahoma" w:cs="Tahoma"/>
          <w:sz w:val="20"/>
          <w:lang w:val="sr-Cyrl-CS"/>
        </w:rPr>
        <w:t>те у</w:t>
      </w:r>
      <w:r w:rsidR="0070735C" w:rsidRPr="000A6B98">
        <w:rPr>
          <w:rFonts w:ascii="Tahoma" w:hAnsi="Tahoma" w:cs="Tahoma"/>
          <w:sz w:val="20"/>
          <w:lang w:val="sr-Cyrl-CS"/>
        </w:rPr>
        <w:t xml:space="preserve"> </w:t>
      </w:r>
      <w:r w:rsidR="004604EB" w:rsidRPr="000A6B98">
        <w:rPr>
          <w:rFonts w:ascii="Tahoma" w:hAnsi="Tahoma" w:cs="Tahoma"/>
          <w:sz w:val="20"/>
          <w:lang w:val="sr-Cyrl-CS"/>
        </w:rPr>
        <w:t>Србију</w:t>
      </w:r>
      <w:r w:rsidRPr="000A6B98">
        <w:rPr>
          <w:rFonts w:ascii="Tahoma" w:hAnsi="Tahoma" w:cs="Tahoma"/>
          <w:sz w:val="20"/>
          <w:lang w:val="sr-Cyrl-CS"/>
        </w:rPr>
        <w:t>, у</w:t>
      </w:r>
      <w:r w:rsidR="00A05303" w:rsidRPr="000A6B98">
        <w:rPr>
          <w:rFonts w:ascii="Tahoma" w:hAnsi="Tahoma" w:cs="Tahoma"/>
          <w:sz w:val="20"/>
          <w:lang w:val="sr-Cyrl-CS"/>
        </w:rPr>
        <w:t xml:space="preserve"> вриједности од </w:t>
      </w:r>
      <w:r w:rsidR="000025B1" w:rsidRPr="000A6B98">
        <w:rPr>
          <w:rFonts w:ascii="Tahoma" w:hAnsi="Tahoma" w:cs="Tahoma"/>
          <w:sz w:val="20"/>
          <w:lang w:val="sr-Cyrl-CS"/>
        </w:rPr>
        <w:t>3</w:t>
      </w:r>
      <w:r w:rsidR="00BD5D63" w:rsidRPr="000A6B98">
        <w:rPr>
          <w:rFonts w:ascii="Tahoma" w:hAnsi="Tahoma" w:cs="Tahoma"/>
          <w:sz w:val="20"/>
          <w:lang w:val="sr-Cyrl-CS"/>
        </w:rPr>
        <w:t>71</w:t>
      </w:r>
      <w:r w:rsidR="007404C2" w:rsidRPr="000A6B98">
        <w:rPr>
          <w:rFonts w:ascii="Tahoma" w:hAnsi="Tahoma" w:cs="Tahoma"/>
          <w:sz w:val="20"/>
          <w:lang w:val="sr-Cyrl-CS"/>
        </w:rPr>
        <w:t xml:space="preserve"> милион</w:t>
      </w:r>
      <w:r w:rsidR="002F0F75" w:rsidRPr="000A6B98">
        <w:rPr>
          <w:rFonts w:ascii="Tahoma" w:hAnsi="Tahoma" w:cs="Tahoma"/>
          <w:sz w:val="20"/>
          <w:lang w:val="sr-Cyrl-CS"/>
        </w:rPr>
        <w:t xml:space="preserve"> КМ, односно 15,</w:t>
      </w:r>
      <w:r w:rsidR="004604EB" w:rsidRPr="000A6B98">
        <w:rPr>
          <w:rFonts w:ascii="Tahoma" w:hAnsi="Tahoma" w:cs="Tahoma"/>
          <w:sz w:val="20"/>
          <w:lang w:val="sr-Cyrl-CS"/>
        </w:rPr>
        <w:t>6</w:t>
      </w:r>
      <w:r w:rsidRPr="000A6B98">
        <w:rPr>
          <w:rFonts w:ascii="Tahoma" w:hAnsi="Tahoma" w:cs="Tahoma"/>
          <w:sz w:val="20"/>
          <w:lang w:val="sr-Cyrl-CS"/>
        </w:rPr>
        <w:t>% од укупног оствареног извоза.</w:t>
      </w:r>
    </w:p>
    <w:p w:rsidR="0017306E" w:rsidRPr="000A6B98" w:rsidRDefault="0017306E" w:rsidP="00094E6E">
      <w:pPr>
        <w:pStyle w:val="Body2"/>
        <w:tabs>
          <w:tab w:val="left" w:pos="408"/>
        </w:tabs>
        <w:ind w:firstLine="0"/>
        <w:rPr>
          <w:rFonts w:ascii="Tahoma" w:hAnsi="Tahoma" w:cs="Tahoma"/>
          <w:sz w:val="20"/>
          <w:lang w:val="sr-Cyrl-CS"/>
        </w:rPr>
      </w:pPr>
    </w:p>
    <w:p w:rsidR="005875BA" w:rsidRPr="000A6B98" w:rsidRDefault="005875BA" w:rsidP="005875BA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0A6B98">
        <w:rPr>
          <w:rFonts w:ascii="Tahoma" w:hAnsi="Tahoma" w:cs="Tahoma"/>
          <w:lang w:val="sr-Cyrl-CS"/>
        </w:rPr>
        <w:t xml:space="preserve">У истом периоду, </w:t>
      </w:r>
      <w:r w:rsidRPr="000A6B98">
        <w:rPr>
          <w:rFonts w:ascii="Tahoma" w:hAnsi="Tahoma" w:cs="Tahoma"/>
          <w:lang w:val="sr-Cyrl-BA"/>
        </w:rPr>
        <w:t>н</w:t>
      </w:r>
      <w:r w:rsidRPr="000A6B98">
        <w:rPr>
          <w:rFonts w:ascii="Tahoma" w:hAnsi="Tahoma" w:cs="Tahoma"/>
          <w:lang w:val="sr-Cyrl-CS"/>
        </w:rPr>
        <w:t xml:space="preserve">ајвише се увозило из Русије и то у вриједности од </w:t>
      </w:r>
      <w:r w:rsidR="008A1F56" w:rsidRPr="000A6B98">
        <w:rPr>
          <w:rFonts w:ascii="Tahoma" w:hAnsi="Tahoma" w:cs="Tahoma"/>
          <w:lang w:val="ru-RU"/>
        </w:rPr>
        <w:t xml:space="preserve">милијарду и </w:t>
      </w:r>
      <w:r w:rsidR="000025B1" w:rsidRPr="000A6B98">
        <w:rPr>
          <w:rFonts w:ascii="Tahoma" w:hAnsi="Tahoma" w:cs="Tahoma"/>
          <w:lang w:val="ru-RU"/>
        </w:rPr>
        <w:t>16</w:t>
      </w:r>
      <w:r w:rsidR="00BD5D63" w:rsidRPr="000A6B98">
        <w:rPr>
          <w:rFonts w:ascii="Tahoma" w:hAnsi="Tahoma" w:cs="Tahoma"/>
          <w:lang w:val="ru-RU"/>
        </w:rPr>
        <w:t>5</w:t>
      </w:r>
      <w:r w:rsidR="00A05303" w:rsidRPr="000A6B98">
        <w:rPr>
          <w:rFonts w:ascii="Tahoma" w:hAnsi="Tahoma" w:cs="Tahoma"/>
          <w:lang w:val="sr-Cyrl-CS"/>
        </w:rPr>
        <w:t xml:space="preserve"> милиона КМ, односно 2</w:t>
      </w:r>
      <w:r w:rsidR="00BD5D63" w:rsidRPr="000A6B98">
        <w:rPr>
          <w:rFonts w:ascii="Tahoma" w:hAnsi="Tahoma" w:cs="Tahoma"/>
          <w:lang w:val="sr-Cyrl-CS"/>
        </w:rPr>
        <w:t>6</w:t>
      </w:r>
      <w:r w:rsidR="00A05303" w:rsidRPr="000A6B98">
        <w:rPr>
          <w:rFonts w:ascii="Tahoma" w:hAnsi="Tahoma" w:cs="Tahoma"/>
          <w:lang w:val="sr-Cyrl-CS"/>
        </w:rPr>
        <w:t>,</w:t>
      </w:r>
      <w:r w:rsidR="00BD5D63" w:rsidRPr="000A6B98">
        <w:rPr>
          <w:rFonts w:ascii="Tahoma" w:hAnsi="Tahoma" w:cs="Tahoma"/>
          <w:lang w:val="sr-Cyrl-CS"/>
        </w:rPr>
        <w:t>0</w:t>
      </w:r>
      <w:r w:rsidRPr="000A6B98">
        <w:rPr>
          <w:rFonts w:ascii="Tahoma" w:hAnsi="Tahoma" w:cs="Tahoma"/>
          <w:lang w:val="sr-Cyrl-CS"/>
        </w:rPr>
        <w:t xml:space="preserve">% и из Србије, у вриједности од </w:t>
      </w:r>
      <w:r w:rsidR="00BD5D63" w:rsidRPr="000A6B98">
        <w:rPr>
          <w:rFonts w:ascii="Tahoma" w:hAnsi="Tahoma" w:cs="Tahoma"/>
          <w:lang w:val="sr-Cyrl-CS"/>
        </w:rPr>
        <w:t>770</w:t>
      </w:r>
      <w:r w:rsidRPr="000A6B98">
        <w:rPr>
          <w:rFonts w:ascii="Tahoma" w:hAnsi="Tahoma" w:cs="Tahoma"/>
          <w:lang w:val="sr-Cyrl-CS"/>
        </w:rPr>
        <w:t xml:space="preserve"> милиона КМ, односно 1</w:t>
      </w:r>
      <w:r w:rsidR="00BD5D63" w:rsidRPr="000A6B98">
        <w:rPr>
          <w:rFonts w:ascii="Tahoma" w:hAnsi="Tahoma" w:cs="Tahoma"/>
          <w:lang w:val="sr-Cyrl-CS"/>
        </w:rPr>
        <w:t>7</w:t>
      </w:r>
      <w:r w:rsidR="00A05303" w:rsidRPr="000A6B98">
        <w:rPr>
          <w:rFonts w:ascii="Tahoma" w:hAnsi="Tahoma" w:cs="Tahoma"/>
          <w:lang w:val="sr-Cyrl-CS"/>
        </w:rPr>
        <w:t>,</w:t>
      </w:r>
      <w:r w:rsidR="00BD5D63" w:rsidRPr="000A6B98">
        <w:rPr>
          <w:rFonts w:ascii="Tahoma" w:hAnsi="Tahoma" w:cs="Tahoma"/>
          <w:lang w:val="sr-Cyrl-CS"/>
        </w:rPr>
        <w:t>2</w:t>
      </w:r>
      <w:r w:rsidRPr="000A6B98">
        <w:rPr>
          <w:rFonts w:ascii="Tahoma" w:hAnsi="Tahoma" w:cs="Tahoma"/>
          <w:lang w:val="sr-Cyrl-CS"/>
        </w:rPr>
        <w:t>% од укупно оствареног увоза.</w:t>
      </w:r>
    </w:p>
    <w:p w:rsidR="0017306E" w:rsidRPr="000A6B98" w:rsidRDefault="0017306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C270C0" w:rsidRPr="000A6B98" w:rsidRDefault="0017306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0A6B98">
        <w:rPr>
          <w:rFonts w:ascii="Tahoma" w:hAnsi="Tahoma" w:cs="Tahoma"/>
          <w:bCs/>
          <w:lang w:val="ru-RU"/>
        </w:rPr>
        <w:t xml:space="preserve">Посматрано по групама производа, у </w:t>
      </w:r>
      <w:r w:rsidR="00CA1ABF" w:rsidRPr="000A6B98">
        <w:rPr>
          <w:rFonts w:ascii="Tahoma" w:hAnsi="Tahoma" w:cs="Tahoma"/>
          <w:bCs/>
          <w:lang w:val="ru-RU"/>
        </w:rPr>
        <w:t xml:space="preserve">периоду </w:t>
      </w:r>
      <w:r w:rsidRPr="000A6B98">
        <w:rPr>
          <w:rFonts w:ascii="Tahoma" w:hAnsi="Tahoma" w:cs="Tahoma"/>
          <w:lang w:val="ru-RU"/>
        </w:rPr>
        <w:t>јануар</w:t>
      </w:r>
      <w:r w:rsidR="00C80EE0" w:rsidRPr="000A6B98">
        <w:rPr>
          <w:rFonts w:ascii="Tahoma" w:hAnsi="Tahoma" w:cs="Tahoma"/>
          <w:lang w:val="ru-RU"/>
        </w:rPr>
        <w:t xml:space="preserve"> </w:t>
      </w:r>
      <w:r w:rsidR="00CA1ABF" w:rsidRPr="000A6B98">
        <w:rPr>
          <w:rFonts w:ascii="Tahoma" w:hAnsi="Tahoma" w:cs="Tahoma"/>
          <w:lang w:val="ru-RU"/>
        </w:rPr>
        <w:t xml:space="preserve">- </w:t>
      </w:r>
      <w:r w:rsidR="00BD5D63" w:rsidRPr="000A6B98">
        <w:rPr>
          <w:rFonts w:ascii="Tahoma" w:hAnsi="Tahoma" w:cs="Tahoma"/>
          <w:lang w:val="ru-RU"/>
        </w:rPr>
        <w:t xml:space="preserve">децембар  </w:t>
      </w:r>
      <w:r w:rsidRPr="000A6B98">
        <w:rPr>
          <w:rFonts w:ascii="Tahoma" w:hAnsi="Tahoma" w:cs="Tahoma"/>
          <w:lang w:val="sr-Cyrl-CS"/>
        </w:rPr>
        <w:t>201</w:t>
      </w:r>
      <w:r w:rsidR="00E2141A" w:rsidRPr="000A6B98">
        <w:rPr>
          <w:rFonts w:ascii="Tahoma" w:hAnsi="Tahoma" w:cs="Tahoma"/>
          <w:lang w:val="sr-Cyrl-CS"/>
        </w:rPr>
        <w:t>2</w:t>
      </w:r>
      <w:r w:rsidRPr="000A6B98">
        <w:rPr>
          <w:rFonts w:ascii="Tahoma" w:hAnsi="Tahoma" w:cs="Tahoma"/>
          <w:lang w:val="sr-Cyrl-CS"/>
        </w:rPr>
        <w:t>. године, највеће учешће у извозу остваруј</w:t>
      </w:r>
      <w:r w:rsidR="00B040ED" w:rsidRPr="000A6B98">
        <w:rPr>
          <w:rFonts w:ascii="Tahoma" w:hAnsi="Tahoma" w:cs="Tahoma"/>
          <w:lang w:val="sr-Cyrl-CS"/>
        </w:rPr>
        <w:t>у</w:t>
      </w:r>
      <w:r w:rsidRPr="000A6B98">
        <w:rPr>
          <w:rFonts w:ascii="Tahoma" w:hAnsi="Tahoma" w:cs="Tahoma"/>
          <w:lang w:val="sr-Cyrl-CS"/>
        </w:rPr>
        <w:t xml:space="preserve"> </w:t>
      </w:r>
      <w:r w:rsidR="00E053E5" w:rsidRPr="000A6B98">
        <w:rPr>
          <w:rFonts w:ascii="Tahoma" w:hAnsi="Tahoma" w:cs="Tahoma"/>
          <w:lang w:val="ru-RU"/>
        </w:rPr>
        <w:t>нафтна уља и уља добиј</w:t>
      </w:r>
      <w:r w:rsidR="00B040ED" w:rsidRPr="000A6B98">
        <w:rPr>
          <w:rFonts w:ascii="Tahoma" w:hAnsi="Tahoma" w:cs="Tahoma"/>
          <w:lang w:val="ru-RU"/>
        </w:rPr>
        <w:t>ена од битумен</w:t>
      </w:r>
      <w:r w:rsidR="007E7446" w:rsidRPr="000A6B98">
        <w:rPr>
          <w:rFonts w:ascii="Tahoma" w:hAnsi="Tahoma" w:cs="Tahoma"/>
          <w:lang w:val="ru-RU"/>
        </w:rPr>
        <w:t>озних</w:t>
      </w:r>
      <w:r w:rsidR="00B040ED" w:rsidRPr="000A6B98">
        <w:rPr>
          <w:rFonts w:ascii="Tahoma" w:hAnsi="Tahoma" w:cs="Tahoma"/>
          <w:lang w:val="ru-RU"/>
        </w:rPr>
        <w:t xml:space="preserve"> минерала</w:t>
      </w:r>
      <w:r w:rsidR="00B040ED" w:rsidRPr="000A6B98">
        <w:rPr>
          <w:rFonts w:ascii="Tahoma" w:hAnsi="Tahoma" w:cs="Tahoma"/>
          <w:lang w:val="sr-Cyrl-CS"/>
        </w:rPr>
        <w:t xml:space="preserve"> (</w:t>
      </w:r>
      <w:r w:rsidR="00B040ED" w:rsidRPr="000A6B98">
        <w:rPr>
          <w:rFonts w:ascii="Tahoma" w:hAnsi="Tahoma" w:cs="Tahoma"/>
          <w:lang w:val="ru-RU"/>
        </w:rPr>
        <w:t>осим сирових</w:t>
      </w:r>
      <w:r w:rsidR="00B040ED" w:rsidRPr="000A6B98">
        <w:rPr>
          <w:rFonts w:ascii="Tahoma" w:hAnsi="Tahoma" w:cs="Tahoma"/>
          <w:lang w:val="sr-Cyrl-CS"/>
        </w:rPr>
        <w:t>)</w:t>
      </w:r>
      <w:r w:rsidR="00B040ED" w:rsidRPr="000A6B98">
        <w:rPr>
          <w:rFonts w:ascii="Tahoma" w:hAnsi="Tahoma" w:cs="Tahoma"/>
          <w:lang w:val="ru-RU"/>
        </w:rPr>
        <w:t xml:space="preserve"> </w:t>
      </w:r>
      <w:r w:rsidR="00781CEE" w:rsidRPr="000A6B98">
        <w:rPr>
          <w:rFonts w:ascii="Tahoma" w:hAnsi="Tahoma" w:cs="Tahoma"/>
          <w:lang w:val="sr-Cyrl-CS"/>
        </w:rPr>
        <w:t xml:space="preserve">са укупном вриједношћу од </w:t>
      </w:r>
      <w:r w:rsidR="002F0F75" w:rsidRPr="000A6B98">
        <w:rPr>
          <w:rFonts w:ascii="Tahoma" w:hAnsi="Tahoma" w:cs="Tahoma"/>
          <w:lang w:val="sr-Cyrl-CS"/>
        </w:rPr>
        <w:t>2</w:t>
      </w:r>
      <w:r w:rsidR="00CC57A7" w:rsidRPr="000A6B98">
        <w:rPr>
          <w:rFonts w:ascii="Tahoma" w:hAnsi="Tahoma" w:cs="Tahoma"/>
          <w:lang w:val="sr-Cyrl-CS"/>
        </w:rPr>
        <w:t>87</w:t>
      </w:r>
      <w:r w:rsidR="00E2141A" w:rsidRPr="000A6B98">
        <w:rPr>
          <w:rFonts w:ascii="Tahoma" w:hAnsi="Tahoma" w:cs="Tahoma"/>
          <w:lang w:val="sr-Cyrl-CS"/>
        </w:rPr>
        <w:t xml:space="preserve"> </w:t>
      </w:r>
      <w:r w:rsidRPr="000A6B98">
        <w:rPr>
          <w:rFonts w:ascii="Tahoma" w:hAnsi="Tahoma" w:cs="Tahoma"/>
          <w:lang w:val="sr-Cyrl-CS"/>
        </w:rPr>
        <w:t>милиона КМ, што износи 1</w:t>
      </w:r>
      <w:r w:rsidR="008A1F56" w:rsidRPr="000A6B98">
        <w:rPr>
          <w:rFonts w:ascii="Tahoma" w:hAnsi="Tahoma" w:cs="Tahoma"/>
          <w:lang w:val="sr-Cyrl-CS"/>
        </w:rPr>
        <w:t>2</w:t>
      </w:r>
      <w:r w:rsidRPr="000A6B98">
        <w:rPr>
          <w:rFonts w:ascii="Tahoma" w:hAnsi="Tahoma" w:cs="Tahoma"/>
          <w:lang w:val="sr-Cyrl-CS"/>
        </w:rPr>
        <w:t>,</w:t>
      </w:r>
      <w:r w:rsidR="000025B1" w:rsidRPr="000A6B98">
        <w:rPr>
          <w:rFonts w:ascii="Tahoma" w:hAnsi="Tahoma" w:cs="Tahoma"/>
          <w:lang w:val="sr-Cyrl-CS"/>
        </w:rPr>
        <w:t>1</w:t>
      </w:r>
      <w:r w:rsidRPr="000A6B98">
        <w:rPr>
          <w:rFonts w:ascii="Tahoma" w:hAnsi="Tahoma" w:cs="Tahoma"/>
          <w:lang w:val="sr-Cyrl-CS"/>
        </w:rPr>
        <w:t xml:space="preserve">% од укупног извоза, док највеће учешће у увозу остварује </w:t>
      </w:r>
      <w:r w:rsidRPr="000A6B98">
        <w:rPr>
          <w:rFonts w:ascii="Tahoma" w:hAnsi="Tahoma" w:cs="Tahoma"/>
          <w:lang w:val="sr-Cyrl-BA"/>
        </w:rPr>
        <w:t>н</w:t>
      </w:r>
      <w:r w:rsidRPr="000A6B98">
        <w:rPr>
          <w:rFonts w:ascii="Tahoma" w:hAnsi="Tahoma" w:cs="Tahoma"/>
          <w:lang w:val="ru-RU"/>
        </w:rPr>
        <w:t>афт</w:t>
      </w:r>
      <w:r w:rsidRPr="000A6B98">
        <w:rPr>
          <w:rFonts w:ascii="Tahoma" w:hAnsi="Tahoma" w:cs="Tahoma"/>
          <w:lang w:val="sr-Cyrl-BA"/>
        </w:rPr>
        <w:t xml:space="preserve">а и </w:t>
      </w:r>
      <w:r w:rsidRPr="000A6B98">
        <w:rPr>
          <w:rFonts w:ascii="Tahoma" w:hAnsi="Tahoma" w:cs="Tahoma"/>
          <w:lang w:val="ru-RU"/>
        </w:rPr>
        <w:t xml:space="preserve">уља добијена од </w:t>
      </w:r>
      <w:r w:rsidR="007E7446" w:rsidRPr="000A6B98">
        <w:rPr>
          <w:rFonts w:ascii="Tahoma" w:hAnsi="Tahoma" w:cs="Tahoma"/>
          <w:lang w:val="ru-RU"/>
        </w:rPr>
        <w:t>битуменозних</w:t>
      </w:r>
      <w:r w:rsidRPr="000A6B98">
        <w:rPr>
          <w:rFonts w:ascii="Tahoma" w:hAnsi="Tahoma" w:cs="Tahoma"/>
          <w:lang w:val="ru-RU"/>
        </w:rPr>
        <w:t xml:space="preserve"> минерала</w:t>
      </w:r>
      <w:r w:rsidRPr="000A6B98">
        <w:rPr>
          <w:rFonts w:ascii="Tahoma" w:hAnsi="Tahoma" w:cs="Tahoma"/>
          <w:lang w:val="sr-Cyrl-BA"/>
        </w:rPr>
        <w:t xml:space="preserve"> (</w:t>
      </w:r>
      <w:r w:rsidRPr="000A6B98">
        <w:rPr>
          <w:rFonts w:ascii="Tahoma" w:hAnsi="Tahoma" w:cs="Tahoma"/>
          <w:lang w:val="ru-RU"/>
        </w:rPr>
        <w:t>сиров</w:t>
      </w:r>
      <w:r w:rsidR="00781CEE" w:rsidRPr="000A6B98">
        <w:rPr>
          <w:rFonts w:ascii="Tahoma" w:hAnsi="Tahoma" w:cs="Tahoma"/>
          <w:lang w:val="sr-Cyrl-BA"/>
        </w:rPr>
        <w:t xml:space="preserve">а), са укупном вриједношћу од </w:t>
      </w:r>
      <w:r w:rsidR="00035F0F" w:rsidRPr="000A6B98">
        <w:rPr>
          <w:rFonts w:ascii="Tahoma" w:hAnsi="Tahoma" w:cs="Tahoma"/>
          <w:lang w:val="ru-RU"/>
        </w:rPr>
        <w:t>милијарду и 1</w:t>
      </w:r>
      <w:r w:rsidR="00744723" w:rsidRPr="000A6B98">
        <w:rPr>
          <w:rFonts w:ascii="Tahoma" w:hAnsi="Tahoma" w:cs="Tahoma"/>
          <w:lang w:val="ru-RU"/>
        </w:rPr>
        <w:t>96</w:t>
      </w:r>
      <w:r w:rsidR="00843401" w:rsidRPr="000A6B98">
        <w:rPr>
          <w:rFonts w:ascii="Tahoma" w:hAnsi="Tahoma" w:cs="Tahoma"/>
          <w:lang w:val="sr-Cyrl-BA"/>
        </w:rPr>
        <w:t xml:space="preserve"> </w:t>
      </w:r>
      <w:r w:rsidR="008D6AC0" w:rsidRPr="000A6B98">
        <w:rPr>
          <w:rFonts w:ascii="Tahoma" w:hAnsi="Tahoma" w:cs="Tahoma"/>
          <w:lang w:val="sr-Cyrl-BA"/>
        </w:rPr>
        <w:t xml:space="preserve">милиона КМ, што износи </w:t>
      </w:r>
      <w:r w:rsidR="00843401" w:rsidRPr="000A6B98">
        <w:rPr>
          <w:rFonts w:ascii="Tahoma" w:hAnsi="Tahoma" w:cs="Tahoma"/>
          <w:lang w:val="sr-Cyrl-BA"/>
        </w:rPr>
        <w:t>2</w:t>
      </w:r>
      <w:r w:rsidR="00CC57A7" w:rsidRPr="000A6B98">
        <w:rPr>
          <w:rFonts w:ascii="Tahoma" w:hAnsi="Tahoma" w:cs="Tahoma"/>
          <w:lang w:val="sr-Cyrl-BA"/>
        </w:rPr>
        <w:t>6</w:t>
      </w:r>
      <w:r w:rsidRPr="000A6B98">
        <w:rPr>
          <w:rFonts w:ascii="Tahoma" w:hAnsi="Tahoma" w:cs="Tahoma"/>
          <w:lang w:val="sr-Cyrl-BA"/>
        </w:rPr>
        <w:t>,</w:t>
      </w:r>
      <w:r w:rsidR="00CC57A7" w:rsidRPr="000A6B98">
        <w:rPr>
          <w:rFonts w:ascii="Tahoma" w:hAnsi="Tahoma" w:cs="Tahoma"/>
          <w:lang w:val="sr-Cyrl-BA"/>
        </w:rPr>
        <w:t>7</w:t>
      </w:r>
      <w:r w:rsidRPr="000A6B98">
        <w:rPr>
          <w:rFonts w:ascii="Tahoma" w:hAnsi="Tahoma" w:cs="Tahoma"/>
          <w:lang w:val="sr-Cyrl-BA"/>
        </w:rPr>
        <w:t>% од укупног увоза.</w:t>
      </w:r>
    </w:p>
    <w:p w:rsidR="00552B3B" w:rsidRPr="00B47AD9" w:rsidRDefault="00552B3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8288A" w:rsidRPr="00B47AD9" w:rsidRDefault="0078288A" w:rsidP="008545F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B47AD9" w:rsidRDefault="00D6623F" w:rsidP="008066F8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</w:rPr>
      </w:pPr>
      <w:r w:rsidRPr="00D6623F">
        <w:rPr>
          <w:rFonts w:ascii="Tahoma" w:hAnsi="Tahoma" w:cs="Tahoma"/>
          <w:noProof/>
          <w:sz w:val="18"/>
          <w:szCs w:val="18"/>
          <w:lang w:eastAsia="zh-TW"/>
        </w:rPr>
        <w:pict>
          <v:shape id="_x0000_s1062" type="#_x0000_t202" style="position:absolute;left:0;text-align:left;margin-left:111.85pt;margin-top:6.4pt;width:47.15pt;height:19.75pt;z-index:251658240;mso-width-relative:margin;mso-height-relative:margin" filled="f" stroked="f">
            <v:textbox style="mso-next-textbox:#_x0000_s1062">
              <w:txbxContent>
                <w:p w:rsidR="00137550" w:rsidRPr="0078288A" w:rsidRDefault="00137550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5E0301" w:rsidRPr="00B47AD9" w:rsidRDefault="00D6623F" w:rsidP="00C03FEE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D6623F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272.3pt;margin-top:212.55pt;width:36.15pt;height:16.85pt;z-index:251657216;mso-height-percent:200;mso-position-horizontal-relative:text;mso-position-vertical-relative:text;mso-height-percent:200;mso-width-relative:margin;mso-height-relative:margin" stroked="f">
            <v:textbox style="mso-next-textbox:#_x0000_s1061;mso-fit-shape-to-text:t">
              <w:txbxContent>
                <w:p w:rsidR="00137550" w:rsidRPr="00843401" w:rsidRDefault="00137550" w:rsidP="0078288A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2</w:t>
                  </w:r>
                </w:p>
              </w:txbxContent>
            </v:textbox>
          </v:shape>
        </w:pict>
      </w:r>
      <w:r w:rsidR="007404C2" w:rsidRPr="00B47AD9">
        <w:rPr>
          <w:rFonts w:ascii="Tahoma" w:hAnsi="Tahoma" w:cs="Tahoma"/>
          <w:b/>
          <w:noProof/>
        </w:rPr>
        <w:drawing>
          <wp:inline distT="0" distB="0" distL="0" distR="0">
            <wp:extent cx="4472483" cy="2706624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D6623F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19.65pt;margin-top:212.55pt;width:36.15pt;height:16.85pt;z-index:251656192;mso-height-percent:200;mso-position-horizontal-relative:text;mso-position-vertical-relative:text;mso-height-percent:200;mso-width-relative:margin;mso-height-relative:margin" stroked="f">
            <v:textbox style="mso-next-textbox:#_x0000_s1060;mso-fit-shape-to-text:t">
              <w:txbxContent>
                <w:p w:rsidR="00137550" w:rsidRPr="00843401" w:rsidRDefault="00137550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1</w:t>
                  </w:r>
                </w:p>
              </w:txbxContent>
            </v:textbox>
          </v:shape>
        </w:pict>
      </w:r>
    </w:p>
    <w:p w:rsidR="008066F8" w:rsidRPr="00B47AD9" w:rsidRDefault="008066F8" w:rsidP="008545F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C03FEE" w:rsidRPr="00B47AD9" w:rsidRDefault="00C03FEE" w:rsidP="008545F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5206D7" w:rsidRPr="00A10314" w:rsidRDefault="000328B8" w:rsidP="008545FA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  <w:r w:rsidRPr="00A10314">
        <w:rPr>
          <w:rFonts w:ascii="Tahoma" w:hAnsi="Tahoma" w:cs="Tahoma"/>
          <w:sz w:val="18"/>
          <w:szCs w:val="18"/>
          <w:lang w:val="ru-RU"/>
        </w:rPr>
        <w:t xml:space="preserve">Графикон </w:t>
      </w:r>
      <w:r w:rsidR="0033459B" w:rsidRPr="00A10314">
        <w:rPr>
          <w:rFonts w:ascii="Tahoma" w:hAnsi="Tahoma" w:cs="Tahoma"/>
          <w:sz w:val="18"/>
          <w:szCs w:val="18"/>
          <w:lang w:val="ru-RU"/>
        </w:rPr>
        <w:t>2</w:t>
      </w:r>
      <w:r w:rsidR="005E0301" w:rsidRPr="00A10314">
        <w:rPr>
          <w:rFonts w:ascii="Tahoma" w:hAnsi="Tahoma" w:cs="Tahoma"/>
          <w:sz w:val="18"/>
          <w:szCs w:val="18"/>
          <w:lang w:val="ru-RU"/>
        </w:rPr>
        <w:t xml:space="preserve">. </w:t>
      </w:r>
      <w:r w:rsidR="005E0301" w:rsidRPr="00A10314">
        <w:rPr>
          <w:rFonts w:ascii="Tahoma" w:hAnsi="Tahoma" w:cs="Tahoma"/>
          <w:iCs/>
          <w:sz w:val="18"/>
          <w:szCs w:val="18"/>
          <w:lang w:val="sr-Cyrl-CS"/>
        </w:rPr>
        <w:t>Из</w:t>
      </w:r>
      <w:r w:rsidR="005E0301" w:rsidRPr="00A10314">
        <w:rPr>
          <w:rFonts w:ascii="Tahoma" w:hAnsi="Tahoma" w:cs="Tahoma"/>
          <w:iCs/>
          <w:sz w:val="18"/>
          <w:szCs w:val="18"/>
          <w:lang w:val="ru-RU"/>
        </w:rPr>
        <w:t xml:space="preserve">воз и </w:t>
      </w:r>
      <w:r w:rsidR="005E0301" w:rsidRPr="00A10314">
        <w:rPr>
          <w:rFonts w:ascii="Tahoma" w:hAnsi="Tahoma" w:cs="Tahoma"/>
          <w:iCs/>
          <w:sz w:val="18"/>
          <w:szCs w:val="18"/>
          <w:lang w:val="sr-Cyrl-CS"/>
        </w:rPr>
        <w:t>у</w:t>
      </w:r>
      <w:r w:rsidR="005E0301" w:rsidRPr="00A10314">
        <w:rPr>
          <w:rFonts w:ascii="Tahoma" w:hAnsi="Tahoma" w:cs="Tahoma"/>
          <w:iCs/>
          <w:sz w:val="18"/>
          <w:szCs w:val="18"/>
          <w:lang w:val="ru-RU"/>
        </w:rPr>
        <w:t>воз по мјесецима</w:t>
      </w:r>
    </w:p>
    <w:p w:rsidR="00F94323" w:rsidRPr="00B47AD9" w:rsidRDefault="00F94323" w:rsidP="00094E6E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0C4E02" w:rsidRPr="00B47AD9" w:rsidRDefault="000C4E02">
      <w:pPr>
        <w:rPr>
          <w:rFonts w:ascii="Tahoma" w:hAnsi="Tahoma" w:cs="Tahoma"/>
          <w:bCs/>
          <w:sz w:val="18"/>
          <w:szCs w:val="18"/>
        </w:rPr>
      </w:pPr>
    </w:p>
    <w:p w:rsidR="00B8129B" w:rsidRPr="00B47AD9" w:rsidRDefault="00B8129B">
      <w:pPr>
        <w:rPr>
          <w:rFonts w:ascii="Tahoma" w:hAnsi="Tahoma" w:cs="Tahoma"/>
          <w:bCs/>
          <w:sz w:val="18"/>
          <w:szCs w:val="18"/>
        </w:rPr>
      </w:pPr>
    </w:p>
    <w:p w:rsidR="00B8129B" w:rsidRPr="00B47AD9" w:rsidRDefault="00B8129B">
      <w:pPr>
        <w:rPr>
          <w:rFonts w:ascii="Tahoma" w:hAnsi="Tahoma" w:cs="Tahoma"/>
          <w:bCs/>
          <w:sz w:val="18"/>
          <w:szCs w:val="18"/>
        </w:rPr>
      </w:pPr>
    </w:p>
    <w:p w:rsidR="00B8129B" w:rsidRPr="00B47AD9" w:rsidRDefault="00B8129B">
      <w:pPr>
        <w:rPr>
          <w:rFonts w:ascii="Tahoma" w:hAnsi="Tahoma" w:cs="Tahoma"/>
          <w:bCs/>
          <w:sz w:val="18"/>
          <w:szCs w:val="18"/>
        </w:rPr>
      </w:pPr>
    </w:p>
    <w:p w:rsidR="00B8129B" w:rsidRPr="00B47AD9" w:rsidRDefault="00B8129B">
      <w:pPr>
        <w:rPr>
          <w:rFonts w:ascii="Tahoma" w:hAnsi="Tahoma" w:cs="Tahoma"/>
          <w:bCs/>
          <w:sz w:val="18"/>
          <w:szCs w:val="18"/>
        </w:rPr>
      </w:pPr>
    </w:p>
    <w:p w:rsidR="00B8129B" w:rsidRPr="00B47AD9" w:rsidRDefault="00B8129B">
      <w:pPr>
        <w:rPr>
          <w:rFonts w:ascii="Tahoma" w:hAnsi="Tahoma" w:cs="Tahoma"/>
          <w:bCs/>
          <w:sz w:val="18"/>
          <w:szCs w:val="18"/>
        </w:rPr>
      </w:pPr>
    </w:p>
    <w:p w:rsidR="00DB6D76" w:rsidRPr="00B47AD9" w:rsidRDefault="00DB6D76" w:rsidP="00094E6E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010581" w:rsidRPr="00B47AD9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B47AD9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  <w:p w:rsidR="00A15386" w:rsidRPr="00B47AD9" w:rsidRDefault="00A15386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A15386" w:rsidRPr="00B47AD9" w:rsidRDefault="00A15386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A15386" w:rsidRPr="00B47AD9" w:rsidRDefault="00A15386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010581" w:rsidRPr="00B47AD9" w:rsidTr="00EF319F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15386" w:rsidRPr="00B47AD9" w:rsidRDefault="00A15386" w:rsidP="00A15386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B47A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националних рачуна </w:t>
            </w:r>
          </w:p>
          <w:p w:rsidR="00A15386" w:rsidRPr="00B47AD9" w:rsidRDefault="00A15386" w:rsidP="00A15386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r w:rsidRPr="00B47AD9">
              <w:rPr>
                <w:rFonts w:ascii="Tahoma" w:hAnsi="Tahoma" w:cs="Tahoma"/>
                <w:sz w:val="16"/>
                <w:lang w:val="bs-Cyrl-BA"/>
              </w:rPr>
              <w:t>Драгана Куновац</w:t>
            </w:r>
          </w:p>
          <w:p w:rsidR="00A15386" w:rsidRPr="00B47AD9" w:rsidRDefault="00A15386" w:rsidP="00A15386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B47AD9">
              <w:rPr>
                <w:rFonts w:ascii="Tahoma" w:hAnsi="Tahoma" w:cs="Tahoma"/>
                <w:sz w:val="16"/>
                <w:szCs w:val="16"/>
                <w:u w:val="single"/>
              </w:rPr>
              <w:t>dragana.kunovac@rzs.rs.ba</w:t>
            </w:r>
          </w:p>
          <w:p w:rsidR="00A15386" w:rsidRPr="00B47AD9" w:rsidRDefault="00A15386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</w:p>
          <w:p w:rsidR="000F0E43" w:rsidRPr="00B47AD9" w:rsidRDefault="000F0E43" w:rsidP="00094E6E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B47A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0F0E43" w:rsidRPr="00B47AD9" w:rsidRDefault="004641E9" w:rsidP="00094E6E">
            <w:pPr>
              <w:jc w:val="both"/>
              <w:rPr>
                <w:rFonts w:ascii="Tahoma" w:hAnsi="Tahoma" w:cs="Tahoma"/>
                <w:sz w:val="16"/>
              </w:rPr>
            </w:pPr>
            <w:r w:rsidRPr="00B47AD9">
              <w:rPr>
                <w:rFonts w:ascii="Tahoma" w:hAnsi="Tahoma" w:cs="Tahoma"/>
                <w:sz w:val="16"/>
                <w:lang w:val="bs-Cyrl-BA"/>
              </w:rPr>
              <w:t>Владимир Копривица</w:t>
            </w:r>
          </w:p>
          <w:p w:rsidR="008C3261" w:rsidRPr="00B47AD9" w:rsidRDefault="004641E9" w:rsidP="00094E6E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B47AD9">
              <w:rPr>
                <w:rFonts w:ascii="Tahoma" w:hAnsi="Tahoma" w:cs="Tahoma"/>
                <w:sz w:val="16"/>
                <w:szCs w:val="16"/>
                <w:u w:val="single"/>
              </w:rPr>
              <w:t>vladimir</w:t>
            </w:r>
            <w:r w:rsidR="001A6CDD" w:rsidRPr="00B47AD9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  <w:r w:rsidRPr="00B47AD9">
              <w:rPr>
                <w:rFonts w:ascii="Tahoma" w:hAnsi="Tahoma" w:cs="Tahoma"/>
                <w:sz w:val="16"/>
                <w:szCs w:val="16"/>
                <w:u w:val="single"/>
              </w:rPr>
              <w:t>koprivica</w:t>
            </w:r>
            <w:r w:rsidR="001A6CDD" w:rsidRPr="00B47AD9">
              <w:rPr>
                <w:rFonts w:ascii="Tahoma" w:hAnsi="Tahoma" w:cs="Tahoma"/>
                <w:sz w:val="16"/>
                <w:szCs w:val="16"/>
                <w:u w:val="single"/>
              </w:rPr>
              <w:t>@rzs.rs.ba</w:t>
            </w:r>
          </w:p>
          <w:p w:rsidR="00EF319F" w:rsidRPr="00B47AD9" w:rsidRDefault="00EF319F" w:rsidP="001A6CDD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0581" w:rsidRPr="00B47AD9" w:rsidTr="00BC381E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B47A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BC381E" w:rsidRPr="00B47AD9" w:rsidRDefault="00BC381E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B47AD9"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BC381E" w:rsidRPr="00B47AD9" w:rsidRDefault="00D6623F" w:rsidP="00094E6E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2" w:history="1">
              <w:r w:rsidR="00BC381E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BC381E" w:rsidRPr="00B47AD9" w:rsidRDefault="00BC381E" w:rsidP="00094E6E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</w:p>
          <w:p w:rsidR="008C3261" w:rsidRPr="00B47AD9" w:rsidRDefault="008C3261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B47AD9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8C3261" w:rsidRPr="00B47AD9" w:rsidRDefault="00D6623F" w:rsidP="00094E6E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3" w:history="1"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B47AD9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010581" w:rsidRPr="00B47AD9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B47A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8C3261" w:rsidRPr="00B47AD9" w:rsidRDefault="008D6CFA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B47AD9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8C3261" w:rsidRPr="00B47AD9" w:rsidRDefault="00D6623F" w:rsidP="00094E6E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4" w:history="1">
              <w:r w:rsidR="008D6CFA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  <w:r w:rsidR="008C3261" w:rsidRPr="00B47AD9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B47AD9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B47AD9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B47A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8C3261" w:rsidRPr="00B47AD9" w:rsidRDefault="002E192B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B47AD9">
              <w:rPr>
                <w:rFonts w:ascii="Tahoma" w:hAnsi="Tahoma" w:cs="Tahoma"/>
                <w:sz w:val="16"/>
                <w:lang w:val="sr-Cyrl-CS"/>
              </w:rPr>
              <w:t xml:space="preserve">мр </w:t>
            </w:r>
            <w:r w:rsidR="008C3261" w:rsidRPr="00B47AD9"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  <w:r w:rsidR="00552B3B" w:rsidRPr="00B47AD9">
              <w:rPr>
                <w:rFonts w:ascii="Tahoma" w:hAnsi="Tahoma" w:cs="Tahoma"/>
                <w:sz w:val="16"/>
                <w:lang w:val="sr-Cyrl-CS"/>
              </w:rPr>
              <w:t xml:space="preserve"> Увалић</w:t>
            </w:r>
          </w:p>
          <w:p w:rsidR="008C3261" w:rsidRPr="00B47AD9" w:rsidRDefault="00D6623F" w:rsidP="00094E6E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hyperlink r:id="rId15" w:history="1"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B47A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B47AD9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B47AD9" w:rsidRDefault="00C14E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010581" w:rsidRPr="00B47AD9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B47AD9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B47AD9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B47AD9">
              <w:rPr>
                <w:rFonts w:ascii="Tahoma" w:hAnsi="Tahoma" w:cs="Tahoma"/>
                <w:b/>
                <w:bCs/>
              </w:rPr>
              <w:sym w:font="Symbol" w:char="00C6"/>
            </w:r>
            <w:r w:rsidRPr="00B47AD9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B47AD9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B47AD9" w:rsidRDefault="00A115B5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B6D76" w:rsidRPr="00B47AD9" w:rsidRDefault="00DB6D7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8723A" w:rsidRPr="00B47AD9" w:rsidRDefault="00F8723A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47AD9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E92C59" w:rsidRPr="00B47AD9" w:rsidRDefault="00E92C59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61562" w:rsidRDefault="00561562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61562" w:rsidRDefault="00561562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61562" w:rsidRDefault="00561562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61562" w:rsidRDefault="00561562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61562" w:rsidRDefault="00561562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61562" w:rsidRPr="00B47AD9" w:rsidRDefault="00561562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Pr="00B47AD9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Pr="00B47AD9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8129B" w:rsidRPr="00B47AD9" w:rsidRDefault="00B8129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47AD9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30DBE" w:rsidRPr="00B47AD9" w:rsidRDefault="00330DBE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4611B" w:rsidRPr="00B47AD9" w:rsidRDefault="00C461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A15386" w:rsidRPr="00B47AD9" w:rsidRDefault="00A15386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C4611B" w:rsidRPr="00B47AD9" w:rsidRDefault="00C4611B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72953" w:rsidRPr="00B47AD9" w:rsidRDefault="00A72953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8C3261" w:rsidRPr="00B47AD9" w:rsidRDefault="00D6623F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D6623F">
        <w:rPr>
          <w:rFonts w:ascii="Tahoma" w:hAnsi="Tahoma" w:cs="Tahoma"/>
          <w:noProof/>
          <w:sz w:val="16"/>
        </w:rPr>
        <w:pict>
          <v:line id="_x0000_s1056" style="position:absolute;left:0;text-align:left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B47AD9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B47AD9" w:rsidRDefault="008C3261" w:rsidP="00094E6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B47AD9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B47AD9" w:rsidRDefault="008C3261" w:rsidP="00A17430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B47AD9">
              <w:rPr>
                <w:rFonts w:ascii="Tahoma" w:hAnsi="Tahoma" w:cs="Tahoma"/>
                <w:sz w:val="16"/>
                <w:lang w:val="sr-Cyrl-CS"/>
              </w:rPr>
              <w:t>Саопш</w:t>
            </w:r>
            <w:r w:rsidRPr="00B47AD9">
              <w:rPr>
                <w:rFonts w:ascii="Tahoma" w:hAnsi="Tahoma" w:cs="Tahoma"/>
                <w:sz w:val="16"/>
              </w:rPr>
              <w:t>те</w:t>
            </w:r>
            <w:r w:rsidRPr="00B47AD9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B47AD9">
              <w:rPr>
                <w:rFonts w:ascii="Tahoma" w:hAnsi="Tahoma" w:cs="Tahoma"/>
                <w:sz w:val="16"/>
              </w:rPr>
              <w:t xml:space="preserve">е </w:t>
            </w:r>
            <w:r w:rsidR="00477CB9" w:rsidRPr="00B47AD9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B47AD9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B47AD9">
              <w:rPr>
                <w:rFonts w:ascii="Tahoma" w:hAnsi="Tahoma" w:cs="Tahoma"/>
                <w:sz w:val="16"/>
              </w:rPr>
              <w:t xml:space="preserve"> </w:t>
            </w:r>
            <w:r w:rsidRPr="00B47AD9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</w:p>
        </w:tc>
      </w:tr>
      <w:tr w:rsidR="008C3261" w:rsidRPr="00B47AD9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B47AD9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B47AD9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B47AD9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B47AD9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B47AD9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B47AD9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B47AD9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B47AD9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B47AD9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Pr="00B47AD9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Pr="00B47AD9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Pr="00B47AD9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B47AD9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B47AD9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B47AD9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B47AD9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B47AD9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6" w:history="1"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B47AD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B47AD9" w:rsidRDefault="008C3261" w:rsidP="00A17430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B47AD9" w:rsidRDefault="008C3261" w:rsidP="00A17430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B47AD9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B47AD9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B47AD9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657939" w:rsidRPr="00B47AD9" w:rsidRDefault="00D6623F" w:rsidP="00A15386">
      <w:pPr>
        <w:rPr>
          <w:rFonts w:ascii="Tahoma" w:hAnsi="Tahoma" w:cs="Tahoma"/>
          <w:lang w:val="sr-Cyrl-BA"/>
        </w:rPr>
      </w:pPr>
      <w:r w:rsidRPr="00D6623F">
        <w:rPr>
          <w:rFonts w:ascii="Tahoma" w:hAnsi="Tahoma" w:cs="Tahoma"/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sectPr w:rsidR="00657939" w:rsidRPr="00B47AD9" w:rsidSect="00561562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50" w:rsidRDefault="00137550">
      <w:r>
        <w:separator/>
      </w:r>
    </w:p>
  </w:endnote>
  <w:endnote w:type="continuationSeparator" w:id="0">
    <w:p w:rsidR="00137550" w:rsidRDefault="00137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237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561562" w:rsidRPr="00561562" w:rsidRDefault="00D6623F">
        <w:pPr>
          <w:pStyle w:val="Footer"/>
          <w:jc w:val="center"/>
          <w:rPr>
            <w:rFonts w:ascii="Tahoma" w:hAnsi="Tahoma" w:cs="Tahoma"/>
            <w:sz w:val="16"/>
            <w:szCs w:val="16"/>
          </w:rPr>
        </w:pPr>
        <w:r w:rsidRPr="00561562">
          <w:rPr>
            <w:rFonts w:ascii="Tahoma" w:hAnsi="Tahoma" w:cs="Tahoma"/>
            <w:color w:val="003366"/>
            <w:sz w:val="16"/>
            <w:szCs w:val="16"/>
          </w:rPr>
          <w:fldChar w:fldCharType="begin"/>
        </w:r>
        <w:r w:rsidR="00561562" w:rsidRPr="00561562">
          <w:rPr>
            <w:rFonts w:ascii="Tahoma" w:hAnsi="Tahoma" w:cs="Tahoma"/>
            <w:color w:val="003366"/>
            <w:sz w:val="16"/>
            <w:szCs w:val="16"/>
          </w:rPr>
          <w:instrText xml:space="preserve"> PAGE   \* MERGEFORMAT </w:instrText>
        </w:r>
        <w:r w:rsidRPr="00561562">
          <w:rPr>
            <w:rFonts w:ascii="Tahoma" w:hAnsi="Tahoma" w:cs="Tahoma"/>
            <w:color w:val="003366"/>
            <w:sz w:val="16"/>
            <w:szCs w:val="16"/>
          </w:rPr>
          <w:fldChar w:fldCharType="separate"/>
        </w:r>
        <w:r w:rsidR="00A76DF8">
          <w:rPr>
            <w:rFonts w:ascii="Tahoma" w:hAnsi="Tahoma" w:cs="Tahoma"/>
            <w:noProof/>
            <w:color w:val="003366"/>
            <w:sz w:val="16"/>
            <w:szCs w:val="16"/>
          </w:rPr>
          <w:t>4</w:t>
        </w:r>
        <w:r w:rsidRPr="00561562">
          <w:rPr>
            <w:rFonts w:ascii="Tahoma" w:hAnsi="Tahoma" w:cs="Tahoma"/>
            <w:color w:val="003366"/>
            <w:sz w:val="16"/>
            <w:szCs w:val="16"/>
          </w:rPr>
          <w:fldChar w:fldCharType="end"/>
        </w:r>
      </w:p>
    </w:sdtContent>
  </w:sdt>
  <w:p w:rsidR="00561562" w:rsidRDefault="005615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2382"/>
      <w:docPartObj>
        <w:docPartGallery w:val="Page Numbers (Bottom of Page)"/>
        <w:docPartUnique/>
      </w:docPartObj>
    </w:sdtPr>
    <w:sdtEndPr>
      <w:rPr>
        <w:rFonts w:ascii="Tahoma" w:hAnsi="Tahoma" w:cs="Tahoma"/>
        <w:color w:val="003366"/>
        <w:sz w:val="16"/>
        <w:szCs w:val="16"/>
      </w:rPr>
    </w:sdtEndPr>
    <w:sdtContent>
      <w:p w:rsidR="00561562" w:rsidRPr="00561562" w:rsidRDefault="00D6623F">
        <w:pPr>
          <w:pStyle w:val="Footer"/>
          <w:jc w:val="center"/>
          <w:rPr>
            <w:rFonts w:ascii="Tahoma" w:hAnsi="Tahoma" w:cs="Tahoma"/>
            <w:color w:val="003366"/>
            <w:sz w:val="16"/>
            <w:szCs w:val="16"/>
          </w:rPr>
        </w:pPr>
        <w:r w:rsidRPr="00561562">
          <w:rPr>
            <w:rFonts w:ascii="Tahoma" w:hAnsi="Tahoma" w:cs="Tahoma"/>
            <w:color w:val="003366"/>
            <w:sz w:val="16"/>
            <w:szCs w:val="16"/>
          </w:rPr>
          <w:fldChar w:fldCharType="begin"/>
        </w:r>
        <w:r w:rsidR="00561562" w:rsidRPr="00561562">
          <w:rPr>
            <w:rFonts w:ascii="Tahoma" w:hAnsi="Tahoma" w:cs="Tahoma"/>
            <w:color w:val="003366"/>
            <w:sz w:val="16"/>
            <w:szCs w:val="16"/>
          </w:rPr>
          <w:instrText xml:space="preserve"> PAGE   \* MERGEFORMAT </w:instrText>
        </w:r>
        <w:r w:rsidRPr="00561562">
          <w:rPr>
            <w:rFonts w:ascii="Tahoma" w:hAnsi="Tahoma" w:cs="Tahoma"/>
            <w:color w:val="003366"/>
            <w:sz w:val="16"/>
            <w:szCs w:val="16"/>
          </w:rPr>
          <w:fldChar w:fldCharType="separate"/>
        </w:r>
        <w:r w:rsidR="00171C23">
          <w:rPr>
            <w:rFonts w:ascii="Tahoma" w:hAnsi="Tahoma" w:cs="Tahoma"/>
            <w:noProof/>
            <w:color w:val="003366"/>
            <w:sz w:val="16"/>
            <w:szCs w:val="16"/>
          </w:rPr>
          <w:t>1</w:t>
        </w:r>
        <w:r w:rsidRPr="00561562">
          <w:rPr>
            <w:rFonts w:ascii="Tahoma" w:hAnsi="Tahoma" w:cs="Tahoma"/>
            <w:color w:val="003366"/>
            <w:sz w:val="16"/>
            <w:szCs w:val="16"/>
          </w:rPr>
          <w:fldChar w:fldCharType="end"/>
        </w:r>
      </w:p>
    </w:sdtContent>
  </w:sdt>
  <w:p w:rsidR="00561562" w:rsidRDefault="005615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50" w:rsidRDefault="00137550">
      <w:r>
        <w:separator/>
      </w:r>
    </w:p>
  </w:footnote>
  <w:footnote w:type="continuationSeparator" w:id="0">
    <w:p w:rsidR="00137550" w:rsidRDefault="00137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137550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137550" w:rsidRDefault="00137550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137550" w:rsidRPr="00460A5B" w:rsidRDefault="00137550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137550" w:rsidRPr="005D5311" w:rsidRDefault="00137550" w:rsidP="000A376F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23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јануар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2013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 w:rsidRPr="00CC5E7F">
            <w:rPr>
              <w:rFonts w:ascii="Tahoma" w:hAnsi="Tahoma" w:cs="Tahoma"/>
              <w:b/>
              <w:color w:val="003366"/>
              <w:sz w:val="32"/>
              <w:szCs w:val="32"/>
              <w:lang w:val="sr-Cyrl-BA"/>
            </w:rPr>
            <w:t>1</w:t>
          </w:r>
          <w:r w:rsidRPr="00CC5E7F">
            <w:rPr>
              <w:rFonts w:ascii="Tahoma" w:hAnsi="Tahoma" w:cs="Tahoma"/>
              <w:b/>
              <w:color w:val="003366"/>
              <w:sz w:val="32"/>
              <w:szCs w:val="32"/>
            </w:rPr>
            <w:t>/</w:t>
          </w:r>
          <w:r w:rsidRPr="00CC5E7F">
            <w:rPr>
              <w:rFonts w:ascii="Tahoma" w:hAnsi="Tahoma" w:cs="Tahoma"/>
              <w:b/>
              <w:color w:val="003366"/>
              <w:sz w:val="32"/>
              <w:szCs w:val="32"/>
              <w:lang w:val="sr-Cyrl-BA"/>
            </w:rPr>
            <w:t>13</w:t>
          </w:r>
          <w:r w:rsidRPr="00CC5E7F">
            <w:rPr>
              <w:rFonts w:ascii="Tahoma" w:hAnsi="Tahoma" w:cs="Tahoma"/>
              <w:b/>
              <w:color w:val="003366"/>
              <w:sz w:val="32"/>
              <w:szCs w:val="32"/>
            </w:rPr>
            <w:t xml:space="preserve">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137550" w:rsidRDefault="00D6623F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D6623F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>
      <o:colormru v:ext="edit" colors="#963,#969696,#77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96F"/>
    <w:rsid w:val="00002145"/>
    <w:rsid w:val="000025B1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DDC"/>
    <w:rsid w:val="00010078"/>
    <w:rsid w:val="00010581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772"/>
    <w:rsid w:val="00030356"/>
    <w:rsid w:val="00030613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E5"/>
    <w:rsid w:val="000378BC"/>
    <w:rsid w:val="00040A66"/>
    <w:rsid w:val="0004142B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52C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1AE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1CB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97EF8"/>
    <w:rsid w:val="000A1737"/>
    <w:rsid w:val="000A174B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B98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980"/>
    <w:rsid w:val="000B2A26"/>
    <w:rsid w:val="000B307B"/>
    <w:rsid w:val="000B3187"/>
    <w:rsid w:val="000B31F2"/>
    <w:rsid w:val="000B3234"/>
    <w:rsid w:val="000B3336"/>
    <w:rsid w:val="000B3778"/>
    <w:rsid w:val="000B3FE7"/>
    <w:rsid w:val="000B4D34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7878"/>
    <w:rsid w:val="000C7A83"/>
    <w:rsid w:val="000C7AFA"/>
    <w:rsid w:val="000C7B20"/>
    <w:rsid w:val="000C7C89"/>
    <w:rsid w:val="000C7E48"/>
    <w:rsid w:val="000D03D6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070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B20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BE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4B9C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550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595"/>
    <w:rsid w:val="00163A9B"/>
    <w:rsid w:val="00164E59"/>
    <w:rsid w:val="001655F9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C23"/>
    <w:rsid w:val="00171CD1"/>
    <w:rsid w:val="00172A89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22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406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6767"/>
    <w:rsid w:val="0020707B"/>
    <w:rsid w:val="002072A1"/>
    <w:rsid w:val="00207411"/>
    <w:rsid w:val="00207950"/>
    <w:rsid w:val="002079B7"/>
    <w:rsid w:val="00207AB0"/>
    <w:rsid w:val="002111D5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9B7"/>
    <w:rsid w:val="00216B1A"/>
    <w:rsid w:val="00216DAA"/>
    <w:rsid w:val="00216E68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53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9D5"/>
    <w:rsid w:val="00235B39"/>
    <w:rsid w:val="00235CB0"/>
    <w:rsid w:val="00235D8A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4312"/>
    <w:rsid w:val="00255416"/>
    <w:rsid w:val="00255C3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EE"/>
    <w:rsid w:val="00260CD9"/>
    <w:rsid w:val="00260EE5"/>
    <w:rsid w:val="0026155E"/>
    <w:rsid w:val="0026162B"/>
    <w:rsid w:val="00261646"/>
    <w:rsid w:val="00261905"/>
    <w:rsid w:val="002630E0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6E8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AE0"/>
    <w:rsid w:val="00282D51"/>
    <w:rsid w:val="00282F33"/>
    <w:rsid w:val="00283136"/>
    <w:rsid w:val="0028333A"/>
    <w:rsid w:val="002833DF"/>
    <w:rsid w:val="00283A20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4EE3"/>
    <w:rsid w:val="002A513E"/>
    <w:rsid w:val="002A5D3A"/>
    <w:rsid w:val="002A5EF6"/>
    <w:rsid w:val="002A6004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3B5"/>
    <w:rsid w:val="002C27B5"/>
    <w:rsid w:val="002C284A"/>
    <w:rsid w:val="002C2F32"/>
    <w:rsid w:val="002C30DB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5431"/>
    <w:rsid w:val="002E58CD"/>
    <w:rsid w:val="002E5B75"/>
    <w:rsid w:val="002E61A6"/>
    <w:rsid w:val="002E651F"/>
    <w:rsid w:val="002E66C9"/>
    <w:rsid w:val="002E689C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07D91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86A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6F7F"/>
    <w:rsid w:val="003C6FE6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21C"/>
    <w:rsid w:val="003D2D32"/>
    <w:rsid w:val="003D2E84"/>
    <w:rsid w:val="003D35F2"/>
    <w:rsid w:val="003D366F"/>
    <w:rsid w:val="003D384E"/>
    <w:rsid w:val="003D3D27"/>
    <w:rsid w:val="003D4208"/>
    <w:rsid w:val="003D4551"/>
    <w:rsid w:val="003D494D"/>
    <w:rsid w:val="003D4EBC"/>
    <w:rsid w:val="003D4FE0"/>
    <w:rsid w:val="003D5248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372"/>
    <w:rsid w:val="003E1AC0"/>
    <w:rsid w:val="003E1AE8"/>
    <w:rsid w:val="003E1ECA"/>
    <w:rsid w:val="003E215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14E1"/>
    <w:rsid w:val="003F1C1E"/>
    <w:rsid w:val="003F2626"/>
    <w:rsid w:val="003F3434"/>
    <w:rsid w:val="003F3D3C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AC7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2F3A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858"/>
    <w:rsid w:val="00464A3B"/>
    <w:rsid w:val="0046574E"/>
    <w:rsid w:val="0046582A"/>
    <w:rsid w:val="00465911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3EE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6E5"/>
    <w:rsid w:val="0050785B"/>
    <w:rsid w:val="005079C9"/>
    <w:rsid w:val="00507B23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847"/>
    <w:rsid w:val="005179D8"/>
    <w:rsid w:val="00520250"/>
    <w:rsid w:val="005206D7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1AB1"/>
    <w:rsid w:val="005324A9"/>
    <w:rsid w:val="00533618"/>
    <w:rsid w:val="00533CBF"/>
    <w:rsid w:val="00534A22"/>
    <w:rsid w:val="00534DB6"/>
    <w:rsid w:val="00534E92"/>
    <w:rsid w:val="0053507F"/>
    <w:rsid w:val="00535D1B"/>
    <w:rsid w:val="00535F61"/>
    <w:rsid w:val="0053601B"/>
    <w:rsid w:val="005367D2"/>
    <w:rsid w:val="005367E9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BC4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562"/>
    <w:rsid w:val="00561AA3"/>
    <w:rsid w:val="00561B13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322B"/>
    <w:rsid w:val="00573302"/>
    <w:rsid w:val="00573627"/>
    <w:rsid w:val="00573801"/>
    <w:rsid w:val="005749A2"/>
    <w:rsid w:val="005769D8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6E85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A55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87F"/>
    <w:rsid w:val="0060437B"/>
    <w:rsid w:val="00604D9E"/>
    <w:rsid w:val="00604FF7"/>
    <w:rsid w:val="00605015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6CB"/>
    <w:rsid w:val="006139C7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0F6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1AB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5C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80D"/>
    <w:rsid w:val="00726088"/>
    <w:rsid w:val="00726943"/>
    <w:rsid w:val="00726D0C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1B01"/>
    <w:rsid w:val="007521FE"/>
    <w:rsid w:val="00752728"/>
    <w:rsid w:val="00752FB6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234"/>
    <w:rsid w:val="00765F6A"/>
    <w:rsid w:val="00765F97"/>
    <w:rsid w:val="00766038"/>
    <w:rsid w:val="00766057"/>
    <w:rsid w:val="00766BD6"/>
    <w:rsid w:val="00766F45"/>
    <w:rsid w:val="007670F4"/>
    <w:rsid w:val="00767708"/>
    <w:rsid w:val="00767D4D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8B"/>
    <w:rsid w:val="007A100A"/>
    <w:rsid w:val="007A12CE"/>
    <w:rsid w:val="007A1E1B"/>
    <w:rsid w:val="007A27AB"/>
    <w:rsid w:val="007A2A39"/>
    <w:rsid w:val="007A2D9D"/>
    <w:rsid w:val="007A2E28"/>
    <w:rsid w:val="007A2EE6"/>
    <w:rsid w:val="007A334D"/>
    <w:rsid w:val="007A35A1"/>
    <w:rsid w:val="007A401C"/>
    <w:rsid w:val="007A44D9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569"/>
    <w:rsid w:val="007C3E1C"/>
    <w:rsid w:val="007C4D74"/>
    <w:rsid w:val="007C57BC"/>
    <w:rsid w:val="007C61BD"/>
    <w:rsid w:val="007C6377"/>
    <w:rsid w:val="007C6C1C"/>
    <w:rsid w:val="007C7305"/>
    <w:rsid w:val="007C78CC"/>
    <w:rsid w:val="007C79B5"/>
    <w:rsid w:val="007C7AC2"/>
    <w:rsid w:val="007C7ECD"/>
    <w:rsid w:val="007C7ED9"/>
    <w:rsid w:val="007C7EE8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59A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58"/>
    <w:rsid w:val="008044FF"/>
    <w:rsid w:val="00805410"/>
    <w:rsid w:val="00805DCF"/>
    <w:rsid w:val="00805E7B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401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428"/>
    <w:rsid w:val="0087099D"/>
    <w:rsid w:val="00870C71"/>
    <w:rsid w:val="00870F78"/>
    <w:rsid w:val="008718D8"/>
    <w:rsid w:val="00871B92"/>
    <w:rsid w:val="00872371"/>
    <w:rsid w:val="00872570"/>
    <w:rsid w:val="008728B3"/>
    <w:rsid w:val="00872E67"/>
    <w:rsid w:val="0087350E"/>
    <w:rsid w:val="00873A3D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5DD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00EB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4F1C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4BA"/>
    <w:rsid w:val="00950884"/>
    <w:rsid w:val="00950D8B"/>
    <w:rsid w:val="0095100C"/>
    <w:rsid w:val="00951600"/>
    <w:rsid w:val="00951622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700"/>
    <w:rsid w:val="009B2770"/>
    <w:rsid w:val="009B294C"/>
    <w:rsid w:val="009B29DF"/>
    <w:rsid w:val="009B3927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1C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453"/>
    <w:rsid w:val="00A25076"/>
    <w:rsid w:val="00A25379"/>
    <w:rsid w:val="00A25AF6"/>
    <w:rsid w:val="00A261D0"/>
    <w:rsid w:val="00A262E4"/>
    <w:rsid w:val="00A265B3"/>
    <w:rsid w:val="00A26E1C"/>
    <w:rsid w:val="00A26EC5"/>
    <w:rsid w:val="00A27172"/>
    <w:rsid w:val="00A271DE"/>
    <w:rsid w:val="00A27234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2F30"/>
    <w:rsid w:val="00A436CC"/>
    <w:rsid w:val="00A439D4"/>
    <w:rsid w:val="00A44761"/>
    <w:rsid w:val="00A44908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8A5"/>
    <w:rsid w:val="00A52433"/>
    <w:rsid w:val="00A525CE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90F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BDB"/>
    <w:rsid w:val="00A74C06"/>
    <w:rsid w:val="00A751FF"/>
    <w:rsid w:val="00A753E4"/>
    <w:rsid w:val="00A75768"/>
    <w:rsid w:val="00A76142"/>
    <w:rsid w:val="00A76DF8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A10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FF"/>
    <w:rsid w:val="00AF5845"/>
    <w:rsid w:val="00AF5C9F"/>
    <w:rsid w:val="00AF630B"/>
    <w:rsid w:val="00AF6488"/>
    <w:rsid w:val="00AF7168"/>
    <w:rsid w:val="00AF7232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60B"/>
    <w:rsid w:val="00B3465B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C80"/>
    <w:rsid w:val="00B43E9E"/>
    <w:rsid w:val="00B4426D"/>
    <w:rsid w:val="00B44A06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F86"/>
    <w:rsid w:val="00B54322"/>
    <w:rsid w:val="00B54528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15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5EC0"/>
    <w:rsid w:val="00B769AA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277"/>
    <w:rsid w:val="00B9531E"/>
    <w:rsid w:val="00B958E2"/>
    <w:rsid w:val="00B961B9"/>
    <w:rsid w:val="00B96261"/>
    <w:rsid w:val="00B96381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2C09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05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2289"/>
    <w:rsid w:val="00BF2682"/>
    <w:rsid w:val="00BF2817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CDB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2B7"/>
    <w:rsid w:val="00C2633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11B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4E5"/>
    <w:rsid w:val="00C54B02"/>
    <w:rsid w:val="00C54EBD"/>
    <w:rsid w:val="00C55982"/>
    <w:rsid w:val="00C55A7E"/>
    <w:rsid w:val="00C55C7B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5C6"/>
    <w:rsid w:val="00C756BF"/>
    <w:rsid w:val="00C75E48"/>
    <w:rsid w:val="00C75F70"/>
    <w:rsid w:val="00C763E7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C1D"/>
    <w:rsid w:val="00CA543F"/>
    <w:rsid w:val="00CA5598"/>
    <w:rsid w:val="00CA5ABC"/>
    <w:rsid w:val="00CA5FEE"/>
    <w:rsid w:val="00CA6714"/>
    <w:rsid w:val="00CA7230"/>
    <w:rsid w:val="00CA7321"/>
    <w:rsid w:val="00CA7E07"/>
    <w:rsid w:val="00CA7E35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4D3"/>
    <w:rsid w:val="00CB4B22"/>
    <w:rsid w:val="00CB500E"/>
    <w:rsid w:val="00CB50DB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B7F2D"/>
    <w:rsid w:val="00CC018B"/>
    <w:rsid w:val="00CC0AAB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7F"/>
    <w:rsid w:val="00CC5EA4"/>
    <w:rsid w:val="00CC6138"/>
    <w:rsid w:val="00CC6170"/>
    <w:rsid w:val="00CC63D4"/>
    <w:rsid w:val="00CC65BD"/>
    <w:rsid w:val="00CC6658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37E00"/>
    <w:rsid w:val="00D401B6"/>
    <w:rsid w:val="00D40300"/>
    <w:rsid w:val="00D403A2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23F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B5A"/>
    <w:rsid w:val="00D83D9D"/>
    <w:rsid w:val="00D84151"/>
    <w:rsid w:val="00D84566"/>
    <w:rsid w:val="00D84618"/>
    <w:rsid w:val="00D8492B"/>
    <w:rsid w:val="00D84F80"/>
    <w:rsid w:val="00D857C4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60B"/>
    <w:rsid w:val="00DA22FE"/>
    <w:rsid w:val="00DA25BD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048"/>
    <w:rsid w:val="00DD1CBC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1A6"/>
    <w:rsid w:val="00E21234"/>
    <w:rsid w:val="00E21335"/>
    <w:rsid w:val="00E2141A"/>
    <w:rsid w:val="00E21A79"/>
    <w:rsid w:val="00E21BDE"/>
    <w:rsid w:val="00E21E9D"/>
    <w:rsid w:val="00E22772"/>
    <w:rsid w:val="00E23481"/>
    <w:rsid w:val="00E23A12"/>
    <w:rsid w:val="00E23E6E"/>
    <w:rsid w:val="00E23FA8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C0F"/>
    <w:rsid w:val="00EC4D93"/>
    <w:rsid w:val="00EC5123"/>
    <w:rsid w:val="00EC5525"/>
    <w:rsid w:val="00EC5EE7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DCA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C68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D0F"/>
    <w:rsid w:val="00EF170A"/>
    <w:rsid w:val="00EF1E7D"/>
    <w:rsid w:val="00EF2429"/>
    <w:rsid w:val="00EF319F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878"/>
    <w:rsid w:val="00F12B7A"/>
    <w:rsid w:val="00F13476"/>
    <w:rsid w:val="00F138C2"/>
    <w:rsid w:val="00F13AC9"/>
    <w:rsid w:val="00F13C53"/>
    <w:rsid w:val="00F14897"/>
    <w:rsid w:val="00F14F2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4B"/>
    <w:rsid w:val="00F337C2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397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3A1B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63EF"/>
    <w:rsid w:val="00FA6611"/>
    <w:rsid w:val="00FA6672"/>
    <w:rsid w:val="00FA6A52"/>
    <w:rsid w:val="00FB160C"/>
    <w:rsid w:val="00FB17F3"/>
    <w:rsid w:val="00FB3288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540D"/>
    <w:rsid w:val="00FC5ECD"/>
    <w:rsid w:val="00FC6B62"/>
    <w:rsid w:val="00FC6E70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125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963,#969696,#777"/>
    </o:shapedefaults>
    <o:shapelayout v:ext="edit">
      <o:idmap v:ext="edit" data="1"/>
      <o:rules v:ext="edit">
        <o:r id="V:Rule2" type="connector" idref="#_x0000_s1069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uiPriority w:val="99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customStyle="1" w:styleId="FooterChar">
    <w:name w:val="Footer Char"/>
    <w:basedOn w:val="DefaultParagraphFont"/>
    <w:link w:val="Footer"/>
    <w:uiPriority w:val="99"/>
    <w:rsid w:val="00561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sminka.mili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iljana.tesic@rzs.rs.b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mirjana.bandur@rzs.rs.ba" TargetMode="Externa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bicda\My%20Documents\BILJA\Plate%202012\Novembar\Novembar%202012%20uzorak%20plate\Grafik%20za%20medij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dec%202012\za%20Graf%20I-XII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>
        <c:manualLayout>
          <c:layoutTarget val="inner"/>
          <c:xMode val="edge"/>
          <c:yMode val="edge"/>
          <c:x val="6.0931008986897003E-2"/>
          <c:y val="0.12766872890888548"/>
          <c:w val="0.75774478616494245"/>
          <c:h val="0.61799571433302725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Промјене у односу на исто тромјесечје претходне године  </c:v>
                </c:pt>
              </c:strCache>
            </c:strRef>
          </c:tx>
          <c:spPr>
            <a:ln cmpd="sng"/>
          </c:spPr>
          <c:cat>
            <c:strRef>
              <c:f>Sheet1!$A$2:$A$16</c:f>
              <c:strCache>
                <c:ptCount val="15"/>
                <c:pt idx="0">
                  <c:v>Q1 2009</c:v>
                </c:pt>
                <c:pt idx="1">
                  <c:v>Q2 2009</c:v>
                </c:pt>
                <c:pt idx="2">
                  <c:v>Q3 2009</c:v>
                </c:pt>
                <c:pt idx="3">
                  <c:v>Q4 2009</c:v>
                </c:pt>
                <c:pt idx="4">
                  <c:v>Q1 2010</c:v>
                </c:pt>
                <c:pt idx="5">
                  <c:v>Q2 2010</c:v>
                </c:pt>
                <c:pt idx="6">
                  <c:v>Q3 2010</c:v>
                </c:pt>
                <c:pt idx="7">
                  <c:v>Q4 2010</c:v>
                </c:pt>
                <c:pt idx="8">
                  <c:v>Q1 2011</c:v>
                </c:pt>
                <c:pt idx="9">
                  <c:v>Q2 2011</c:v>
                </c:pt>
                <c:pt idx="10">
                  <c:v>Q3 2011</c:v>
                </c:pt>
                <c:pt idx="11">
                  <c:v>Q4 2011</c:v>
                </c:pt>
                <c:pt idx="12">
                  <c:v>Q1 2012</c:v>
                </c:pt>
                <c:pt idx="13">
                  <c:v>Q2 2012</c:v>
                </c:pt>
                <c:pt idx="14">
                  <c:v>Q3 2012</c:v>
                </c:pt>
              </c:strCache>
            </c:strRef>
          </c:cat>
          <c:val>
            <c:numRef>
              <c:f>Sheet1!$B$2:$B$16</c:f>
              <c:numCache>
                <c:formatCode>0.0</c:formatCode>
                <c:ptCount val="15"/>
                <c:pt idx="0">
                  <c:v>-2.4666845370571338</c:v>
                </c:pt>
                <c:pt idx="1">
                  <c:v>-2.3183808404323258</c:v>
                </c:pt>
                <c:pt idx="2">
                  <c:v>-3.8437648569044711</c:v>
                </c:pt>
                <c:pt idx="3">
                  <c:v>-3.4773181409061777</c:v>
                </c:pt>
                <c:pt idx="4">
                  <c:v>-0.93848635893424159</c:v>
                </c:pt>
                <c:pt idx="5">
                  <c:v>0.98141738050303218</c:v>
                </c:pt>
                <c:pt idx="6">
                  <c:v>1.5454620470201519</c:v>
                </c:pt>
                <c:pt idx="7">
                  <c:v>1.6555433930796113</c:v>
                </c:pt>
                <c:pt idx="8">
                  <c:v>1.6675686700088193</c:v>
                </c:pt>
                <c:pt idx="9">
                  <c:v>1.0632757382129938</c:v>
                </c:pt>
                <c:pt idx="10">
                  <c:v>0.75956564732923937</c:v>
                </c:pt>
                <c:pt idx="11">
                  <c:v>-8.4536496200939837E-3</c:v>
                </c:pt>
                <c:pt idx="12">
                  <c:v>-0.93429486532758688</c:v>
                </c:pt>
                <c:pt idx="13">
                  <c:v>-0.61306261764958947</c:v>
                </c:pt>
                <c:pt idx="14">
                  <c:v>-0.88584620055563335</c:v>
                </c:pt>
              </c:numCache>
            </c:numRef>
          </c:val>
        </c:ser>
        <c:axId val="89687936"/>
        <c:axId val="89689472"/>
      </c:barChart>
      <c:catAx>
        <c:axId val="89687936"/>
        <c:scaling>
          <c:orientation val="minMax"/>
        </c:scaling>
        <c:axPos val="b"/>
        <c:majorTickMark val="none"/>
        <c:tickLblPos val="low"/>
        <c:txPr>
          <a:bodyPr rot="-5400000" vert="horz"/>
          <a:lstStyle/>
          <a:p>
            <a:pPr>
              <a:defRPr sz="800"/>
            </a:pPr>
            <a:endParaRPr lang="en-US"/>
          </a:p>
        </c:txPr>
        <c:crossAx val="89689472"/>
        <c:crosses val="autoZero"/>
        <c:auto val="1"/>
        <c:lblAlgn val="ctr"/>
        <c:lblOffset val="100"/>
      </c:catAx>
      <c:valAx>
        <c:axId val="89689472"/>
        <c:scaling>
          <c:orientation val="minMax"/>
          <c:max val="2"/>
          <c:min val="-4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89687936"/>
        <c:crosses val="autoZero"/>
        <c:crossBetween val="between"/>
      </c:valAx>
      <c:spPr>
        <a:ln w="9525"/>
      </c:spPr>
    </c:plotArea>
    <c:legend>
      <c:legendPos val="r"/>
      <c:layout>
        <c:manualLayout>
          <c:xMode val="edge"/>
          <c:yMode val="edge"/>
          <c:x val="0.82913466064703867"/>
          <c:y val="0.1182419886847681"/>
          <c:w val="0.16892937635512967"/>
          <c:h val="0.19899954127438349"/>
        </c:manualLayout>
      </c:layout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Tahoma" pitchFamily="34" charset="0"/>
          <a:cs typeface="Tahoma" pitchFamily="34" charset="0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spPr>
            <a:ln w="28575"/>
          </c:spPr>
          <c:marker>
            <c:symbol val="none"/>
          </c:marker>
          <c:cat>
            <c:multiLvlStrRef>
              <c:f>'za medije grafik'!$A$2:$B$16</c:f>
              <c:multiLvlStrCache>
                <c:ptCount val="15"/>
                <c:lvl>
                  <c:pt idx="0">
                    <c:v>октобар</c:v>
                  </c:pt>
                  <c:pt idx="1">
                    <c:v>новембар</c:v>
                  </c:pt>
                  <c:pt idx="2">
                    <c:v>децембар</c:v>
                  </c:pt>
                  <c:pt idx="3">
                    <c:v>јануар</c:v>
                  </c:pt>
                  <c:pt idx="4">
                    <c:v>фебруар</c:v>
                  </c:pt>
                  <c:pt idx="5">
                    <c:v>март</c:v>
                  </c:pt>
                  <c:pt idx="6">
                    <c:v>април</c:v>
                  </c:pt>
                  <c:pt idx="7">
                    <c:v>мај</c:v>
                  </c:pt>
                  <c:pt idx="8">
                    <c:v>јун</c:v>
                  </c:pt>
                  <c:pt idx="9">
                    <c:v>јул</c:v>
                  </c:pt>
                  <c:pt idx="10">
                    <c:v>август</c:v>
                  </c:pt>
                  <c:pt idx="11">
                    <c:v>септембар</c:v>
                  </c:pt>
                  <c:pt idx="12">
                    <c:v>октобар</c:v>
                  </c:pt>
                  <c:pt idx="13">
                    <c:v>новембар</c:v>
                  </c:pt>
                  <c:pt idx="14">
                    <c:v>децембар</c:v>
                  </c:pt>
                </c:lvl>
                <c:lvl>
                  <c:pt idx="0">
                    <c:v>2011</c:v>
                  </c:pt>
                  <c:pt idx="3">
                    <c:v>2012</c:v>
                  </c:pt>
                </c:lvl>
              </c:multiLvlStrCache>
            </c:multiLvlStrRef>
          </c:cat>
          <c:val>
            <c:numRef>
              <c:f>'za medije grafik'!$C$2:$C$16</c:f>
              <c:numCache>
                <c:formatCode>General</c:formatCode>
                <c:ptCount val="15"/>
                <c:pt idx="0">
                  <c:v>802</c:v>
                </c:pt>
                <c:pt idx="1">
                  <c:v>813</c:v>
                </c:pt>
                <c:pt idx="2">
                  <c:v>815</c:v>
                </c:pt>
                <c:pt idx="3">
                  <c:v>819</c:v>
                </c:pt>
                <c:pt idx="4">
                  <c:v>821</c:v>
                </c:pt>
                <c:pt idx="5">
                  <c:v>814</c:v>
                </c:pt>
                <c:pt idx="6">
                  <c:v>817</c:v>
                </c:pt>
                <c:pt idx="7">
                  <c:v>826</c:v>
                </c:pt>
                <c:pt idx="8">
                  <c:v>818</c:v>
                </c:pt>
                <c:pt idx="9">
                  <c:v>823</c:v>
                </c:pt>
                <c:pt idx="10">
                  <c:v>818</c:v>
                </c:pt>
                <c:pt idx="11">
                  <c:v>804</c:v>
                </c:pt>
                <c:pt idx="12">
                  <c:v>817</c:v>
                </c:pt>
                <c:pt idx="13">
                  <c:v>819</c:v>
                </c:pt>
                <c:pt idx="14">
                  <c:v>818</c:v>
                </c:pt>
              </c:numCache>
            </c:numRef>
          </c:val>
        </c:ser>
        <c:marker val="1"/>
        <c:axId val="89701376"/>
        <c:axId val="91357952"/>
      </c:lineChart>
      <c:catAx>
        <c:axId val="89701376"/>
        <c:scaling>
          <c:orientation val="minMax"/>
        </c:scaling>
        <c:axPos val="b"/>
        <c:majorTickMark val="none"/>
        <c:tickLblPos val="low"/>
        <c:spPr>
          <a:ln>
            <a:noFill/>
          </a:ln>
        </c:spPr>
        <c:crossAx val="91357952"/>
        <c:crossesAt val="790"/>
        <c:lblAlgn val="ctr"/>
        <c:lblOffset val="100"/>
      </c:catAx>
      <c:valAx>
        <c:axId val="91357952"/>
        <c:scaling>
          <c:orientation val="minMax"/>
          <c:max val="900"/>
          <c:min val="600"/>
        </c:scaling>
        <c:axPos val="l"/>
        <c:majorGridlines/>
        <c:numFmt formatCode="General" sourceLinked="1"/>
        <c:tickLblPos val="nextTo"/>
        <c:crossAx val="89701376"/>
        <c:crosses val="autoZero"/>
        <c:crossBetween val="midCat"/>
        <c:majorUnit val="50"/>
      </c:valAx>
      <c:spPr>
        <a:noFill/>
      </c:spPr>
    </c:plotArea>
    <c:plotVisOnly val="1"/>
    <c:dispBlanksAs val="gap"/>
  </c:chart>
  <c:spPr>
    <a:ln>
      <a:noFill/>
    </a:ln>
  </c:spPr>
  <c:txPr>
    <a:bodyPr/>
    <a:lstStyle/>
    <a:p>
      <a:pPr>
        <a:defRPr sz="8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70862784721596483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zaDecembar2012!$A$2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zaDecembar2012!$B$1:$N$1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zaDecembar2012!$B$2:$N$2</c:f>
              <c:numCache>
                <c:formatCode>General</c:formatCode>
                <c:ptCount val="13"/>
                <c:pt idx="0">
                  <c:v>456660</c:v>
                </c:pt>
                <c:pt idx="1">
                  <c:v>290751</c:v>
                </c:pt>
                <c:pt idx="2">
                  <c:v>242674</c:v>
                </c:pt>
                <c:pt idx="3">
                  <c:v>474051</c:v>
                </c:pt>
                <c:pt idx="4">
                  <c:v>372455</c:v>
                </c:pt>
                <c:pt idx="5">
                  <c:v>382975</c:v>
                </c:pt>
                <c:pt idx="6">
                  <c:v>381177</c:v>
                </c:pt>
                <c:pt idx="7">
                  <c:v>427969</c:v>
                </c:pt>
                <c:pt idx="8">
                  <c:v>408779</c:v>
                </c:pt>
                <c:pt idx="9">
                  <c:v>419038</c:v>
                </c:pt>
                <c:pt idx="10">
                  <c:v>486155</c:v>
                </c:pt>
                <c:pt idx="11">
                  <c:v>337128</c:v>
                </c:pt>
                <c:pt idx="12">
                  <c:v>264392</c:v>
                </c:pt>
              </c:numCache>
            </c:numRef>
          </c:val>
        </c:ser>
        <c:ser>
          <c:idx val="1"/>
          <c:order val="1"/>
          <c:tx>
            <c:strRef>
              <c:f>zaDecembar2012!$A$3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zaDecembar2012!$B$1:$N$1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zaDecembar2012!$B$3:$N$3</c:f>
              <c:numCache>
                <c:formatCode>General</c:formatCode>
                <c:ptCount val="13"/>
                <c:pt idx="0">
                  <c:v>203576</c:v>
                </c:pt>
                <c:pt idx="1">
                  <c:v>158330</c:v>
                </c:pt>
                <c:pt idx="2">
                  <c:v>161371</c:v>
                </c:pt>
                <c:pt idx="3">
                  <c:v>214070</c:v>
                </c:pt>
                <c:pt idx="4">
                  <c:v>204803</c:v>
                </c:pt>
                <c:pt idx="5">
                  <c:v>227243</c:v>
                </c:pt>
                <c:pt idx="6">
                  <c:v>214185</c:v>
                </c:pt>
                <c:pt idx="7">
                  <c:v>218575</c:v>
                </c:pt>
                <c:pt idx="8">
                  <c:v>184558</c:v>
                </c:pt>
                <c:pt idx="9">
                  <c:v>195623</c:v>
                </c:pt>
                <c:pt idx="10">
                  <c:v>213888</c:v>
                </c:pt>
                <c:pt idx="11">
                  <c:v>209165</c:v>
                </c:pt>
                <c:pt idx="12">
                  <c:v>172526</c:v>
                </c:pt>
              </c:numCache>
            </c:numRef>
          </c:val>
        </c:ser>
        <c:marker val="1"/>
        <c:axId val="91379584"/>
        <c:axId val="91381120"/>
      </c:lineChart>
      <c:catAx>
        <c:axId val="9137958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91381120"/>
        <c:crosses val="autoZero"/>
        <c:auto val="1"/>
        <c:lblAlgn val="ctr"/>
        <c:lblOffset val="100"/>
      </c:catAx>
      <c:valAx>
        <c:axId val="91381120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91379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605956020402984"/>
          <c:y val="0.12067468551228414"/>
          <c:w val="0.15394034448065425"/>
          <c:h val="0.20499316106613533"/>
        </c:manualLayout>
      </c:layout>
      <c:txPr>
        <a:bodyPr/>
        <a:lstStyle/>
        <a:p>
          <a:pPr>
            <a:defRPr sz="8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92FC-C0AA-4227-B12A-2AA25EE6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1751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12573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zecal</cp:lastModifiedBy>
  <cp:revision>107</cp:revision>
  <cp:lastPrinted>2012-12-21T10:52:00Z</cp:lastPrinted>
  <dcterms:created xsi:type="dcterms:W3CDTF">2012-09-20T06:28:00Z</dcterms:created>
  <dcterms:modified xsi:type="dcterms:W3CDTF">2013-01-23T08:49:00Z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