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4551B9" w:rsidP="0063587D">
            <w:pPr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691C69">
              <w:rPr>
                <w:rFonts w:ascii="Tahoma" w:hAnsi="Tahoma" w:cs="Tahoma"/>
                <w:color w:val="4F81BD" w:themeColor="accent1"/>
                <w:sz w:val="16"/>
                <w:lang w:val="sr-Latn-CS"/>
              </w:rPr>
              <w:t>2</w:t>
            </w:r>
            <w:proofErr w:type="spellStart"/>
            <w:r w:rsidR="0063587D">
              <w:rPr>
                <w:rFonts w:ascii="Tahoma" w:hAnsi="Tahoma" w:cs="Tahoma"/>
                <w:color w:val="4F81BD" w:themeColor="accent1"/>
                <w:sz w:val="16"/>
                <w:vertAlign w:val="superscript"/>
              </w:rPr>
              <w:t>nd</w:t>
            </w:r>
            <w:proofErr w:type="spellEnd"/>
            <w:r w:rsidR="0063587D">
              <w:rPr>
                <w:rFonts w:ascii="Tahoma" w:hAnsi="Tahoma" w:cs="Tahoma"/>
                <w:color w:val="4F81BD" w:themeColor="accent1"/>
                <w:sz w:val="16"/>
                <w:vertAlign w:val="superscript"/>
              </w:rPr>
              <w:t xml:space="preserve"> </w:t>
            </w:r>
            <w:r w:rsidR="0063587D">
              <w:rPr>
                <w:rFonts w:ascii="Tahoma" w:hAnsi="Tahoma" w:cs="Tahoma"/>
                <w:color w:val="4F81BD" w:themeColor="accent1"/>
                <w:sz w:val="16"/>
              </w:rPr>
              <w:t xml:space="preserve">November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  </w:t>
            </w:r>
            <w:r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1</w:t>
            </w:r>
            <w:r w:rsidR="00691C69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1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A15386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63587D" w:rsidRDefault="0063587D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November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63587D" w:rsidRDefault="0063587D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</w:rPr>
              <w:t>PRESS RELEASE</w:t>
            </w:r>
          </w:p>
        </w:tc>
      </w:tr>
    </w:tbl>
    <w:p w:rsidR="00777348" w:rsidRPr="0004506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037786" w:rsidRPr="009379D1" w:rsidRDefault="0063587D" w:rsidP="00037786">
      <w:pPr>
        <w:jc w:val="both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</w:rPr>
        <w:t>Average net wage in October</w:t>
      </w:r>
      <w:r w:rsidR="00037786" w:rsidRPr="009379D1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="00037786" w:rsidRPr="009379D1">
        <w:rPr>
          <w:rFonts w:ascii="Tahoma" w:hAnsi="Tahoma" w:cs="Tahoma"/>
          <w:b/>
          <w:sz w:val="28"/>
          <w:szCs w:val="28"/>
          <w:lang w:val="sr-Cyrl-CS"/>
        </w:rPr>
        <w:t>8</w:t>
      </w:r>
      <w:r w:rsidR="00037786" w:rsidRPr="009379D1">
        <w:rPr>
          <w:rFonts w:ascii="Tahoma" w:hAnsi="Tahoma" w:cs="Tahoma"/>
          <w:b/>
          <w:sz w:val="28"/>
          <w:szCs w:val="28"/>
          <w:lang w:val="sr-Cyrl-BA"/>
        </w:rPr>
        <w:t>08</w:t>
      </w:r>
      <w:r w:rsidR="00037786" w:rsidRPr="009379D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37786" w:rsidRPr="009379D1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037786" w:rsidRPr="009379D1" w:rsidRDefault="004242D0" w:rsidP="00037786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>
        <w:rPr>
          <w:rFonts w:ascii="Tahoma" w:hAnsi="Tahoma" w:cs="Tahoma"/>
          <w:sz w:val="26"/>
          <w:szCs w:val="26"/>
        </w:rPr>
        <w:t>The highest average net wage</w:t>
      </w:r>
      <w:r w:rsidR="00037786" w:rsidRPr="009379D1">
        <w:rPr>
          <w:rFonts w:ascii="Tahoma" w:hAnsi="Tahoma" w:cs="Tahoma"/>
          <w:sz w:val="26"/>
          <w:szCs w:val="26"/>
          <w:lang w:val="ru-RU"/>
        </w:rPr>
        <w:t xml:space="preserve"> </w:t>
      </w:r>
      <w:r>
        <w:rPr>
          <w:rFonts w:ascii="Tahoma" w:hAnsi="Tahoma" w:cs="Tahoma"/>
          <w:sz w:val="26"/>
          <w:szCs w:val="26"/>
        </w:rPr>
        <w:t>was that in the section</w:t>
      </w:r>
      <w:r w:rsidR="00037786" w:rsidRPr="009379D1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8F1E7E">
        <w:rPr>
          <w:rFonts w:ascii="Tahoma" w:hAnsi="Tahoma" w:cs="Tahoma"/>
          <w:i/>
          <w:sz w:val="26"/>
          <w:szCs w:val="26"/>
        </w:rPr>
        <w:t>Financial and insurance activities</w:t>
      </w:r>
      <w:r w:rsidRPr="008F1E7E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  <w:lang w:val="ru-RU"/>
        </w:rPr>
        <w:t>1</w:t>
      </w:r>
      <w:r>
        <w:rPr>
          <w:rFonts w:ascii="Tahoma" w:hAnsi="Tahoma" w:cs="Tahoma"/>
          <w:sz w:val="26"/>
          <w:szCs w:val="26"/>
        </w:rPr>
        <w:t>,</w:t>
      </w:r>
      <w:r w:rsidR="00037786" w:rsidRPr="009379D1">
        <w:rPr>
          <w:rFonts w:ascii="Tahoma" w:hAnsi="Tahoma" w:cs="Tahoma"/>
          <w:sz w:val="26"/>
          <w:szCs w:val="26"/>
          <w:lang w:val="ru-RU"/>
        </w:rPr>
        <w:t>2</w:t>
      </w:r>
      <w:r w:rsidR="00037786" w:rsidRPr="009379D1">
        <w:rPr>
          <w:rFonts w:ascii="Tahoma" w:hAnsi="Tahoma" w:cs="Tahoma"/>
          <w:sz w:val="26"/>
          <w:szCs w:val="26"/>
          <w:lang w:val="sr-Cyrl-BA"/>
        </w:rPr>
        <w:t>83</w:t>
      </w:r>
      <w:r w:rsidR="00037786" w:rsidRPr="009379D1">
        <w:rPr>
          <w:rFonts w:ascii="Tahoma" w:hAnsi="Tahoma" w:cs="Tahoma"/>
          <w:sz w:val="26"/>
          <w:szCs w:val="26"/>
          <w:lang w:val="ru-RU"/>
        </w:rPr>
        <w:t xml:space="preserve"> КМ</w:t>
      </w:r>
      <w:r w:rsidR="00037786" w:rsidRPr="009379D1">
        <w:rPr>
          <w:rFonts w:ascii="Tahoma" w:hAnsi="Tahoma" w:cs="Tahoma"/>
          <w:sz w:val="26"/>
          <w:szCs w:val="26"/>
          <w:lang w:val="sr-Cyrl-CS"/>
        </w:rPr>
        <w:t xml:space="preserve">, </w:t>
      </w:r>
      <w:r>
        <w:rPr>
          <w:rFonts w:ascii="Tahoma" w:hAnsi="Tahoma" w:cs="Tahoma"/>
          <w:sz w:val="26"/>
          <w:szCs w:val="26"/>
        </w:rPr>
        <w:t>while the lowest one was that in the section</w:t>
      </w:r>
      <w:r w:rsidR="00037786" w:rsidRPr="009379D1">
        <w:rPr>
          <w:rFonts w:ascii="Tahoma" w:hAnsi="Tahoma" w:cs="Tahoma"/>
          <w:sz w:val="26"/>
          <w:szCs w:val="26"/>
          <w:lang w:val="sr-Cyrl-CS"/>
        </w:rPr>
        <w:t xml:space="preserve"> </w:t>
      </w:r>
      <w:r w:rsidR="00D80DB9">
        <w:rPr>
          <w:rFonts w:ascii="Tahoma" w:hAnsi="Tahoma" w:cs="Tahoma"/>
          <w:i/>
          <w:sz w:val="26"/>
          <w:szCs w:val="26"/>
        </w:rPr>
        <w:t>Administrative and support service activities</w:t>
      </w:r>
      <w:r w:rsidR="00037786" w:rsidRPr="009379D1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="00037786" w:rsidRPr="009379D1">
        <w:rPr>
          <w:rFonts w:ascii="Tahoma" w:hAnsi="Tahoma" w:cs="Tahoma"/>
          <w:sz w:val="26"/>
          <w:szCs w:val="26"/>
        </w:rPr>
        <w:t>5</w:t>
      </w:r>
      <w:r w:rsidR="00037786" w:rsidRPr="009379D1">
        <w:rPr>
          <w:rFonts w:ascii="Tahoma" w:hAnsi="Tahoma" w:cs="Tahoma"/>
          <w:sz w:val="26"/>
          <w:szCs w:val="26"/>
          <w:lang w:val="sr-Cyrl-BA"/>
        </w:rPr>
        <w:t>36 КМ.</w:t>
      </w:r>
    </w:p>
    <w:p w:rsidR="00037786" w:rsidRPr="009379D1" w:rsidRDefault="00037786" w:rsidP="00037786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037786" w:rsidRPr="005977A8" w:rsidRDefault="002135AE" w:rsidP="00037786">
      <w:pPr>
        <w:tabs>
          <w:tab w:val="left" w:pos="1134"/>
        </w:tabs>
        <w:jc w:val="both"/>
        <w:rPr>
          <w:rFonts w:ascii="Tahoma" w:hAnsi="Tahoma" w:cs="Tahoma"/>
        </w:rPr>
      </w:pPr>
      <w:r w:rsidRPr="008F1E7E">
        <w:rPr>
          <w:rFonts w:ascii="Tahoma" w:hAnsi="Tahoma" w:cs="Tahoma"/>
        </w:rPr>
        <w:t xml:space="preserve">Average monthly net wage of employed persons in </w:t>
      </w:r>
      <w:proofErr w:type="spellStart"/>
      <w:r w:rsidRPr="008F1E7E">
        <w:rPr>
          <w:rFonts w:ascii="Tahoma" w:hAnsi="Tahoma" w:cs="Tahoma"/>
        </w:rPr>
        <w:t>Republika</w:t>
      </w:r>
      <w:proofErr w:type="spellEnd"/>
      <w:r w:rsidRPr="008F1E7E">
        <w:rPr>
          <w:rFonts w:ascii="Tahoma" w:hAnsi="Tahoma" w:cs="Tahoma"/>
        </w:rPr>
        <w:t xml:space="preserve"> </w:t>
      </w:r>
      <w:proofErr w:type="spellStart"/>
      <w:r w:rsidRPr="008F1E7E">
        <w:rPr>
          <w:rFonts w:ascii="Tahoma" w:hAnsi="Tahoma" w:cs="Tahoma"/>
        </w:rPr>
        <w:t>Srpska</w:t>
      </w:r>
      <w:proofErr w:type="spellEnd"/>
      <w:r w:rsidRPr="008F1E7E">
        <w:rPr>
          <w:rFonts w:ascii="Tahoma" w:hAnsi="Tahoma" w:cs="Tahoma"/>
        </w:rPr>
        <w:t xml:space="preserve"> paid in </w:t>
      </w:r>
      <w:r>
        <w:rPr>
          <w:rFonts w:ascii="Tahoma" w:hAnsi="Tahoma" w:cs="Tahoma"/>
        </w:rPr>
        <w:t xml:space="preserve">October </w:t>
      </w:r>
      <w:r>
        <w:rPr>
          <w:rFonts w:ascii="Tahoma" w:hAnsi="Tahoma" w:cs="Tahoma"/>
          <w:lang w:val="sr-Cyrl-CS"/>
        </w:rPr>
        <w:t>2013</w:t>
      </w:r>
      <w:r w:rsidR="00037786" w:rsidRPr="009379D1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was</w:t>
      </w:r>
      <w:r w:rsidR="00037786" w:rsidRPr="009379D1">
        <w:rPr>
          <w:rFonts w:ascii="Tahoma" w:hAnsi="Tahoma" w:cs="Tahoma"/>
          <w:b/>
          <w:lang w:val="sr-Cyrl-CS"/>
        </w:rPr>
        <w:t xml:space="preserve"> </w:t>
      </w:r>
      <w:r w:rsidR="00037786" w:rsidRPr="009379D1">
        <w:rPr>
          <w:rFonts w:ascii="Tahoma" w:hAnsi="Tahoma" w:cs="Tahoma"/>
          <w:lang w:val="sr-Cyrl-CS"/>
        </w:rPr>
        <w:t>808 КМ</w:t>
      </w:r>
      <w:r w:rsidR="00037786" w:rsidRPr="009379D1">
        <w:rPr>
          <w:rFonts w:ascii="Tahoma" w:hAnsi="Tahoma" w:cs="Tahoma"/>
          <w:lang w:val="hr-HR"/>
        </w:rPr>
        <w:t>,</w:t>
      </w:r>
      <w:r w:rsidR="00037786" w:rsidRPr="009379D1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 xml:space="preserve">while </w:t>
      </w:r>
      <w:r w:rsidRPr="005977A8">
        <w:rPr>
          <w:rFonts w:ascii="Tahoma" w:hAnsi="Tahoma" w:cs="Tahoma"/>
        </w:rPr>
        <w:t>average monthly gross wage was 1,</w:t>
      </w:r>
      <w:r w:rsidR="00037786" w:rsidRPr="005977A8">
        <w:rPr>
          <w:rFonts w:ascii="Tahoma" w:hAnsi="Tahoma" w:cs="Tahoma"/>
        </w:rPr>
        <w:t>334 КМ.</w:t>
      </w:r>
    </w:p>
    <w:p w:rsidR="00037786" w:rsidRPr="005977A8" w:rsidRDefault="00037786" w:rsidP="00037786">
      <w:pPr>
        <w:tabs>
          <w:tab w:val="left" w:pos="1134"/>
        </w:tabs>
        <w:jc w:val="both"/>
        <w:rPr>
          <w:rFonts w:ascii="Tahoma" w:hAnsi="Tahoma" w:cs="Tahoma"/>
        </w:rPr>
      </w:pPr>
      <w:r w:rsidRPr="005977A8">
        <w:rPr>
          <w:rFonts w:ascii="Tahoma" w:hAnsi="Tahoma" w:cs="Tahoma"/>
        </w:rPr>
        <w:t xml:space="preserve"> </w:t>
      </w:r>
    </w:p>
    <w:p w:rsidR="0084244C" w:rsidRPr="005977A8" w:rsidRDefault="0084244C" w:rsidP="0084244C">
      <w:pPr>
        <w:tabs>
          <w:tab w:val="left" w:pos="1134"/>
        </w:tabs>
        <w:jc w:val="both"/>
        <w:rPr>
          <w:rFonts w:ascii="Tahoma" w:hAnsi="Tahoma" w:cs="Tahoma"/>
        </w:rPr>
      </w:pPr>
      <w:r w:rsidRPr="005977A8">
        <w:rPr>
          <w:rFonts w:ascii="Tahoma" w:hAnsi="Tahoma" w:cs="Tahoma"/>
        </w:rPr>
        <w:t>Compared to September 2013, average net wage paid in October 2013 was 5 KM less, while compared to the average net wage paid in 2012 it was really 0.8% lower.</w:t>
      </w:r>
    </w:p>
    <w:p w:rsidR="0084244C" w:rsidRPr="005977A8" w:rsidRDefault="0084244C" w:rsidP="00037786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</w:p>
    <w:p w:rsidR="003D38C1" w:rsidRPr="005977A8" w:rsidRDefault="0084244C" w:rsidP="00037786">
      <w:pPr>
        <w:tabs>
          <w:tab w:val="left" w:pos="4343"/>
        </w:tabs>
        <w:jc w:val="both"/>
        <w:rPr>
          <w:rFonts w:ascii="Tahoma" w:hAnsi="Tahoma" w:cs="Tahoma"/>
        </w:rPr>
      </w:pPr>
      <w:r w:rsidRPr="005977A8">
        <w:rPr>
          <w:rFonts w:ascii="Tahoma" w:hAnsi="Tahoma" w:cs="Tahoma"/>
        </w:rPr>
        <w:t xml:space="preserve">The highest average net wage in October 2013, by section of activities, was paid in the section </w:t>
      </w:r>
      <w:r w:rsidRPr="005977A8">
        <w:rPr>
          <w:rFonts w:ascii="Tahoma" w:hAnsi="Tahoma" w:cs="Tahoma"/>
          <w:i/>
        </w:rPr>
        <w:t>Financial and insurance activities</w:t>
      </w:r>
      <w:r w:rsidRPr="005977A8">
        <w:rPr>
          <w:rFonts w:ascii="Tahoma" w:hAnsi="Tahoma" w:cs="Tahoma"/>
        </w:rPr>
        <w:t xml:space="preserve">, and it amounted to 1,283 KM, while the lowest one was paid in the section </w:t>
      </w:r>
      <w:r w:rsidRPr="005977A8">
        <w:rPr>
          <w:rFonts w:ascii="Tahoma" w:hAnsi="Tahoma" w:cs="Tahoma"/>
          <w:i/>
        </w:rPr>
        <w:t xml:space="preserve">Administrative and support service activities </w:t>
      </w:r>
      <w:r w:rsidRPr="005977A8">
        <w:rPr>
          <w:rFonts w:ascii="Tahoma" w:hAnsi="Tahoma" w:cs="Tahoma"/>
        </w:rPr>
        <w:t xml:space="preserve">536 KM. </w:t>
      </w:r>
    </w:p>
    <w:p w:rsidR="0084244C" w:rsidRPr="005977A8" w:rsidRDefault="0084244C" w:rsidP="00037786">
      <w:pPr>
        <w:tabs>
          <w:tab w:val="left" w:pos="4343"/>
        </w:tabs>
        <w:jc w:val="both"/>
        <w:rPr>
          <w:rFonts w:ascii="Tahoma" w:hAnsi="Tahoma" w:cs="Tahoma"/>
        </w:rPr>
      </w:pPr>
    </w:p>
    <w:p w:rsidR="0084244C" w:rsidRPr="005977A8" w:rsidRDefault="0084244C" w:rsidP="00037786">
      <w:pPr>
        <w:tabs>
          <w:tab w:val="left" w:pos="4343"/>
        </w:tabs>
        <w:jc w:val="both"/>
        <w:rPr>
          <w:rFonts w:ascii="Tahoma" w:hAnsi="Tahoma" w:cs="Tahoma"/>
          <w:i/>
        </w:rPr>
      </w:pPr>
      <w:r w:rsidRPr="005977A8">
        <w:rPr>
          <w:rFonts w:ascii="Tahoma" w:hAnsi="Tahoma" w:cs="Tahoma"/>
        </w:rPr>
        <w:t xml:space="preserve">In October 2013, compared to September 2013, an increase in net wages was recorded in the sections </w:t>
      </w:r>
      <w:r w:rsidRPr="005977A8">
        <w:rPr>
          <w:rFonts w:ascii="Tahoma" w:hAnsi="Tahoma" w:cs="Tahoma"/>
          <w:i/>
        </w:rPr>
        <w:t xml:space="preserve">Professional, scientific and technical activities </w:t>
      </w:r>
      <w:r w:rsidRPr="005977A8">
        <w:rPr>
          <w:rFonts w:ascii="Tahoma" w:hAnsi="Tahoma" w:cs="Tahoma"/>
        </w:rPr>
        <w:t>9.3%</w:t>
      </w:r>
      <w:r w:rsidRPr="005977A8">
        <w:rPr>
          <w:rFonts w:ascii="Tahoma" w:hAnsi="Tahoma" w:cs="Tahoma"/>
          <w:i/>
        </w:rPr>
        <w:t xml:space="preserve">, </w:t>
      </w:r>
      <w:r w:rsidR="005977A8" w:rsidRPr="005977A8">
        <w:rPr>
          <w:rFonts w:ascii="Tahoma" w:hAnsi="Tahoma" w:cs="Tahoma"/>
          <w:i/>
        </w:rPr>
        <w:t xml:space="preserve">Transport and storage </w:t>
      </w:r>
      <w:r w:rsidR="005977A8" w:rsidRPr="005977A8">
        <w:rPr>
          <w:rFonts w:ascii="Tahoma" w:hAnsi="Tahoma" w:cs="Tahoma"/>
        </w:rPr>
        <w:t>3.5%,</w:t>
      </w:r>
      <w:r w:rsidR="005977A8" w:rsidRPr="005977A8">
        <w:rPr>
          <w:rFonts w:ascii="Tahoma" w:hAnsi="Tahoma" w:cs="Tahoma"/>
          <w:i/>
        </w:rPr>
        <w:t xml:space="preserve"> Information and communication </w:t>
      </w:r>
      <w:r w:rsidR="005977A8" w:rsidRPr="005977A8">
        <w:rPr>
          <w:rFonts w:ascii="Tahoma" w:hAnsi="Tahoma" w:cs="Tahoma"/>
        </w:rPr>
        <w:t>3.0%</w:t>
      </w:r>
      <w:r w:rsidR="005977A8" w:rsidRPr="005977A8">
        <w:rPr>
          <w:rFonts w:ascii="Tahoma" w:hAnsi="Tahoma" w:cs="Tahoma"/>
          <w:i/>
        </w:rPr>
        <w:t xml:space="preserve">, Construction </w:t>
      </w:r>
      <w:r w:rsidR="005977A8" w:rsidRPr="005977A8">
        <w:rPr>
          <w:rFonts w:ascii="Tahoma" w:hAnsi="Tahoma" w:cs="Tahoma"/>
        </w:rPr>
        <w:t>2.7%,</w:t>
      </w:r>
      <w:r w:rsidR="005977A8" w:rsidRPr="005977A8">
        <w:rPr>
          <w:rFonts w:ascii="Tahoma" w:hAnsi="Tahoma" w:cs="Tahoma"/>
          <w:i/>
        </w:rPr>
        <w:t xml:space="preserve"> Mining and quarrying </w:t>
      </w:r>
      <w:r w:rsidR="005977A8" w:rsidRPr="005977A8">
        <w:rPr>
          <w:rFonts w:ascii="Tahoma" w:hAnsi="Tahoma" w:cs="Tahoma"/>
        </w:rPr>
        <w:t>2.1%,</w:t>
      </w:r>
      <w:r w:rsidR="005977A8" w:rsidRPr="005977A8">
        <w:rPr>
          <w:rFonts w:ascii="Tahoma" w:hAnsi="Tahoma" w:cs="Tahoma"/>
          <w:i/>
        </w:rPr>
        <w:t xml:space="preserve"> Accommodation and food service activities </w:t>
      </w:r>
      <w:r w:rsidR="005977A8" w:rsidRPr="005977A8">
        <w:rPr>
          <w:rFonts w:ascii="Tahoma" w:hAnsi="Tahoma" w:cs="Tahoma"/>
        </w:rPr>
        <w:t>1.6%,</w:t>
      </w:r>
      <w:r w:rsidR="005977A8" w:rsidRPr="005977A8">
        <w:rPr>
          <w:rFonts w:ascii="Tahoma" w:hAnsi="Tahoma" w:cs="Tahoma"/>
          <w:i/>
        </w:rPr>
        <w:t xml:space="preserve"> </w:t>
      </w:r>
      <w:r w:rsidR="005977A8" w:rsidRPr="005977A8">
        <w:rPr>
          <w:rFonts w:ascii="Tahoma" w:hAnsi="Tahoma" w:cs="Tahoma"/>
        </w:rPr>
        <w:t>and</w:t>
      </w:r>
      <w:r w:rsidR="005977A8" w:rsidRPr="005977A8">
        <w:rPr>
          <w:rFonts w:ascii="Tahoma" w:hAnsi="Tahoma" w:cs="Tahoma"/>
          <w:i/>
        </w:rPr>
        <w:t xml:space="preserve"> Financial and insurance activities </w:t>
      </w:r>
      <w:r w:rsidR="005977A8" w:rsidRPr="005977A8">
        <w:rPr>
          <w:rFonts w:ascii="Tahoma" w:hAnsi="Tahoma" w:cs="Tahoma"/>
        </w:rPr>
        <w:t>1.2%.</w:t>
      </w:r>
      <w:r w:rsidR="005977A8" w:rsidRPr="005977A8">
        <w:rPr>
          <w:rFonts w:ascii="Tahoma" w:hAnsi="Tahoma" w:cs="Tahoma"/>
          <w:i/>
        </w:rPr>
        <w:t xml:space="preserve"> </w:t>
      </w:r>
    </w:p>
    <w:p w:rsidR="005977A8" w:rsidRPr="0079354A" w:rsidRDefault="005977A8" w:rsidP="00037786">
      <w:pPr>
        <w:tabs>
          <w:tab w:val="left" w:pos="4343"/>
        </w:tabs>
        <w:jc w:val="both"/>
        <w:rPr>
          <w:rFonts w:ascii="Tahoma" w:hAnsi="Tahoma" w:cs="Tahoma"/>
        </w:rPr>
      </w:pPr>
      <w:r w:rsidRPr="005977A8">
        <w:rPr>
          <w:rFonts w:ascii="Tahoma" w:hAnsi="Tahoma" w:cs="Tahoma"/>
        </w:rPr>
        <w:t xml:space="preserve">Nominal wage decrease was recorded in the sections </w:t>
      </w:r>
      <w:r w:rsidRPr="0079354A">
        <w:rPr>
          <w:rFonts w:ascii="Tahoma" w:hAnsi="Tahoma" w:cs="Tahoma"/>
          <w:i/>
        </w:rPr>
        <w:t>Real estate activities</w:t>
      </w:r>
      <w:r w:rsidRPr="005977A8">
        <w:rPr>
          <w:rFonts w:ascii="Tahoma" w:hAnsi="Tahoma" w:cs="Tahoma"/>
        </w:rPr>
        <w:t xml:space="preserve"> 8.5%</w:t>
      </w:r>
      <w:r w:rsidR="0079354A">
        <w:rPr>
          <w:rFonts w:ascii="Tahoma" w:hAnsi="Tahoma" w:cs="Tahoma"/>
        </w:rPr>
        <w:t xml:space="preserve">, </w:t>
      </w:r>
      <w:r w:rsidR="0079354A" w:rsidRPr="0081506C">
        <w:rPr>
          <w:rFonts w:ascii="Tahoma" w:hAnsi="Tahoma" w:cs="Tahoma"/>
          <w:i/>
        </w:rPr>
        <w:t>Water supply, sewerage, waste management and remediation activities</w:t>
      </w:r>
      <w:r w:rsidR="0079354A">
        <w:rPr>
          <w:rFonts w:ascii="Tahoma" w:hAnsi="Tahoma" w:cs="Tahoma"/>
          <w:i/>
        </w:rPr>
        <w:t xml:space="preserve"> </w:t>
      </w:r>
      <w:r w:rsidR="0079354A">
        <w:rPr>
          <w:rFonts w:ascii="Tahoma" w:hAnsi="Tahoma" w:cs="Tahoma"/>
        </w:rPr>
        <w:t xml:space="preserve">and </w:t>
      </w:r>
      <w:r w:rsidR="0079354A">
        <w:rPr>
          <w:rFonts w:ascii="Tahoma" w:hAnsi="Tahoma" w:cs="Tahoma"/>
          <w:i/>
        </w:rPr>
        <w:t xml:space="preserve">Wholesale and retail trade, </w:t>
      </w:r>
      <w:r w:rsidR="0079354A" w:rsidRPr="0079354A">
        <w:rPr>
          <w:rFonts w:ascii="Tahoma" w:hAnsi="Tahoma" w:cs="Tahoma"/>
          <w:i/>
        </w:rPr>
        <w:t>repair of motor vehicles</w:t>
      </w:r>
      <w:r w:rsidR="0079354A">
        <w:rPr>
          <w:rFonts w:ascii="Tahoma" w:hAnsi="Tahoma" w:cs="Tahoma"/>
        </w:rPr>
        <w:t xml:space="preserve"> 2.8% both.</w:t>
      </w:r>
    </w:p>
    <w:p w:rsidR="00037786" w:rsidRDefault="00037786" w:rsidP="00037786">
      <w:pPr>
        <w:jc w:val="both"/>
        <w:rPr>
          <w:rFonts w:ascii="Tahoma" w:hAnsi="Tahoma" w:cs="Tahoma"/>
        </w:rPr>
      </w:pPr>
    </w:p>
    <w:p w:rsidR="0079354A" w:rsidRPr="005977A8" w:rsidRDefault="0079354A" w:rsidP="00037786">
      <w:pPr>
        <w:jc w:val="both"/>
        <w:rPr>
          <w:rFonts w:ascii="Tahoma" w:hAnsi="Tahoma" w:cs="Tahoma"/>
        </w:rPr>
      </w:pPr>
    </w:p>
    <w:p w:rsidR="00037786" w:rsidRPr="009379D1" w:rsidRDefault="00037786" w:rsidP="00037786">
      <w:pPr>
        <w:jc w:val="both"/>
        <w:rPr>
          <w:rFonts w:ascii="Tahoma" w:hAnsi="Tahoma" w:cs="Tahoma"/>
          <w:lang w:val="sr-Cyrl-BA"/>
        </w:rPr>
      </w:pPr>
    </w:p>
    <w:p w:rsidR="00037786" w:rsidRPr="009379D1" w:rsidRDefault="00037786" w:rsidP="00037786">
      <w:pPr>
        <w:jc w:val="both"/>
        <w:rPr>
          <w:rFonts w:ascii="Tahoma" w:hAnsi="Tahoma" w:cs="Tahoma"/>
        </w:rPr>
      </w:pPr>
      <w:r w:rsidRPr="009379D1">
        <w:rPr>
          <w:rFonts w:ascii="Tahoma" w:hAnsi="Tahoma" w:cs="Tahoma"/>
          <w:i/>
          <w:lang w:val="sr-Cyrl-CS"/>
        </w:rPr>
        <w:t xml:space="preserve"> </w:t>
      </w:r>
      <w:r w:rsidRPr="009379D1">
        <w:rPr>
          <w:rFonts w:ascii="Tahoma" w:hAnsi="Tahoma" w:cs="Tahoma"/>
          <w:lang w:val="sr-Cyrl-CS"/>
        </w:rPr>
        <w:t xml:space="preserve">       </w:t>
      </w:r>
      <w:r w:rsidRPr="009379D1">
        <w:rPr>
          <w:rFonts w:ascii="Tahoma" w:hAnsi="Tahoma" w:cs="Tahoma"/>
          <w:lang w:val="sr-Latn-CS"/>
        </w:rPr>
        <w:t xml:space="preserve"> </w:t>
      </w:r>
      <w:r w:rsidR="003D38C1" w:rsidRPr="009379D1">
        <w:rPr>
          <w:rFonts w:ascii="Tahoma" w:hAnsi="Tahoma" w:cs="Tahoma"/>
          <w:lang w:val="sr-Latn-CS"/>
        </w:rPr>
        <w:tab/>
      </w:r>
      <w:r w:rsidR="003D38C1" w:rsidRPr="009379D1">
        <w:rPr>
          <w:rFonts w:ascii="Tahoma" w:hAnsi="Tahoma" w:cs="Tahoma"/>
          <w:lang w:val="sr-Latn-CS"/>
        </w:rPr>
        <w:tab/>
        <w:t xml:space="preserve">   </w:t>
      </w:r>
      <w:r w:rsidRPr="009379D1">
        <w:rPr>
          <w:rFonts w:ascii="Tahoma" w:hAnsi="Tahoma" w:cs="Tahoma"/>
          <w:lang w:val="sr-Cyrl-CS"/>
        </w:rPr>
        <w:t>км</w:t>
      </w:r>
    </w:p>
    <w:p w:rsidR="00037786" w:rsidRPr="009379D1" w:rsidRDefault="00037786" w:rsidP="00037786">
      <w:pPr>
        <w:jc w:val="center"/>
        <w:rPr>
          <w:rFonts w:ascii="Tahoma" w:hAnsi="Tahoma" w:cs="Tahoma"/>
        </w:rPr>
      </w:pPr>
      <w:bookmarkStart w:id="0" w:name="_GoBack"/>
      <w:bookmarkEnd w:id="0"/>
      <w:r w:rsidRPr="009379D1"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957607</wp:posOffset>
            </wp:positionH>
            <wp:positionV relativeFrom="paragraph">
              <wp:posOffset>2412089</wp:posOffset>
            </wp:positionV>
            <wp:extent cx="5268264" cy="461176"/>
            <wp:effectExtent l="19050" t="0" r="8586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264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091" w:rsidRPr="009379D1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572000" cy="3124200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786" w:rsidRPr="009379D1" w:rsidRDefault="00037786" w:rsidP="00037786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79354A" w:rsidRPr="008F1E7E" w:rsidRDefault="0079354A" w:rsidP="0079354A">
      <w:pPr>
        <w:jc w:val="center"/>
        <w:outlineLvl w:val="0"/>
        <w:rPr>
          <w:rFonts w:ascii="Tahoma" w:hAnsi="Tahoma" w:cs="Tahoma"/>
        </w:rPr>
      </w:pPr>
      <w:proofErr w:type="gramStart"/>
      <w:r w:rsidRPr="008F1E7E">
        <w:rPr>
          <w:rFonts w:ascii="Tahoma" w:hAnsi="Tahoma" w:cs="Tahoma"/>
        </w:rPr>
        <w:t>Graph 1.</w:t>
      </w:r>
      <w:proofErr w:type="gramEnd"/>
      <w:r w:rsidRPr="008F1E7E">
        <w:rPr>
          <w:rFonts w:ascii="Tahoma" w:hAnsi="Tahoma" w:cs="Tahoma"/>
        </w:rPr>
        <w:t xml:space="preserve"> Average net wages of employed persons by month</w:t>
      </w:r>
    </w:p>
    <w:p w:rsidR="00037786" w:rsidRPr="009379D1" w:rsidRDefault="00037786" w:rsidP="00037786">
      <w:pPr>
        <w:jc w:val="both"/>
        <w:rPr>
          <w:rFonts w:ascii="Tahoma" w:hAnsi="Tahoma" w:cs="Tahoma"/>
          <w:lang w:val="sr-Cyrl-BA"/>
        </w:rPr>
      </w:pPr>
    </w:p>
    <w:p w:rsidR="00777348" w:rsidRPr="009379D1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806168" w:rsidRPr="009379D1" w:rsidRDefault="00806168" w:rsidP="00094E6E">
      <w:pPr>
        <w:jc w:val="both"/>
        <w:rPr>
          <w:rFonts w:ascii="Tahoma" w:hAnsi="Tahoma" w:cs="Tahoma"/>
          <w:lang w:val="sr-Latn-CS"/>
        </w:rPr>
      </w:pPr>
    </w:p>
    <w:p w:rsidR="00CD65DF" w:rsidRPr="00326289" w:rsidRDefault="00326289" w:rsidP="00CD65D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Monthly inflation</w:t>
      </w:r>
      <w:r>
        <w:rPr>
          <w:rFonts w:ascii="Tahoma" w:hAnsi="Tahoma" w:cs="Tahoma"/>
          <w:b/>
          <w:sz w:val="28"/>
          <w:szCs w:val="28"/>
          <w:lang w:val="sr-Cyrl-BA"/>
        </w:rPr>
        <w:t xml:space="preserve"> 0</w:t>
      </w:r>
      <w:r>
        <w:rPr>
          <w:rFonts w:ascii="Tahoma" w:hAnsi="Tahoma" w:cs="Tahoma"/>
          <w:b/>
          <w:sz w:val="28"/>
          <w:szCs w:val="28"/>
        </w:rPr>
        <w:t>.</w:t>
      </w:r>
      <w:r w:rsidR="001E5D2D" w:rsidRPr="009379D1">
        <w:rPr>
          <w:rFonts w:ascii="Tahoma" w:hAnsi="Tahoma" w:cs="Tahoma"/>
          <w:b/>
          <w:sz w:val="28"/>
          <w:szCs w:val="28"/>
          <w:lang w:val="sr-Cyrl-BA"/>
        </w:rPr>
        <w:t>8</w:t>
      </w:r>
      <w:r w:rsidR="00CD65DF" w:rsidRPr="009379D1">
        <w:rPr>
          <w:rFonts w:ascii="Tahoma" w:hAnsi="Tahoma" w:cs="Tahoma"/>
          <w:b/>
          <w:sz w:val="28"/>
          <w:szCs w:val="28"/>
          <w:lang w:val="sr-Cyrl-BA"/>
        </w:rPr>
        <w:t>%</w:t>
      </w:r>
      <w:r>
        <w:rPr>
          <w:rFonts w:ascii="Tahoma" w:hAnsi="Tahoma" w:cs="Tahoma"/>
          <w:b/>
          <w:sz w:val="28"/>
          <w:szCs w:val="28"/>
        </w:rPr>
        <w:t xml:space="preserve"> in October 2013</w:t>
      </w:r>
    </w:p>
    <w:p w:rsidR="00CD65DF" w:rsidRPr="009379D1" w:rsidRDefault="00326289" w:rsidP="00CD65DF">
      <w:pPr>
        <w:rPr>
          <w:rFonts w:ascii="Tahoma" w:hAnsi="Tahoma" w:cs="Tahoma"/>
          <w:sz w:val="28"/>
          <w:szCs w:val="28"/>
          <w:lang w:val="sr-Cyrl-BA"/>
        </w:rPr>
      </w:pPr>
      <w:r>
        <w:rPr>
          <w:rFonts w:ascii="Tahoma" w:hAnsi="Tahoma" w:cs="Tahoma"/>
          <w:sz w:val="28"/>
          <w:szCs w:val="28"/>
        </w:rPr>
        <w:t>Annual inflation</w:t>
      </w:r>
      <w:r w:rsidR="00CD65DF" w:rsidRPr="009379D1">
        <w:rPr>
          <w:rFonts w:ascii="Tahoma" w:hAnsi="Tahoma" w:cs="Tahoma"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sz w:val="28"/>
          <w:szCs w:val="28"/>
          <w:lang w:val="sr-Latn-CS"/>
        </w:rPr>
        <w:t>October</w:t>
      </w:r>
      <w:r w:rsidR="00CD65DF" w:rsidRPr="009379D1">
        <w:rPr>
          <w:rFonts w:ascii="Tahoma" w:hAnsi="Tahoma" w:cs="Tahoma"/>
          <w:sz w:val="28"/>
          <w:szCs w:val="28"/>
          <w:lang w:val="sr-Cyrl-BA"/>
        </w:rPr>
        <w:t xml:space="preserve"> 2013/</w:t>
      </w:r>
      <w:r>
        <w:rPr>
          <w:rFonts w:ascii="Tahoma" w:hAnsi="Tahoma" w:cs="Tahoma"/>
          <w:sz w:val="28"/>
          <w:szCs w:val="28"/>
          <w:lang w:val="sr-Latn-CS"/>
        </w:rPr>
        <w:t>October</w:t>
      </w:r>
      <w:r>
        <w:rPr>
          <w:rFonts w:ascii="Tahoma" w:hAnsi="Tahoma" w:cs="Tahoma"/>
          <w:sz w:val="28"/>
          <w:szCs w:val="28"/>
          <w:lang w:val="sr-Cyrl-BA"/>
        </w:rPr>
        <w:t xml:space="preserve"> 2012) -1</w:t>
      </w:r>
      <w:r>
        <w:rPr>
          <w:rFonts w:ascii="Tahoma" w:hAnsi="Tahoma" w:cs="Tahoma"/>
          <w:sz w:val="28"/>
          <w:szCs w:val="28"/>
        </w:rPr>
        <w:t>.</w:t>
      </w:r>
      <w:r w:rsidR="001E5D2D" w:rsidRPr="009379D1">
        <w:rPr>
          <w:rFonts w:ascii="Tahoma" w:hAnsi="Tahoma" w:cs="Tahoma"/>
          <w:sz w:val="28"/>
          <w:szCs w:val="28"/>
          <w:lang w:val="sr-Cyrl-BA"/>
        </w:rPr>
        <w:t>3</w:t>
      </w:r>
      <w:r w:rsidR="00CD65DF" w:rsidRPr="009379D1">
        <w:rPr>
          <w:rFonts w:ascii="Tahoma" w:hAnsi="Tahoma" w:cs="Tahoma"/>
          <w:sz w:val="28"/>
          <w:szCs w:val="28"/>
          <w:lang w:val="sr-Cyrl-BA"/>
        </w:rPr>
        <w:t>%</w:t>
      </w:r>
    </w:p>
    <w:p w:rsidR="001561A7" w:rsidRPr="009379D1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D0354F" w:rsidRDefault="00D0354F" w:rsidP="001E5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Prices of products and services for personal consumption in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, measured with the consumer price index, in October 2013 were on the average 0.8% higher compared to September 2013. </w:t>
      </w:r>
      <w:r w:rsidR="00165643">
        <w:rPr>
          <w:rFonts w:ascii="Tahoma" w:hAnsi="Tahoma" w:cs="Tahoma"/>
        </w:rPr>
        <w:t xml:space="preserve">This price trend is the result of the </w:t>
      </w:r>
      <w:r w:rsidR="00D501C2">
        <w:rPr>
          <w:rFonts w:ascii="Tahoma" w:hAnsi="Tahoma" w:cs="Tahoma"/>
        </w:rPr>
        <w:t xml:space="preserve">different seasonal electricity billing between summer and winter, and this caused an increase in prices in the division </w:t>
      </w:r>
      <w:r w:rsidR="00D501C2" w:rsidRPr="00D501C2">
        <w:rPr>
          <w:rFonts w:ascii="Tahoma" w:hAnsi="Tahoma" w:cs="Tahoma"/>
          <w:i/>
        </w:rPr>
        <w:t>Housing</w:t>
      </w:r>
      <w:r w:rsidR="00D501C2">
        <w:rPr>
          <w:rFonts w:ascii="Tahoma" w:hAnsi="Tahoma" w:cs="Tahoma"/>
        </w:rPr>
        <w:t xml:space="preserve"> by 11.3%. </w:t>
      </w:r>
    </w:p>
    <w:p w:rsidR="00D501C2" w:rsidRDefault="00D501C2" w:rsidP="001E5D2D">
      <w:pPr>
        <w:jc w:val="both"/>
        <w:rPr>
          <w:rFonts w:ascii="Tahoma" w:hAnsi="Tahoma" w:cs="Tahoma"/>
        </w:rPr>
      </w:pPr>
    </w:p>
    <w:p w:rsidR="00D501C2" w:rsidRDefault="00737BC7" w:rsidP="001E5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 increase in prices was recorded in 4 out of 12 divisions. An increase in prices in October, besides </w:t>
      </w:r>
      <w:r w:rsidRPr="00737BC7">
        <w:rPr>
          <w:rFonts w:ascii="Tahoma" w:hAnsi="Tahoma" w:cs="Tahoma"/>
          <w:i/>
        </w:rPr>
        <w:t>Housing</w:t>
      </w:r>
      <w:r>
        <w:rPr>
          <w:rFonts w:ascii="Tahoma" w:hAnsi="Tahoma" w:cs="Tahoma"/>
        </w:rPr>
        <w:t xml:space="preserve">, was also recorded in the divisions </w:t>
      </w:r>
      <w:r w:rsidRPr="00737BC7">
        <w:rPr>
          <w:rFonts w:ascii="Tahoma" w:hAnsi="Tahoma" w:cs="Tahoma"/>
          <w:i/>
        </w:rPr>
        <w:t>Clothing and footwear</w:t>
      </w:r>
      <w:r>
        <w:rPr>
          <w:rFonts w:ascii="Tahoma" w:hAnsi="Tahoma" w:cs="Tahoma"/>
        </w:rPr>
        <w:t xml:space="preserve">, </w:t>
      </w:r>
      <w:r w:rsidRPr="00737BC7">
        <w:rPr>
          <w:rFonts w:ascii="Tahoma" w:hAnsi="Tahoma" w:cs="Tahoma"/>
          <w:i/>
        </w:rPr>
        <w:t>Alcoholic beverages and tobacco</w:t>
      </w:r>
      <w:r>
        <w:rPr>
          <w:rFonts w:ascii="Tahoma" w:hAnsi="Tahoma" w:cs="Tahoma"/>
        </w:rPr>
        <w:t xml:space="preserve">, and </w:t>
      </w:r>
      <w:proofErr w:type="gramStart"/>
      <w:r w:rsidRPr="00737BC7">
        <w:rPr>
          <w:rFonts w:ascii="Tahoma" w:hAnsi="Tahoma" w:cs="Tahoma"/>
          <w:i/>
        </w:rPr>
        <w:t>Other</w:t>
      </w:r>
      <w:proofErr w:type="gramEnd"/>
      <w:r w:rsidRPr="00737BC7">
        <w:rPr>
          <w:rFonts w:ascii="Tahoma" w:hAnsi="Tahoma" w:cs="Tahoma"/>
          <w:i/>
        </w:rPr>
        <w:t xml:space="preserve"> goods and services</w:t>
      </w:r>
      <w:r>
        <w:rPr>
          <w:rFonts w:ascii="Tahoma" w:hAnsi="Tahoma" w:cs="Tahoma"/>
        </w:rPr>
        <w:t xml:space="preserve">. </w:t>
      </w:r>
    </w:p>
    <w:p w:rsidR="001E5D2D" w:rsidRPr="009379D1" w:rsidRDefault="001E5D2D" w:rsidP="001E5D2D">
      <w:pPr>
        <w:jc w:val="both"/>
        <w:rPr>
          <w:rFonts w:ascii="Tahoma" w:hAnsi="Tahoma" w:cs="Tahoma"/>
          <w:lang w:val="sr-Cyrl-BA"/>
        </w:rPr>
      </w:pPr>
    </w:p>
    <w:p w:rsidR="001E5D2D" w:rsidRDefault="00737BC7" w:rsidP="001E5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division </w:t>
      </w:r>
      <w:r w:rsidRPr="00737BC7">
        <w:rPr>
          <w:rFonts w:ascii="Tahoma" w:hAnsi="Tahoma" w:cs="Tahoma"/>
          <w:i/>
        </w:rPr>
        <w:t>Clothing and footwear</w:t>
      </w:r>
      <w:r>
        <w:rPr>
          <w:rFonts w:ascii="Tahoma" w:hAnsi="Tahoma" w:cs="Tahoma"/>
        </w:rPr>
        <w:t xml:space="preserve"> an increase in prices by 1.1% occurred due to higher prices of clothing and footwear for the new season. In the division </w:t>
      </w:r>
      <w:r w:rsidRPr="00737BC7">
        <w:rPr>
          <w:rFonts w:ascii="Tahoma" w:hAnsi="Tahoma" w:cs="Tahoma"/>
          <w:i/>
        </w:rPr>
        <w:t>Alcoholic beverages and tobacco</w:t>
      </w:r>
      <w:r>
        <w:rPr>
          <w:rFonts w:ascii="Tahoma" w:hAnsi="Tahoma" w:cs="Tahoma"/>
        </w:rPr>
        <w:t xml:space="preserve"> an increase in prices occurred due to higher prices of spirits by 1.3% and of beer by 1.1%.</w:t>
      </w:r>
    </w:p>
    <w:p w:rsidR="00737BC7" w:rsidRPr="00737BC7" w:rsidRDefault="00737BC7" w:rsidP="001E5D2D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An increase in prices by 0.1%, recorded in the division </w:t>
      </w:r>
      <w:proofErr w:type="gramStart"/>
      <w:r w:rsidRPr="00737BC7">
        <w:rPr>
          <w:rFonts w:ascii="Tahoma" w:hAnsi="Tahoma" w:cs="Tahoma"/>
          <w:i/>
        </w:rPr>
        <w:t>Other</w:t>
      </w:r>
      <w:proofErr w:type="gramEnd"/>
      <w:r w:rsidRPr="00737BC7">
        <w:rPr>
          <w:rFonts w:ascii="Tahoma" w:hAnsi="Tahoma" w:cs="Tahoma"/>
          <w:i/>
        </w:rPr>
        <w:t xml:space="preserve"> goods and services</w:t>
      </w:r>
      <w:r>
        <w:rPr>
          <w:rFonts w:ascii="Tahoma" w:hAnsi="Tahoma" w:cs="Tahoma"/>
        </w:rPr>
        <w:t xml:space="preserve">, occurred due to higher prices of personal care products (toilet soap, shampoo, toothpaste, creams, deodorants, hair sprays, hair </w:t>
      </w:r>
      <w:proofErr w:type="spellStart"/>
      <w:r>
        <w:rPr>
          <w:rFonts w:ascii="Tahoma" w:hAnsi="Tahoma" w:cs="Tahoma"/>
        </w:rPr>
        <w:t>colours</w:t>
      </w:r>
      <w:proofErr w:type="spellEnd"/>
      <w:r>
        <w:rPr>
          <w:rFonts w:ascii="Tahoma" w:hAnsi="Tahoma" w:cs="Tahoma"/>
        </w:rPr>
        <w:t xml:space="preserve">) by 0.1%. </w:t>
      </w:r>
    </w:p>
    <w:p w:rsidR="001E5D2D" w:rsidRPr="009379D1" w:rsidRDefault="001E5D2D" w:rsidP="001E5D2D">
      <w:pPr>
        <w:jc w:val="both"/>
        <w:rPr>
          <w:rFonts w:ascii="Tahoma" w:hAnsi="Tahoma" w:cs="Tahoma"/>
          <w:lang w:val="sr-Cyrl-BA" w:eastAsia="sr-Latn-BA"/>
        </w:rPr>
      </w:pPr>
    </w:p>
    <w:p w:rsidR="00737BC7" w:rsidRDefault="00737BC7" w:rsidP="001E5D2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decrease in prices was recorded in 3 out of 12 divisions, in </w:t>
      </w:r>
      <w:r w:rsidRPr="00737BC7">
        <w:rPr>
          <w:rFonts w:ascii="Tahoma" w:hAnsi="Tahoma" w:cs="Tahoma"/>
          <w:i/>
        </w:rPr>
        <w:t>Food and non-alcoholic beverages</w:t>
      </w:r>
      <w:r>
        <w:rPr>
          <w:rFonts w:ascii="Tahoma" w:hAnsi="Tahoma" w:cs="Tahoma"/>
        </w:rPr>
        <w:t xml:space="preserve">, </w:t>
      </w:r>
      <w:r w:rsidRPr="00737BC7">
        <w:rPr>
          <w:rFonts w:ascii="Tahoma" w:hAnsi="Tahoma" w:cs="Tahoma"/>
          <w:i/>
        </w:rPr>
        <w:t>Transport</w:t>
      </w:r>
      <w:r>
        <w:rPr>
          <w:rFonts w:ascii="Tahoma" w:hAnsi="Tahoma" w:cs="Tahoma"/>
        </w:rPr>
        <w:t xml:space="preserve">, and </w:t>
      </w:r>
      <w:r w:rsidRPr="00737BC7">
        <w:rPr>
          <w:rFonts w:ascii="Tahoma" w:hAnsi="Tahoma" w:cs="Tahoma"/>
          <w:i/>
        </w:rPr>
        <w:t>Furnishings and housing equipment</w:t>
      </w:r>
      <w:r>
        <w:rPr>
          <w:rFonts w:ascii="Tahoma" w:hAnsi="Tahoma" w:cs="Tahoma"/>
        </w:rPr>
        <w:t xml:space="preserve">. </w:t>
      </w:r>
    </w:p>
    <w:p w:rsidR="0077685F" w:rsidRDefault="008D4113" w:rsidP="001E5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division </w:t>
      </w:r>
      <w:r w:rsidRPr="008D4113">
        <w:rPr>
          <w:rFonts w:ascii="Tahoma" w:hAnsi="Tahoma" w:cs="Tahoma"/>
          <w:i/>
        </w:rPr>
        <w:t>Food and non-alcoholic beverages</w:t>
      </w:r>
      <w:r>
        <w:rPr>
          <w:rFonts w:ascii="Tahoma" w:hAnsi="Tahoma" w:cs="Tahoma"/>
        </w:rPr>
        <w:t xml:space="preserve">, in which prices were on the average 0.9% lower, a decrease by 1.0% was recorded on the group </w:t>
      </w:r>
      <w:r w:rsidRPr="008D4113">
        <w:rPr>
          <w:rFonts w:ascii="Tahoma" w:hAnsi="Tahoma" w:cs="Tahoma"/>
          <w:i/>
        </w:rPr>
        <w:t>Food</w:t>
      </w:r>
      <w:r>
        <w:rPr>
          <w:rFonts w:ascii="Tahoma" w:hAnsi="Tahoma" w:cs="Tahoma"/>
        </w:rPr>
        <w:t xml:space="preserve">, and this decrease in prices in this month was recorded for fruits 8.1%, edible oil 5.4%, white flour 4.4%, chicken eggs 3.7%, cocoa-based creams 2.9%, veal 2.0%, chicken 1.1%, and pork 1.0%. In the group </w:t>
      </w:r>
      <w:r w:rsidRPr="008D4113">
        <w:rPr>
          <w:rFonts w:ascii="Tahoma" w:hAnsi="Tahoma" w:cs="Tahoma"/>
          <w:i/>
        </w:rPr>
        <w:t>Non-alcoholic beverages</w:t>
      </w:r>
      <w:r>
        <w:rPr>
          <w:rFonts w:ascii="Tahoma" w:hAnsi="Tahoma" w:cs="Tahoma"/>
        </w:rPr>
        <w:t>, prices were on the average 0.6% lower, due to lower prices of coffee by 1.6% and of carbonated soft drinks by 0.4%.</w:t>
      </w:r>
    </w:p>
    <w:p w:rsidR="008D4113" w:rsidRDefault="008D4113" w:rsidP="001E5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division </w:t>
      </w:r>
      <w:r w:rsidRPr="008D4113">
        <w:rPr>
          <w:rFonts w:ascii="Tahoma" w:hAnsi="Tahoma" w:cs="Tahoma"/>
          <w:i/>
        </w:rPr>
        <w:t>Transport</w:t>
      </w:r>
      <w:r>
        <w:rPr>
          <w:rFonts w:ascii="Tahoma" w:hAnsi="Tahoma" w:cs="Tahoma"/>
        </w:rPr>
        <w:t xml:space="preserve"> a decrease in prices by 0.6% was recorded, due to lower prices of fuels and lubricants by 1.0%. A decrease in prices by 0.2% recorded in the division </w:t>
      </w:r>
      <w:r w:rsidRPr="00737BC7">
        <w:rPr>
          <w:rFonts w:ascii="Tahoma" w:hAnsi="Tahoma" w:cs="Tahoma"/>
          <w:i/>
        </w:rPr>
        <w:t>Furnishings and housing equipment</w:t>
      </w:r>
      <w:r w:rsidR="00BA4224">
        <w:rPr>
          <w:rFonts w:ascii="Tahoma" w:hAnsi="Tahoma" w:cs="Tahoma"/>
          <w:i/>
        </w:rPr>
        <w:t xml:space="preserve"> </w:t>
      </w:r>
      <w:r w:rsidR="00BA4224" w:rsidRPr="00BA4224">
        <w:rPr>
          <w:rFonts w:ascii="Tahoma" w:hAnsi="Tahoma" w:cs="Tahoma"/>
        </w:rPr>
        <w:t>occurred</w:t>
      </w:r>
      <w:r w:rsidR="00BA4224">
        <w:rPr>
          <w:rFonts w:ascii="Tahoma" w:hAnsi="Tahoma" w:cs="Tahoma"/>
        </w:rPr>
        <w:t xml:space="preserve"> due to lower prices of house maintenance products by 0.6%. </w:t>
      </w:r>
      <w:r w:rsidR="00BA4224" w:rsidRPr="00BA4224">
        <w:rPr>
          <w:rFonts w:ascii="Tahoma" w:hAnsi="Tahoma" w:cs="Tahoma"/>
        </w:rPr>
        <w:t xml:space="preserve"> </w:t>
      </w:r>
    </w:p>
    <w:p w:rsidR="008D4113" w:rsidRDefault="008D4113" w:rsidP="001E5D2D">
      <w:pPr>
        <w:jc w:val="both"/>
        <w:rPr>
          <w:rFonts w:ascii="Tahoma" w:hAnsi="Tahoma" w:cs="Tahoma"/>
        </w:rPr>
      </w:pPr>
    </w:p>
    <w:p w:rsidR="001E5D2D" w:rsidRDefault="00B5186A" w:rsidP="001E5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</w:t>
      </w:r>
      <w:proofErr w:type="gramStart"/>
      <w:r>
        <w:rPr>
          <w:rFonts w:ascii="Tahoma" w:hAnsi="Tahoma" w:cs="Tahoma"/>
        </w:rPr>
        <w:t>divisions</w:t>
      </w:r>
      <w:proofErr w:type="gramEnd"/>
      <w:r>
        <w:rPr>
          <w:rFonts w:ascii="Tahoma" w:hAnsi="Tahoma" w:cs="Tahoma"/>
        </w:rPr>
        <w:t xml:space="preserve"> </w:t>
      </w:r>
      <w:r w:rsidRPr="00B5186A">
        <w:rPr>
          <w:rFonts w:ascii="Tahoma" w:hAnsi="Tahoma" w:cs="Tahoma"/>
          <w:i/>
        </w:rPr>
        <w:t>Health care</w:t>
      </w:r>
      <w:r>
        <w:rPr>
          <w:rFonts w:ascii="Tahoma" w:hAnsi="Tahoma" w:cs="Tahoma"/>
        </w:rPr>
        <w:t xml:space="preserve">, </w:t>
      </w:r>
      <w:r w:rsidRPr="00B5186A">
        <w:rPr>
          <w:rFonts w:ascii="Tahoma" w:hAnsi="Tahoma" w:cs="Tahoma"/>
          <w:i/>
        </w:rPr>
        <w:t>Recreation and culture</w:t>
      </w:r>
      <w:r>
        <w:rPr>
          <w:rFonts w:ascii="Tahoma" w:hAnsi="Tahoma" w:cs="Tahoma"/>
        </w:rPr>
        <w:t xml:space="preserve">, </w:t>
      </w:r>
      <w:r w:rsidRPr="00B5186A">
        <w:rPr>
          <w:rFonts w:ascii="Tahoma" w:hAnsi="Tahoma" w:cs="Tahoma"/>
          <w:i/>
        </w:rPr>
        <w:t>Education</w:t>
      </w:r>
      <w:r>
        <w:rPr>
          <w:rFonts w:ascii="Tahoma" w:hAnsi="Tahoma" w:cs="Tahoma"/>
        </w:rPr>
        <w:t xml:space="preserve">, and </w:t>
      </w:r>
      <w:r w:rsidRPr="00B5186A">
        <w:rPr>
          <w:rFonts w:ascii="Tahoma" w:hAnsi="Tahoma" w:cs="Tahoma"/>
          <w:i/>
        </w:rPr>
        <w:t>Hotels and restaurants</w:t>
      </w:r>
      <w:r>
        <w:rPr>
          <w:rFonts w:ascii="Tahoma" w:hAnsi="Tahoma" w:cs="Tahoma"/>
        </w:rPr>
        <w:t xml:space="preserve"> prices remained on the average at the same level. </w:t>
      </w:r>
    </w:p>
    <w:p w:rsidR="006B5C32" w:rsidRPr="00B5186A" w:rsidRDefault="006B5C32" w:rsidP="001E5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Indices of products and services used for personal consumption in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 in October 2013, compared to the same month of 2012, were on the average 1.3% lower. The greatest impact was that of the index of </w:t>
      </w:r>
      <w:r w:rsidRPr="006B5C32">
        <w:rPr>
          <w:rFonts w:ascii="Tahoma" w:hAnsi="Tahoma" w:cs="Tahoma"/>
          <w:i/>
        </w:rPr>
        <w:t>Food and non-alcoholic beverages</w:t>
      </w:r>
      <w:r>
        <w:rPr>
          <w:rFonts w:ascii="Tahoma" w:hAnsi="Tahoma" w:cs="Tahoma"/>
        </w:rPr>
        <w:t xml:space="preserve">, which was 2.9% lower compared to October 2012, and the index of the division </w:t>
      </w:r>
      <w:r w:rsidRPr="006B5C32">
        <w:rPr>
          <w:rFonts w:ascii="Tahoma" w:hAnsi="Tahoma" w:cs="Tahoma"/>
          <w:i/>
        </w:rPr>
        <w:t>Transport</w:t>
      </w:r>
      <w:r>
        <w:rPr>
          <w:rFonts w:ascii="Tahoma" w:hAnsi="Tahoma" w:cs="Tahoma"/>
        </w:rPr>
        <w:t xml:space="preserve">, which was 1.8% lower compared to October 2012. </w:t>
      </w:r>
    </w:p>
    <w:p w:rsidR="00770BE1" w:rsidRPr="009379D1" w:rsidRDefault="00770BE1" w:rsidP="001E5D2D">
      <w:pPr>
        <w:spacing w:after="120"/>
        <w:jc w:val="both"/>
        <w:rPr>
          <w:rFonts w:ascii="Tahoma" w:hAnsi="Tahoma" w:cs="Tahoma"/>
          <w:lang w:val="sr-Cyrl-BA"/>
        </w:rPr>
      </w:pPr>
    </w:p>
    <w:p w:rsidR="00800457" w:rsidRPr="00A634E6" w:rsidRDefault="00A634E6" w:rsidP="00800457">
      <w:pPr>
        <w:rPr>
          <w:rFonts w:ascii="Tahoma" w:hAnsi="Tahoma" w:cs="Tahoma"/>
          <w:b/>
          <w:sz w:val="28"/>
          <w:szCs w:val="28"/>
        </w:rPr>
      </w:pPr>
      <w:r w:rsidRPr="008F1E7E">
        <w:rPr>
          <w:rFonts w:ascii="Tahoma" w:hAnsi="Tahoma" w:cs="Tahoma"/>
          <w:b/>
          <w:sz w:val="28"/>
          <w:szCs w:val="28"/>
        </w:rPr>
        <w:t xml:space="preserve">Producer prices of industrial products on domestic market </w:t>
      </w:r>
      <w:r w:rsidR="00800457" w:rsidRPr="009379D1">
        <w:rPr>
          <w:rFonts w:ascii="Tahoma" w:hAnsi="Tahoma" w:cs="Tahoma"/>
          <w:b/>
          <w:sz w:val="28"/>
          <w:szCs w:val="28"/>
          <w:lang w:val="sr-Cyrl-CS"/>
        </w:rPr>
        <w:t>(</w:t>
      </w:r>
      <w:r>
        <w:rPr>
          <w:rFonts w:ascii="Tahoma" w:hAnsi="Tahoma" w:cs="Tahoma"/>
          <w:b/>
          <w:sz w:val="28"/>
          <w:szCs w:val="28"/>
          <w:lang w:val="sr-Latn-CS"/>
        </w:rPr>
        <w:t>October</w:t>
      </w:r>
      <w:r w:rsidR="00800457" w:rsidRPr="009379D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800457" w:rsidRPr="009379D1">
        <w:rPr>
          <w:rFonts w:ascii="Tahoma" w:hAnsi="Tahoma" w:cs="Tahoma"/>
          <w:b/>
          <w:sz w:val="28"/>
          <w:szCs w:val="28"/>
          <w:lang w:val="sr-Latn-CS"/>
        </w:rPr>
        <w:t>3</w:t>
      </w:r>
      <w:r w:rsidR="00800457" w:rsidRPr="009379D1">
        <w:rPr>
          <w:rFonts w:ascii="Tahoma" w:hAnsi="Tahoma" w:cs="Tahoma"/>
          <w:b/>
          <w:sz w:val="28"/>
          <w:szCs w:val="28"/>
          <w:lang w:val="sr-Cyrl-CS"/>
        </w:rPr>
        <w:t>/</w:t>
      </w:r>
      <w:r>
        <w:rPr>
          <w:rFonts w:ascii="Tahoma" w:hAnsi="Tahoma" w:cs="Tahoma"/>
          <w:b/>
          <w:sz w:val="28"/>
          <w:szCs w:val="28"/>
          <w:lang w:val="sr-Latn-CS"/>
        </w:rPr>
        <w:t>September</w:t>
      </w:r>
      <w:r w:rsidR="00800457" w:rsidRPr="009379D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800457" w:rsidRPr="009379D1">
        <w:rPr>
          <w:rFonts w:ascii="Tahoma" w:hAnsi="Tahoma" w:cs="Tahoma"/>
          <w:b/>
          <w:sz w:val="28"/>
          <w:szCs w:val="28"/>
          <w:lang w:val="sr-Latn-CS"/>
        </w:rPr>
        <w:t>3</w:t>
      </w:r>
      <w:r w:rsidR="00800457" w:rsidRPr="009379D1">
        <w:rPr>
          <w:rFonts w:ascii="Tahoma" w:hAnsi="Tahoma" w:cs="Tahoma"/>
          <w:b/>
          <w:sz w:val="28"/>
          <w:szCs w:val="28"/>
          <w:lang w:val="sr-Cyrl-CS"/>
        </w:rPr>
        <w:t>)</w:t>
      </w:r>
      <w:r w:rsidR="00800457" w:rsidRPr="009379D1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on the average</w:t>
      </w:r>
      <w:r>
        <w:rPr>
          <w:rFonts w:ascii="Tahoma" w:hAnsi="Tahoma" w:cs="Tahoma"/>
          <w:b/>
          <w:sz w:val="28"/>
          <w:szCs w:val="28"/>
          <w:lang w:val="sr-Cyrl-CS"/>
        </w:rPr>
        <w:t xml:space="preserve"> 0</w:t>
      </w:r>
      <w:r>
        <w:rPr>
          <w:rFonts w:ascii="Tahoma" w:hAnsi="Tahoma" w:cs="Tahoma"/>
          <w:b/>
          <w:sz w:val="28"/>
          <w:szCs w:val="28"/>
        </w:rPr>
        <w:t>.</w:t>
      </w:r>
      <w:r w:rsidR="004B5F4E" w:rsidRPr="009379D1">
        <w:rPr>
          <w:rFonts w:ascii="Tahoma" w:hAnsi="Tahoma" w:cs="Tahoma"/>
          <w:b/>
          <w:sz w:val="28"/>
          <w:szCs w:val="28"/>
          <w:lang w:val="sr-Latn-CS"/>
        </w:rPr>
        <w:t>2</w:t>
      </w:r>
      <w:r w:rsidR="00800457" w:rsidRPr="009379D1">
        <w:rPr>
          <w:rFonts w:ascii="Tahoma" w:hAnsi="Tahoma" w:cs="Tahoma"/>
          <w:b/>
          <w:sz w:val="28"/>
          <w:szCs w:val="28"/>
          <w:lang w:val="sr-Cyrl-CS"/>
        </w:rPr>
        <w:t>%</w:t>
      </w:r>
      <w:r>
        <w:rPr>
          <w:rFonts w:ascii="Tahoma" w:hAnsi="Tahoma" w:cs="Tahoma"/>
          <w:b/>
          <w:sz w:val="28"/>
          <w:szCs w:val="28"/>
        </w:rPr>
        <w:t xml:space="preserve"> lower</w:t>
      </w:r>
    </w:p>
    <w:p w:rsidR="00800457" w:rsidRPr="009379D1" w:rsidRDefault="00800457" w:rsidP="00800457">
      <w:pPr>
        <w:ind w:right="68"/>
        <w:jc w:val="both"/>
        <w:rPr>
          <w:rFonts w:ascii="Tahoma" w:hAnsi="Tahoma" w:cs="Tahoma"/>
          <w:lang w:val="sr-Latn-CS"/>
        </w:rPr>
      </w:pPr>
    </w:p>
    <w:p w:rsidR="006D20F3" w:rsidRDefault="006D20F3" w:rsidP="005606F9">
      <w:pPr>
        <w:spacing w:after="120"/>
        <w:ind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Producer prices of industrial products on domestic market in October 2013, compared to September 2013, were on the average 0.2% lower, compared to October 2012 they were 1.4% lower, and compared to December 2012 they were 1.3% lower. </w:t>
      </w:r>
    </w:p>
    <w:p w:rsidR="006D20F3" w:rsidRDefault="006D20F3" w:rsidP="00800457">
      <w:pPr>
        <w:spacing w:after="120"/>
        <w:ind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By purpose of consumption, in October 2013, compared to September 2013, prices of intermediate goods were on the average 0.4% lower, prices of consumer non-durables were 0.3% lower prices of energy were 0.1% lower, while prices of </w:t>
      </w:r>
      <w:proofErr w:type="spellStart"/>
      <w:r>
        <w:rPr>
          <w:rFonts w:ascii="Tahoma" w:hAnsi="Tahoma" w:cs="Tahoma"/>
        </w:rPr>
        <w:t>captital</w:t>
      </w:r>
      <w:proofErr w:type="spellEnd"/>
      <w:r>
        <w:rPr>
          <w:rFonts w:ascii="Tahoma" w:hAnsi="Tahoma" w:cs="Tahoma"/>
        </w:rPr>
        <w:t xml:space="preserve"> goods and prices of consumer durables remained on the average at the same level. </w:t>
      </w:r>
    </w:p>
    <w:p w:rsidR="006D20F3" w:rsidRDefault="006D20F3" w:rsidP="00800457">
      <w:pPr>
        <w:spacing w:after="120"/>
        <w:ind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Prices of consumer durables, by purpose of consumption, in October 2013, compared to October 2012, were on the average 0.3% higher, </w:t>
      </w:r>
      <w:r w:rsidR="00C814FE">
        <w:rPr>
          <w:rFonts w:ascii="Tahoma" w:hAnsi="Tahoma" w:cs="Tahoma"/>
        </w:rPr>
        <w:t xml:space="preserve">while </w:t>
      </w:r>
      <w:r>
        <w:rPr>
          <w:rFonts w:ascii="Tahoma" w:hAnsi="Tahoma" w:cs="Tahoma"/>
        </w:rPr>
        <w:t xml:space="preserve">prices of intermediate </w:t>
      </w:r>
      <w:r w:rsidR="00C814FE">
        <w:rPr>
          <w:rFonts w:ascii="Tahoma" w:hAnsi="Tahoma" w:cs="Tahoma"/>
        </w:rPr>
        <w:t xml:space="preserve">goods were on the average 3.5% lower, prices of consumer non-durables were 1.5% lower, prices of capital goods were 0.6% lower, and prices of energy remained on the average at the same level. </w:t>
      </w:r>
    </w:p>
    <w:p w:rsidR="00547CFC" w:rsidRDefault="00547CFC" w:rsidP="00547CFC">
      <w:pPr>
        <w:spacing w:after="120"/>
        <w:ind w:right="68"/>
        <w:jc w:val="both"/>
        <w:rPr>
          <w:rFonts w:ascii="Tahoma" w:hAnsi="Tahoma" w:cs="Tahoma"/>
        </w:rPr>
      </w:pPr>
      <w:r w:rsidRPr="008F1E7E">
        <w:rPr>
          <w:rFonts w:ascii="Tahoma" w:hAnsi="Tahoma" w:cs="Tahoma"/>
        </w:rPr>
        <w:t>By section of industrial production (PRODCOM),</w:t>
      </w:r>
      <w:r>
        <w:rPr>
          <w:rFonts w:ascii="Tahoma" w:hAnsi="Tahoma" w:cs="Tahoma"/>
        </w:rPr>
        <w:t xml:space="preserve"> in October 2013, compared to September 2013, prices in the section (C) Manufacturing were on the average 0.3% lower, prices in the section (B) Mining and quarrying were 0.1% lower, while prices in the section (D) Electricity, gas, steam and air-conditioning supply prices remained on the average at the same level.</w:t>
      </w:r>
    </w:p>
    <w:p w:rsidR="00547CFC" w:rsidRPr="00B04C66" w:rsidRDefault="00547CFC" w:rsidP="00547CFC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lastRenderedPageBreak/>
        <w:t xml:space="preserve">In October 2013, compared to October 2012, prices in the section </w:t>
      </w:r>
      <w:r w:rsidRPr="00547CFC">
        <w:rPr>
          <w:rFonts w:ascii="Tahoma" w:hAnsi="Tahoma" w:cs="Tahoma"/>
          <w:i/>
        </w:rPr>
        <w:t>Mining and quarrying</w:t>
      </w:r>
      <w:r>
        <w:rPr>
          <w:rFonts w:ascii="Tahoma" w:hAnsi="Tahoma" w:cs="Tahoma"/>
        </w:rPr>
        <w:t xml:space="preserve"> increased by 1.2%, while prices in the section </w:t>
      </w:r>
      <w:r w:rsidRPr="00547CFC">
        <w:rPr>
          <w:rFonts w:ascii="Tahoma" w:hAnsi="Tahoma" w:cs="Tahoma"/>
          <w:i/>
        </w:rPr>
        <w:t>Manufacturing</w:t>
      </w:r>
      <w:r>
        <w:rPr>
          <w:rFonts w:ascii="Tahoma" w:hAnsi="Tahoma" w:cs="Tahoma"/>
        </w:rPr>
        <w:t xml:space="preserve"> decreased by 2.6%, and prices </w:t>
      </w:r>
      <w:r>
        <w:rPr>
          <w:rFonts w:ascii="Tahoma" w:hAnsi="Tahoma" w:cs="Tahoma"/>
          <w:lang w:val="hr-HR"/>
        </w:rPr>
        <w:t xml:space="preserve">in the section </w:t>
      </w:r>
      <w:r w:rsidRPr="00547CFC">
        <w:rPr>
          <w:rFonts w:ascii="Tahoma" w:hAnsi="Tahoma" w:cs="Tahoma"/>
          <w:i/>
          <w:lang w:val="hr-HR"/>
        </w:rPr>
        <w:t xml:space="preserve">Electricity, gas, </w:t>
      </w:r>
      <w:proofErr w:type="gramStart"/>
      <w:r w:rsidRPr="00547CFC">
        <w:rPr>
          <w:rFonts w:ascii="Tahoma" w:hAnsi="Tahoma" w:cs="Tahoma"/>
          <w:i/>
          <w:lang w:val="hr-HR"/>
        </w:rPr>
        <w:t>steam</w:t>
      </w:r>
      <w:proofErr w:type="gramEnd"/>
      <w:r w:rsidRPr="00547CFC">
        <w:rPr>
          <w:rFonts w:ascii="Tahoma" w:hAnsi="Tahoma" w:cs="Tahoma"/>
          <w:i/>
          <w:lang w:val="hr-HR"/>
        </w:rPr>
        <w:t xml:space="preserve"> and air-conditioning supply</w:t>
      </w:r>
      <w:r>
        <w:rPr>
          <w:rFonts w:ascii="Tahoma" w:hAnsi="Tahoma" w:cs="Tahoma"/>
          <w:lang w:val="hr-HR"/>
        </w:rPr>
        <w:t xml:space="preserve"> remained on the average at the same level.</w:t>
      </w:r>
    </w:p>
    <w:p w:rsidR="00C814FE" w:rsidRDefault="00C814FE" w:rsidP="00800457">
      <w:pPr>
        <w:spacing w:after="120"/>
        <w:ind w:right="68"/>
        <w:jc w:val="both"/>
        <w:rPr>
          <w:rFonts w:ascii="Tahoma" w:hAnsi="Tahoma" w:cs="Tahoma"/>
        </w:rPr>
      </w:pPr>
    </w:p>
    <w:p w:rsidR="00800457" w:rsidRPr="00547CFC" w:rsidRDefault="00800457" w:rsidP="00800457">
      <w:pPr>
        <w:jc w:val="both"/>
        <w:rPr>
          <w:rFonts w:ascii="Tahoma" w:hAnsi="Tahoma" w:cs="Tahoma"/>
        </w:rPr>
      </w:pPr>
    </w:p>
    <w:p w:rsidR="00ED2991" w:rsidRPr="008F1E7E" w:rsidRDefault="00ED2991" w:rsidP="00ED2991">
      <w:pPr>
        <w:ind w:right="68"/>
        <w:jc w:val="both"/>
        <w:rPr>
          <w:rFonts w:ascii="Tahoma" w:hAnsi="Tahoma" w:cs="Tahoma"/>
          <w:b/>
          <w:sz w:val="28"/>
          <w:szCs w:val="28"/>
        </w:rPr>
      </w:pPr>
      <w:r w:rsidRPr="008F1E7E">
        <w:rPr>
          <w:rFonts w:ascii="Tahoma" w:hAnsi="Tahoma" w:cs="Tahoma"/>
          <w:b/>
          <w:sz w:val="28"/>
          <w:szCs w:val="28"/>
        </w:rPr>
        <w:t>Producer prices of industrial products on non-domestic market</w:t>
      </w:r>
    </w:p>
    <w:p w:rsidR="009049DB" w:rsidRPr="00ED2991" w:rsidRDefault="00ED2991" w:rsidP="00ED2991">
      <w:pPr>
        <w:ind w:right="68"/>
        <w:jc w:val="both"/>
        <w:rPr>
          <w:rFonts w:ascii="Tahoma" w:hAnsi="Tahoma" w:cs="Tahoma"/>
          <w:b/>
          <w:sz w:val="28"/>
          <w:szCs w:val="28"/>
        </w:rPr>
      </w:pPr>
      <w:r w:rsidRPr="009379D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9049DB" w:rsidRPr="009379D1">
        <w:rPr>
          <w:rFonts w:ascii="Tahoma" w:hAnsi="Tahoma" w:cs="Tahoma"/>
          <w:b/>
          <w:sz w:val="28"/>
          <w:szCs w:val="28"/>
          <w:lang w:val="sr-Cyrl-CS"/>
        </w:rPr>
        <w:t>(</w:t>
      </w:r>
      <w:r>
        <w:rPr>
          <w:rFonts w:ascii="Tahoma" w:hAnsi="Tahoma" w:cs="Tahoma"/>
          <w:b/>
          <w:sz w:val="28"/>
          <w:szCs w:val="28"/>
          <w:lang w:val="sr-Latn-CS"/>
        </w:rPr>
        <w:t>October</w:t>
      </w:r>
      <w:r w:rsidR="009049DB" w:rsidRPr="009379D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9049DB" w:rsidRPr="009379D1">
        <w:rPr>
          <w:rFonts w:ascii="Tahoma" w:hAnsi="Tahoma" w:cs="Tahoma"/>
          <w:b/>
          <w:sz w:val="28"/>
          <w:szCs w:val="28"/>
          <w:lang w:val="sr-Latn-CS"/>
        </w:rPr>
        <w:t>3</w:t>
      </w:r>
      <w:r w:rsidR="009049DB" w:rsidRPr="009379D1">
        <w:rPr>
          <w:rFonts w:ascii="Tahoma" w:hAnsi="Tahoma" w:cs="Tahoma"/>
          <w:b/>
          <w:sz w:val="28"/>
          <w:szCs w:val="28"/>
          <w:lang w:val="sr-Cyrl-CS"/>
        </w:rPr>
        <w:t>/</w:t>
      </w:r>
      <w:r>
        <w:rPr>
          <w:rFonts w:ascii="Tahoma" w:hAnsi="Tahoma" w:cs="Tahoma"/>
          <w:b/>
          <w:sz w:val="28"/>
          <w:szCs w:val="28"/>
          <w:lang w:val="sr-Latn-CS"/>
        </w:rPr>
        <w:t>September</w:t>
      </w:r>
      <w:r w:rsidR="009049DB" w:rsidRPr="009379D1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9049DB" w:rsidRPr="009379D1">
        <w:rPr>
          <w:rFonts w:ascii="Tahoma" w:hAnsi="Tahoma" w:cs="Tahoma"/>
          <w:b/>
          <w:sz w:val="28"/>
          <w:szCs w:val="28"/>
          <w:lang w:val="sr-Latn-CS"/>
        </w:rPr>
        <w:t>3</w:t>
      </w:r>
      <w:r w:rsidR="009049DB" w:rsidRPr="009379D1">
        <w:rPr>
          <w:rFonts w:ascii="Tahoma" w:hAnsi="Tahoma" w:cs="Tahoma"/>
          <w:b/>
          <w:sz w:val="28"/>
          <w:szCs w:val="28"/>
          <w:lang w:val="sr-Cyrl-CS"/>
        </w:rPr>
        <w:t>)</w:t>
      </w:r>
      <w:r w:rsidR="009049DB" w:rsidRPr="009379D1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on the average</w:t>
      </w:r>
      <w:r>
        <w:rPr>
          <w:rFonts w:ascii="Tahoma" w:hAnsi="Tahoma" w:cs="Tahoma"/>
          <w:b/>
          <w:sz w:val="28"/>
          <w:szCs w:val="28"/>
          <w:lang w:val="sr-Cyrl-CS"/>
        </w:rPr>
        <w:t xml:space="preserve"> 0</w:t>
      </w:r>
      <w:r>
        <w:rPr>
          <w:rFonts w:ascii="Tahoma" w:hAnsi="Tahoma" w:cs="Tahoma"/>
          <w:b/>
          <w:sz w:val="28"/>
          <w:szCs w:val="28"/>
        </w:rPr>
        <w:t>.</w:t>
      </w:r>
      <w:r w:rsidR="000831D0" w:rsidRPr="009379D1">
        <w:rPr>
          <w:rFonts w:ascii="Tahoma" w:hAnsi="Tahoma" w:cs="Tahoma"/>
          <w:b/>
          <w:sz w:val="28"/>
          <w:szCs w:val="28"/>
          <w:lang w:val="sr-Latn-CS"/>
        </w:rPr>
        <w:t>1</w:t>
      </w:r>
      <w:r w:rsidR="009049DB" w:rsidRPr="009379D1">
        <w:rPr>
          <w:rFonts w:ascii="Tahoma" w:hAnsi="Tahoma" w:cs="Tahoma"/>
          <w:b/>
          <w:sz w:val="28"/>
          <w:szCs w:val="28"/>
          <w:lang w:val="sr-Cyrl-CS"/>
        </w:rPr>
        <w:t>%</w:t>
      </w:r>
      <w:r>
        <w:rPr>
          <w:rFonts w:ascii="Tahoma" w:hAnsi="Tahoma" w:cs="Tahoma"/>
          <w:b/>
          <w:sz w:val="28"/>
          <w:szCs w:val="28"/>
        </w:rPr>
        <w:t xml:space="preserve"> higher</w:t>
      </w:r>
    </w:p>
    <w:p w:rsidR="00DE7102" w:rsidRPr="009379D1" w:rsidRDefault="00DE7102" w:rsidP="009049DB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ED2991" w:rsidRDefault="00ED2991" w:rsidP="00DE7102">
      <w:pPr>
        <w:spacing w:after="120"/>
        <w:ind w:right="68"/>
        <w:jc w:val="both"/>
        <w:rPr>
          <w:rFonts w:ascii="Tahoma" w:hAnsi="Tahoma" w:cs="Tahoma"/>
        </w:rPr>
      </w:pPr>
      <w:r w:rsidRPr="008F1E7E">
        <w:rPr>
          <w:rFonts w:ascii="Tahoma" w:hAnsi="Tahoma" w:cs="Tahoma"/>
        </w:rPr>
        <w:t>Producer prices of industrial products on non-domestic market in</w:t>
      </w:r>
      <w:r>
        <w:rPr>
          <w:rFonts w:ascii="Tahoma" w:hAnsi="Tahoma" w:cs="Tahoma"/>
        </w:rPr>
        <w:t xml:space="preserve"> October 2013, compared to September 2013, were on the average 0.1% higher, compared to October 2012 they were 2.4% higher, while compared to December 2012 they were 2.5% higher. </w:t>
      </w:r>
    </w:p>
    <w:p w:rsidR="00ED2991" w:rsidRDefault="00ED2991" w:rsidP="00DE7102">
      <w:pPr>
        <w:spacing w:after="120"/>
        <w:ind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By purpose of consumption, in October 2013, compared to September 2013, prices of capital goods were on the average 2.6% higher, prices of consumer durables were on the average 1.1% higher, and prices of consumer non-durables were 0.1% higher. Prices of intermediate goods were on the average 0.2% lower, while prices of energy remained on the average at the same level. </w:t>
      </w:r>
    </w:p>
    <w:p w:rsidR="00BC1F45" w:rsidRDefault="00BC1F45" w:rsidP="00800457">
      <w:pPr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Prices of intermediate goods and prices of consumer non-durables, by purpose of consumption, in October 2013, compared to October 2012, were on the average 2.9% higher, prices of capital goods were 1.8% higher, while prices of energy were on the average 3.0% lower and prices of consumer durables were 1.3% lower.</w:t>
      </w:r>
    </w:p>
    <w:p w:rsidR="00BC1F45" w:rsidRDefault="00BC1F45" w:rsidP="00800457">
      <w:pPr>
        <w:jc w:val="both"/>
        <w:rPr>
          <w:rFonts w:ascii="Tahoma" w:hAnsi="Tahoma" w:cs="Tahoma"/>
          <w:lang w:val="hr-HR"/>
        </w:rPr>
      </w:pPr>
    </w:p>
    <w:p w:rsidR="00BC1F45" w:rsidRDefault="00BC1F45" w:rsidP="00800457">
      <w:pPr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By section of industrial production (PRODCOM), prices in October 2013 compared to September 2013 in the section </w:t>
      </w:r>
      <w:r>
        <w:rPr>
          <w:rFonts w:ascii="Tahoma" w:hAnsi="Tahoma" w:cs="Tahoma"/>
        </w:rPr>
        <w:t xml:space="preserve">(C) Manufacturing were on the average 0.2% higher, while prices in the section (B) Mining and quarrying were on the average 0.7% lower. </w:t>
      </w:r>
    </w:p>
    <w:p w:rsidR="00800457" w:rsidRPr="00BC1F45" w:rsidRDefault="00BC1F45" w:rsidP="0080045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BC1F45" w:rsidRDefault="00BC1F45" w:rsidP="00800457">
      <w:pPr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In October 2013, compared to October 2012, prices in the section </w:t>
      </w:r>
      <w:r w:rsidRPr="00BC1F45">
        <w:rPr>
          <w:rFonts w:ascii="Tahoma" w:hAnsi="Tahoma" w:cs="Tahoma"/>
          <w:i/>
          <w:lang w:val="hr-HR"/>
        </w:rPr>
        <w:t>Manufacturing</w:t>
      </w:r>
      <w:r>
        <w:rPr>
          <w:rFonts w:ascii="Tahoma" w:hAnsi="Tahoma" w:cs="Tahoma"/>
          <w:lang w:val="hr-HR"/>
        </w:rPr>
        <w:t xml:space="preserve"> increased on the average by 2.5% and prices in the section </w:t>
      </w:r>
      <w:r w:rsidRPr="00BC1F45">
        <w:rPr>
          <w:rFonts w:ascii="Tahoma" w:hAnsi="Tahoma" w:cs="Tahoma"/>
          <w:i/>
          <w:lang w:val="hr-HR"/>
        </w:rPr>
        <w:t>Mining and quarrying</w:t>
      </w:r>
      <w:r>
        <w:rPr>
          <w:rFonts w:ascii="Tahoma" w:hAnsi="Tahoma" w:cs="Tahoma"/>
          <w:lang w:val="hr-HR"/>
        </w:rPr>
        <w:t xml:space="preserve"> increased by 0.7%. </w:t>
      </w:r>
    </w:p>
    <w:p w:rsidR="00C155B7" w:rsidRPr="009379D1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613D8E" w:rsidRPr="009379D1" w:rsidRDefault="00BC1F45" w:rsidP="00613D8E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</w:rPr>
        <w:t>Seasonally adjusted industrial production</w:t>
      </w:r>
      <w:r w:rsidR="00613D8E" w:rsidRPr="009379D1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hr-HR"/>
        </w:rPr>
        <w:t>(October</w:t>
      </w:r>
      <w:r w:rsidR="00613D8E" w:rsidRPr="009379D1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="00613D8E" w:rsidRPr="009379D1">
        <w:rPr>
          <w:rFonts w:ascii="Tahoma" w:hAnsi="Tahoma" w:cs="Tahoma"/>
          <w:b/>
          <w:spacing w:val="-4"/>
          <w:sz w:val="28"/>
          <w:szCs w:val="28"/>
          <w:lang w:val="hr-HR"/>
        </w:rPr>
        <w:t>201</w:t>
      </w:r>
      <w:r w:rsidR="00613D8E" w:rsidRPr="009379D1">
        <w:rPr>
          <w:rFonts w:ascii="Tahoma" w:hAnsi="Tahoma" w:cs="Tahoma"/>
          <w:b/>
          <w:spacing w:val="-4"/>
          <w:sz w:val="28"/>
          <w:szCs w:val="28"/>
          <w:lang w:val="sr-Cyrl-CS"/>
        </w:rPr>
        <w:t>3</w:t>
      </w:r>
      <w:r>
        <w:rPr>
          <w:rFonts w:ascii="Tahoma" w:hAnsi="Tahoma" w:cs="Tahoma"/>
          <w:b/>
          <w:spacing w:val="-4"/>
          <w:sz w:val="28"/>
          <w:szCs w:val="28"/>
          <w:lang w:val="hr-HR"/>
        </w:rPr>
        <w:t>/September</w:t>
      </w:r>
      <w:r w:rsidR="00613D8E" w:rsidRPr="009379D1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="00613D8E" w:rsidRPr="009379D1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613D8E" w:rsidRPr="009379D1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13</w:t>
      </w:r>
      <w:r w:rsidR="00613D8E" w:rsidRPr="009379D1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</w:rPr>
        <w:t>increased by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1</w:t>
      </w:r>
      <w:r>
        <w:rPr>
          <w:rFonts w:ascii="Tahoma" w:hAnsi="Tahoma" w:cs="Tahoma"/>
          <w:b/>
          <w:bCs/>
          <w:spacing w:val="-4"/>
          <w:sz w:val="28"/>
          <w:szCs w:val="28"/>
        </w:rPr>
        <w:t>.</w:t>
      </w:r>
      <w:r w:rsidR="00613D8E" w:rsidRPr="009379D1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0</w:t>
      </w:r>
      <w:r w:rsidR="00613D8E" w:rsidRPr="009379D1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624567" w:rsidRPr="009379D1" w:rsidRDefault="00706A0C" w:rsidP="00624567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8"/>
          <w:lang w:val="sr-Cyrl-CS"/>
        </w:rPr>
      </w:pPr>
      <w:r>
        <w:rPr>
          <w:rFonts w:ascii="Tahoma" w:hAnsi="Tahoma" w:cs="Tahoma"/>
          <w:spacing w:val="-4"/>
          <w:sz w:val="24"/>
          <w:szCs w:val="28"/>
        </w:rPr>
        <w:t>Working-day adjusted industrial production</w:t>
      </w:r>
      <w:r w:rsidR="00624567" w:rsidRPr="009379D1">
        <w:rPr>
          <w:rFonts w:ascii="Tahoma" w:hAnsi="Tahoma" w:cs="Tahoma"/>
          <w:sz w:val="24"/>
          <w:szCs w:val="28"/>
          <w:lang w:val="sr-Latn-BA"/>
        </w:rPr>
        <w:t xml:space="preserve"> (</w:t>
      </w:r>
      <w:r>
        <w:rPr>
          <w:rFonts w:ascii="Tahoma" w:hAnsi="Tahoma" w:cs="Tahoma"/>
          <w:sz w:val="24"/>
          <w:szCs w:val="28"/>
        </w:rPr>
        <w:t>October</w:t>
      </w:r>
      <w:r w:rsidR="00624567" w:rsidRPr="009379D1">
        <w:rPr>
          <w:rFonts w:ascii="Tahoma" w:hAnsi="Tahoma" w:cs="Tahoma"/>
          <w:sz w:val="24"/>
          <w:szCs w:val="28"/>
          <w:lang w:val="sr-Latn-BA"/>
        </w:rPr>
        <w:t xml:space="preserve"> 20</w:t>
      </w:r>
      <w:r w:rsidR="00624567" w:rsidRPr="009379D1">
        <w:rPr>
          <w:rFonts w:ascii="Tahoma" w:hAnsi="Tahoma" w:cs="Tahoma"/>
          <w:sz w:val="24"/>
          <w:szCs w:val="28"/>
          <w:lang w:val="sr-Cyrl-CS"/>
        </w:rPr>
        <w:t>13</w:t>
      </w:r>
      <w:r w:rsidR="00624567" w:rsidRPr="009379D1">
        <w:rPr>
          <w:rFonts w:ascii="Tahoma" w:hAnsi="Tahoma" w:cs="Tahoma"/>
          <w:sz w:val="24"/>
          <w:szCs w:val="28"/>
          <w:lang w:val="sr-Latn-BA"/>
        </w:rPr>
        <w:t>/</w:t>
      </w:r>
      <w:r>
        <w:rPr>
          <w:rFonts w:ascii="Tahoma" w:hAnsi="Tahoma" w:cs="Tahoma"/>
          <w:sz w:val="24"/>
          <w:szCs w:val="28"/>
        </w:rPr>
        <w:t>September</w:t>
      </w:r>
      <w:r w:rsidR="00624567" w:rsidRPr="009379D1">
        <w:rPr>
          <w:rFonts w:ascii="Tahoma" w:hAnsi="Tahoma" w:cs="Tahoma"/>
          <w:bCs/>
          <w:sz w:val="24"/>
          <w:szCs w:val="28"/>
          <w:lang w:val="sr-Cyrl-CS"/>
        </w:rPr>
        <w:t xml:space="preserve"> </w:t>
      </w:r>
      <w:r w:rsidR="00624567" w:rsidRPr="009379D1">
        <w:rPr>
          <w:rFonts w:ascii="Tahoma" w:hAnsi="Tahoma" w:cs="Tahoma"/>
          <w:bCs/>
          <w:sz w:val="24"/>
          <w:szCs w:val="28"/>
          <w:lang w:val="ru-RU"/>
        </w:rPr>
        <w:t>201</w:t>
      </w:r>
      <w:r w:rsidR="00624567" w:rsidRPr="009379D1">
        <w:rPr>
          <w:rFonts w:ascii="Tahoma" w:hAnsi="Tahoma" w:cs="Tahoma"/>
          <w:bCs/>
          <w:sz w:val="24"/>
          <w:szCs w:val="28"/>
          <w:lang w:val="sr-Latn-CS"/>
        </w:rPr>
        <w:t>3</w:t>
      </w:r>
      <w:r w:rsidR="00624567" w:rsidRPr="009379D1">
        <w:rPr>
          <w:rFonts w:ascii="Tahoma" w:hAnsi="Tahoma" w:cs="Tahoma"/>
          <w:bCs/>
          <w:sz w:val="24"/>
          <w:szCs w:val="28"/>
          <w:lang w:val="hr-HR"/>
        </w:rPr>
        <w:t>)</w:t>
      </w:r>
      <w:r w:rsidR="00624567" w:rsidRPr="009379D1">
        <w:rPr>
          <w:rFonts w:ascii="Tahoma" w:hAnsi="Tahoma" w:cs="Tahoma"/>
          <w:sz w:val="24"/>
          <w:szCs w:val="28"/>
          <w:lang w:val="sr-Latn-BA"/>
        </w:rPr>
        <w:t xml:space="preserve"> </w:t>
      </w:r>
      <w:r>
        <w:rPr>
          <w:rFonts w:ascii="Tahoma" w:hAnsi="Tahoma" w:cs="Tahoma"/>
          <w:sz w:val="24"/>
          <w:szCs w:val="28"/>
          <w:lang w:val="sr-Latn-CS"/>
        </w:rPr>
        <w:t>increased by</w:t>
      </w:r>
      <w:r w:rsidR="00624567" w:rsidRPr="009379D1">
        <w:rPr>
          <w:rFonts w:ascii="Tahoma" w:hAnsi="Tahoma" w:cs="Tahoma"/>
          <w:sz w:val="24"/>
          <w:szCs w:val="28"/>
          <w:lang w:val="ru-RU"/>
        </w:rPr>
        <w:t xml:space="preserve"> 0</w:t>
      </w:r>
      <w:r>
        <w:rPr>
          <w:rFonts w:ascii="Tahoma" w:hAnsi="Tahoma" w:cs="Tahoma"/>
          <w:sz w:val="24"/>
          <w:szCs w:val="28"/>
        </w:rPr>
        <w:t>.</w:t>
      </w:r>
      <w:r w:rsidR="00613D8E" w:rsidRPr="009379D1">
        <w:rPr>
          <w:rFonts w:ascii="Tahoma" w:hAnsi="Tahoma" w:cs="Tahoma"/>
          <w:sz w:val="24"/>
          <w:szCs w:val="28"/>
          <w:lang w:val="sr-Cyrl-BA"/>
        </w:rPr>
        <w:t>7</w:t>
      </w:r>
      <w:r w:rsidR="00624567" w:rsidRPr="009379D1">
        <w:rPr>
          <w:rFonts w:ascii="Tahoma" w:hAnsi="Tahoma" w:cs="Tahoma"/>
          <w:sz w:val="24"/>
          <w:szCs w:val="28"/>
          <w:lang w:val="ru-RU"/>
        </w:rPr>
        <w:t>%</w:t>
      </w:r>
    </w:p>
    <w:p w:rsidR="00870AD1" w:rsidRPr="009379D1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C91854" w:rsidRDefault="00C91854" w:rsidP="0062456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Seasonally adjusted industrial production</w:t>
      </w:r>
      <w:r w:rsidR="00624567" w:rsidRPr="009379D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</w:t>
      </w:r>
      <w:r w:rsidR="00624567" w:rsidRPr="009379D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October 2013 compared to September 2013 increased by 1.0%. In the section </w:t>
      </w:r>
      <w:r w:rsidRPr="008F1E7E">
        <w:rPr>
          <w:rFonts w:ascii="Tahoma" w:hAnsi="Tahoma" w:cs="Tahoma"/>
          <w:i/>
        </w:rPr>
        <w:t>Mining and quarrying</w:t>
      </w:r>
      <w:r>
        <w:rPr>
          <w:rFonts w:ascii="Tahoma" w:hAnsi="Tahoma" w:cs="Tahoma"/>
          <w:i/>
        </w:rPr>
        <w:t xml:space="preserve"> </w:t>
      </w:r>
      <w:r w:rsidR="008D4CC7">
        <w:rPr>
          <w:rFonts w:ascii="Tahoma" w:hAnsi="Tahoma" w:cs="Tahoma"/>
        </w:rPr>
        <w:t>an increase by 12.7% was rec</w:t>
      </w:r>
      <w:r>
        <w:rPr>
          <w:rFonts w:ascii="Tahoma" w:hAnsi="Tahoma" w:cs="Tahoma"/>
        </w:rPr>
        <w:t xml:space="preserve">orded and </w:t>
      </w:r>
      <w:r w:rsidR="008D4CC7">
        <w:rPr>
          <w:rFonts w:ascii="Tahoma" w:hAnsi="Tahoma" w:cs="Tahoma"/>
        </w:rPr>
        <w:t xml:space="preserve">an increase by 4.2% </w:t>
      </w:r>
      <w:r>
        <w:rPr>
          <w:rFonts w:ascii="Tahoma" w:hAnsi="Tahoma" w:cs="Tahoma"/>
        </w:rPr>
        <w:t>in the section</w:t>
      </w:r>
      <w:r w:rsidR="008D4CC7">
        <w:rPr>
          <w:rFonts w:ascii="Tahoma" w:hAnsi="Tahoma" w:cs="Tahoma"/>
        </w:rPr>
        <w:t xml:space="preserve"> </w:t>
      </w:r>
      <w:r w:rsidR="008D4CC7" w:rsidRPr="008F1E7E">
        <w:rPr>
          <w:rFonts w:ascii="Tahoma" w:hAnsi="Tahoma" w:cs="Tahoma"/>
          <w:i/>
        </w:rPr>
        <w:t>Electricity, gas, steam and air-conditioning supply</w:t>
      </w:r>
      <w:r w:rsidR="008D4CC7">
        <w:rPr>
          <w:rFonts w:ascii="Tahoma" w:hAnsi="Tahoma" w:cs="Tahoma"/>
          <w:i/>
        </w:rPr>
        <w:t xml:space="preserve">, </w:t>
      </w:r>
      <w:r w:rsidR="008D4CC7">
        <w:rPr>
          <w:rFonts w:ascii="Tahoma" w:hAnsi="Tahoma" w:cs="Tahoma"/>
        </w:rPr>
        <w:t xml:space="preserve">while in the section </w:t>
      </w:r>
      <w:r w:rsidR="008D4CC7" w:rsidRPr="008D4CC7">
        <w:rPr>
          <w:rFonts w:ascii="Tahoma" w:hAnsi="Tahoma" w:cs="Tahoma"/>
          <w:i/>
        </w:rPr>
        <w:t>Manufacturing</w:t>
      </w:r>
      <w:r w:rsidR="008D4CC7">
        <w:rPr>
          <w:rFonts w:ascii="Tahoma" w:hAnsi="Tahoma" w:cs="Tahoma"/>
        </w:rPr>
        <w:t xml:space="preserve"> a decrease by 3.4% was recorded. </w:t>
      </w:r>
      <w:r>
        <w:rPr>
          <w:rFonts w:ascii="Tahoma" w:hAnsi="Tahoma" w:cs="Tahoma"/>
        </w:rPr>
        <w:t xml:space="preserve"> </w:t>
      </w:r>
      <w:r w:rsidR="008D4CC7">
        <w:rPr>
          <w:rFonts w:ascii="Tahoma" w:hAnsi="Tahoma" w:cs="Tahoma"/>
        </w:rPr>
        <w:t xml:space="preserve">By main industrial group, based on economic purpose of products, seasonally adjusted production of capital goods in October 2013, compared to September 2013, was 17.5% higher, production of consumer durables was 10.3% higher, of intermediate goods 2.9% higher, of consumer non-durables 2.2% higher, and production of energy was 1.2% higher. </w:t>
      </w:r>
    </w:p>
    <w:p w:rsidR="00521115" w:rsidRDefault="00521115" w:rsidP="00624567">
      <w:pPr>
        <w:jc w:val="both"/>
        <w:rPr>
          <w:rFonts w:ascii="Tahoma" w:hAnsi="Tahoma" w:cs="Tahoma"/>
        </w:rPr>
      </w:pPr>
    </w:p>
    <w:p w:rsidR="00521115" w:rsidRPr="00521115" w:rsidRDefault="00521115" w:rsidP="00624567">
      <w:pPr>
        <w:jc w:val="both"/>
        <w:rPr>
          <w:rFonts w:ascii="Tahoma" w:hAnsi="Tahoma" w:cs="Tahoma"/>
        </w:rPr>
      </w:pPr>
      <w:r w:rsidRPr="008F1E7E">
        <w:rPr>
          <w:rFonts w:ascii="Tahoma" w:hAnsi="Tahoma" w:cs="Tahoma"/>
          <w:b/>
          <w:spacing w:val="-4"/>
        </w:rPr>
        <w:t>Working-day adjusted industrial production</w:t>
      </w:r>
      <w:r w:rsidRPr="008F1E7E">
        <w:rPr>
          <w:rFonts w:ascii="Tahoma" w:hAnsi="Tahoma" w:cs="Tahoma"/>
          <w:spacing w:val="-4"/>
        </w:rPr>
        <w:t xml:space="preserve"> in</w:t>
      </w:r>
      <w:r>
        <w:rPr>
          <w:rFonts w:ascii="Tahoma" w:hAnsi="Tahoma" w:cs="Tahoma"/>
          <w:spacing w:val="-4"/>
        </w:rPr>
        <w:t xml:space="preserve"> October 2013, compared to October 2012, increased by 0.7%. In the section </w:t>
      </w:r>
      <w:r w:rsidRPr="00521115">
        <w:rPr>
          <w:rFonts w:ascii="Tahoma" w:hAnsi="Tahoma" w:cs="Tahoma"/>
          <w:i/>
          <w:spacing w:val="-4"/>
        </w:rPr>
        <w:t>Mining and quarrying</w:t>
      </w:r>
      <w:r>
        <w:rPr>
          <w:rFonts w:ascii="Tahoma" w:hAnsi="Tahoma" w:cs="Tahoma"/>
          <w:spacing w:val="-4"/>
        </w:rPr>
        <w:t xml:space="preserve"> an increase by 18.2% was recorded, while in the section </w:t>
      </w:r>
      <w:proofErr w:type="gramStart"/>
      <w:r w:rsidRPr="008F1E7E">
        <w:rPr>
          <w:rFonts w:ascii="Tahoma" w:hAnsi="Tahoma" w:cs="Tahoma"/>
          <w:i/>
        </w:rPr>
        <w:t>Manufacturing</w:t>
      </w:r>
      <w:proofErr w:type="gramEnd"/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a decrease by 2.3% was recorded. Working-day adjusted production of energy in October 2013, compared to October 2012, decreased by 6.9% and of consumer durables by 7.7%, while production of consumer non-durables increased by 21.6% and of intermediate goods by 2.2%.</w:t>
      </w:r>
    </w:p>
    <w:p w:rsidR="00624567" w:rsidRPr="008D4CC7" w:rsidRDefault="00624567" w:rsidP="00C82B1E">
      <w:pPr>
        <w:jc w:val="both"/>
        <w:rPr>
          <w:rFonts w:ascii="Tahoma" w:hAnsi="Tahoma" w:cs="Tahoma"/>
          <w:b/>
          <w:spacing w:val="-4"/>
        </w:rPr>
      </w:pPr>
    </w:p>
    <w:p w:rsidR="006053F7" w:rsidRPr="00084D03" w:rsidRDefault="00084D03" w:rsidP="006053F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pacing w:val="-4"/>
        </w:rPr>
        <w:t xml:space="preserve">Number of employees in industry </w:t>
      </w:r>
      <w:r>
        <w:rPr>
          <w:rFonts w:ascii="Tahoma" w:hAnsi="Tahoma" w:cs="Tahoma"/>
          <w:spacing w:val="-4"/>
        </w:rPr>
        <w:t xml:space="preserve">in October 2013, compared to the same month of the previous year, decreased by 0.3%, with an increase by 1.7% in the section </w:t>
      </w:r>
      <w:r w:rsidRPr="008F1E7E">
        <w:rPr>
          <w:rFonts w:ascii="Tahoma" w:hAnsi="Tahoma" w:cs="Tahoma"/>
          <w:i/>
        </w:rPr>
        <w:t>Electricity, gas, steam and air-conditioning supply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and an increase by 0.5% in the section </w:t>
      </w:r>
      <w:r w:rsidRPr="008F1E7E">
        <w:rPr>
          <w:rFonts w:ascii="Tahoma" w:hAnsi="Tahoma" w:cs="Tahoma"/>
          <w:i/>
        </w:rPr>
        <w:t>Mining and quarrying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while in the section </w:t>
      </w:r>
      <w:r w:rsidRPr="008F1E7E">
        <w:rPr>
          <w:rFonts w:ascii="Tahoma" w:hAnsi="Tahoma" w:cs="Tahoma"/>
          <w:i/>
        </w:rPr>
        <w:t>Manufacturing</w:t>
      </w:r>
      <w:r>
        <w:rPr>
          <w:rFonts w:ascii="Tahoma" w:hAnsi="Tahoma" w:cs="Tahoma"/>
          <w:i/>
        </w:rPr>
        <w:t xml:space="preserve"> </w:t>
      </w:r>
      <w:r w:rsidRPr="00831185">
        <w:rPr>
          <w:rFonts w:ascii="Tahoma" w:hAnsi="Tahoma" w:cs="Tahoma"/>
        </w:rPr>
        <w:t>a decrea</w:t>
      </w:r>
      <w:r>
        <w:rPr>
          <w:rFonts w:ascii="Tahoma" w:hAnsi="Tahoma" w:cs="Tahoma"/>
        </w:rPr>
        <w:t>se in number of employees by 0.7% was recorded.</w:t>
      </w:r>
    </w:p>
    <w:p w:rsidR="00517795" w:rsidRPr="009379D1" w:rsidRDefault="00517795" w:rsidP="00517795">
      <w:pPr>
        <w:jc w:val="both"/>
        <w:rPr>
          <w:rFonts w:ascii="Tahoma" w:hAnsi="Tahoma" w:cs="Tahoma"/>
          <w:lang w:val="sr-Cyrl-CS"/>
        </w:rPr>
      </w:pPr>
    </w:p>
    <w:p w:rsidR="00561E71" w:rsidRPr="009379D1" w:rsidRDefault="009D0039" w:rsidP="00572BAB">
      <w:pPr>
        <w:ind w:right="68"/>
        <w:jc w:val="center"/>
        <w:rPr>
          <w:rFonts w:ascii="Tahoma" w:hAnsi="Tahoma" w:cs="Tahoma"/>
          <w:lang w:val="sr-Latn-CS"/>
        </w:rPr>
      </w:pPr>
      <w:r w:rsidRPr="009379D1">
        <w:rPr>
          <w:rFonts w:ascii="Tahoma" w:hAnsi="Tahoma" w:cs="Tahoma"/>
          <w:noProof/>
        </w:rPr>
        <w:lastRenderedPageBreak/>
        <w:drawing>
          <wp:inline distT="0" distB="0" distL="0" distR="0">
            <wp:extent cx="6480810" cy="334315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9379D1" w:rsidRDefault="00075261" w:rsidP="00A14198">
      <w:pPr>
        <w:jc w:val="center"/>
        <w:rPr>
          <w:rFonts w:ascii="Tahoma" w:hAnsi="Tahoma" w:cs="Tahoma"/>
          <w:lang w:val="sr-Latn-CS"/>
        </w:rPr>
      </w:pPr>
      <w:proofErr w:type="gramStart"/>
      <w:r w:rsidRPr="008F1E7E">
        <w:rPr>
          <w:rFonts w:ascii="Tahoma" w:hAnsi="Tahoma" w:cs="Tahoma"/>
        </w:rPr>
        <w:t>Graph 2.</w:t>
      </w:r>
      <w:proofErr w:type="gramEnd"/>
      <w:r w:rsidRPr="008F1E7E">
        <w:rPr>
          <w:rFonts w:ascii="Tahoma" w:hAnsi="Tahoma" w:cs="Tahoma"/>
        </w:rPr>
        <w:t xml:space="preserve"> Indices of industrial production</w:t>
      </w:r>
      <w:r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</w:rPr>
        <w:t>October</w:t>
      </w:r>
      <w:r>
        <w:rPr>
          <w:rFonts w:ascii="Tahoma" w:hAnsi="Tahoma" w:cs="Tahoma"/>
          <w:lang w:val="sr-Latn-CS"/>
        </w:rPr>
        <w:t xml:space="preserve"> 2009</w:t>
      </w:r>
      <w:r w:rsidR="00A14198" w:rsidRPr="009379D1">
        <w:rPr>
          <w:rFonts w:ascii="Tahoma" w:hAnsi="Tahoma" w:cs="Tahoma"/>
          <w:lang w:val="sr-Latn-CS"/>
        </w:rPr>
        <w:t xml:space="preserve"> – </w:t>
      </w:r>
      <w:r>
        <w:rPr>
          <w:rFonts w:ascii="Tahoma" w:hAnsi="Tahoma" w:cs="Tahoma"/>
        </w:rPr>
        <w:t>October</w:t>
      </w:r>
      <w:r>
        <w:rPr>
          <w:rFonts w:ascii="Tahoma" w:hAnsi="Tahoma" w:cs="Tahoma"/>
          <w:lang w:val="sr-Latn-CS"/>
        </w:rPr>
        <w:t xml:space="preserve"> </w:t>
      </w:r>
      <w:proofErr w:type="gramStart"/>
      <w:r>
        <w:rPr>
          <w:rFonts w:ascii="Tahoma" w:hAnsi="Tahoma" w:cs="Tahoma"/>
          <w:lang w:val="sr-Latn-CS"/>
        </w:rPr>
        <w:t>2013</w:t>
      </w:r>
      <w:r w:rsidR="00A14198" w:rsidRPr="009379D1">
        <w:rPr>
          <w:rFonts w:ascii="Tahoma" w:hAnsi="Tahoma" w:cs="Tahoma"/>
          <w:lang w:val="sr-Latn-CS"/>
        </w:rPr>
        <w:t xml:space="preserve">  (</w:t>
      </w:r>
      <w:proofErr w:type="gramEnd"/>
      <w:r w:rsidR="00A14198" w:rsidRPr="009379D1">
        <w:rPr>
          <w:rFonts w:ascii="Tahoma" w:hAnsi="Tahoma" w:cs="Tahoma"/>
          <w:lang w:val="sr-Latn-CS"/>
        </w:rPr>
        <w:sym w:font="Symbol" w:char="F0C6"/>
      </w:r>
      <w:r w:rsidR="00A14198" w:rsidRPr="009379D1">
        <w:rPr>
          <w:rFonts w:ascii="Tahoma" w:hAnsi="Tahoma" w:cs="Tahoma"/>
          <w:lang w:val="sr-Latn-CS"/>
        </w:rPr>
        <w:t>2010=100)</w:t>
      </w:r>
    </w:p>
    <w:p w:rsidR="009A1D13" w:rsidRPr="009379D1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9379D1" w:rsidRDefault="004118F2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</w:rPr>
        <w:t>Export</w:t>
      </w:r>
      <w:r w:rsidR="000A04DF" w:rsidRPr="009379D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hr-HR"/>
        </w:rPr>
        <w:t>(January-October</w:t>
      </w:r>
      <w:r w:rsidR="000A04DF" w:rsidRPr="009379D1">
        <w:rPr>
          <w:rFonts w:ascii="Tahoma" w:hAnsi="Tahoma" w:cs="Tahoma"/>
          <w:b/>
          <w:sz w:val="28"/>
          <w:szCs w:val="28"/>
          <w:lang w:val="hr-HR"/>
        </w:rPr>
        <w:t xml:space="preserve"> 2013</w:t>
      </w:r>
      <w:r w:rsidR="00B70F57" w:rsidRPr="009379D1">
        <w:rPr>
          <w:rFonts w:ascii="Tahoma" w:hAnsi="Tahoma" w:cs="Tahoma"/>
          <w:b/>
          <w:sz w:val="28"/>
          <w:szCs w:val="28"/>
          <w:lang w:val="hr-HR"/>
        </w:rPr>
        <w:t>/</w:t>
      </w:r>
      <w:r>
        <w:rPr>
          <w:rFonts w:ascii="Tahoma" w:hAnsi="Tahoma" w:cs="Tahoma"/>
          <w:b/>
          <w:sz w:val="28"/>
          <w:szCs w:val="28"/>
          <w:lang w:val="hr-HR"/>
        </w:rPr>
        <w:t>January-October</w:t>
      </w:r>
      <w:r w:rsidRPr="009379D1">
        <w:rPr>
          <w:rFonts w:ascii="Tahoma" w:hAnsi="Tahoma" w:cs="Tahoma"/>
          <w:b/>
          <w:sz w:val="28"/>
          <w:szCs w:val="28"/>
          <w:lang w:val="hr-HR"/>
        </w:rPr>
        <w:t xml:space="preserve"> </w:t>
      </w:r>
      <w:r w:rsidR="000A04DF" w:rsidRPr="009379D1">
        <w:rPr>
          <w:rFonts w:ascii="Tahoma" w:hAnsi="Tahoma" w:cs="Tahoma"/>
          <w:b/>
          <w:sz w:val="28"/>
          <w:szCs w:val="28"/>
          <w:lang w:val="hr-HR"/>
        </w:rPr>
        <w:t xml:space="preserve">2012) </w:t>
      </w:r>
      <w:r>
        <w:rPr>
          <w:rFonts w:ascii="Tahoma" w:hAnsi="Tahoma" w:cs="Tahoma"/>
          <w:b/>
          <w:sz w:val="28"/>
          <w:szCs w:val="28"/>
        </w:rPr>
        <w:t>increased by</w:t>
      </w:r>
      <w:r w:rsidR="000A04DF" w:rsidRPr="009379D1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2C0DA2" w:rsidRPr="009379D1">
        <w:rPr>
          <w:rFonts w:ascii="Tahoma" w:hAnsi="Tahoma" w:cs="Tahoma"/>
          <w:b/>
          <w:sz w:val="28"/>
          <w:szCs w:val="28"/>
          <w:lang w:val="sr-Cyrl-BA"/>
        </w:rPr>
        <w:t>7</w:t>
      </w:r>
      <w:r>
        <w:rPr>
          <w:rFonts w:ascii="Tahoma" w:hAnsi="Tahoma" w:cs="Tahoma"/>
          <w:b/>
          <w:sz w:val="28"/>
          <w:szCs w:val="28"/>
        </w:rPr>
        <w:t>.</w:t>
      </w:r>
      <w:r w:rsidR="009B45D6" w:rsidRPr="009379D1">
        <w:rPr>
          <w:rFonts w:ascii="Tahoma" w:hAnsi="Tahoma" w:cs="Tahoma"/>
          <w:b/>
          <w:sz w:val="28"/>
          <w:szCs w:val="28"/>
        </w:rPr>
        <w:t>1</w:t>
      </w:r>
      <w:r w:rsidR="000A04DF" w:rsidRPr="009379D1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9379D1" w:rsidRDefault="00E70552" w:rsidP="00777348">
      <w:pPr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</w:rPr>
        <w:t>Coverage of import with export</w:t>
      </w:r>
      <w:r w:rsidR="00777348" w:rsidRPr="009379D1">
        <w:rPr>
          <w:rFonts w:ascii="Tahoma" w:hAnsi="Tahoma" w:cs="Tahoma"/>
          <w:sz w:val="24"/>
          <w:szCs w:val="24"/>
          <w:lang w:val="sr-Cyrl-BA"/>
        </w:rPr>
        <w:t xml:space="preserve"> (</w:t>
      </w:r>
      <w:r>
        <w:rPr>
          <w:rFonts w:ascii="Tahoma" w:hAnsi="Tahoma" w:cs="Tahoma"/>
          <w:sz w:val="24"/>
          <w:szCs w:val="24"/>
        </w:rPr>
        <w:t>in the period</w:t>
      </w:r>
      <w:r w:rsidR="00777348" w:rsidRPr="009379D1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January-October</w:t>
      </w:r>
      <w:r w:rsidR="00777348" w:rsidRPr="009379D1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777348" w:rsidRPr="009379D1">
        <w:rPr>
          <w:rFonts w:ascii="Tahoma" w:hAnsi="Tahoma" w:cs="Tahoma"/>
          <w:sz w:val="24"/>
          <w:szCs w:val="24"/>
          <w:lang w:val="ru-RU"/>
        </w:rPr>
        <w:t>201</w:t>
      </w:r>
      <w:r w:rsidR="00777348" w:rsidRPr="009379D1">
        <w:rPr>
          <w:rFonts w:ascii="Tahoma" w:hAnsi="Tahoma" w:cs="Tahoma"/>
          <w:sz w:val="24"/>
          <w:szCs w:val="24"/>
        </w:rPr>
        <w:t>3</w:t>
      </w:r>
      <w:r w:rsidR="00777348" w:rsidRPr="009379D1">
        <w:rPr>
          <w:rFonts w:ascii="Tahoma" w:hAnsi="Tahoma" w:cs="Tahoma"/>
          <w:sz w:val="24"/>
          <w:szCs w:val="24"/>
          <w:lang w:val="sr-Cyrl-BA"/>
        </w:rPr>
        <w:t>)</w:t>
      </w:r>
      <w:r w:rsidR="00777348" w:rsidRPr="009379D1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was </w:t>
      </w:r>
      <w:r w:rsidR="00777348" w:rsidRPr="009379D1">
        <w:rPr>
          <w:rFonts w:ascii="Tahoma" w:hAnsi="Tahoma" w:cs="Tahoma"/>
          <w:sz w:val="24"/>
          <w:szCs w:val="24"/>
          <w:lang w:val="hr-HR"/>
        </w:rPr>
        <w:t>5</w:t>
      </w:r>
      <w:r w:rsidR="009B45D6" w:rsidRPr="009379D1">
        <w:rPr>
          <w:rFonts w:ascii="Tahoma" w:hAnsi="Tahoma" w:cs="Tahoma"/>
          <w:sz w:val="24"/>
          <w:szCs w:val="24"/>
          <w:lang w:val="hr-HR"/>
        </w:rPr>
        <w:t>7</w:t>
      </w:r>
      <w:r>
        <w:rPr>
          <w:rFonts w:ascii="Tahoma" w:hAnsi="Tahoma" w:cs="Tahoma"/>
          <w:sz w:val="24"/>
          <w:szCs w:val="24"/>
        </w:rPr>
        <w:t>.</w:t>
      </w:r>
      <w:r w:rsidR="009B45D6" w:rsidRPr="009379D1">
        <w:rPr>
          <w:rFonts w:ascii="Tahoma" w:hAnsi="Tahoma" w:cs="Tahoma"/>
          <w:sz w:val="24"/>
          <w:szCs w:val="24"/>
        </w:rPr>
        <w:t>1</w:t>
      </w:r>
      <w:r w:rsidR="00777348" w:rsidRPr="009379D1">
        <w:rPr>
          <w:rFonts w:ascii="Tahoma" w:hAnsi="Tahoma" w:cs="Tahoma"/>
          <w:sz w:val="24"/>
          <w:szCs w:val="24"/>
          <w:lang w:val="ru-RU"/>
        </w:rPr>
        <w:t xml:space="preserve">% </w:t>
      </w:r>
    </w:p>
    <w:p w:rsidR="00777348" w:rsidRPr="009379D1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E70552" w:rsidRDefault="00E70552" w:rsidP="007773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October 2013, the value of export was 222 million KM, while the value of import was 454 million KM. </w:t>
      </w:r>
    </w:p>
    <w:p w:rsidR="00777348" w:rsidRDefault="00777348" w:rsidP="00777348">
      <w:pPr>
        <w:jc w:val="both"/>
        <w:rPr>
          <w:rFonts w:ascii="Tahoma" w:hAnsi="Tahoma" w:cs="Tahoma"/>
        </w:rPr>
      </w:pPr>
    </w:p>
    <w:p w:rsidR="00E70552" w:rsidRDefault="00E70552" w:rsidP="00E705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total external trade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 in </w:t>
      </w:r>
      <w:r w:rsidR="008A60BB">
        <w:rPr>
          <w:rFonts w:ascii="Tahoma" w:hAnsi="Tahoma" w:cs="Tahoma"/>
        </w:rPr>
        <w:t>October</w:t>
      </w:r>
      <w:r>
        <w:rPr>
          <w:rFonts w:ascii="Tahoma" w:hAnsi="Tahoma" w:cs="Tahoma"/>
        </w:rPr>
        <w:t xml:space="preserve"> this year, the percentage of coverag</w:t>
      </w:r>
      <w:r w:rsidR="008A60BB">
        <w:rPr>
          <w:rFonts w:ascii="Tahoma" w:hAnsi="Tahoma" w:cs="Tahoma"/>
        </w:rPr>
        <w:t>e of import with export was 48.8</w:t>
      </w:r>
      <w:r>
        <w:rPr>
          <w:rFonts w:ascii="Tahoma" w:hAnsi="Tahoma" w:cs="Tahoma"/>
        </w:rPr>
        <w:t xml:space="preserve">%. </w:t>
      </w:r>
    </w:p>
    <w:p w:rsidR="00E70552" w:rsidRPr="00E70552" w:rsidRDefault="00E70552" w:rsidP="00777348">
      <w:pPr>
        <w:jc w:val="both"/>
        <w:rPr>
          <w:rFonts w:ascii="Tahoma" w:hAnsi="Tahoma" w:cs="Tahoma"/>
        </w:rPr>
      </w:pPr>
    </w:p>
    <w:p w:rsidR="0072147A" w:rsidRPr="0040648A" w:rsidRDefault="0072147A" w:rsidP="007214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period January – October 2013, the value of export was 2 billion and 134 million KM, which represented an increase by 7.1% compared to the same period of the previous year. During the same period, the value of import was 3 billion and 735 million KM, which represented a decrease by 3.9% compared to the same period of the previous year. Percentage of coverage of import with export during the first ten months of the current year was 57.1%. </w:t>
      </w:r>
    </w:p>
    <w:p w:rsidR="00777348" w:rsidRPr="009379D1" w:rsidRDefault="00777348" w:rsidP="00777348">
      <w:pPr>
        <w:jc w:val="both"/>
        <w:rPr>
          <w:rFonts w:ascii="Tahoma" w:hAnsi="Tahoma" w:cs="Tahoma"/>
        </w:rPr>
      </w:pPr>
    </w:p>
    <w:p w:rsidR="0072147A" w:rsidRPr="0040648A" w:rsidRDefault="0072147A" w:rsidP="0072147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In terms of the geographical distribution of external trade of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, in the period January – October 2013, the highest value of export was that of export to Italy, with 336 million KM or 15.8%, followed by Serbia with 328 million KM or 15.4% of the total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export. </w:t>
      </w:r>
    </w:p>
    <w:p w:rsidR="0072147A" w:rsidRPr="0040648A" w:rsidRDefault="0072147A" w:rsidP="0072147A">
      <w:pPr>
        <w:tabs>
          <w:tab w:val="left" w:pos="300"/>
          <w:tab w:val="left" w:pos="11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During the same period, the highest value of import was that of import from Russia, with 985 million or 26.4%, followed by Serbia with 633 million KM or 17.0% of the total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import. </w:t>
      </w:r>
    </w:p>
    <w:p w:rsidR="00777348" w:rsidRPr="009379D1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1715E2" w:rsidRPr="0040648A" w:rsidRDefault="001715E2" w:rsidP="001715E2">
      <w:pPr>
        <w:tabs>
          <w:tab w:val="left" w:pos="300"/>
          <w:tab w:val="left" w:pos="1100"/>
        </w:tabs>
        <w:jc w:val="both"/>
        <w:rPr>
          <w:rFonts w:ascii="Tahoma" w:hAnsi="Tahoma" w:cs="Tahoma"/>
        </w:rPr>
      </w:pPr>
      <w:r w:rsidRPr="008F1E7E">
        <w:rPr>
          <w:rFonts w:ascii="Tahoma" w:hAnsi="Tahoma" w:cs="Tahoma"/>
          <w:bCs/>
        </w:rPr>
        <w:t>By group of products, in the period January –</w:t>
      </w:r>
      <w:r>
        <w:rPr>
          <w:rFonts w:ascii="Tahoma" w:hAnsi="Tahoma" w:cs="Tahoma"/>
          <w:bCs/>
        </w:rPr>
        <w:t xml:space="preserve"> October 2013, the highest participation in export was that of </w:t>
      </w:r>
      <w:r w:rsidRPr="008F1E7E">
        <w:rPr>
          <w:rFonts w:ascii="Tahoma" w:hAnsi="Tahoma" w:cs="Tahoma"/>
          <w:bCs/>
        </w:rPr>
        <w:t xml:space="preserve">petroleum oils and oils obtained from bituminous minerals (except raw) </w:t>
      </w:r>
      <w:r w:rsidRPr="008F1E7E">
        <w:rPr>
          <w:rFonts w:ascii="Tahoma" w:hAnsi="Tahoma" w:cs="Tahoma"/>
        </w:rPr>
        <w:t>with the total value of</w:t>
      </w:r>
      <w:r>
        <w:rPr>
          <w:rFonts w:ascii="Tahoma" w:hAnsi="Tahoma" w:cs="Tahoma"/>
        </w:rPr>
        <w:t xml:space="preserve"> 188 million KM, which was 8.8% of the total export, </w:t>
      </w:r>
      <w:r w:rsidRPr="008F1E7E">
        <w:rPr>
          <w:rFonts w:ascii="Tahoma" w:hAnsi="Tahoma" w:cs="Tahoma"/>
        </w:rPr>
        <w:t>while the highest participation in import was that of petroleum and oils obtained from bituminous minerals (raw), with the total value of</w:t>
      </w:r>
      <w:r>
        <w:rPr>
          <w:rFonts w:ascii="Tahoma" w:hAnsi="Tahoma" w:cs="Tahoma"/>
        </w:rPr>
        <w:t xml:space="preserve"> 968 million KM, which was 25.9% of the total import. </w:t>
      </w:r>
    </w:p>
    <w:p w:rsidR="00777348" w:rsidRPr="009379D1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115CDB" w:rsidRPr="009379D1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9379D1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F47" w:rsidRPr="00EB4F07" w:rsidRDefault="00E16F47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76768F" w:rsidRPr="009379D1" w:rsidRDefault="0076768F">
      <w:pPr>
        <w:rPr>
          <w:rFonts w:ascii="Tahoma" w:hAnsi="Tahoma" w:cs="Tahoma"/>
          <w:sz w:val="18"/>
          <w:szCs w:val="18"/>
          <w:lang w:val="sr-Cyrl-CS"/>
        </w:rPr>
      </w:pPr>
    </w:p>
    <w:p w:rsidR="00115CDB" w:rsidRPr="009379D1" w:rsidRDefault="001F757F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1.8pt;margin-top:4.7pt;width:61.05pt;height:19.75pt;z-index:251664384;mso-width-relative:margin;mso-height-relative:margin" stroked="f">
            <v:textbox style="mso-next-textbox:#_x0000_s1068">
              <w:txbxContent>
                <w:p w:rsidR="00E70552" w:rsidRPr="005B6093" w:rsidRDefault="00E70552" w:rsidP="005B6093">
                  <w:pPr>
                    <w:jc w:val="right"/>
                    <w:rPr>
                      <w:rFonts w:ascii="Tahoma" w:hAnsi="Tahoma" w:cs="Tahoma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Tahoma" w:hAnsi="Tahoma" w:cs="Tahoma"/>
                    </w:rPr>
                    <w:t>thous</w:t>
                  </w:r>
                  <w:proofErr w:type="spellEnd"/>
                  <w:proofErr w:type="gramEnd"/>
                  <w:r w:rsidRPr="005B6093">
                    <w:rPr>
                      <w:rFonts w:ascii="Tahoma" w:hAnsi="Tahoma" w:cs="Tahoma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115CDB" w:rsidRPr="009379D1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9379D1" w:rsidRDefault="004A6A3F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9379D1">
        <w:rPr>
          <w:rFonts w:ascii="Tahoma" w:hAnsi="Tahoma" w:cs="Tahoma"/>
          <w:b/>
          <w:noProof/>
        </w:rPr>
        <w:drawing>
          <wp:inline distT="0" distB="0" distL="0" distR="0">
            <wp:extent cx="5106838" cy="3036498"/>
            <wp:effectExtent l="1905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CDB" w:rsidRPr="009379D1" w:rsidRDefault="009E1E3A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1F757F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9.4pt;margin-top:-.15pt;width:48.5pt;height:19.25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E70552" w:rsidRPr="004A1822" w:rsidRDefault="00E70552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  <w:r w:rsidR="001F757F" w:rsidRPr="001F757F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95pt;margin-top:-.15pt;width:50.45pt;height:31.3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E70552" w:rsidRPr="004A1822" w:rsidRDefault="00E70552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C043E2" w:rsidRPr="009379D1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9379D1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075261" w:rsidRDefault="00075261" w:rsidP="00777348">
      <w:pPr>
        <w:tabs>
          <w:tab w:val="left" w:pos="2535"/>
        </w:tabs>
        <w:jc w:val="center"/>
        <w:rPr>
          <w:rFonts w:ascii="Tahoma" w:hAnsi="Tahoma" w:cs="Tahoma"/>
          <w:iCs/>
        </w:rPr>
      </w:pPr>
      <w:proofErr w:type="gramStart"/>
      <w:r>
        <w:rPr>
          <w:rFonts w:ascii="Tahoma" w:hAnsi="Tahoma" w:cs="Tahoma"/>
        </w:rPr>
        <w:t>Graph</w:t>
      </w:r>
      <w:r w:rsidR="00777348" w:rsidRPr="009379D1">
        <w:rPr>
          <w:rFonts w:ascii="Tahoma" w:hAnsi="Tahoma" w:cs="Tahoma"/>
          <w:lang w:val="ru-RU"/>
        </w:rPr>
        <w:t xml:space="preserve"> </w:t>
      </w:r>
      <w:r w:rsidR="008D2842" w:rsidRPr="009379D1">
        <w:rPr>
          <w:rFonts w:ascii="Tahoma" w:hAnsi="Tahoma" w:cs="Tahoma"/>
          <w:lang w:val="sr-Latn-CS"/>
        </w:rPr>
        <w:t>3</w:t>
      </w:r>
      <w:r w:rsidR="00777348" w:rsidRPr="009379D1">
        <w:rPr>
          <w:rFonts w:ascii="Tahoma" w:hAnsi="Tahoma" w:cs="Tahoma"/>
          <w:lang w:val="ru-RU"/>
        </w:rPr>
        <w:t>.</w:t>
      </w:r>
      <w:proofErr w:type="gramEnd"/>
      <w:r w:rsidR="00777348" w:rsidRPr="009379D1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iCs/>
        </w:rPr>
        <w:t>Export and import by month</w:t>
      </w:r>
    </w:p>
    <w:p w:rsidR="00115CDB" w:rsidRPr="009379D1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9379D1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BC7CF8" w:rsidRPr="009379D1" w:rsidRDefault="00BC7CF8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9379D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C067C5" w:rsidRPr="00EB4F07" w:rsidRDefault="00C067C5" w:rsidP="008F2385">
      <w:pPr>
        <w:jc w:val="both"/>
        <w:rPr>
          <w:rFonts w:ascii="Tahoma" w:hAnsi="Tahoma" w:cs="Tahoma"/>
          <w:bCs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9E2A9A" w:rsidRPr="00221BD9" w:rsidTr="005B6093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653FAB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t>PREPARED BY</w:t>
            </w:r>
            <w:r w:rsidR="009E2A9A" w:rsidRPr="00221BD9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E2A9A" w:rsidRPr="00221BD9" w:rsidTr="005B6093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9E2A9A" w:rsidRPr="00653FAB" w:rsidRDefault="00653FAB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</w:rPr>
              <w:t>Labour</w:t>
            </w:r>
            <w:proofErr w:type="spellEnd"/>
            <w:r>
              <w:rPr>
                <w:rFonts w:ascii="Tahoma" w:hAnsi="Tahoma" w:cs="Tahoma"/>
                <w:b/>
                <w:sz w:val="16"/>
              </w:rPr>
              <w:t xml:space="preserve"> statistics</w:t>
            </w:r>
          </w:p>
          <w:p w:rsidR="009E2A9A" w:rsidRPr="00653FAB" w:rsidRDefault="00653FAB" w:rsidP="009E2A9A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Vladimir </w:t>
            </w:r>
            <w:proofErr w:type="spellStart"/>
            <w:r>
              <w:rPr>
                <w:rFonts w:ascii="Tahoma" w:hAnsi="Tahoma" w:cs="Tahoma"/>
                <w:sz w:val="16"/>
              </w:rPr>
              <w:t>Koprivica</w:t>
            </w:r>
            <w:proofErr w:type="spellEnd"/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2A9A" w:rsidRPr="00221BD9" w:rsidTr="005B6093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53FAB" w:rsidRPr="006C3F99" w:rsidRDefault="00653FAB" w:rsidP="00653FAB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Prices statistics</w:t>
            </w:r>
          </w:p>
          <w:p w:rsidR="00653FAB" w:rsidRPr="006C3F99" w:rsidRDefault="00653FAB" w:rsidP="00653FAB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Biljana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Tešić</w:t>
            </w:r>
            <w:proofErr w:type="spellEnd"/>
          </w:p>
          <w:p w:rsidR="00653FAB" w:rsidRPr="00221BD9" w:rsidRDefault="00653FAB" w:rsidP="00653FAB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3" w:history="1"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653FAB" w:rsidRPr="006C3F99" w:rsidRDefault="00653FAB" w:rsidP="00653FAB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Jasminka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Milić</w:t>
            </w:r>
            <w:proofErr w:type="spellEnd"/>
          </w:p>
          <w:p w:rsidR="00653FAB" w:rsidRPr="00221BD9" w:rsidRDefault="00653FAB" w:rsidP="00653FAB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4" w:history="1"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5B6093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53FAB" w:rsidRPr="006C3F99" w:rsidRDefault="00653FAB" w:rsidP="00653FAB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Industry and mining statistics</w:t>
            </w:r>
          </w:p>
          <w:p w:rsidR="00653FAB" w:rsidRPr="006C3F99" w:rsidRDefault="00653FAB" w:rsidP="00653FAB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Mirjana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Bandur</w:t>
            </w:r>
            <w:proofErr w:type="spellEnd"/>
          </w:p>
          <w:p w:rsidR="009E2A9A" w:rsidRPr="00221BD9" w:rsidRDefault="00653FAB" w:rsidP="00653FAB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hyperlink r:id="rId15" w:history="1"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</w:tc>
      </w:tr>
      <w:tr w:rsidR="009E2A9A" w:rsidRPr="00221BD9" w:rsidTr="005B6093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53FAB" w:rsidRPr="006C3F99" w:rsidRDefault="00653FAB" w:rsidP="00653FAB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External trade statistics</w:t>
            </w:r>
          </w:p>
          <w:p w:rsidR="00653FAB" w:rsidRPr="006C3F99" w:rsidRDefault="00653FAB" w:rsidP="00653FAB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Sanja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Stojčević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Uvalić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</w:rPr>
              <w:t>MSc</w:t>
            </w:r>
            <w:proofErr w:type="spellEnd"/>
          </w:p>
          <w:p w:rsidR="00653FAB" w:rsidRPr="00221BD9" w:rsidRDefault="00653FAB" w:rsidP="00653FAB">
            <w:pPr>
              <w:jc w:val="both"/>
              <w:rPr>
                <w:lang w:val="sr-Cyrl-BA"/>
              </w:rPr>
            </w:pPr>
            <w:hyperlink r:id="rId16" w:history="1"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BC7CF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9E2A9A" w:rsidRPr="00B74EE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9E2A9A" w:rsidRPr="001225F9" w:rsidTr="005B6093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108F8" w:rsidRDefault="008108F8" w:rsidP="009E2A9A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SYMBOLS</w:t>
            </w:r>
          </w:p>
        </w:tc>
      </w:tr>
      <w:tr w:rsidR="009E2A9A" w:rsidRPr="001225F9" w:rsidTr="005B6093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108F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8108F8">
              <w:rPr>
                <w:rFonts w:ascii="Tahoma" w:hAnsi="Tahoma" w:cs="Tahoma"/>
                <w:bCs/>
                <w:sz w:val="16"/>
                <w:szCs w:val="16"/>
              </w:rPr>
              <w:t>average</w:t>
            </w: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E2A9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8A2A51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44D27" w:rsidRPr="00B44D27" w:rsidRDefault="00B44D2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106980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225F9" w:rsidRDefault="001F757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F757F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9E2A9A" w:rsidRPr="001225F9" w:rsidTr="005B6093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1225F9" w:rsidTr="005B6093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2E0F2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</w:rPr>
              <w:t>The Release prepared by the Publications Division</w:t>
            </w:r>
          </w:p>
        </w:tc>
      </w:tr>
      <w:tr w:rsidR="009E2A9A" w:rsidRPr="001225F9" w:rsidTr="005B6093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2E0F2A" w:rsidRPr="00392C6E" w:rsidRDefault="002E0F2A" w:rsidP="002E0F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Vladan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Sibinović</w:t>
            </w:r>
            <w:proofErr w:type="spellEnd"/>
            <w:r w:rsidRPr="001225F9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Head of the Division</w:t>
            </w:r>
          </w:p>
          <w:p w:rsidR="002E0F2A" w:rsidRPr="001225F9" w:rsidRDefault="002E0F2A" w:rsidP="002E0F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</w:rPr>
              <w:t>Published by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the </w:t>
            </w:r>
            <w:proofErr w:type="spellStart"/>
            <w:r>
              <w:rPr>
                <w:rFonts w:ascii="Tahoma" w:hAnsi="Tahoma" w:cs="Tahoma"/>
                <w:sz w:val="16"/>
              </w:rPr>
              <w:t>Republika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Srpska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Institute of Statistics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2E0F2A" w:rsidRPr="00392C6E" w:rsidRDefault="002E0F2A" w:rsidP="002E0F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Republika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Srpska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</w:rPr>
              <w:t>Banja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Luka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</w:rPr>
              <w:t>Veljka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Mlađenovića</w:t>
            </w:r>
            <w:proofErr w:type="spellEnd"/>
            <w:r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</w:rPr>
              <w:t>d</w:t>
            </w:r>
          </w:p>
          <w:p w:rsidR="002E0F2A" w:rsidRPr="00392C6E" w:rsidRDefault="002E0F2A" w:rsidP="002E0F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Radmila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Čičković</w:t>
            </w:r>
            <w:proofErr w:type="spellEnd"/>
            <w:r>
              <w:rPr>
                <w:rFonts w:ascii="Tahoma" w:hAnsi="Tahoma" w:cs="Tahoma"/>
                <w:sz w:val="16"/>
              </w:rPr>
              <w:t>, PhD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Director of the Institute</w:t>
            </w:r>
          </w:p>
          <w:p w:rsidR="002E0F2A" w:rsidRPr="001225F9" w:rsidRDefault="002E0F2A" w:rsidP="002E0F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</w:rPr>
              <w:t>The Release is published online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at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1225F9" w:rsidRDefault="002E0F2A" w:rsidP="002E0F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telepone</w:t>
            </w:r>
            <w:proofErr w:type="spellEnd"/>
            <w:r w:rsidRPr="001225F9">
              <w:rPr>
                <w:rFonts w:ascii="Tahoma" w:hAnsi="Tahoma" w:cs="Tahoma"/>
                <w:sz w:val="16"/>
                <w:lang w:val="ru-RU"/>
              </w:rPr>
              <w:t xml:space="preserve">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7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1225F9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1225F9" w:rsidRDefault="002E0F2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Data may be used provided the source is acknowledged</w:t>
            </w:r>
          </w:p>
        </w:tc>
      </w:tr>
    </w:tbl>
    <w:p w:rsidR="009E2A9A" w:rsidRPr="001225F9" w:rsidRDefault="001F757F" w:rsidP="009E2A9A">
      <w:pPr>
        <w:rPr>
          <w:rFonts w:ascii="Tahoma" w:hAnsi="Tahoma" w:cs="Tahoma"/>
          <w:lang w:val="sr-Cyrl-BA"/>
        </w:rPr>
      </w:pPr>
      <w:r w:rsidRPr="001F757F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8A2A51" w:rsidRDefault="009E2A9A" w:rsidP="009E2A9A">
      <w:pPr>
        <w:rPr>
          <w:rFonts w:ascii="Tahoma" w:hAnsi="Tahoma" w:cs="Tahoma"/>
          <w:lang w:val="sr-Cyrl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DB6D76" w:rsidRPr="00221BD9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221BD9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52" w:rsidRDefault="00E70552">
      <w:r>
        <w:separator/>
      </w:r>
    </w:p>
  </w:endnote>
  <w:endnote w:type="continuationSeparator" w:id="0">
    <w:p w:rsidR="00E70552" w:rsidRDefault="00E7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2" w:rsidRDefault="00E70552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E70552" w:rsidRPr="00175687" w:rsidRDefault="00E7055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B4F07">
                    <w:rPr>
                      <w:rFonts w:ascii="Tahoma" w:hAnsi="Tahoma" w:cs="Tahoma"/>
                      <w:noProof/>
                      <w:color w:val="FFFFFF"/>
                    </w:rPr>
                    <w:t>6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2" w:rsidRDefault="00E70552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E70552" w:rsidRPr="00175687" w:rsidRDefault="00E7055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52" w:rsidRDefault="00E70552">
      <w:r>
        <w:separator/>
      </w:r>
    </w:p>
  </w:footnote>
  <w:footnote w:type="continuationSeparator" w:id="0">
    <w:p w:rsidR="00E70552" w:rsidRDefault="00E7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534"/>
      <w:gridCol w:w="6903"/>
    </w:tblGrid>
    <w:tr w:rsidR="00E70552" w:rsidTr="0063587D">
      <w:tc>
        <w:tcPr>
          <w:tcW w:w="169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E70552" w:rsidRPr="0063587D" w:rsidRDefault="00E70552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>Republika</w:t>
          </w:r>
          <w:proofErr w:type="spellEnd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>Srpska</w:t>
          </w:r>
          <w:proofErr w:type="spellEnd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Institute of Statistics</w:t>
          </w:r>
        </w:p>
        <w:p w:rsidR="00E70552" w:rsidRPr="0063587D" w:rsidRDefault="00E70552" w:rsidP="00E34FA2">
          <w:pPr>
            <w:pStyle w:val="Header"/>
            <w:rPr>
              <w:color w:val="FFFFFF"/>
            </w:rPr>
          </w:pPr>
          <w:r>
            <w:rPr>
              <w:rFonts w:ascii="Tahoma" w:hAnsi="Tahoma" w:cs="Tahoma"/>
              <w:b/>
              <w:color w:val="FFFFFF"/>
            </w:rPr>
            <w:t>PRESS RELEASE</w:t>
          </w:r>
        </w:p>
      </w:tc>
      <w:tc>
        <w:tcPr>
          <w:tcW w:w="3307" w:type="pct"/>
          <w:tcBorders>
            <w:bottom w:val="single" w:sz="4" w:space="0" w:color="auto"/>
          </w:tcBorders>
          <w:vAlign w:val="bottom"/>
        </w:tcPr>
        <w:p w:rsidR="00E70552" w:rsidRPr="005D5311" w:rsidRDefault="00E70552" w:rsidP="0063587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proofErr w:type="spellStart"/>
          <w:r w:rsidRPr="0063587D">
            <w:rPr>
              <w:rFonts w:ascii="Tahoma" w:hAnsi="Tahoma" w:cs="Tahoma"/>
              <w:color w:val="0070C0"/>
              <w:sz w:val="16"/>
              <w:vertAlign w:val="superscript"/>
            </w:rPr>
            <w:t>nd</w:t>
          </w:r>
          <w:proofErr w:type="spellEnd"/>
          <w:r>
            <w:rPr>
              <w:rFonts w:ascii="Tahoma" w:hAnsi="Tahoma" w:cs="Tahoma"/>
              <w:color w:val="0070C0"/>
              <w:sz w:val="16"/>
            </w:rPr>
            <w:t xml:space="preserve"> November 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CS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E70552" w:rsidRDefault="00E70552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1F757F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A3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261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1D0"/>
    <w:rsid w:val="00083276"/>
    <w:rsid w:val="00083569"/>
    <w:rsid w:val="00083B51"/>
    <w:rsid w:val="000843D4"/>
    <w:rsid w:val="00084D03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643"/>
    <w:rsid w:val="0016574C"/>
    <w:rsid w:val="001658E6"/>
    <w:rsid w:val="001658F6"/>
    <w:rsid w:val="00165B0F"/>
    <w:rsid w:val="00165FE9"/>
    <w:rsid w:val="001664E5"/>
    <w:rsid w:val="001665D8"/>
    <w:rsid w:val="00166C85"/>
    <w:rsid w:val="00167333"/>
    <w:rsid w:val="001700D8"/>
    <w:rsid w:val="001702DD"/>
    <w:rsid w:val="001704AA"/>
    <w:rsid w:val="0017077B"/>
    <w:rsid w:val="001715E2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83F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46C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711"/>
    <w:rsid w:val="001F6806"/>
    <w:rsid w:val="001F72B8"/>
    <w:rsid w:val="001F757F"/>
    <w:rsid w:val="0020048F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5AE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ED4"/>
    <w:rsid w:val="00274FC3"/>
    <w:rsid w:val="0027513C"/>
    <w:rsid w:val="00275455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0F2A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9A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4B7D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289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8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2D0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BE3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115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47CFC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81B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A8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093"/>
    <w:rsid w:val="005B622F"/>
    <w:rsid w:val="005B69FC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587D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AB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C32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20F3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0C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47A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37BC7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85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95A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54A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B44"/>
    <w:rsid w:val="007D7033"/>
    <w:rsid w:val="007D7789"/>
    <w:rsid w:val="007D799B"/>
    <w:rsid w:val="007E01DB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89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8F8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44C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60BB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5EC4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13"/>
    <w:rsid w:val="008D4CC7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CB3"/>
    <w:rsid w:val="00936FE5"/>
    <w:rsid w:val="00937262"/>
    <w:rsid w:val="00937393"/>
    <w:rsid w:val="009376F7"/>
    <w:rsid w:val="009379D1"/>
    <w:rsid w:val="00937A27"/>
    <w:rsid w:val="00940184"/>
    <w:rsid w:val="009406AE"/>
    <w:rsid w:val="00940DCD"/>
    <w:rsid w:val="0094162A"/>
    <w:rsid w:val="009419C0"/>
    <w:rsid w:val="00941B28"/>
    <w:rsid w:val="00941C77"/>
    <w:rsid w:val="00941D5D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1E3A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A31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4E6"/>
    <w:rsid w:val="00A63DD1"/>
    <w:rsid w:val="00A63FB1"/>
    <w:rsid w:val="00A641B0"/>
    <w:rsid w:val="00A642A2"/>
    <w:rsid w:val="00A6466B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86A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224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1F45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4FE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1854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247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54F"/>
    <w:rsid w:val="00D039ED"/>
    <w:rsid w:val="00D0441E"/>
    <w:rsid w:val="00D047DB"/>
    <w:rsid w:val="00D05144"/>
    <w:rsid w:val="00D0546B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1C2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DB9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552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4F07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991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48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2651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CE6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tesi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asminka.mil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Downloads\Grafikoni%20plate%20oktobar%20201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11%202013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prezentacija%202013\okt%202013\za%20Graf%20I-X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2012</c:v>
                  </c:pt>
                  <c:pt idx="3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817.48757270524629</c:v>
                </c:pt>
                <c:pt idx="1">
                  <c:v>818.85451738906727</c:v>
                </c:pt>
                <c:pt idx="2">
                  <c:v>817.89076853246104</c:v>
                </c:pt>
                <c:pt idx="3">
                  <c:v>811</c:v>
                </c:pt>
                <c:pt idx="4">
                  <c:v>811</c:v>
                </c:pt>
                <c:pt idx="5">
                  <c:v>799</c:v>
                </c:pt>
                <c:pt idx="6">
                  <c:v>798</c:v>
                </c:pt>
                <c:pt idx="7">
                  <c:v>796</c:v>
                </c:pt>
                <c:pt idx="8">
                  <c:v>816</c:v>
                </c:pt>
                <c:pt idx="9">
                  <c:v>803</c:v>
                </c:pt>
                <c:pt idx="10">
                  <c:v>811</c:v>
                </c:pt>
                <c:pt idx="11">
                  <c:v>813</c:v>
                </c:pt>
                <c:pt idx="12">
                  <c:v>808</c:v>
                </c:pt>
              </c:numCache>
            </c:numRef>
          </c:val>
        </c:ser>
        <c:dLbls/>
        <c:marker val="1"/>
        <c:axId val="89290624"/>
        <c:axId val="89292160"/>
      </c:lineChart>
      <c:catAx>
        <c:axId val="89290624"/>
        <c:scaling>
          <c:orientation val="minMax"/>
        </c:scaling>
        <c:axPos val="b"/>
        <c:numFmt formatCode="General" sourceLinked="1"/>
        <c:tickLblPos val="nextTo"/>
        <c:crossAx val="89292160"/>
        <c:crosses val="autoZero"/>
        <c:auto val="1"/>
        <c:lblAlgn val="ctr"/>
        <c:lblOffset val="100"/>
      </c:catAx>
      <c:valAx>
        <c:axId val="89292160"/>
        <c:scaling>
          <c:orientation val="minMax"/>
          <c:max val="900"/>
          <c:min val="600"/>
        </c:scaling>
        <c:axPos val="l"/>
        <c:majorGridlines/>
        <c:numFmt formatCode="0" sourceLinked="1"/>
        <c:tickLblPos val="nextTo"/>
        <c:crossAx val="8929062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2009</c:v>
                  </c:pt>
                  <c:pt idx="3">
                    <c:v>2010</c:v>
                  </c:pt>
                  <c:pt idx="15">
                    <c:v>2011</c:v>
                  </c:pt>
                  <c:pt idx="27">
                    <c:v>2012</c:v>
                  </c:pt>
                  <c:pt idx="39">
                    <c:v>2013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97.515434952005819</c:v>
                </c:pt>
                <c:pt idx="1">
                  <c:v>97.001367960713367</c:v>
                </c:pt>
                <c:pt idx="2">
                  <c:v>97.003704062122083</c:v>
                </c:pt>
                <c:pt idx="3">
                  <c:v>100.14836841517408</c:v>
                </c:pt>
                <c:pt idx="4">
                  <c:v>98.575873077716295</c:v>
                </c:pt>
                <c:pt idx="5">
                  <c:v>97.414392297685552</c:v>
                </c:pt>
                <c:pt idx="6">
                  <c:v>95.918898341476989</c:v>
                </c:pt>
                <c:pt idx="7">
                  <c:v>104.88335541282181</c:v>
                </c:pt>
                <c:pt idx="8">
                  <c:v>97.61880399475595</c:v>
                </c:pt>
                <c:pt idx="9">
                  <c:v>91.418482985305317</c:v>
                </c:pt>
                <c:pt idx="10">
                  <c:v>98.17917183102368</c:v>
                </c:pt>
                <c:pt idx="11">
                  <c:v>98.707106624482137</c:v>
                </c:pt>
                <c:pt idx="12">
                  <c:v>98.061217986698892</c:v>
                </c:pt>
                <c:pt idx="13">
                  <c:v>102.01494282524816</c:v>
                </c:pt>
                <c:pt idx="14">
                  <c:v>104.1603272415327</c:v>
                </c:pt>
                <c:pt idx="15">
                  <c:v>107.23148746342575</c:v>
                </c:pt>
                <c:pt idx="16">
                  <c:v>102.10969225707861</c:v>
                </c:pt>
                <c:pt idx="17">
                  <c:v>103.20806621062603</c:v>
                </c:pt>
                <c:pt idx="18">
                  <c:v>100.5852467564724</c:v>
                </c:pt>
                <c:pt idx="19">
                  <c:v>103.50179439387148</c:v>
                </c:pt>
                <c:pt idx="20">
                  <c:v>105.67071358305735</c:v>
                </c:pt>
                <c:pt idx="21">
                  <c:v>110.38085563578601</c:v>
                </c:pt>
                <c:pt idx="22">
                  <c:v>107.4831837225636</c:v>
                </c:pt>
                <c:pt idx="23">
                  <c:v>99.445957701260426</c:v>
                </c:pt>
                <c:pt idx="24">
                  <c:v>104.22277819181652</c:v>
                </c:pt>
                <c:pt idx="25">
                  <c:v>103.54261608881035</c:v>
                </c:pt>
                <c:pt idx="26">
                  <c:v>100.0741895051119</c:v>
                </c:pt>
                <c:pt idx="27">
                  <c:v>102.49652785727829</c:v>
                </c:pt>
                <c:pt idx="28">
                  <c:v>97.884885692612187</c:v>
                </c:pt>
                <c:pt idx="29">
                  <c:v>100.74374006996288</c:v>
                </c:pt>
                <c:pt idx="30">
                  <c:v>100.73871046833159</c:v>
                </c:pt>
                <c:pt idx="31">
                  <c:v>99.447522248193636</c:v>
                </c:pt>
                <c:pt idx="32">
                  <c:v>99.730607756259829</c:v>
                </c:pt>
                <c:pt idx="33">
                  <c:v>93.51079366971031</c:v>
                </c:pt>
                <c:pt idx="34">
                  <c:v>98.873822251575959</c:v>
                </c:pt>
                <c:pt idx="35">
                  <c:v>106.39700803178035</c:v>
                </c:pt>
                <c:pt idx="36">
                  <c:v>100.54009795322479</c:v>
                </c:pt>
                <c:pt idx="37">
                  <c:v>99.256235038624709</c:v>
                </c:pt>
                <c:pt idx="38">
                  <c:v>101.56256864697643</c:v>
                </c:pt>
                <c:pt idx="39">
                  <c:v>101.18449792727357</c:v>
                </c:pt>
                <c:pt idx="40">
                  <c:v>102.8123683179211</c:v>
                </c:pt>
                <c:pt idx="41">
                  <c:v>99.606988319905398</c:v>
                </c:pt>
                <c:pt idx="42">
                  <c:v>107.99200946039034</c:v>
                </c:pt>
                <c:pt idx="43">
                  <c:v>103.12793934969045</c:v>
                </c:pt>
                <c:pt idx="44">
                  <c:v>104.90388015369163</c:v>
                </c:pt>
                <c:pt idx="45">
                  <c:v>110.63192563654827</c:v>
                </c:pt>
                <c:pt idx="46">
                  <c:v>104.93207531543086</c:v>
                </c:pt>
                <c:pt idx="47">
                  <c:v>101.72599153282482</c:v>
                </c:pt>
                <c:pt idx="48" formatCode="General">
                  <c:v>102.8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2009</c:v>
                  </c:pt>
                  <c:pt idx="3">
                    <c:v>2010</c:v>
                  </c:pt>
                  <c:pt idx="15">
                    <c:v>2011</c:v>
                  </c:pt>
                  <c:pt idx="27">
                    <c:v>2012</c:v>
                  </c:pt>
                  <c:pt idx="39">
                    <c:v>2013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95.625538613330377</c:v>
                </c:pt>
                <c:pt idx="1">
                  <c:v>96.107069690426712</c:v>
                </c:pt>
                <c:pt idx="2">
                  <c:v>96.569239732956959</c:v>
                </c:pt>
                <c:pt idx="3">
                  <c:v>96.99968295173727</c:v>
                </c:pt>
                <c:pt idx="4">
                  <c:v>97.347529192447837</c:v>
                </c:pt>
                <c:pt idx="5">
                  <c:v>97.63169877004529</c:v>
                </c:pt>
                <c:pt idx="6">
                  <c:v>97.956285835679509</c:v>
                </c:pt>
                <c:pt idx="7">
                  <c:v>98.295948796164538</c:v>
                </c:pt>
                <c:pt idx="8">
                  <c:v>98.471377678938055</c:v>
                </c:pt>
                <c:pt idx="9">
                  <c:v>98.668766685453889</c:v>
                </c:pt>
                <c:pt idx="10">
                  <c:v>99.098228044978327</c:v>
                </c:pt>
                <c:pt idx="11">
                  <c:v>99.597028997321004</c:v>
                </c:pt>
                <c:pt idx="12">
                  <c:v>100.12758568394649</c:v>
                </c:pt>
                <c:pt idx="13">
                  <c:v>100.71651890521194</c:v>
                </c:pt>
                <c:pt idx="14">
                  <c:v>101.27934896209293</c:v>
                </c:pt>
                <c:pt idx="15">
                  <c:v>101.71036921135399</c:v>
                </c:pt>
                <c:pt idx="16">
                  <c:v>101.98835226764841</c:v>
                </c:pt>
                <c:pt idx="17">
                  <c:v>102.21044067995319</c:v>
                </c:pt>
                <c:pt idx="18">
                  <c:v>102.43079698277722</c:v>
                </c:pt>
                <c:pt idx="19">
                  <c:v>102.67741609158483</c:v>
                </c:pt>
                <c:pt idx="20">
                  <c:v>102.9110843641125</c:v>
                </c:pt>
                <c:pt idx="21">
                  <c:v>103.01972239854841</c:v>
                </c:pt>
                <c:pt idx="22">
                  <c:v>102.8797098397401</c:v>
                </c:pt>
                <c:pt idx="23">
                  <c:v>102.59823119059025</c:v>
                </c:pt>
                <c:pt idx="24">
                  <c:v>102.37615909639571</c:v>
                </c:pt>
                <c:pt idx="25">
                  <c:v>102.11549706026318</c:v>
                </c:pt>
                <c:pt idx="26">
                  <c:v>101.81180605314222</c:v>
                </c:pt>
                <c:pt idx="27">
                  <c:v>101.53675139481894</c:v>
                </c:pt>
                <c:pt idx="28">
                  <c:v>101.27592570947388</c:v>
                </c:pt>
                <c:pt idx="29">
                  <c:v>101.09851586777621</c:v>
                </c:pt>
                <c:pt idx="30">
                  <c:v>100.96013213500065</c:v>
                </c:pt>
                <c:pt idx="31">
                  <c:v>100.83601737830222</c:v>
                </c:pt>
                <c:pt idx="32">
                  <c:v>100.74813340127454</c:v>
                </c:pt>
                <c:pt idx="33">
                  <c:v>100.74352458849083</c:v>
                </c:pt>
                <c:pt idx="34">
                  <c:v>100.97402988045167</c:v>
                </c:pt>
                <c:pt idx="35">
                  <c:v>101.28345018498474</c:v>
                </c:pt>
                <c:pt idx="36">
                  <c:v>101.46201888399257</c:v>
                </c:pt>
                <c:pt idx="37">
                  <c:v>101.65496985301921</c:v>
                </c:pt>
                <c:pt idx="38">
                  <c:v>101.93410624418632</c:v>
                </c:pt>
                <c:pt idx="39">
                  <c:v>102.25366112683368</c:v>
                </c:pt>
                <c:pt idx="40">
                  <c:v>102.58741703480071</c:v>
                </c:pt>
                <c:pt idx="41">
                  <c:v>102.96915911062618</c:v>
                </c:pt>
                <c:pt idx="42">
                  <c:v>103.40543922544383</c:v>
                </c:pt>
                <c:pt idx="43">
                  <c:v>103.75907260084971</c:v>
                </c:pt>
                <c:pt idx="44">
                  <c:v>104.09830592066641</c:v>
                </c:pt>
                <c:pt idx="45">
                  <c:v>104.40329826305148</c:v>
                </c:pt>
                <c:pt idx="46">
                  <c:v>104.52814758905248</c:v>
                </c:pt>
                <c:pt idx="47">
                  <c:v>104.62559742167412</c:v>
                </c:pt>
                <c:pt idx="48" formatCode="General">
                  <c:v>104.9</c:v>
                </c:pt>
              </c:numCache>
            </c:numRef>
          </c:val>
        </c:ser>
        <c:dLbls/>
        <c:marker val="1"/>
        <c:axId val="90682112"/>
        <c:axId val="90683648"/>
      </c:lineChart>
      <c:catAx>
        <c:axId val="90682112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0683648"/>
        <c:crosses val="autoZero"/>
        <c:auto val="1"/>
        <c:lblAlgn val="ctr"/>
        <c:lblOffset val="100"/>
      </c:catAx>
      <c:valAx>
        <c:axId val="90683648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068211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7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848554345783494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zaJan_Okt2013!$A$2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zaJan_Okt2013!$B$1:$N$1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zaJan_Okt2013!$B$2:$N$2</c:f>
              <c:numCache>
                <c:formatCode>General</c:formatCode>
                <c:ptCount val="13"/>
                <c:pt idx="0">
                  <c:v>486164</c:v>
                </c:pt>
                <c:pt idx="1">
                  <c:v>337128</c:v>
                </c:pt>
                <c:pt idx="2">
                  <c:v>264388</c:v>
                </c:pt>
                <c:pt idx="3">
                  <c:v>289214</c:v>
                </c:pt>
                <c:pt idx="4">
                  <c:v>342893</c:v>
                </c:pt>
                <c:pt idx="5">
                  <c:v>393365</c:v>
                </c:pt>
                <c:pt idx="6">
                  <c:v>379748</c:v>
                </c:pt>
                <c:pt idx="7">
                  <c:v>380770</c:v>
                </c:pt>
                <c:pt idx="8">
                  <c:v>317176</c:v>
                </c:pt>
                <c:pt idx="9">
                  <c:v>400481</c:v>
                </c:pt>
                <c:pt idx="10">
                  <c:v>385908</c:v>
                </c:pt>
                <c:pt idx="11">
                  <c:v>390576</c:v>
                </c:pt>
                <c:pt idx="12">
                  <c:v>454445</c:v>
                </c:pt>
              </c:numCache>
            </c:numRef>
          </c:val>
        </c:ser>
        <c:ser>
          <c:idx val="1"/>
          <c:order val="1"/>
          <c:tx>
            <c:strRef>
              <c:f>zaJan_Okt2013!$A$3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zaJan_Okt2013!$B$1:$N$1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zaJan_Okt2013!$B$3:$N$3</c:f>
              <c:numCache>
                <c:formatCode>General</c:formatCode>
                <c:ptCount val="13"/>
                <c:pt idx="0">
                  <c:v>213888</c:v>
                </c:pt>
                <c:pt idx="1">
                  <c:v>209165</c:v>
                </c:pt>
                <c:pt idx="2">
                  <c:v>172925</c:v>
                </c:pt>
                <c:pt idx="3">
                  <c:v>168025</c:v>
                </c:pt>
                <c:pt idx="4">
                  <c:v>182220</c:v>
                </c:pt>
                <c:pt idx="5">
                  <c:v>210184</c:v>
                </c:pt>
                <c:pt idx="6">
                  <c:v>238435</c:v>
                </c:pt>
                <c:pt idx="7">
                  <c:v>220764</c:v>
                </c:pt>
                <c:pt idx="8">
                  <c:v>220173</c:v>
                </c:pt>
                <c:pt idx="9">
                  <c:v>242098</c:v>
                </c:pt>
                <c:pt idx="10">
                  <c:v>199427</c:v>
                </c:pt>
                <c:pt idx="11">
                  <c:v>230912</c:v>
                </c:pt>
                <c:pt idx="12">
                  <c:v>221853</c:v>
                </c:pt>
              </c:numCache>
            </c:numRef>
          </c:val>
        </c:ser>
        <c:dLbls/>
        <c:marker val="1"/>
        <c:axId val="90783104"/>
        <c:axId val="90793088"/>
      </c:lineChart>
      <c:catAx>
        <c:axId val="90783104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 sz="10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0793088"/>
        <c:crosses val="autoZero"/>
        <c:auto val="1"/>
        <c:lblAlgn val="ctr"/>
        <c:lblOffset val="100"/>
      </c:catAx>
      <c:valAx>
        <c:axId val="90793088"/>
        <c:scaling>
          <c:orientation val="minMax"/>
        </c:scaling>
        <c:axPos val="l"/>
        <c:majorGridlines/>
        <c:numFmt formatCode="###,###" sourceLinked="0"/>
        <c:tickLblPos val="nextTo"/>
        <c:txPr>
          <a:bodyPr/>
          <a:lstStyle/>
          <a:p>
            <a:pPr>
              <a:defRPr sz="10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078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70119083472003"/>
          <c:y val="0.37882129942108211"/>
          <c:w val="0.18529880916527997"/>
          <c:h val="0.28400544376397396"/>
        </c:manualLayout>
      </c:layout>
      <c:txPr>
        <a:bodyPr/>
        <a:lstStyle/>
        <a:p>
          <a:pPr>
            <a:defRPr sz="10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0.85607</cdr:x>
      <cdr:y>0.40699</cdr:y>
    </cdr:from>
    <cdr:to>
      <cdr:x>0.99965</cdr:x>
      <cdr:y>0.49825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71794" y="1235834"/>
          <a:ext cx="733246" cy="27711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0.85987</cdr:x>
      <cdr:y>0.55114</cdr:y>
    </cdr:from>
    <cdr:to>
      <cdr:x>1</cdr:x>
      <cdr:y>0.63636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4475313" y="1673526"/>
          <a:ext cx="715640" cy="25879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CBD5-2A95-4291-84E7-E22EE297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1835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12901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kandicje</cp:lastModifiedBy>
  <cp:revision>147</cp:revision>
  <cp:lastPrinted>2013-11-20T08:33:00Z</cp:lastPrinted>
  <dcterms:created xsi:type="dcterms:W3CDTF">2013-08-19T10:33:00Z</dcterms:created>
  <dcterms:modified xsi:type="dcterms:W3CDTF">2013-11-22T11:05:00Z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