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1225F9" w:rsidRPr="001225F9" w:rsidTr="005074F6">
        <w:trPr>
          <w:cantSplit/>
          <w:trHeight w:val="970"/>
        </w:trPr>
        <w:tc>
          <w:tcPr>
            <w:tcW w:w="7513" w:type="dxa"/>
            <w:gridSpan w:val="2"/>
            <w:tcBorders>
              <w:bottom w:val="nil"/>
            </w:tcBorders>
            <w:tcMar>
              <w:left w:w="0" w:type="dxa"/>
              <w:right w:w="0" w:type="dxa"/>
            </w:tcMar>
          </w:tcPr>
          <w:p w:rsidR="005D5311" w:rsidRPr="001225F9" w:rsidRDefault="005D5311" w:rsidP="00094E6E">
            <w:pPr>
              <w:ind w:left="113"/>
              <w:jc w:val="both"/>
              <w:outlineLvl w:val="0"/>
              <w:rPr>
                <w:rFonts w:ascii="Tahoma" w:hAnsi="Tahoma" w:cs="Tahoma"/>
                <w:sz w:val="16"/>
              </w:rPr>
            </w:pPr>
            <w:r w:rsidRPr="001225F9">
              <w:rPr>
                <w:rFonts w:ascii="Tahoma" w:hAnsi="Tahoma" w:cs="Tahoma"/>
              </w:rPr>
              <w:br w:type="column"/>
            </w:r>
            <w:r w:rsidRPr="001225F9">
              <w:rPr>
                <w:rFonts w:ascii="Tahoma" w:hAnsi="Tahoma" w:cs="Tahoma"/>
              </w:rPr>
              <w:br w:type="column"/>
            </w:r>
            <w:r w:rsidRPr="001225F9">
              <w:rPr>
                <w:rFonts w:ascii="Tahoma" w:hAnsi="Tahoma" w:cs="Tahoma"/>
              </w:rPr>
              <w:br w:type="page"/>
            </w:r>
            <w:r w:rsidRPr="001225F9">
              <w:rPr>
                <w:rFonts w:ascii="Tahoma" w:hAnsi="Tahoma" w:cs="Tahoma"/>
              </w:rPr>
              <w:br w:type="page"/>
            </w:r>
            <w:r w:rsidR="008B47D1" w:rsidRPr="001225F9">
              <w:rPr>
                <w:rFonts w:ascii="Tahoma" w:hAnsi="Tahoma" w:cs="Tahoma"/>
                <w:noProof/>
              </w:rPr>
              <w:drawing>
                <wp:inline distT="0" distB="0" distL="0" distR="0">
                  <wp:extent cx="3045779" cy="685800"/>
                  <wp:effectExtent l="19050" t="0" r="2221" b="0"/>
                  <wp:docPr id="2"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vi.jpg"/>
                          <pic:cNvPicPr/>
                        </pic:nvPicPr>
                        <pic:blipFill>
                          <a:blip r:embed="rId9" cstate="print"/>
                          <a:stretch>
                            <a:fillRect/>
                          </a:stretch>
                        </pic:blipFill>
                        <pic:spPr>
                          <a:xfrm>
                            <a:off x="0" y="0"/>
                            <a:ext cx="3061162" cy="689264"/>
                          </a:xfrm>
                          <a:prstGeom prst="rect">
                            <a:avLst/>
                          </a:prstGeom>
                        </pic:spPr>
                      </pic:pic>
                    </a:graphicData>
                  </a:graphic>
                </wp:inline>
              </w:drawing>
            </w:r>
            <w:r w:rsidR="005074F6">
              <w:rPr>
                <w:rFonts w:ascii="Tahoma" w:hAnsi="Tahoma" w:cs="Tahoma"/>
              </w:rPr>
              <w:t xml:space="preserve">     </w:t>
            </w:r>
          </w:p>
        </w:tc>
        <w:tc>
          <w:tcPr>
            <w:tcW w:w="2806" w:type="dxa"/>
            <w:tcBorders>
              <w:bottom w:val="nil"/>
            </w:tcBorders>
            <w:tcMar>
              <w:right w:w="57" w:type="dxa"/>
            </w:tcMar>
          </w:tcPr>
          <w:p w:rsidR="005D5311" w:rsidRPr="001225F9" w:rsidRDefault="005D5311" w:rsidP="00094E6E">
            <w:pPr>
              <w:ind w:left="113"/>
              <w:jc w:val="both"/>
              <w:outlineLvl w:val="0"/>
              <w:rPr>
                <w:rFonts w:ascii="Tahoma" w:hAnsi="Tahoma" w:cs="Tahoma"/>
                <w:sz w:val="16"/>
              </w:rPr>
            </w:pPr>
          </w:p>
          <w:p w:rsidR="005D5311" w:rsidRPr="001225F9" w:rsidRDefault="005D5311" w:rsidP="00094E6E">
            <w:pPr>
              <w:ind w:left="113"/>
              <w:jc w:val="both"/>
              <w:outlineLvl w:val="0"/>
              <w:rPr>
                <w:rFonts w:ascii="Tahoma" w:hAnsi="Tahoma" w:cs="Tahoma"/>
                <w:sz w:val="16"/>
                <w:lang w:val="sr-Cyrl-BA"/>
              </w:rPr>
            </w:pPr>
          </w:p>
          <w:p w:rsidR="005D5311" w:rsidRPr="001225F9" w:rsidRDefault="005D5311" w:rsidP="00094E6E">
            <w:pPr>
              <w:ind w:left="113"/>
              <w:jc w:val="both"/>
              <w:outlineLvl w:val="0"/>
              <w:rPr>
                <w:rFonts w:ascii="Tahoma" w:hAnsi="Tahoma" w:cs="Tahoma"/>
                <w:sz w:val="16"/>
                <w:lang w:val="sr-Cyrl-BA"/>
              </w:rPr>
            </w:pPr>
          </w:p>
          <w:p w:rsidR="00E72BD4" w:rsidRPr="001225F9" w:rsidRDefault="00BC381E" w:rsidP="00094E6E">
            <w:pPr>
              <w:ind w:left="113"/>
              <w:jc w:val="both"/>
              <w:outlineLvl w:val="0"/>
              <w:rPr>
                <w:rFonts w:ascii="Tahoma" w:hAnsi="Tahoma" w:cs="Tahoma"/>
                <w:sz w:val="16"/>
                <w:lang w:val="sr-Cyrl-BA"/>
              </w:rPr>
            </w:pPr>
            <w:r w:rsidRPr="001225F9">
              <w:rPr>
                <w:rFonts w:ascii="Tahoma" w:hAnsi="Tahoma" w:cs="Tahoma"/>
                <w:sz w:val="16"/>
                <w:lang w:val="sr-Cyrl-BA"/>
              </w:rPr>
              <w:t xml:space="preserve">  </w:t>
            </w:r>
          </w:p>
          <w:p w:rsidR="005D5311" w:rsidRPr="005074F6" w:rsidRDefault="00D317D5" w:rsidP="00A03CB4">
            <w:pPr>
              <w:ind w:left="113"/>
              <w:outlineLvl w:val="0"/>
              <w:rPr>
                <w:rFonts w:ascii="Tahoma" w:hAnsi="Tahoma" w:cs="Tahoma"/>
                <w:color w:val="4F81BD" w:themeColor="accent1"/>
                <w:sz w:val="16"/>
                <w:lang w:val="bs-Latn-BA"/>
              </w:rPr>
            </w:pPr>
            <w:r>
              <w:rPr>
                <w:rFonts w:ascii="Tahoma" w:hAnsi="Tahoma" w:cs="Tahoma"/>
                <w:color w:val="4F81BD" w:themeColor="accent1"/>
                <w:sz w:val="16"/>
              </w:rPr>
              <w:t xml:space="preserve">            </w:t>
            </w:r>
            <w:r w:rsidR="00A975F3" w:rsidRPr="005074F6">
              <w:rPr>
                <w:rFonts w:ascii="Tahoma" w:hAnsi="Tahoma" w:cs="Tahoma"/>
                <w:color w:val="4F81BD" w:themeColor="accent1"/>
                <w:sz w:val="16"/>
                <w:lang w:val="sr-Cyrl-BA"/>
              </w:rPr>
              <w:t>2</w:t>
            </w:r>
            <w:r w:rsidR="00A03CB4">
              <w:rPr>
                <w:rFonts w:ascii="Tahoma" w:hAnsi="Tahoma" w:cs="Tahoma"/>
                <w:color w:val="4F81BD" w:themeColor="accent1"/>
                <w:sz w:val="16"/>
                <w:lang w:val="sr-Cyrl-BA"/>
              </w:rPr>
              <w:t>4</w:t>
            </w:r>
            <w:proofErr w:type="spellStart"/>
            <w:r w:rsidRPr="00D317D5">
              <w:rPr>
                <w:rFonts w:ascii="Tahoma" w:hAnsi="Tahoma" w:cs="Tahoma"/>
                <w:color w:val="4F81BD" w:themeColor="accent1"/>
                <w:sz w:val="16"/>
                <w:vertAlign w:val="superscript"/>
              </w:rPr>
              <w:t>th</w:t>
            </w:r>
            <w:proofErr w:type="spellEnd"/>
            <w:r>
              <w:rPr>
                <w:rFonts w:ascii="Tahoma" w:hAnsi="Tahoma" w:cs="Tahoma"/>
                <w:color w:val="4F81BD" w:themeColor="accent1"/>
                <w:sz w:val="16"/>
              </w:rPr>
              <w:t xml:space="preserve"> June</w:t>
            </w:r>
            <w:r w:rsidR="00A975F3" w:rsidRPr="005074F6">
              <w:rPr>
                <w:rFonts w:ascii="Tahoma" w:hAnsi="Tahoma" w:cs="Tahoma"/>
                <w:color w:val="4F81BD" w:themeColor="accent1"/>
                <w:sz w:val="16"/>
                <w:lang w:val="sr-Cyrl-CS"/>
              </w:rPr>
              <w:t xml:space="preserve"> </w:t>
            </w:r>
            <w:r w:rsidR="00A15386" w:rsidRPr="005074F6">
              <w:rPr>
                <w:rFonts w:ascii="Tahoma" w:hAnsi="Tahoma" w:cs="Tahoma"/>
                <w:color w:val="4F81BD" w:themeColor="accent1"/>
                <w:sz w:val="16"/>
                <w:lang w:val="sr-Cyrl-BA"/>
              </w:rPr>
              <w:t>2013</w:t>
            </w:r>
            <w:r w:rsidR="00A975F3" w:rsidRPr="005074F6">
              <w:rPr>
                <w:rFonts w:ascii="Tahoma" w:hAnsi="Tahoma" w:cs="Tahoma"/>
                <w:color w:val="4F81BD" w:themeColor="accent1"/>
                <w:sz w:val="16"/>
                <w:lang w:val="sr-Cyrl-BA"/>
              </w:rPr>
              <w:t xml:space="preserve">   </w:t>
            </w:r>
            <w:r w:rsidR="00A03CB4">
              <w:rPr>
                <w:rFonts w:ascii="Tahoma" w:hAnsi="Tahoma" w:cs="Tahoma"/>
                <w:b/>
                <w:color w:val="4F81BD" w:themeColor="accent1"/>
                <w:sz w:val="32"/>
                <w:szCs w:val="32"/>
                <w:lang w:val="sr-Cyrl-CS"/>
              </w:rPr>
              <w:t>6</w:t>
            </w:r>
            <w:r w:rsidR="00A975F3" w:rsidRPr="005074F6">
              <w:rPr>
                <w:rFonts w:ascii="Tahoma" w:hAnsi="Tahoma" w:cs="Tahoma"/>
                <w:b/>
                <w:color w:val="4F81BD" w:themeColor="accent1"/>
                <w:sz w:val="32"/>
                <w:szCs w:val="32"/>
                <w:lang w:val="sr-Cyrl-BA"/>
              </w:rPr>
              <w:t>/1</w:t>
            </w:r>
            <w:r w:rsidR="00A15386" w:rsidRPr="005074F6">
              <w:rPr>
                <w:rFonts w:ascii="Tahoma" w:hAnsi="Tahoma" w:cs="Tahoma"/>
                <w:b/>
                <w:color w:val="4F81BD" w:themeColor="accent1"/>
                <w:sz w:val="32"/>
                <w:szCs w:val="32"/>
                <w:lang w:val="sr-Cyrl-CS"/>
              </w:rPr>
              <w:t>3</w:t>
            </w:r>
            <w:r w:rsidR="00A975F3" w:rsidRPr="005074F6">
              <w:rPr>
                <w:rFonts w:ascii="Tahoma" w:hAnsi="Tahoma" w:cs="Tahoma"/>
                <w:color w:val="4F81BD" w:themeColor="accent1"/>
                <w:sz w:val="16"/>
                <w:lang w:val="sr-Cyrl-BA"/>
              </w:rPr>
              <w:t xml:space="preserve"> </w:t>
            </w:r>
          </w:p>
        </w:tc>
      </w:tr>
      <w:tr w:rsidR="001225F9" w:rsidRPr="001225F9" w:rsidTr="005074F6">
        <w:trPr>
          <w:cantSplit/>
        </w:trPr>
        <w:tc>
          <w:tcPr>
            <w:tcW w:w="5251" w:type="dxa"/>
            <w:vAlign w:val="center"/>
          </w:tcPr>
          <w:p w:rsidR="005D5311" w:rsidRPr="001225F9" w:rsidRDefault="005D5311" w:rsidP="00094E6E">
            <w:pPr>
              <w:ind w:left="113"/>
              <w:jc w:val="both"/>
              <w:outlineLvl w:val="0"/>
              <w:rPr>
                <w:rFonts w:ascii="Tahoma" w:hAnsi="Tahoma" w:cs="Tahoma"/>
                <w:sz w:val="12"/>
                <w:lang w:val="sr-Cyrl-BA"/>
              </w:rPr>
            </w:pPr>
          </w:p>
        </w:tc>
        <w:tc>
          <w:tcPr>
            <w:tcW w:w="5068" w:type="dxa"/>
            <w:gridSpan w:val="2"/>
            <w:vAlign w:val="center"/>
          </w:tcPr>
          <w:p w:rsidR="005D5311" w:rsidRPr="001225F9" w:rsidRDefault="005D5311" w:rsidP="00094E6E">
            <w:pPr>
              <w:ind w:left="113"/>
              <w:jc w:val="both"/>
              <w:outlineLvl w:val="0"/>
              <w:rPr>
                <w:rFonts w:ascii="Tahoma" w:hAnsi="Tahoma" w:cs="Tahoma"/>
                <w:sz w:val="12"/>
                <w:lang w:val="sr-Cyrl-BA"/>
              </w:rPr>
            </w:pPr>
          </w:p>
        </w:tc>
      </w:tr>
    </w:tbl>
    <w:p w:rsidR="000971CB" w:rsidRPr="001225F9" w:rsidRDefault="000971CB" w:rsidP="00094E6E">
      <w:pPr>
        <w:jc w:val="both"/>
        <w:rPr>
          <w:rFonts w:ascii="Tahoma" w:hAnsi="Tahoma" w:cs="Tahoma"/>
          <w:i/>
          <w:sz w:val="16"/>
          <w:lang w:val="sr-Cyrl-BA"/>
        </w:rPr>
      </w:pPr>
    </w:p>
    <w:tbl>
      <w:tblPr>
        <w:tblW w:w="10319" w:type="dxa"/>
        <w:jc w:val="center"/>
        <w:shd w:val="clear" w:color="auto" w:fill="336699"/>
        <w:tblLook w:val="04A0" w:firstRow="1" w:lastRow="0" w:firstColumn="1" w:lastColumn="0" w:noHBand="0" w:noVBand="1"/>
      </w:tblPr>
      <w:tblGrid>
        <w:gridCol w:w="10319"/>
      </w:tblGrid>
      <w:tr w:rsidR="001225F9" w:rsidRPr="001225F9" w:rsidTr="008B47D1">
        <w:trPr>
          <w:trHeight w:val="321"/>
          <w:jc w:val="center"/>
        </w:trPr>
        <w:tc>
          <w:tcPr>
            <w:tcW w:w="10624" w:type="dxa"/>
            <w:shd w:val="clear" w:color="auto" w:fill="336699"/>
          </w:tcPr>
          <w:p w:rsidR="00193339" w:rsidRPr="00D317D5" w:rsidRDefault="00D317D5" w:rsidP="00D317D5">
            <w:pPr>
              <w:jc w:val="center"/>
              <w:outlineLvl w:val="0"/>
              <w:rPr>
                <w:rFonts w:ascii="Tahoma" w:hAnsi="Tahoma" w:cs="Tahoma"/>
                <w:b/>
                <w:color w:val="FFFFFF" w:themeColor="background1"/>
                <w:sz w:val="32"/>
                <w:szCs w:val="32"/>
              </w:rPr>
            </w:pPr>
            <w:r>
              <w:rPr>
                <w:rFonts w:ascii="Tahoma" w:hAnsi="Tahoma" w:cs="Tahoma"/>
                <w:b/>
                <w:bCs/>
                <w:color w:val="FFFFFF" w:themeColor="background1"/>
                <w:spacing w:val="30"/>
                <w:sz w:val="32"/>
                <w:szCs w:val="32"/>
              </w:rPr>
              <w:t>June</w:t>
            </w:r>
            <w:r w:rsidR="007E158B" w:rsidRPr="004E7827">
              <w:rPr>
                <w:rFonts w:ascii="Tahoma" w:hAnsi="Tahoma" w:cs="Tahoma"/>
                <w:b/>
                <w:bCs/>
                <w:color w:val="FFFFFF" w:themeColor="background1"/>
                <w:spacing w:val="30"/>
                <w:sz w:val="32"/>
                <w:szCs w:val="32"/>
                <w:lang w:val="sr-Cyrl-CS"/>
              </w:rPr>
              <w:t xml:space="preserve"> </w:t>
            </w:r>
            <w:r w:rsidR="00AC7674" w:rsidRPr="004E7827">
              <w:rPr>
                <w:rFonts w:ascii="Tahoma" w:hAnsi="Tahoma" w:cs="Tahoma"/>
                <w:b/>
                <w:bCs/>
                <w:color w:val="FFFFFF" w:themeColor="background1"/>
                <w:spacing w:val="30"/>
                <w:sz w:val="32"/>
                <w:szCs w:val="32"/>
                <w:lang w:val="ru-RU"/>
              </w:rPr>
              <w:t>2013</w:t>
            </w:r>
          </w:p>
        </w:tc>
      </w:tr>
      <w:tr w:rsidR="001225F9" w:rsidRPr="001225F9" w:rsidTr="008B47D1">
        <w:trPr>
          <w:trHeight w:val="264"/>
          <w:jc w:val="center"/>
        </w:trPr>
        <w:tc>
          <w:tcPr>
            <w:tcW w:w="10624" w:type="dxa"/>
            <w:shd w:val="clear" w:color="auto" w:fill="336699"/>
          </w:tcPr>
          <w:p w:rsidR="00193339" w:rsidRPr="00D317D5" w:rsidRDefault="005E1F4A" w:rsidP="005E1F4A">
            <w:pPr>
              <w:jc w:val="center"/>
              <w:rPr>
                <w:rFonts w:ascii="Tahoma" w:hAnsi="Tahoma" w:cs="Tahoma"/>
                <w:color w:val="FFFFFF" w:themeColor="background1"/>
                <w:sz w:val="24"/>
                <w:szCs w:val="24"/>
              </w:rPr>
            </w:pPr>
            <w:r>
              <w:rPr>
                <w:rFonts w:ascii="Tahoma" w:hAnsi="Tahoma" w:cs="Tahoma"/>
                <w:bCs/>
                <w:color w:val="FFFFFF" w:themeColor="background1"/>
                <w:spacing w:val="30"/>
                <w:sz w:val="24"/>
                <w:szCs w:val="24"/>
              </w:rPr>
              <w:t>PRESS</w:t>
            </w:r>
            <w:r w:rsidR="00D317D5">
              <w:rPr>
                <w:rFonts w:ascii="Tahoma" w:hAnsi="Tahoma" w:cs="Tahoma"/>
                <w:bCs/>
                <w:color w:val="FFFFFF" w:themeColor="background1"/>
                <w:spacing w:val="30"/>
                <w:sz w:val="24"/>
                <w:szCs w:val="24"/>
              </w:rPr>
              <w:t xml:space="preserve"> RELEASE</w:t>
            </w:r>
          </w:p>
        </w:tc>
      </w:tr>
    </w:tbl>
    <w:p w:rsidR="00777348" w:rsidRPr="00045064" w:rsidRDefault="00777348" w:rsidP="00D35CD4">
      <w:pPr>
        <w:jc w:val="both"/>
        <w:rPr>
          <w:rFonts w:ascii="Tahoma" w:hAnsi="Tahoma" w:cs="Tahoma"/>
          <w:b/>
          <w:lang w:val="sr-Latn-CS"/>
        </w:rPr>
      </w:pPr>
    </w:p>
    <w:p w:rsidR="00777348" w:rsidRPr="003071A2" w:rsidRDefault="00D317D5" w:rsidP="000C7FA6">
      <w:pPr>
        <w:jc w:val="both"/>
        <w:rPr>
          <w:rFonts w:ascii="Tahoma" w:hAnsi="Tahoma" w:cs="Tahoma"/>
          <w:sz w:val="28"/>
          <w:szCs w:val="28"/>
          <w:lang w:val="en-GB"/>
        </w:rPr>
      </w:pPr>
      <w:r w:rsidRPr="003071A2">
        <w:rPr>
          <w:rFonts w:ascii="Tahoma" w:hAnsi="Tahoma" w:cs="Tahoma"/>
          <w:sz w:val="28"/>
          <w:szCs w:val="28"/>
          <w:lang w:val="en-GB"/>
        </w:rPr>
        <w:t>Number of social welfare beneficiaries in 2012 increased by 7.</w:t>
      </w:r>
      <w:r w:rsidR="004A2B52" w:rsidRPr="003071A2">
        <w:rPr>
          <w:rFonts w:ascii="Tahoma" w:hAnsi="Tahoma" w:cs="Tahoma"/>
          <w:sz w:val="28"/>
          <w:szCs w:val="28"/>
          <w:lang w:val="en-GB"/>
        </w:rPr>
        <w:t>5%</w:t>
      </w:r>
    </w:p>
    <w:p w:rsidR="00A03CB4" w:rsidRPr="004E6E8F" w:rsidRDefault="00A03CB4" w:rsidP="000C7FA6">
      <w:pPr>
        <w:jc w:val="both"/>
        <w:rPr>
          <w:rFonts w:ascii="Tahoma" w:hAnsi="Tahoma" w:cs="Tahoma"/>
        </w:rPr>
      </w:pPr>
    </w:p>
    <w:p w:rsidR="0099494B" w:rsidRPr="004E6E8F" w:rsidRDefault="0099494B" w:rsidP="00B93C46">
      <w:pPr>
        <w:jc w:val="both"/>
        <w:rPr>
          <w:rFonts w:ascii="Tahoma" w:hAnsi="Tahoma" w:cs="Tahoma"/>
        </w:rPr>
      </w:pPr>
      <w:r w:rsidRPr="004E6E8F">
        <w:rPr>
          <w:rFonts w:ascii="Tahoma" w:hAnsi="Tahoma" w:cs="Tahoma"/>
        </w:rPr>
        <w:t>Total number of social welfare beneficiaries</w:t>
      </w:r>
      <w:r w:rsidR="002A7310" w:rsidRPr="004E6E8F">
        <w:rPr>
          <w:rFonts w:ascii="Tahoma" w:hAnsi="Tahoma" w:cs="Tahoma"/>
        </w:rPr>
        <w:t xml:space="preserve"> in 2012 was 376,802, which was an increase by 7.5% compared to 2011.</w:t>
      </w:r>
      <w:r w:rsidR="0016046D" w:rsidRPr="004E6E8F">
        <w:rPr>
          <w:rFonts w:ascii="Tahoma" w:hAnsi="Tahoma" w:cs="Tahoma"/>
        </w:rPr>
        <w:t xml:space="preserve"> An increase was evident both in the number of </w:t>
      </w:r>
      <w:r w:rsidR="00683EE2" w:rsidRPr="004E6E8F">
        <w:rPr>
          <w:rFonts w:ascii="Tahoma" w:hAnsi="Tahoma" w:cs="Tahoma"/>
        </w:rPr>
        <w:t>minor</w:t>
      </w:r>
      <w:r w:rsidR="0016046D" w:rsidRPr="004E6E8F">
        <w:rPr>
          <w:rFonts w:ascii="Tahoma" w:hAnsi="Tahoma" w:cs="Tahoma"/>
        </w:rPr>
        <w:t xml:space="preserve"> and in the number of adult social welfare beneficiaries. The number of </w:t>
      </w:r>
      <w:r w:rsidR="00683EE2" w:rsidRPr="004E6E8F">
        <w:rPr>
          <w:rFonts w:ascii="Tahoma" w:hAnsi="Tahoma" w:cs="Tahoma"/>
        </w:rPr>
        <w:t>minor</w:t>
      </w:r>
      <w:r w:rsidR="0016046D" w:rsidRPr="004E6E8F">
        <w:rPr>
          <w:rFonts w:ascii="Tahoma" w:hAnsi="Tahoma" w:cs="Tahoma"/>
        </w:rPr>
        <w:t xml:space="preserve"> </w:t>
      </w:r>
      <w:proofErr w:type="spellStart"/>
      <w:r w:rsidR="0016046D" w:rsidRPr="004E6E8F">
        <w:rPr>
          <w:rFonts w:ascii="Tahoma" w:hAnsi="Tahoma" w:cs="Tahoma"/>
        </w:rPr>
        <w:t>beneficiares</w:t>
      </w:r>
      <w:proofErr w:type="spellEnd"/>
      <w:r w:rsidR="0016046D" w:rsidRPr="004E6E8F">
        <w:rPr>
          <w:rFonts w:ascii="Tahoma" w:hAnsi="Tahoma" w:cs="Tahoma"/>
        </w:rPr>
        <w:t xml:space="preserve"> increased by approximately 6%, and the number of </w:t>
      </w:r>
      <w:r w:rsidR="00683EE2" w:rsidRPr="004E6E8F">
        <w:rPr>
          <w:rFonts w:ascii="Tahoma" w:hAnsi="Tahoma" w:cs="Tahoma"/>
        </w:rPr>
        <w:t xml:space="preserve">adult beneficiaries increased by 8.1% compared to 2011. </w:t>
      </w:r>
      <w:r w:rsidR="00ED194D" w:rsidRPr="004E6E8F">
        <w:rPr>
          <w:rFonts w:ascii="Tahoma" w:hAnsi="Tahoma" w:cs="Tahoma"/>
        </w:rPr>
        <w:t xml:space="preserve">The majority of minor beneficiaries were between the ages of 7 and 14, while the majority of adult </w:t>
      </w:r>
      <w:proofErr w:type="spellStart"/>
      <w:r w:rsidR="00ED194D" w:rsidRPr="004E6E8F">
        <w:rPr>
          <w:rFonts w:ascii="Tahoma" w:hAnsi="Tahoma" w:cs="Tahoma"/>
        </w:rPr>
        <w:t>beneficiares</w:t>
      </w:r>
      <w:proofErr w:type="spellEnd"/>
      <w:r w:rsidR="00ED194D" w:rsidRPr="004E6E8F">
        <w:rPr>
          <w:rFonts w:ascii="Tahoma" w:hAnsi="Tahoma" w:cs="Tahoma"/>
        </w:rPr>
        <w:t xml:space="preserve"> were over 65 years of age. </w:t>
      </w:r>
      <w:r w:rsidR="00683EE2" w:rsidRPr="004E6E8F">
        <w:rPr>
          <w:rFonts w:ascii="Tahoma" w:hAnsi="Tahoma" w:cs="Tahoma"/>
        </w:rPr>
        <w:t xml:space="preserve"> </w:t>
      </w:r>
      <w:r w:rsidR="0016046D" w:rsidRPr="004E6E8F">
        <w:rPr>
          <w:rFonts w:ascii="Tahoma" w:hAnsi="Tahoma" w:cs="Tahoma"/>
        </w:rPr>
        <w:t xml:space="preserve"> </w:t>
      </w:r>
      <w:r w:rsidR="002A7310" w:rsidRPr="004E6E8F">
        <w:rPr>
          <w:rFonts w:ascii="Tahoma" w:hAnsi="Tahoma" w:cs="Tahoma"/>
        </w:rPr>
        <w:t xml:space="preserve"> </w:t>
      </w:r>
    </w:p>
    <w:p w:rsidR="00777348" w:rsidRPr="004E6E8F" w:rsidRDefault="00777348" w:rsidP="00B93C46">
      <w:pPr>
        <w:jc w:val="both"/>
        <w:rPr>
          <w:rFonts w:ascii="Tahoma" w:hAnsi="Tahoma" w:cs="Tahoma"/>
        </w:rPr>
      </w:pPr>
    </w:p>
    <w:p w:rsidR="00ED194D" w:rsidRPr="004E6E8F" w:rsidRDefault="00ED194D" w:rsidP="00B93C46">
      <w:pPr>
        <w:jc w:val="both"/>
        <w:rPr>
          <w:rFonts w:ascii="Tahoma" w:hAnsi="Tahoma" w:cs="Tahoma"/>
        </w:rPr>
      </w:pPr>
      <w:r w:rsidRPr="004E6E8F">
        <w:rPr>
          <w:rFonts w:ascii="Tahoma" w:hAnsi="Tahoma" w:cs="Tahoma"/>
        </w:rPr>
        <w:t>In 2012, compared to 2011, fewer forms and services of social welfare were provided, and a decrease by 3.4% was recorded</w:t>
      </w:r>
      <w:r w:rsidR="00A32273" w:rsidRPr="004E6E8F">
        <w:rPr>
          <w:rFonts w:ascii="Tahoma" w:hAnsi="Tahoma" w:cs="Tahoma"/>
        </w:rPr>
        <w:t xml:space="preserve">, whereas the number of forms and services provided to minor beneficiaries increased by 2.8% compared to 2011 and the number of forms and services provided to adult </w:t>
      </w:r>
      <w:proofErr w:type="spellStart"/>
      <w:r w:rsidR="00A32273" w:rsidRPr="004E6E8F">
        <w:rPr>
          <w:rFonts w:ascii="Tahoma" w:hAnsi="Tahoma" w:cs="Tahoma"/>
        </w:rPr>
        <w:t>beneficiares</w:t>
      </w:r>
      <w:proofErr w:type="spellEnd"/>
      <w:r w:rsidR="00A32273" w:rsidRPr="004E6E8F">
        <w:rPr>
          <w:rFonts w:ascii="Tahoma" w:hAnsi="Tahoma" w:cs="Tahoma"/>
        </w:rPr>
        <w:t xml:space="preserve"> during the same period decreased by 5.7%. </w:t>
      </w:r>
    </w:p>
    <w:p w:rsidR="00777348" w:rsidRPr="004E6E8F" w:rsidRDefault="00777348" w:rsidP="00B93C46">
      <w:pPr>
        <w:jc w:val="both"/>
        <w:rPr>
          <w:rFonts w:ascii="Tahoma" w:hAnsi="Tahoma" w:cs="Tahoma"/>
        </w:rPr>
      </w:pPr>
    </w:p>
    <w:p w:rsidR="009059F6" w:rsidRPr="004E6E8F" w:rsidRDefault="009059F6" w:rsidP="00B93C46">
      <w:pPr>
        <w:jc w:val="both"/>
        <w:rPr>
          <w:rFonts w:ascii="Tahoma" w:hAnsi="Tahoma" w:cs="Tahoma"/>
        </w:rPr>
      </w:pPr>
      <w:r w:rsidRPr="004E6E8F">
        <w:rPr>
          <w:rFonts w:ascii="Tahoma" w:hAnsi="Tahoma" w:cs="Tahoma"/>
        </w:rPr>
        <w:t xml:space="preserve">In 2012, six social welfare institutions for children and youth were recorded, while there were 14 institutions for adult </w:t>
      </w:r>
      <w:r w:rsidR="00306D83" w:rsidRPr="004E6E8F">
        <w:rPr>
          <w:rFonts w:ascii="Tahoma" w:hAnsi="Tahoma" w:cs="Tahoma"/>
        </w:rPr>
        <w:t xml:space="preserve">persons with disabilities and elderly persons. In both of these categories, the number of beneficiaries increased. The number of beneficiaries of institutions for children and youth was 583, which represented an increase by 7.1% compared to 2011, and the number of beneficiaries of institutions for adult persons with disabilities and elderly persons was 1,111, which was an increase by 5.6% compared to 2011. </w:t>
      </w:r>
    </w:p>
    <w:p w:rsidR="00777348" w:rsidRPr="004E6E8F" w:rsidRDefault="00777348" w:rsidP="000C7FA6">
      <w:pPr>
        <w:jc w:val="both"/>
        <w:rPr>
          <w:rFonts w:ascii="Tahoma" w:hAnsi="Tahoma" w:cs="Tahoma"/>
        </w:rPr>
      </w:pPr>
    </w:p>
    <w:p w:rsidR="00777348" w:rsidRPr="004E6E8F" w:rsidRDefault="00F346F9" w:rsidP="00777348">
      <w:pPr>
        <w:rPr>
          <w:rFonts w:ascii="Tahoma" w:hAnsi="Tahoma" w:cs="Tahoma"/>
          <w:sz w:val="28"/>
          <w:szCs w:val="28"/>
        </w:rPr>
      </w:pPr>
      <w:r w:rsidRPr="004E6E8F">
        <w:rPr>
          <w:rFonts w:ascii="Tahoma" w:hAnsi="Tahoma" w:cs="Tahoma"/>
          <w:sz w:val="28"/>
          <w:szCs w:val="28"/>
        </w:rPr>
        <w:t>Number of accused and convicted adults increased in 2012</w:t>
      </w:r>
    </w:p>
    <w:p w:rsidR="00777348" w:rsidRPr="004E6E8F" w:rsidRDefault="00777348" w:rsidP="00777348">
      <w:pPr>
        <w:rPr>
          <w:rFonts w:ascii="Tahoma" w:hAnsi="Tahoma" w:cs="Tahoma"/>
        </w:rPr>
      </w:pPr>
    </w:p>
    <w:p w:rsidR="003071A2" w:rsidRPr="004E6E8F" w:rsidRDefault="003071A2" w:rsidP="00D47633">
      <w:pPr>
        <w:jc w:val="both"/>
        <w:rPr>
          <w:rFonts w:ascii="Tahoma" w:hAnsi="Tahoma" w:cs="Tahoma"/>
        </w:rPr>
      </w:pPr>
      <w:r w:rsidRPr="004E6E8F">
        <w:rPr>
          <w:rFonts w:ascii="Tahoma" w:hAnsi="Tahoma" w:cs="Tahoma"/>
        </w:rPr>
        <w:t xml:space="preserve">In 2012, compared to 2011, the number of accused adults increased by 6.6%, and the number of convicted persons increased by 5.5%. </w:t>
      </w:r>
    </w:p>
    <w:p w:rsidR="003071A2" w:rsidRPr="004E6E8F" w:rsidRDefault="003071A2" w:rsidP="00D47633">
      <w:pPr>
        <w:jc w:val="both"/>
        <w:rPr>
          <w:rFonts w:ascii="Tahoma" w:hAnsi="Tahoma" w:cs="Tahoma"/>
        </w:rPr>
      </w:pPr>
      <w:r w:rsidRPr="004E6E8F">
        <w:rPr>
          <w:rFonts w:ascii="Tahoma" w:hAnsi="Tahoma" w:cs="Tahoma"/>
        </w:rPr>
        <w:t xml:space="preserve">During the same period, the number of resolved reports on perpetrated criminal offences for juveniles increased by 63.4%, while the number of accused persons decreased by 35.3% and the number of imposed </w:t>
      </w:r>
      <w:r w:rsidR="004E6E8F">
        <w:rPr>
          <w:rFonts w:ascii="Tahoma" w:hAnsi="Tahoma" w:cs="Tahoma"/>
        </w:rPr>
        <w:t xml:space="preserve">criminal sanctions remained the same. </w:t>
      </w:r>
      <w:r w:rsidR="004E6E8F">
        <w:rPr>
          <w:rFonts w:ascii="Tahoma" w:hAnsi="Tahoma" w:cs="Tahoma"/>
        </w:rPr>
        <w:tab/>
        <w:t xml:space="preserve"> </w:t>
      </w:r>
      <w:r w:rsidR="004E6E8F">
        <w:rPr>
          <w:rFonts w:ascii="Tahoma" w:hAnsi="Tahoma" w:cs="Tahoma"/>
        </w:rPr>
        <w:tab/>
      </w:r>
    </w:p>
    <w:p w:rsidR="00D47633" w:rsidRDefault="00D47633" w:rsidP="00D47633">
      <w:pPr>
        <w:jc w:val="both"/>
        <w:rPr>
          <w:rFonts w:ascii="Tahoma" w:hAnsi="Tahoma" w:cs="Tahoma"/>
        </w:rPr>
      </w:pPr>
    </w:p>
    <w:p w:rsidR="004E6E8F" w:rsidRDefault="004E6E8F" w:rsidP="00D47633">
      <w:pPr>
        <w:jc w:val="both"/>
        <w:rPr>
          <w:rFonts w:ascii="Tahoma" w:hAnsi="Tahoma" w:cs="Tahoma"/>
        </w:rPr>
      </w:pPr>
      <w:r>
        <w:rPr>
          <w:rFonts w:ascii="Tahoma" w:hAnsi="Tahoma" w:cs="Tahoma"/>
        </w:rPr>
        <w:t xml:space="preserve">For adult perpetrators of criminal offences, as well as in the previous year, the most common criminal sanction was </w:t>
      </w:r>
      <w:r w:rsidRPr="004E6E8F">
        <w:rPr>
          <w:rFonts w:ascii="Tahoma" w:hAnsi="Tahoma" w:cs="Tahoma"/>
        </w:rPr>
        <w:t>conditional sentence with</w:t>
      </w:r>
      <w:r>
        <w:rPr>
          <w:rFonts w:ascii="Tahoma" w:hAnsi="Tahoma" w:cs="Tahoma"/>
        </w:rPr>
        <w:t xml:space="preserve"> 53.7%, followed by fine with 21.9% and imprisonment with 19.5%. </w:t>
      </w:r>
    </w:p>
    <w:p w:rsidR="004E6E8F" w:rsidRPr="004E6E8F" w:rsidRDefault="004E6E8F" w:rsidP="00D47633">
      <w:pPr>
        <w:jc w:val="both"/>
        <w:rPr>
          <w:rFonts w:ascii="Tahoma" w:hAnsi="Tahoma" w:cs="Tahoma"/>
        </w:rPr>
      </w:pPr>
      <w:r>
        <w:rPr>
          <w:rFonts w:ascii="Tahoma" w:hAnsi="Tahoma" w:cs="Tahoma"/>
        </w:rPr>
        <w:t xml:space="preserve">For juvenile perpetrators, the most common criminal sanctions were educational-correctional measures (98.0%), with 58.0% of these being increased supervision measures. </w:t>
      </w:r>
    </w:p>
    <w:p w:rsidR="00777348" w:rsidRPr="004E7F0D" w:rsidRDefault="00777348" w:rsidP="00D35CD4">
      <w:pPr>
        <w:jc w:val="both"/>
        <w:rPr>
          <w:rFonts w:ascii="Tahoma" w:hAnsi="Tahoma" w:cs="Tahoma"/>
          <w:b/>
          <w:lang w:val="sr-Latn-CS"/>
        </w:rPr>
      </w:pPr>
    </w:p>
    <w:p w:rsidR="00764767" w:rsidRPr="008D2842" w:rsidRDefault="004E6E8F" w:rsidP="00764767">
      <w:pPr>
        <w:jc w:val="both"/>
        <w:rPr>
          <w:rFonts w:ascii="Tahoma" w:hAnsi="Tahoma" w:cs="Tahoma"/>
          <w:sz w:val="28"/>
          <w:szCs w:val="28"/>
          <w:lang w:val="sr-Cyrl-CS"/>
        </w:rPr>
      </w:pPr>
      <w:r>
        <w:rPr>
          <w:rFonts w:ascii="Tahoma" w:hAnsi="Tahoma" w:cs="Tahoma"/>
          <w:b/>
          <w:sz w:val="28"/>
          <w:szCs w:val="28"/>
        </w:rPr>
        <w:t>Average net wage in May</w:t>
      </w:r>
      <w:r w:rsidR="005118F2" w:rsidRPr="008D2842">
        <w:rPr>
          <w:rFonts w:ascii="Tahoma" w:hAnsi="Tahoma" w:cs="Tahoma"/>
          <w:b/>
          <w:sz w:val="28"/>
          <w:szCs w:val="28"/>
          <w:lang w:val="sr-Cyrl-CS"/>
        </w:rPr>
        <w:t xml:space="preserve"> 796</w:t>
      </w:r>
      <w:r w:rsidR="00764767" w:rsidRPr="008D2842">
        <w:rPr>
          <w:rFonts w:ascii="Tahoma" w:hAnsi="Tahoma" w:cs="Tahoma"/>
          <w:b/>
          <w:sz w:val="28"/>
          <w:szCs w:val="28"/>
          <w:lang w:val="sr-Cyrl-CS"/>
        </w:rPr>
        <w:t xml:space="preserve"> </w:t>
      </w:r>
      <w:r w:rsidR="00764767" w:rsidRPr="008D2842">
        <w:rPr>
          <w:rFonts w:ascii="Tahoma" w:hAnsi="Tahoma" w:cs="Tahoma"/>
          <w:b/>
          <w:sz w:val="28"/>
          <w:szCs w:val="28"/>
          <w:lang w:val="ru-RU"/>
        </w:rPr>
        <w:t>КМ</w:t>
      </w:r>
    </w:p>
    <w:p w:rsidR="004E6E8F" w:rsidRPr="002F4162" w:rsidRDefault="003D2E1C" w:rsidP="00764767">
      <w:pPr>
        <w:tabs>
          <w:tab w:val="left" w:pos="4343"/>
        </w:tabs>
        <w:jc w:val="both"/>
        <w:rPr>
          <w:rFonts w:ascii="Tahoma" w:hAnsi="Tahoma" w:cs="Tahoma"/>
          <w:sz w:val="26"/>
          <w:szCs w:val="26"/>
        </w:rPr>
      </w:pPr>
      <w:r>
        <w:rPr>
          <w:rFonts w:ascii="Tahoma" w:hAnsi="Tahoma" w:cs="Tahoma"/>
          <w:sz w:val="26"/>
          <w:szCs w:val="26"/>
        </w:rPr>
        <w:t xml:space="preserve">The highest average net wage was that in the section </w:t>
      </w:r>
      <w:r w:rsidRPr="002F4162">
        <w:rPr>
          <w:rFonts w:ascii="Tahoma" w:hAnsi="Tahoma" w:cs="Tahoma"/>
          <w:i/>
          <w:sz w:val="26"/>
          <w:szCs w:val="26"/>
        </w:rPr>
        <w:t xml:space="preserve">Financial </w:t>
      </w:r>
      <w:r w:rsidR="002F4162" w:rsidRPr="002F4162">
        <w:rPr>
          <w:rFonts w:ascii="Tahoma" w:hAnsi="Tahoma" w:cs="Tahoma"/>
          <w:i/>
          <w:sz w:val="26"/>
          <w:szCs w:val="26"/>
        </w:rPr>
        <w:t>and insurance activities</w:t>
      </w:r>
      <w:r w:rsidR="002F4162">
        <w:rPr>
          <w:rFonts w:ascii="Tahoma" w:hAnsi="Tahoma" w:cs="Tahoma"/>
          <w:i/>
          <w:sz w:val="26"/>
          <w:szCs w:val="26"/>
        </w:rPr>
        <w:t xml:space="preserve"> </w:t>
      </w:r>
      <w:r w:rsidR="002F4162">
        <w:rPr>
          <w:rFonts w:ascii="Tahoma" w:hAnsi="Tahoma" w:cs="Tahoma"/>
          <w:sz w:val="26"/>
          <w:szCs w:val="26"/>
        </w:rPr>
        <w:t xml:space="preserve">1,286 KM, while the lowest one was that in the section </w:t>
      </w:r>
      <w:r w:rsidR="00483F67">
        <w:rPr>
          <w:rFonts w:ascii="Tahoma" w:hAnsi="Tahoma" w:cs="Tahoma"/>
          <w:i/>
          <w:sz w:val="26"/>
          <w:szCs w:val="26"/>
        </w:rPr>
        <w:t>Accommodation and food service activities</w:t>
      </w:r>
      <w:r w:rsidR="002F4162" w:rsidRPr="002F4162">
        <w:rPr>
          <w:rFonts w:ascii="Tahoma" w:hAnsi="Tahoma" w:cs="Tahoma"/>
          <w:i/>
          <w:sz w:val="26"/>
          <w:szCs w:val="26"/>
        </w:rPr>
        <w:t xml:space="preserve">; hotels and restaurants </w:t>
      </w:r>
      <w:r w:rsidR="002F4162">
        <w:rPr>
          <w:rFonts w:ascii="Tahoma" w:hAnsi="Tahoma" w:cs="Tahoma"/>
          <w:sz w:val="26"/>
          <w:szCs w:val="26"/>
        </w:rPr>
        <w:t xml:space="preserve">520 KM. </w:t>
      </w:r>
    </w:p>
    <w:p w:rsidR="00764767" w:rsidRPr="008D2842" w:rsidRDefault="00764767" w:rsidP="00764767">
      <w:pPr>
        <w:tabs>
          <w:tab w:val="left" w:pos="1134"/>
        </w:tabs>
        <w:jc w:val="both"/>
        <w:rPr>
          <w:rFonts w:ascii="Tahoma" w:hAnsi="Tahoma" w:cs="Tahoma"/>
          <w:b/>
          <w:lang w:val="sr-Cyrl-CS"/>
        </w:rPr>
      </w:pPr>
    </w:p>
    <w:p w:rsidR="002F4162" w:rsidRDefault="002F4162" w:rsidP="00764767">
      <w:pPr>
        <w:tabs>
          <w:tab w:val="left" w:pos="1134"/>
        </w:tabs>
        <w:jc w:val="both"/>
        <w:rPr>
          <w:rFonts w:ascii="Tahoma" w:hAnsi="Tahoma" w:cs="Tahoma"/>
        </w:rPr>
      </w:pPr>
      <w:r>
        <w:rPr>
          <w:rFonts w:ascii="Tahoma" w:hAnsi="Tahoma" w:cs="Tahoma"/>
        </w:rPr>
        <w:t xml:space="preserve">Average monthly net wage of employed persons in </w:t>
      </w:r>
      <w:proofErr w:type="spellStart"/>
      <w:r>
        <w:rPr>
          <w:rFonts w:ascii="Tahoma" w:hAnsi="Tahoma" w:cs="Tahoma"/>
        </w:rPr>
        <w:t>Republika</w:t>
      </w:r>
      <w:proofErr w:type="spellEnd"/>
      <w:r>
        <w:rPr>
          <w:rFonts w:ascii="Tahoma" w:hAnsi="Tahoma" w:cs="Tahoma"/>
        </w:rPr>
        <w:t xml:space="preserve"> </w:t>
      </w:r>
      <w:proofErr w:type="spellStart"/>
      <w:r>
        <w:rPr>
          <w:rFonts w:ascii="Tahoma" w:hAnsi="Tahoma" w:cs="Tahoma"/>
        </w:rPr>
        <w:t>Srpska</w:t>
      </w:r>
      <w:proofErr w:type="spellEnd"/>
      <w:r>
        <w:rPr>
          <w:rFonts w:ascii="Tahoma" w:hAnsi="Tahoma" w:cs="Tahoma"/>
        </w:rPr>
        <w:t xml:space="preserve"> paid in May 2013 was 796 KM, while average </w:t>
      </w:r>
      <w:proofErr w:type="spellStart"/>
      <w:r>
        <w:rPr>
          <w:rFonts w:ascii="Tahoma" w:hAnsi="Tahoma" w:cs="Tahoma"/>
        </w:rPr>
        <w:t>montly</w:t>
      </w:r>
      <w:proofErr w:type="spellEnd"/>
      <w:r>
        <w:rPr>
          <w:rFonts w:ascii="Tahoma" w:hAnsi="Tahoma" w:cs="Tahoma"/>
        </w:rPr>
        <w:t xml:space="preserve"> gross wage was 1,314 KM. </w:t>
      </w:r>
    </w:p>
    <w:p w:rsidR="00764767" w:rsidRPr="008D2842" w:rsidRDefault="00764767" w:rsidP="00764767">
      <w:pPr>
        <w:tabs>
          <w:tab w:val="left" w:pos="1134"/>
        </w:tabs>
        <w:jc w:val="both"/>
        <w:rPr>
          <w:rFonts w:ascii="Tahoma" w:hAnsi="Tahoma" w:cs="Tahoma"/>
          <w:lang w:val="sr-Cyrl-CS"/>
        </w:rPr>
      </w:pPr>
    </w:p>
    <w:p w:rsidR="002F4162" w:rsidRDefault="002F4162" w:rsidP="00764767">
      <w:pPr>
        <w:tabs>
          <w:tab w:val="left" w:pos="1134"/>
        </w:tabs>
        <w:spacing w:after="60"/>
        <w:jc w:val="both"/>
        <w:rPr>
          <w:rFonts w:ascii="Tahoma" w:hAnsi="Tahoma" w:cs="Tahoma"/>
        </w:rPr>
      </w:pPr>
      <w:r>
        <w:rPr>
          <w:rFonts w:ascii="Tahoma" w:hAnsi="Tahoma" w:cs="Tahoma"/>
        </w:rPr>
        <w:t xml:space="preserve">Compared to April 2013, average net wage paid in May 2013 was nominally 0.2% lower and really 0.1% lower. Compared to average net wage in 2012, average net wage in May 2013 was nominally 2.6% lower and really 2.8% lower. In May 2013, compared to the same month of the previous year, average net wage was nominally 3.6% lower and really 3.9% lower. </w:t>
      </w:r>
    </w:p>
    <w:p w:rsidR="00295772" w:rsidRPr="008D2842" w:rsidRDefault="00295772" w:rsidP="00764767">
      <w:pPr>
        <w:tabs>
          <w:tab w:val="left" w:pos="1134"/>
        </w:tabs>
        <w:spacing w:after="60"/>
        <w:jc w:val="both"/>
        <w:rPr>
          <w:rFonts w:ascii="Tahoma" w:hAnsi="Tahoma" w:cs="Tahoma"/>
        </w:rPr>
      </w:pPr>
    </w:p>
    <w:p w:rsidR="002F4162" w:rsidRDefault="006270C5" w:rsidP="00764767">
      <w:pPr>
        <w:tabs>
          <w:tab w:val="left" w:pos="1134"/>
        </w:tabs>
        <w:spacing w:after="60"/>
        <w:jc w:val="both"/>
        <w:rPr>
          <w:rFonts w:ascii="Tahoma" w:hAnsi="Tahoma" w:cs="Tahoma"/>
        </w:rPr>
      </w:pPr>
      <w:r>
        <w:rPr>
          <w:rFonts w:ascii="Tahoma" w:hAnsi="Tahoma" w:cs="Tahoma"/>
        </w:rPr>
        <w:t xml:space="preserve">The highest average net wage in May 2013, by section of activities, was paid in the section </w:t>
      </w:r>
      <w:r w:rsidRPr="006270C5">
        <w:rPr>
          <w:rFonts w:ascii="Tahoma" w:hAnsi="Tahoma" w:cs="Tahoma"/>
          <w:i/>
        </w:rPr>
        <w:t>Financial and insurance activities</w:t>
      </w:r>
      <w:r>
        <w:rPr>
          <w:rFonts w:ascii="Tahoma" w:hAnsi="Tahoma" w:cs="Tahoma"/>
        </w:rPr>
        <w:t xml:space="preserve">, and it amounted to 1,286 KM, while the lowest one was paid in the section </w:t>
      </w:r>
      <w:r w:rsidR="005E7DB1">
        <w:rPr>
          <w:rFonts w:ascii="Tahoma" w:hAnsi="Tahoma" w:cs="Tahoma"/>
          <w:i/>
        </w:rPr>
        <w:t>Accommodation and food service activities</w:t>
      </w:r>
      <w:r w:rsidRPr="006270C5">
        <w:rPr>
          <w:rFonts w:ascii="Tahoma" w:hAnsi="Tahoma" w:cs="Tahoma"/>
          <w:i/>
        </w:rPr>
        <w:t>; hotels and restaurants</w:t>
      </w:r>
      <w:r>
        <w:rPr>
          <w:rFonts w:ascii="Tahoma" w:hAnsi="Tahoma" w:cs="Tahoma"/>
        </w:rPr>
        <w:t xml:space="preserve">, 520 KM. </w:t>
      </w:r>
    </w:p>
    <w:p w:rsidR="00295772" w:rsidRPr="008D2842" w:rsidRDefault="00295772" w:rsidP="00764767">
      <w:pPr>
        <w:tabs>
          <w:tab w:val="left" w:pos="1134"/>
        </w:tabs>
        <w:spacing w:after="60"/>
        <w:jc w:val="both"/>
        <w:rPr>
          <w:rFonts w:ascii="Tahoma" w:hAnsi="Tahoma" w:cs="Tahoma"/>
        </w:rPr>
      </w:pPr>
    </w:p>
    <w:p w:rsidR="00CB6C69" w:rsidRPr="008D2842" w:rsidRDefault="00CB6C69" w:rsidP="00764767">
      <w:pPr>
        <w:jc w:val="both"/>
        <w:rPr>
          <w:rFonts w:ascii="Tahoma" w:hAnsi="Tahoma" w:cs="Tahoma"/>
          <w:lang w:val="sr-Latn-CS"/>
        </w:rPr>
      </w:pPr>
    </w:p>
    <w:p w:rsidR="006270C5" w:rsidRDefault="006270C5" w:rsidP="00764767">
      <w:pPr>
        <w:jc w:val="both"/>
        <w:rPr>
          <w:rFonts w:ascii="Tahoma" w:hAnsi="Tahoma" w:cs="Tahoma"/>
        </w:rPr>
      </w:pPr>
      <w:r>
        <w:rPr>
          <w:rFonts w:ascii="Tahoma" w:hAnsi="Tahoma" w:cs="Tahoma"/>
        </w:rPr>
        <w:t xml:space="preserve">In May 2013, compared to April 2013, the highest nominal </w:t>
      </w:r>
      <w:r w:rsidR="00FF437D">
        <w:rPr>
          <w:rFonts w:ascii="Tahoma" w:hAnsi="Tahoma" w:cs="Tahoma"/>
        </w:rPr>
        <w:t xml:space="preserve">net wage growth was recorded in the following sections: </w:t>
      </w:r>
      <w:r w:rsidR="00FF437D" w:rsidRPr="00FF437D">
        <w:rPr>
          <w:rFonts w:ascii="Tahoma" w:hAnsi="Tahoma" w:cs="Tahoma"/>
          <w:i/>
        </w:rPr>
        <w:t>Professional, scientific and technical activities</w:t>
      </w:r>
      <w:r w:rsidR="00FF437D">
        <w:rPr>
          <w:rFonts w:ascii="Tahoma" w:hAnsi="Tahoma" w:cs="Tahoma"/>
        </w:rPr>
        <w:t xml:space="preserve"> 4.6%, </w:t>
      </w:r>
      <w:r w:rsidR="00FF437D" w:rsidRPr="00FF437D">
        <w:rPr>
          <w:rFonts w:ascii="Tahoma" w:hAnsi="Tahoma" w:cs="Tahoma"/>
          <w:i/>
        </w:rPr>
        <w:t>Wholesale and retail trade, repair of motor vehicles and motorcycles</w:t>
      </w:r>
      <w:r w:rsidR="00FF437D">
        <w:rPr>
          <w:rFonts w:ascii="Tahoma" w:hAnsi="Tahoma" w:cs="Tahoma"/>
        </w:rPr>
        <w:t xml:space="preserve"> 2.6%, and </w:t>
      </w:r>
      <w:r w:rsidR="00FF437D" w:rsidRPr="00FF437D">
        <w:rPr>
          <w:rFonts w:ascii="Tahoma" w:hAnsi="Tahoma" w:cs="Tahoma"/>
          <w:i/>
        </w:rPr>
        <w:t>Administrative and support service activities</w:t>
      </w:r>
      <w:r w:rsidR="00FF437D">
        <w:rPr>
          <w:rFonts w:ascii="Tahoma" w:hAnsi="Tahoma" w:cs="Tahoma"/>
        </w:rPr>
        <w:t xml:space="preserve"> 2.6%. The highest wage decrease, in its nominal amount, was recorded in the following sections: </w:t>
      </w:r>
      <w:r w:rsidR="00FF437D" w:rsidRPr="00A2471B">
        <w:rPr>
          <w:rFonts w:ascii="Tahoma" w:hAnsi="Tahoma" w:cs="Tahoma"/>
          <w:i/>
        </w:rPr>
        <w:t>Real estate activities</w:t>
      </w:r>
      <w:r w:rsidR="00FF437D">
        <w:rPr>
          <w:rFonts w:ascii="Tahoma" w:hAnsi="Tahoma" w:cs="Tahoma"/>
        </w:rPr>
        <w:t xml:space="preserve"> 13.5%, </w:t>
      </w:r>
      <w:proofErr w:type="gramStart"/>
      <w:r w:rsidR="00FF437D" w:rsidRPr="00A2471B">
        <w:rPr>
          <w:rFonts w:ascii="Tahoma" w:hAnsi="Tahoma" w:cs="Tahoma"/>
          <w:i/>
        </w:rPr>
        <w:t>Other</w:t>
      </w:r>
      <w:proofErr w:type="gramEnd"/>
      <w:r w:rsidR="00FF437D" w:rsidRPr="00A2471B">
        <w:rPr>
          <w:rFonts w:ascii="Tahoma" w:hAnsi="Tahoma" w:cs="Tahoma"/>
          <w:i/>
        </w:rPr>
        <w:t xml:space="preserve"> service activities</w:t>
      </w:r>
      <w:r w:rsidR="00FF437D">
        <w:rPr>
          <w:rFonts w:ascii="Tahoma" w:hAnsi="Tahoma" w:cs="Tahoma"/>
        </w:rPr>
        <w:t xml:space="preserve"> </w:t>
      </w:r>
      <w:r w:rsidR="00483F67">
        <w:rPr>
          <w:rFonts w:ascii="Tahoma" w:hAnsi="Tahoma" w:cs="Tahoma"/>
        </w:rPr>
        <w:t xml:space="preserve">6.7%, </w:t>
      </w:r>
      <w:r w:rsidR="00483F67" w:rsidRPr="00A2471B">
        <w:rPr>
          <w:rFonts w:ascii="Tahoma" w:hAnsi="Tahoma" w:cs="Tahoma"/>
          <w:i/>
        </w:rPr>
        <w:t>Arts, entertainment and recreation</w:t>
      </w:r>
      <w:r w:rsidR="00483F67">
        <w:rPr>
          <w:rFonts w:ascii="Tahoma" w:hAnsi="Tahoma" w:cs="Tahoma"/>
        </w:rPr>
        <w:t xml:space="preserve"> 4.6%, </w:t>
      </w:r>
      <w:r w:rsidR="00483F67" w:rsidRPr="00A2471B">
        <w:rPr>
          <w:rFonts w:ascii="Tahoma" w:hAnsi="Tahoma" w:cs="Tahoma"/>
          <w:i/>
        </w:rPr>
        <w:t>Accommodation and food service activities</w:t>
      </w:r>
      <w:r w:rsidR="00A2471B" w:rsidRPr="00A2471B">
        <w:rPr>
          <w:rFonts w:ascii="Tahoma" w:hAnsi="Tahoma" w:cs="Tahoma"/>
          <w:i/>
        </w:rPr>
        <w:t>, hotels and restaurants</w:t>
      </w:r>
      <w:r w:rsidR="00A2471B">
        <w:rPr>
          <w:rFonts w:ascii="Tahoma" w:hAnsi="Tahoma" w:cs="Tahoma"/>
        </w:rPr>
        <w:t xml:space="preserve"> 3.0%, and </w:t>
      </w:r>
      <w:r w:rsidR="00A2471B" w:rsidRPr="00A2471B">
        <w:rPr>
          <w:rFonts w:ascii="Tahoma" w:hAnsi="Tahoma" w:cs="Tahoma"/>
          <w:i/>
        </w:rPr>
        <w:t>Mining and quarrying</w:t>
      </w:r>
      <w:r w:rsidR="00A2471B">
        <w:rPr>
          <w:rFonts w:ascii="Tahoma" w:hAnsi="Tahoma" w:cs="Tahoma"/>
        </w:rPr>
        <w:t xml:space="preserve"> 2.5%. </w:t>
      </w:r>
      <w:r w:rsidR="00FF437D">
        <w:rPr>
          <w:rFonts w:ascii="Tahoma" w:hAnsi="Tahoma" w:cs="Tahoma"/>
        </w:rPr>
        <w:t xml:space="preserve"> </w:t>
      </w:r>
    </w:p>
    <w:p w:rsidR="00764767" w:rsidRDefault="00764767" w:rsidP="00764767">
      <w:pPr>
        <w:jc w:val="both"/>
        <w:rPr>
          <w:rFonts w:ascii="Tahoma" w:hAnsi="Tahoma" w:cs="Tahoma"/>
          <w:i/>
          <w:lang w:val="sr-Cyrl-CS"/>
        </w:rPr>
      </w:pPr>
    </w:p>
    <w:p w:rsidR="00764767" w:rsidRPr="00A120EE" w:rsidRDefault="00764767" w:rsidP="00764767">
      <w:pPr>
        <w:jc w:val="both"/>
        <w:rPr>
          <w:rFonts w:ascii="Tahoma" w:hAnsi="Tahoma" w:cs="Tahoma"/>
          <w:i/>
        </w:rPr>
      </w:pPr>
    </w:p>
    <w:p w:rsidR="00764767" w:rsidRDefault="00764767" w:rsidP="00764767">
      <w:pPr>
        <w:jc w:val="both"/>
        <w:rPr>
          <w:rFonts w:ascii="Tahoma" w:hAnsi="Tahoma" w:cs="Tahoma"/>
        </w:rPr>
      </w:pPr>
      <w:r w:rsidRPr="00B47AD9">
        <w:rPr>
          <w:rFonts w:ascii="Tahoma" w:hAnsi="Tahoma" w:cs="Tahoma"/>
          <w:i/>
          <w:lang w:val="sr-Cyrl-CS"/>
        </w:rPr>
        <w:t xml:space="preserve"> </w:t>
      </w:r>
      <w:r w:rsidR="00B32799">
        <w:rPr>
          <w:rFonts w:ascii="Tahoma" w:hAnsi="Tahoma" w:cs="Tahoma"/>
          <w:lang w:val="sr-Cyrl-CS"/>
        </w:rPr>
        <w:t xml:space="preserve">          </w:t>
      </w:r>
      <w:r w:rsidR="00C155B7">
        <w:rPr>
          <w:rFonts w:ascii="Tahoma" w:hAnsi="Tahoma" w:cs="Tahoma"/>
        </w:rPr>
        <w:t xml:space="preserve">  </w:t>
      </w:r>
      <w:r w:rsidR="0076768F">
        <w:rPr>
          <w:rFonts w:ascii="Tahoma" w:hAnsi="Tahoma" w:cs="Tahoma"/>
        </w:rPr>
        <w:t xml:space="preserve"> </w:t>
      </w:r>
      <w:r w:rsidR="00B32799" w:rsidRPr="00295772">
        <w:rPr>
          <w:rFonts w:ascii="Tahoma" w:hAnsi="Tahoma" w:cs="Tahoma"/>
          <w:lang w:val="sr-Cyrl-CS"/>
        </w:rPr>
        <w:t>км</w:t>
      </w:r>
    </w:p>
    <w:p w:rsidR="0076768F" w:rsidRPr="0076768F" w:rsidRDefault="0076768F" w:rsidP="00764767">
      <w:pPr>
        <w:jc w:val="both"/>
        <w:rPr>
          <w:rFonts w:ascii="Tahoma" w:hAnsi="Tahoma" w:cs="Tahoma"/>
        </w:rPr>
      </w:pPr>
    </w:p>
    <w:p w:rsidR="00764767" w:rsidRPr="00B47AD9" w:rsidRDefault="00137828" w:rsidP="00764767">
      <w:pPr>
        <w:jc w:val="center"/>
        <w:rPr>
          <w:rFonts w:ascii="Tahoma" w:hAnsi="Tahoma" w:cs="Tahoma"/>
          <w:sz w:val="18"/>
          <w:szCs w:val="18"/>
          <w:lang w:val="sr-Latn-CS"/>
        </w:rPr>
      </w:pPr>
      <w:r w:rsidRPr="00137828">
        <w:rPr>
          <w:rFonts w:ascii="Tahoma" w:hAnsi="Tahoma" w:cs="Tahoma"/>
          <w:noProof/>
          <w:color w:val="FF0000"/>
          <w:sz w:val="18"/>
          <w:szCs w:val="18"/>
        </w:rPr>
        <w:drawing>
          <wp:inline distT="0" distB="0" distL="0" distR="0">
            <wp:extent cx="5579635"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37828">
        <w:rPr>
          <w:rFonts w:ascii="Tahoma" w:hAnsi="Tahoma" w:cs="Tahoma"/>
          <w:noProof/>
          <w:color w:val="FF0000"/>
          <w:sz w:val="18"/>
          <w:szCs w:val="18"/>
        </w:rPr>
        <w:t xml:space="preserve"> </w:t>
      </w:r>
      <w:r w:rsidR="00764767" w:rsidRPr="00154D02">
        <w:rPr>
          <w:rFonts w:ascii="Tahoma" w:hAnsi="Tahoma" w:cs="Tahoma"/>
          <w:noProof/>
          <w:sz w:val="18"/>
          <w:szCs w:val="18"/>
          <w:lang w:val="sr-Cyrl-CS"/>
        </w:rPr>
        <w:t xml:space="preserve">  </w:t>
      </w:r>
    </w:p>
    <w:p w:rsidR="00764767" w:rsidRPr="008D2842" w:rsidRDefault="00764767" w:rsidP="00764767">
      <w:pPr>
        <w:jc w:val="center"/>
        <w:rPr>
          <w:rFonts w:ascii="Tahoma" w:hAnsi="Tahoma" w:cs="Tahoma"/>
          <w:color w:val="FF0000"/>
          <w:sz w:val="18"/>
          <w:szCs w:val="18"/>
          <w:lang w:val="sr-Cyrl-CS"/>
        </w:rPr>
      </w:pPr>
    </w:p>
    <w:p w:rsidR="005665FA" w:rsidRPr="004E6E8F" w:rsidRDefault="004E6E8F" w:rsidP="00CE481A">
      <w:pPr>
        <w:jc w:val="center"/>
        <w:outlineLvl w:val="0"/>
        <w:rPr>
          <w:rFonts w:ascii="Tahoma" w:hAnsi="Tahoma" w:cs="Tahoma"/>
        </w:rPr>
      </w:pPr>
      <w:proofErr w:type="gramStart"/>
      <w:r>
        <w:rPr>
          <w:rFonts w:ascii="Tahoma" w:hAnsi="Tahoma" w:cs="Tahoma"/>
        </w:rPr>
        <w:t>Graph</w:t>
      </w:r>
      <w:r w:rsidR="00137828" w:rsidRPr="008D2842">
        <w:rPr>
          <w:rFonts w:ascii="Tahoma" w:hAnsi="Tahoma" w:cs="Tahoma"/>
          <w:lang w:val="sr-Cyrl-BA"/>
        </w:rPr>
        <w:t xml:space="preserve"> 1</w:t>
      </w:r>
      <w:r w:rsidR="00B32799" w:rsidRPr="008D2842">
        <w:rPr>
          <w:rFonts w:ascii="Tahoma" w:hAnsi="Tahoma" w:cs="Tahoma"/>
          <w:lang w:val="sr-Cyrl-BA"/>
        </w:rPr>
        <w:t>.</w:t>
      </w:r>
      <w:proofErr w:type="gramEnd"/>
      <w:r w:rsidR="00C955CE" w:rsidRPr="008D2842">
        <w:rPr>
          <w:rFonts w:ascii="Tahoma" w:hAnsi="Tahoma" w:cs="Tahoma"/>
          <w:lang w:val="sr-Cyrl-BA"/>
        </w:rPr>
        <w:t xml:space="preserve"> </w:t>
      </w:r>
      <w:r>
        <w:rPr>
          <w:rFonts w:ascii="Tahoma" w:hAnsi="Tahoma" w:cs="Tahoma"/>
        </w:rPr>
        <w:t>Average net wages of employed persons</w:t>
      </w:r>
      <w:r w:rsidR="00C955CE" w:rsidRPr="008D2842">
        <w:rPr>
          <w:rFonts w:ascii="Tahoma" w:hAnsi="Tahoma" w:cs="Tahoma"/>
          <w:lang w:val="ru-RU"/>
        </w:rPr>
        <w:t xml:space="preserve"> </w:t>
      </w:r>
      <w:r>
        <w:rPr>
          <w:rFonts w:ascii="Tahoma" w:hAnsi="Tahoma" w:cs="Tahoma"/>
        </w:rPr>
        <w:t>by month</w:t>
      </w:r>
    </w:p>
    <w:p w:rsidR="005665FA" w:rsidRPr="00806168" w:rsidRDefault="005665FA" w:rsidP="00094E6E">
      <w:pPr>
        <w:jc w:val="both"/>
        <w:rPr>
          <w:rFonts w:ascii="Tahoma" w:hAnsi="Tahoma" w:cs="Tahoma"/>
          <w:lang w:val="sr-Cyrl-BA"/>
        </w:rPr>
      </w:pPr>
    </w:p>
    <w:p w:rsidR="00806168" w:rsidRPr="00806168" w:rsidRDefault="00806168" w:rsidP="00094E6E">
      <w:pPr>
        <w:jc w:val="both"/>
        <w:rPr>
          <w:rFonts w:ascii="Tahoma" w:hAnsi="Tahoma" w:cs="Tahoma"/>
          <w:lang w:val="sr-Latn-CS"/>
        </w:rPr>
      </w:pPr>
    </w:p>
    <w:p w:rsidR="0012449B" w:rsidRPr="008D2842" w:rsidRDefault="00FF7E7E" w:rsidP="0012449B">
      <w:pPr>
        <w:rPr>
          <w:rFonts w:ascii="Tahoma" w:hAnsi="Tahoma" w:cs="Tahoma"/>
          <w:b/>
          <w:sz w:val="28"/>
          <w:szCs w:val="28"/>
          <w:lang w:val="sr-Cyrl-BA"/>
        </w:rPr>
      </w:pPr>
      <w:r>
        <w:rPr>
          <w:rFonts w:ascii="Tahoma" w:hAnsi="Tahoma" w:cs="Tahoma"/>
          <w:b/>
          <w:sz w:val="28"/>
          <w:szCs w:val="28"/>
        </w:rPr>
        <w:t xml:space="preserve">Monthly inflation </w:t>
      </w:r>
      <w:r>
        <w:rPr>
          <w:rFonts w:ascii="Tahoma" w:hAnsi="Tahoma" w:cs="Tahoma"/>
          <w:b/>
          <w:sz w:val="28"/>
          <w:szCs w:val="28"/>
          <w:lang w:val="sr-Cyrl-BA"/>
        </w:rPr>
        <w:t>-0</w:t>
      </w:r>
      <w:r>
        <w:rPr>
          <w:rFonts w:ascii="Tahoma" w:hAnsi="Tahoma" w:cs="Tahoma"/>
          <w:b/>
          <w:sz w:val="28"/>
          <w:szCs w:val="28"/>
        </w:rPr>
        <w:t>.</w:t>
      </w:r>
      <w:r>
        <w:rPr>
          <w:rFonts w:ascii="Tahoma" w:hAnsi="Tahoma" w:cs="Tahoma"/>
          <w:b/>
          <w:sz w:val="28"/>
          <w:szCs w:val="28"/>
          <w:lang w:val="sr-Cyrl-BA"/>
        </w:rPr>
        <w:t>1%</w:t>
      </w:r>
      <w:r w:rsidR="0012449B" w:rsidRPr="008D2842">
        <w:rPr>
          <w:rFonts w:ascii="Tahoma" w:hAnsi="Tahoma" w:cs="Tahoma"/>
          <w:b/>
          <w:sz w:val="28"/>
          <w:szCs w:val="28"/>
          <w:lang w:val="sr-Cyrl-BA"/>
        </w:rPr>
        <w:t xml:space="preserve"> </w:t>
      </w:r>
      <w:r>
        <w:rPr>
          <w:rFonts w:ascii="Tahoma" w:hAnsi="Tahoma" w:cs="Tahoma"/>
          <w:b/>
          <w:sz w:val="28"/>
          <w:szCs w:val="28"/>
        </w:rPr>
        <w:t>in May 2013</w:t>
      </w:r>
      <w:r w:rsidR="0012449B" w:rsidRPr="008D2842">
        <w:rPr>
          <w:rFonts w:ascii="Tahoma" w:hAnsi="Tahoma" w:cs="Tahoma"/>
          <w:b/>
          <w:sz w:val="28"/>
          <w:szCs w:val="28"/>
          <w:lang w:val="sr-Cyrl-BA"/>
        </w:rPr>
        <w:t xml:space="preserve"> </w:t>
      </w:r>
    </w:p>
    <w:p w:rsidR="0012449B" w:rsidRPr="008D2842" w:rsidRDefault="00FF7E7E" w:rsidP="0012449B">
      <w:pPr>
        <w:rPr>
          <w:rFonts w:ascii="Tahoma" w:hAnsi="Tahoma" w:cs="Tahoma"/>
          <w:b/>
          <w:sz w:val="28"/>
          <w:szCs w:val="28"/>
          <w:lang w:val="sr-Cyrl-BA"/>
        </w:rPr>
      </w:pPr>
      <w:r>
        <w:rPr>
          <w:rFonts w:ascii="Tahoma" w:hAnsi="Tahoma" w:cs="Tahoma"/>
          <w:b/>
          <w:sz w:val="28"/>
          <w:szCs w:val="28"/>
        </w:rPr>
        <w:t>Annual inflation</w:t>
      </w:r>
      <w:r w:rsidR="009F2D3D" w:rsidRPr="008D2842">
        <w:rPr>
          <w:rFonts w:ascii="Tahoma" w:hAnsi="Tahoma" w:cs="Tahoma"/>
          <w:b/>
          <w:sz w:val="28"/>
          <w:szCs w:val="28"/>
          <w:lang w:val="sr-Cyrl-BA"/>
        </w:rPr>
        <w:t xml:space="preserve"> (</w:t>
      </w:r>
      <w:r>
        <w:rPr>
          <w:rFonts w:ascii="Tahoma" w:hAnsi="Tahoma" w:cs="Tahoma"/>
          <w:b/>
          <w:sz w:val="28"/>
          <w:szCs w:val="28"/>
          <w:lang w:val="sr-Latn-CS"/>
        </w:rPr>
        <w:t>May</w:t>
      </w:r>
      <w:r w:rsidR="009F2D3D" w:rsidRPr="008D2842">
        <w:rPr>
          <w:rFonts w:ascii="Tahoma" w:hAnsi="Tahoma" w:cs="Tahoma"/>
          <w:b/>
          <w:sz w:val="28"/>
          <w:szCs w:val="28"/>
          <w:lang w:val="sr-Cyrl-BA"/>
        </w:rPr>
        <w:t xml:space="preserve"> 2013/</w:t>
      </w:r>
      <w:r>
        <w:rPr>
          <w:rFonts w:ascii="Tahoma" w:hAnsi="Tahoma" w:cs="Tahoma"/>
          <w:b/>
          <w:sz w:val="28"/>
          <w:szCs w:val="28"/>
          <w:lang w:val="sr-Latn-CS"/>
        </w:rPr>
        <w:t>May</w:t>
      </w:r>
      <w:r>
        <w:rPr>
          <w:rFonts w:ascii="Tahoma" w:hAnsi="Tahoma" w:cs="Tahoma"/>
          <w:b/>
          <w:sz w:val="28"/>
          <w:szCs w:val="28"/>
          <w:lang w:val="sr-Cyrl-BA"/>
        </w:rPr>
        <w:t xml:space="preserve"> 2012) 0</w:t>
      </w:r>
      <w:r>
        <w:rPr>
          <w:rFonts w:ascii="Tahoma" w:hAnsi="Tahoma" w:cs="Tahoma"/>
          <w:b/>
          <w:sz w:val="28"/>
          <w:szCs w:val="28"/>
        </w:rPr>
        <w:t>.</w:t>
      </w:r>
      <w:r w:rsidR="0012449B" w:rsidRPr="008D2842">
        <w:rPr>
          <w:rFonts w:ascii="Tahoma" w:hAnsi="Tahoma" w:cs="Tahoma"/>
          <w:b/>
          <w:sz w:val="28"/>
          <w:szCs w:val="28"/>
          <w:lang w:val="sr-Cyrl-BA"/>
        </w:rPr>
        <w:t>3%</w:t>
      </w:r>
    </w:p>
    <w:p w:rsidR="001561A7" w:rsidRPr="008D2842" w:rsidRDefault="001561A7" w:rsidP="00094E6E">
      <w:pPr>
        <w:ind w:left="-142"/>
        <w:jc w:val="both"/>
        <w:outlineLvl w:val="0"/>
        <w:rPr>
          <w:rFonts w:ascii="Tahoma" w:hAnsi="Tahoma" w:cs="Tahoma"/>
          <w:lang w:val="sr-Cyrl-CS"/>
        </w:rPr>
      </w:pPr>
    </w:p>
    <w:p w:rsidR="00893EF7" w:rsidRDefault="005F5C29" w:rsidP="0012449B">
      <w:pPr>
        <w:spacing w:after="120"/>
        <w:jc w:val="both"/>
        <w:rPr>
          <w:rFonts w:ascii="Tahoma" w:hAnsi="Tahoma" w:cs="Tahoma"/>
        </w:rPr>
      </w:pPr>
      <w:r>
        <w:rPr>
          <w:rFonts w:ascii="Tahoma" w:hAnsi="Tahoma" w:cs="Tahoma"/>
        </w:rPr>
        <w:t xml:space="preserve">Prices of products and services for personal consumption in </w:t>
      </w:r>
      <w:proofErr w:type="spellStart"/>
      <w:r>
        <w:rPr>
          <w:rFonts w:ascii="Tahoma" w:hAnsi="Tahoma" w:cs="Tahoma"/>
        </w:rPr>
        <w:t>Republika</w:t>
      </w:r>
      <w:proofErr w:type="spellEnd"/>
      <w:r>
        <w:rPr>
          <w:rFonts w:ascii="Tahoma" w:hAnsi="Tahoma" w:cs="Tahoma"/>
        </w:rPr>
        <w:t xml:space="preserve"> </w:t>
      </w:r>
      <w:proofErr w:type="spellStart"/>
      <w:r>
        <w:rPr>
          <w:rFonts w:ascii="Tahoma" w:hAnsi="Tahoma" w:cs="Tahoma"/>
        </w:rPr>
        <w:t>Srpska</w:t>
      </w:r>
      <w:proofErr w:type="spellEnd"/>
      <w:r>
        <w:rPr>
          <w:rFonts w:ascii="Tahoma" w:hAnsi="Tahoma" w:cs="Tahoma"/>
        </w:rPr>
        <w:t xml:space="preserve">, measured with the consumer price index, decreased by 0.1% </w:t>
      </w:r>
      <w:r w:rsidR="00DB1055">
        <w:rPr>
          <w:rFonts w:ascii="Tahoma" w:hAnsi="Tahoma" w:cs="Tahoma"/>
        </w:rPr>
        <w:t xml:space="preserve">in May 2013 compared to April 2013. </w:t>
      </w:r>
    </w:p>
    <w:p w:rsidR="00DB1055" w:rsidRDefault="00DB1055" w:rsidP="0012449B">
      <w:pPr>
        <w:jc w:val="both"/>
        <w:rPr>
          <w:rFonts w:ascii="Tahoma" w:hAnsi="Tahoma" w:cs="Tahoma"/>
        </w:rPr>
      </w:pPr>
      <w:r>
        <w:rPr>
          <w:rFonts w:ascii="Tahoma" w:hAnsi="Tahoma" w:cs="Tahoma"/>
        </w:rPr>
        <w:t>An increase was recorded in 2 out of 12 divisions in total.</w:t>
      </w:r>
      <w:r w:rsidR="00D51B1E">
        <w:rPr>
          <w:rFonts w:ascii="Tahoma" w:hAnsi="Tahoma" w:cs="Tahoma"/>
        </w:rPr>
        <w:t xml:space="preserve"> Increase in prices in May was recorded in the divisions </w:t>
      </w:r>
      <w:r w:rsidR="00D51B1E" w:rsidRPr="00D51B1E">
        <w:rPr>
          <w:rFonts w:ascii="Tahoma" w:hAnsi="Tahoma" w:cs="Tahoma"/>
          <w:i/>
        </w:rPr>
        <w:t>Alcoholic beverages and tobacco</w:t>
      </w:r>
      <w:r w:rsidR="00D51B1E">
        <w:rPr>
          <w:rFonts w:ascii="Tahoma" w:hAnsi="Tahoma" w:cs="Tahoma"/>
        </w:rPr>
        <w:t xml:space="preserve"> and </w:t>
      </w:r>
      <w:r w:rsidR="00D51B1E" w:rsidRPr="00D51B1E">
        <w:rPr>
          <w:rFonts w:ascii="Tahoma" w:hAnsi="Tahoma" w:cs="Tahoma"/>
          <w:i/>
        </w:rPr>
        <w:t>Food and non-alcoholic beverages</w:t>
      </w:r>
      <w:r w:rsidR="00D51B1E">
        <w:rPr>
          <w:rFonts w:ascii="Tahoma" w:hAnsi="Tahoma" w:cs="Tahoma"/>
        </w:rPr>
        <w:t xml:space="preserve">. </w:t>
      </w:r>
      <w:r>
        <w:rPr>
          <w:rFonts w:ascii="Tahoma" w:hAnsi="Tahoma" w:cs="Tahoma"/>
        </w:rPr>
        <w:t xml:space="preserve"> </w:t>
      </w:r>
    </w:p>
    <w:p w:rsidR="0012449B" w:rsidRPr="008D2842" w:rsidRDefault="0012449B" w:rsidP="0012449B">
      <w:pPr>
        <w:jc w:val="both"/>
        <w:rPr>
          <w:rFonts w:ascii="Tahoma" w:hAnsi="Tahoma" w:cs="Tahoma"/>
          <w:i/>
          <w:lang w:val="sr-Cyrl-BA"/>
        </w:rPr>
      </w:pPr>
    </w:p>
    <w:p w:rsidR="00D51B1E" w:rsidRDefault="00D51B1E" w:rsidP="0012449B">
      <w:pPr>
        <w:spacing w:after="120"/>
        <w:jc w:val="both"/>
        <w:rPr>
          <w:rFonts w:ascii="Tahoma" w:hAnsi="Tahoma" w:cs="Tahoma"/>
        </w:rPr>
      </w:pPr>
      <w:r>
        <w:rPr>
          <w:rFonts w:ascii="Tahoma" w:hAnsi="Tahoma" w:cs="Tahoma"/>
        </w:rPr>
        <w:t xml:space="preserve">Increase in prices by 0.2% recorded in the division </w:t>
      </w:r>
      <w:r w:rsidRPr="00D51B1E">
        <w:rPr>
          <w:rFonts w:ascii="Tahoma" w:hAnsi="Tahoma" w:cs="Tahoma"/>
          <w:i/>
        </w:rPr>
        <w:t>Alcoholic beverages and tobacco</w:t>
      </w:r>
      <w:r>
        <w:rPr>
          <w:rFonts w:ascii="Tahoma" w:hAnsi="Tahoma" w:cs="Tahoma"/>
        </w:rPr>
        <w:t xml:space="preserve"> occurred due to increased prices of beer (by 1.3%) and spirits (by 0.7%). </w:t>
      </w:r>
    </w:p>
    <w:p w:rsidR="00D51B1E" w:rsidRPr="00D51B1E" w:rsidRDefault="00D51B1E" w:rsidP="0012449B">
      <w:pPr>
        <w:jc w:val="both"/>
        <w:rPr>
          <w:rFonts w:ascii="Tahoma" w:hAnsi="Tahoma" w:cs="Tahoma"/>
        </w:rPr>
      </w:pPr>
      <w:r>
        <w:rPr>
          <w:rFonts w:ascii="Tahoma" w:hAnsi="Tahoma" w:cs="Tahoma"/>
        </w:rPr>
        <w:t xml:space="preserve">In the division </w:t>
      </w:r>
      <w:r w:rsidRPr="00D51B1E">
        <w:rPr>
          <w:rFonts w:ascii="Tahoma" w:hAnsi="Tahoma" w:cs="Tahoma"/>
          <w:i/>
        </w:rPr>
        <w:t>Food and non-alcoholic beverages</w:t>
      </w:r>
      <w:r>
        <w:rPr>
          <w:rFonts w:ascii="Tahoma" w:hAnsi="Tahoma" w:cs="Tahoma"/>
        </w:rPr>
        <w:t xml:space="preserve">, an increase in prices by 0.1% was recorded. An increase by 0.1% was recorded in the group </w:t>
      </w:r>
      <w:r w:rsidRPr="00D51B1E">
        <w:rPr>
          <w:rFonts w:ascii="Tahoma" w:hAnsi="Tahoma" w:cs="Tahoma"/>
          <w:i/>
        </w:rPr>
        <w:t>Food</w:t>
      </w:r>
      <w:r>
        <w:rPr>
          <w:rFonts w:ascii="Tahoma" w:hAnsi="Tahoma" w:cs="Tahoma"/>
          <w:i/>
        </w:rPr>
        <w:t xml:space="preserve">, </w:t>
      </w:r>
      <w:r>
        <w:rPr>
          <w:rFonts w:ascii="Tahoma" w:hAnsi="Tahoma" w:cs="Tahoma"/>
        </w:rPr>
        <w:t xml:space="preserve">and this increase in prices was recorded for fruit 3.0%, vegetables 2.5%, frozen puff pastry 1.2%, corn flour 1.0%, yoghurt 0.9%, olive oil 0.8%, canned and processed fish 0.5%, raw milk 0.4%, concentrated soup 0.4%, and ice cream 0.4%. The group Food was also influenced by an increase in prices of confectionery products 0.3%, </w:t>
      </w:r>
      <w:r w:rsidR="005E15AE">
        <w:rPr>
          <w:rFonts w:ascii="Tahoma" w:hAnsi="Tahoma" w:cs="Tahoma"/>
        </w:rPr>
        <w:t>food seasonings (“</w:t>
      </w:r>
      <w:proofErr w:type="spellStart"/>
      <w:r w:rsidR="005E15AE">
        <w:rPr>
          <w:rFonts w:ascii="Tahoma" w:hAnsi="Tahoma" w:cs="Tahoma"/>
        </w:rPr>
        <w:t>Vegeta</w:t>
      </w:r>
      <w:proofErr w:type="spellEnd"/>
      <w:r w:rsidR="005E15AE">
        <w:rPr>
          <w:rFonts w:ascii="Tahoma" w:hAnsi="Tahoma" w:cs="Tahoma"/>
        </w:rPr>
        <w:t>”, “</w:t>
      </w:r>
      <w:proofErr w:type="spellStart"/>
      <w:r w:rsidR="005E15AE">
        <w:rPr>
          <w:rFonts w:ascii="Tahoma" w:hAnsi="Tahoma" w:cs="Tahoma"/>
        </w:rPr>
        <w:t>Začin</w:t>
      </w:r>
      <w:proofErr w:type="spellEnd"/>
      <w:r w:rsidR="005E15AE">
        <w:rPr>
          <w:rFonts w:ascii="Tahoma" w:hAnsi="Tahoma" w:cs="Tahoma"/>
        </w:rPr>
        <w:t xml:space="preserve"> C“, etc.) 0.3%, fresh and frozen fish 0.2%, salt 0.1%. In the group </w:t>
      </w:r>
      <w:r w:rsidR="005E15AE" w:rsidRPr="005E15AE">
        <w:rPr>
          <w:rFonts w:ascii="Tahoma" w:hAnsi="Tahoma" w:cs="Tahoma"/>
          <w:i/>
        </w:rPr>
        <w:t>Non-alcoholic beverages</w:t>
      </w:r>
      <w:r w:rsidR="005E15AE">
        <w:rPr>
          <w:rFonts w:ascii="Tahoma" w:hAnsi="Tahoma" w:cs="Tahoma"/>
        </w:rPr>
        <w:t>, prices were on the average 0.3% lower, due to lower prices of sparkling water and fizzy soft drinks by 1.2% and of fruit syrups by 0.7%.</w:t>
      </w:r>
    </w:p>
    <w:p w:rsidR="0012449B" w:rsidRPr="008D2842" w:rsidRDefault="0012449B" w:rsidP="0012449B">
      <w:pPr>
        <w:spacing w:after="120"/>
        <w:jc w:val="both"/>
        <w:rPr>
          <w:rFonts w:ascii="Tahoma" w:hAnsi="Tahoma" w:cs="Tahoma"/>
          <w:lang w:val="sr-Cyrl-BA"/>
        </w:rPr>
      </w:pPr>
    </w:p>
    <w:p w:rsidR="005E15AE" w:rsidRDefault="005E15AE" w:rsidP="0012449B">
      <w:pPr>
        <w:jc w:val="both"/>
        <w:rPr>
          <w:rFonts w:ascii="Tahoma" w:hAnsi="Tahoma" w:cs="Tahoma"/>
        </w:rPr>
      </w:pPr>
      <w:r>
        <w:rPr>
          <w:rFonts w:ascii="Tahoma" w:hAnsi="Tahoma" w:cs="Tahoma"/>
        </w:rPr>
        <w:t xml:space="preserve">In the divisions </w:t>
      </w:r>
      <w:r w:rsidRPr="005E15AE">
        <w:rPr>
          <w:rFonts w:ascii="Tahoma" w:hAnsi="Tahoma" w:cs="Tahoma"/>
          <w:i/>
        </w:rPr>
        <w:t>Clothing and footwear</w:t>
      </w:r>
      <w:r>
        <w:rPr>
          <w:rFonts w:ascii="Tahoma" w:hAnsi="Tahoma" w:cs="Tahoma"/>
        </w:rPr>
        <w:t xml:space="preserve">, </w:t>
      </w:r>
      <w:r w:rsidRPr="005E15AE">
        <w:rPr>
          <w:rFonts w:ascii="Tahoma" w:hAnsi="Tahoma" w:cs="Tahoma"/>
          <w:i/>
        </w:rPr>
        <w:t>Housing</w:t>
      </w:r>
      <w:r>
        <w:rPr>
          <w:rFonts w:ascii="Tahoma" w:hAnsi="Tahoma" w:cs="Tahoma"/>
        </w:rPr>
        <w:t xml:space="preserve">, </w:t>
      </w:r>
      <w:r w:rsidRPr="005E15AE">
        <w:rPr>
          <w:rFonts w:ascii="Tahoma" w:hAnsi="Tahoma" w:cs="Tahoma"/>
          <w:i/>
        </w:rPr>
        <w:t>Communication</w:t>
      </w:r>
      <w:r>
        <w:rPr>
          <w:rFonts w:ascii="Tahoma" w:hAnsi="Tahoma" w:cs="Tahoma"/>
        </w:rPr>
        <w:t xml:space="preserve">, </w:t>
      </w:r>
      <w:r w:rsidRPr="005E15AE">
        <w:rPr>
          <w:rFonts w:ascii="Tahoma" w:hAnsi="Tahoma" w:cs="Tahoma"/>
          <w:i/>
        </w:rPr>
        <w:t>Recreation and Culture</w:t>
      </w:r>
      <w:r>
        <w:rPr>
          <w:rFonts w:ascii="Tahoma" w:hAnsi="Tahoma" w:cs="Tahoma"/>
        </w:rPr>
        <w:t xml:space="preserve">, </w:t>
      </w:r>
      <w:r w:rsidRPr="005E15AE">
        <w:rPr>
          <w:rFonts w:ascii="Tahoma" w:hAnsi="Tahoma" w:cs="Tahoma"/>
          <w:i/>
        </w:rPr>
        <w:t>Education</w:t>
      </w:r>
      <w:r>
        <w:rPr>
          <w:rFonts w:ascii="Tahoma" w:hAnsi="Tahoma" w:cs="Tahoma"/>
        </w:rPr>
        <w:t xml:space="preserve">, and </w:t>
      </w:r>
      <w:r w:rsidRPr="005E15AE">
        <w:rPr>
          <w:rFonts w:ascii="Tahoma" w:hAnsi="Tahoma" w:cs="Tahoma"/>
          <w:i/>
        </w:rPr>
        <w:t>Hotels and Restaurants</w:t>
      </w:r>
      <w:r>
        <w:rPr>
          <w:rFonts w:ascii="Tahoma" w:hAnsi="Tahoma" w:cs="Tahoma"/>
        </w:rPr>
        <w:t xml:space="preserve">, prices remained the same on the average. </w:t>
      </w:r>
    </w:p>
    <w:p w:rsidR="0012449B" w:rsidRPr="008D2842" w:rsidRDefault="0012449B" w:rsidP="0012449B">
      <w:pPr>
        <w:jc w:val="both"/>
        <w:rPr>
          <w:rFonts w:ascii="Tahoma" w:hAnsi="Tahoma" w:cs="Tahoma"/>
          <w:lang w:val="sr-Cyrl-BA"/>
        </w:rPr>
      </w:pPr>
    </w:p>
    <w:p w:rsidR="005E15AE" w:rsidRDefault="005E15AE" w:rsidP="0012449B">
      <w:pPr>
        <w:spacing w:after="120"/>
        <w:jc w:val="both"/>
        <w:rPr>
          <w:rFonts w:ascii="Tahoma" w:eastAsia="Calibri" w:hAnsi="Tahoma" w:cs="Tahoma"/>
        </w:rPr>
      </w:pPr>
      <w:r>
        <w:rPr>
          <w:rFonts w:ascii="Tahoma" w:eastAsia="Calibri" w:hAnsi="Tahoma" w:cs="Tahoma"/>
        </w:rPr>
        <w:t xml:space="preserve">In the division </w:t>
      </w:r>
      <w:r w:rsidRPr="005E15AE">
        <w:rPr>
          <w:rFonts w:ascii="Tahoma" w:eastAsia="Calibri" w:hAnsi="Tahoma" w:cs="Tahoma"/>
          <w:i/>
        </w:rPr>
        <w:t>Health Care</w:t>
      </w:r>
      <w:r>
        <w:rPr>
          <w:rFonts w:ascii="Tahoma" w:eastAsia="Calibri" w:hAnsi="Tahoma" w:cs="Tahoma"/>
        </w:rPr>
        <w:t xml:space="preserve">, a decrease in prices by 0.1% occurred due to lower prices of certain medicines. </w:t>
      </w:r>
    </w:p>
    <w:p w:rsidR="00806168" w:rsidRDefault="00806168" w:rsidP="0012449B">
      <w:pPr>
        <w:spacing w:after="120"/>
        <w:jc w:val="both"/>
        <w:rPr>
          <w:rFonts w:ascii="Tahoma" w:eastAsia="Calibri" w:hAnsi="Tahoma" w:cs="Tahoma"/>
          <w:lang w:val="sr-Latn-CS"/>
        </w:rPr>
      </w:pPr>
    </w:p>
    <w:p w:rsidR="005E15AE" w:rsidRDefault="005E15AE" w:rsidP="0012449B">
      <w:pPr>
        <w:spacing w:after="120"/>
        <w:jc w:val="both"/>
        <w:rPr>
          <w:rFonts w:ascii="Tahoma" w:eastAsia="Calibri" w:hAnsi="Tahoma" w:cs="Tahoma"/>
        </w:rPr>
      </w:pPr>
      <w:r>
        <w:rPr>
          <w:rFonts w:ascii="Tahoma" w:eastAsia="Calibri" w:hAnsi="Tahoma" w:cs="Tahoma"/>
        </w:rPr>
        <w:lastRenderedPageBreak/>
        <w:t xml:space="preserve">In the division </w:t>
      </w:r>
      <w:r w:rsidRPr="005E15AE">
        <w:rPr>
          <w:rFonts w:ascii="Tahoma" w:eastAsia="Calibri" w:hAnsi="Tahoma" w:cs="Tahoma"/>
          <w:i/>
        </w:rPr>
        <w:t>Furnishings and housing equipment</w:t>
      </w:r>
      <w:r>
        <w:rPr>
          <w:rFonts w:ascii="Tahoma" w:eastAsia="Calibri" w:hAnsi="Tahoma" w:cs="Tahoma"/>
        </w:rPr>
        <w:t xml:space="preserve">, a decrease in prices by 0.2% occurred due to lower prices of non-durable household goods, by 1.0%. </w:t>
      </w:r>
    </w:p>
    <w:p w:rsidR="005E15AE" w:rsidRDefault="005E15AE" w:rsidP="0012449B">
      <w:pPr>
        <w:spacing w:after="120"/>
        <w:jc w:val="both"/>
        <w:rPr>
          <w:rFonts w:ascii="Tahoma" w:eastAsia="Calibri" w:hAnsi="Tahoma" w:cs="Tahoma"/>
        </w:rPr>
      </w:pPr>
      <w:r>
        <w:rPr>
          <w:rFonts w:ascii="Tahoma" w:eastAsia="Calibri" w:hAnsi="Tahoma" w:cs="Tahoma"/>
        </w:rPr>
        <w:t>In the division Other goods and services, prices decreased by 0.3% due to lower prices of personal care products (deodorants, hair</w:t>
      </w:r>
      <w:r w:rsidR="00A51C15">
        <w:rPr>
          <w:rFonts w:ascii="Tahoma" w:eastAsia="Calibri" w:hAnsi="Tahoma" w:cs="Tahoma"/>
        </w:rPr>
        <w:t xml:space="preserve"> </w:t>
      </w:r>
      <w:r>
        <w:rPr>
          <w:rFonts w:ascii="Tahoma" w:eastAsia="Calibri" w:hAnsi="Tahoma" w:cs="Tahoma"/>
        </w:rPr>
        <w:t xml:space="preserve">sprays, </w:t>
      </w:r>
      <w:r w:rsidR="00A51C15">
        <w:rPr>
          <w:rFonts w:ascii="Tahoma" w:eastAsia="Calibri" w:hAnsi="Tahoma" w:cs="Tahoma"/>
        </w:rPr>
        <w:t xml:space="preserve">hair </w:t>
      </w:r>
      <w:proofErr w:type="spellStart"/>
      <w:r w:rsidR="00A51C15">
        <w:rPr>
          <w:rFonts w:ascii="Tahoma" w:eastAsia="Calibri" w:hAnsi="Tahoma" w:cs="Tahoma"/>
        </w:rPr>
        <w:t>colours</w:t>
      </w:r>
      <w:proofErr w:type="spellEnd"/>
      <w:r w:rsidR="00A51C15">
        <w:rPr>
          <w:rFonts w:ascii="Tahoma" w:eastAsia="Calibri" w:hAnsi="Tahoma" w:cs="Tahoma"/>
        </w:rPr>
        <w:t>, toilet paper, sanitary pads, diapers, shampoo, toothpaste, creams) by 1.2%.</w:t>
      </w:r>
    </w:p>
    <w:p w:rsidR="00A51C15" w:rsidRDefault="00A51C15" w:rsidP="0012449B">
      <w:pPr>
        <w:spacing w:after="120"/>
        <w:jc w:val="both"/>
        <w:rPr>
          <w:rFonts w:ascii="Tahoma" w:hAnsi="Tahoma" w:cs="Tahoma"/>
        </w:rPr>
      </w:pPr>
      <w:r>
        <w:rPr>
          <w:rFonts w:ascii="Tahoma" w:hAnsi="Tahoma" w:cs="Tahoma"/>
        </w:rPr>
        <w:t xml:space="preserve">Also, in the division </w:t>
      </w:r>
      <w:r w:rsidRPr="00A51C15">
        <w:rPr>
          <w:rFonts w:ascii="Tahoma" w:hAnsi="Tahoma" w:cs="Tahoma"/>
          <w:i/>
        </w:rPr>
        <w:t>Transport</w:t>
      </w:r>
      <w:r>
        <w:rPr>
          <w:rFonts w:ascii="Tahoma" w:hAnsi="Tahoma" w:cs="Tahoma"/>
        </w:rPr>
        <w:t xml:space="preserve">, a decrease in prices was recorded, by 0.7%, because all fuels were cheaper, which caused the total decrease of prices in the subgroup </w:t>
      </w:r>
      <w:r w:rsidRPr="00A51C15">
        <w:rPr>
          <w:rFonts w:ascii="Tahoma" w:hAnsi="Tahoma" w:cs="Tahoma"/>
          <w:i/>
        </w:rPr>
        <w:t>Fuels and lubricants</w:t>
      </w:r>
      <w:r>
        <w:rPr>
          <w:rFonts w:ascii="Tahoma" w:hAnsi="Tahoma" w:cs="Tahoma"/>
        </w:rPr>
        <w:t>, by 1.2%.</w:t>
      </w:r>
    </w:p>
    <w:p w:rsidR="00A51C15" w:rsidRDefault="00A51C15" w:rsidP="00983E6E">
      <w:pPr>
        <w:spacing w:after="120"/>
        <w:jc w:val="both"/>
        <w:rPr>
          <w:rFonts w:ascii="Tahoma" w:hAnsi="Tahoma" w:cs="Tahoma"/>
        </w:rPr>
      </w:pPr>
      <w:r>
        <w:rPr>
          <w:rFonts w:ascii="Tahoma" w:hAnsi="Tahoma" w:cs="Tahoma"/>
        </w:rPr>
        <w:t xml:space="preserve">Prices of products and services for personal consumption in </w:t>
      </w:r>
      <w:proofErr w:type="spellStart"/>
      <w:r>
        <w:rPr>
          <w:rFonts w:ascii="Tahoma" w:hAnsi="Tahoma" w:cs="Tahoma"/>
        </w:rPr>
        <w:t>Republika</w:t>
      </w:r>
      <w:proofErr w:type="spellEnd"/>
      <w:r>
        <w:rPr>
          <w:rFonts w:ascii="Tahoma" w:hAnsi="Tahoma" w:cs="Tahoma"/>
        </w:rPr>
        <w:t xml:space="preserve"> </w:t>
      </w:r>
      <w:proofErr w:type="spellStart"/>
      <w:r>
        <w:rPr>
          <w:rFonts w:ascii="Tahoma" w:hAnsi="Tahoma" w:cs="Tahoma"/>
        </w:rPr>
        <w:t>Srpska</w:t>
      </w:r>
      <w:proofErr w:type="spellEnd"/>
      <w:r>
        <w:rPr>
          <w:rFonts w:ascii="Tahoma" w:hAnsi="Tahoma" w:cs="Tahoma"/>
        </w:rPr>
        <w:t xml:space="preserve"> in May 2013, compared to the same month of 2012, were on the average 0.3% higher. </w:t>
      </w:r>
    </w:p>
    <w:p w:rsidR="00A51C15" w:rsidRDefault="00A51C15" w:rsidP="00983E6E">
      <w:pPr>
        <w:jc w:val="both"/>
        <w:rPr>
          <w:rFonts w:ascii="Tahoma" w:hAnsi="Tahoma" w:cs="Tahoma"/>
        </w:rPr>
      </w:pPr>
      <w:r>
        <w:rPr>
          <w:rFonts w:ascii="Tahoma" w:hAnsi="Tahoma" w:cs="Tahoma"/>
        </w:rPr>
        <w:t xml:space="preserve">In May 2013, compared to May 2012, by division of purpose of consumption, the highest growth was recorded in the division </w:t>
      </w:r>
      <w:r w:rsidRPr="00A51C15">
        <w:rPr>
          <w:rFonts w:ascii="Tahoma" w:hAnsi="Tahoma" w:cs="Tahoma"/>
          <w:i/>
        </w:rPr>
        <w:t>Alcoholic beverages and tobacco</w:t>
      </w:r>
      <w:r>
        <w:rPr>
          <w:rFonts w:ascii="Tahoma" w:hAnsi="Tahoma" w:cs="Tahoma"/>
        </w:rPr>
        <w:t xml:space="preserve">, by 5.9%. </w:t>
      </w:r>
    </w:p>
    <w:p w:rsidR="004A08B4" w:rsidRPr="008D2842" w:rsidRDefault="004A08B4" w:rsidP="00094E6E">
      <w:pPr>
        <w:tabs>
          <w:tab w:val="left" w:pos="300"/>
          <w:tab w:val="left" w:pos="1100"/>
        </w:tabs>
        <w:jc w:val="both"/>
        <w:rPr>
          <w:rFonts w:ascii="Tahoma" w:hAnsi="Tahoma" w:cs="Tahoma"/>
          <w:b/>
          <w:lang w:val="sr-Cyrl-BA"/>
        </w:rPr>
      </w:pPr>
    </w:p>
    <w:p w:rsidR="00E62A34" w:rsidRPr="008D2842" w:rsidRDefault="00E62A34" w:rsidP="004641E9">
      <w:pPr>
        <w:rPr>
          <w:rFonts w:ascii="Tahoma" w:hAnsi="Tahoma" w:cs="Tahoma"/>
          <w:b/>
          <w:lang w:val="sr-Latn-CS"/>
        </w:rPr>
      </w:pPr>
    </w:p>
    <w:p w:rsidR="005E0301" w:rsidRPr="00A51C15" w:rsidRDefault="00A51C15" w:rsidP="004641E9">
      <w:pPr>
        <w:rPr>
          <w:rFonts w:ascii="Tahoma" w:hAnsi="Tahoma" w:cs="Tahoma"/>
          <w:b/>
        </w:rPr>
      </w:pPr>
      <w:r>
        <w:rPr>
          <w:rFonts w:ascii="Tahoma" w:hAnsi="Tahoma" w:cs="Tahoma"/>
          <w:b/>
          <w:sz w:val="28"/>
          <w:szCs w:val="28"/>
        </w:rPr>
        <w:t>Producer prices of industrial products</w:t>
      </w:r>
      <w:r w:rsidR="00F24C99" w:rsidRPr="008D2842">
        <w:rPr>
          <w:rFonts w:ascii="Tahoma" w:hAnsi="Tahoma" w:cs="Tahoma"/>
          <w:b/>
          <w:sz w:val="28"/>
          <w:szCs w:val="28"/>
          <w:lang w:val="sr-Cyrl-CS"/>
        </w:rPr>
        <w:t xml:space="preserve"> </w:t>
      </w:r>
      <w:r>
        <w:rPr>
          <w:rFonts w:ascii="Tahoma" w:hAnsi="Tahoma" w:cs="Tahoma"/>
          <w:b/>
          <w:sz w:val="28"/>
          <w:szCs w:val="28"/>
        </w:rPr>
        <w:t>on domestic market</w:t>
      </w:r>
      <w:r w:rsidR="005E0301" w:rsidRPr="008D2842">
        <w:rPr>
          <w:rFonts w:ascii="Tahoma" w:hAnsi="Tahoma" w:cs="Tahoma"/>
          <w:b/>
          <w:sz w:val="28"/>
          <w:szCs w:val="28"/>
          <w:lang w:val="sr-Cyrl-CS"/>
        </w:rPr>
        <w:t xml:space="preserve"> </w:t>
      </w:r>
      <w:r w:rsidR="00825667" w:rsidRPr="008D2842">
        <w:rPr>
          <w:rFonts w:ascii="Tahoma" w:hAnsi="Tahoma" w:cs="Tahoma"/>
          <w:b/>
          <w:sz w:val="28"/>
          <w:szCs w:val="28"/>
          <w:lang w:val="sr-Cyrl-CS"/>
        </w:rPr>
        <w:t>(</w:t>
      </w:r>
      <w:r>
        <w:rPr>
          <w:rFonts w:ascii="Tahoma" w:hAnsi="Tahoma" w:cs="Tahoma"/>
          <w:b/>
          <w:sz w:val="28"/>
          <w:szCs w:val="28"/>
          <w:lang w:val="sr-Latn-CS"/>
        </w:rPr>
        <w:t>May</w:t>
      </w:r>
      <w:r w:rsidR="00BE5202" w:rsidRPr="008D2842">
        <w:rPr>
          <w:rFonts w:ascii="Tahoma" w:hAnsi="Tahoma" w:cs="Tahoma"/>
          <w:b/>
          <w:sz w:val="28"/>
          <w:szCs w:val="28"/>
          <w:lang w:val="sr-Cyrl-CS"/>
        </w:rPr>
        <w:t xml:space="preserve"> </w:t>
      </w:r>
      <w:r w:rsidR="00B6250B" w:rsidRPr="008D2842">
        <w:rPr>
          <w:rFonts w:ascii="Tahoma" w:hAnsi="Tahoma" w:cs="Tahoma"/>
          <w:b/>
          <w:sz w:val="28"/>
          <w:szCs w:val="28"/>
          <w:lang w:val="sr-Cyrl-CS"/>
        </w:rPr>
        <w:t>201</w:t>
      </w:r>
      <w:r w:rsidR="0038415D" w:rsidRPr="008D2842">
        <w:rPr>
          <w:rFonts w:ascii="Tahoma" w:hAnsi="Tahoma" w:cs="Tahoma"/>
          <w:b/>
          <w:sz w:val="28"/>
          <w:szCs w:val="28"/>
          <w:lang w:val="sr-Latn-CS"/>
        </w:rPr>
        <w:t>3</w:t>
      </w:r>
      <w:r w:rsidR="0009483B" w:rsidRPr="008D2842">
        <w:rPr>
          <w:rFonts w:ascii="Tahoma" w:hAnsi="Tahoma" w:cs="Tahoma"/>
          <w:b/>
          <w:sz w:val="28"/>
          <w:szCs w:val="28"/>
          <w:lang w:val="sr-Cyrl-CS"/>
        </w:rPr>
        <w:t>/</w:t>
      </w:r>
      <w:r>
        <w:rPr>
          <w:rFonts w:ascii="Tahoma" w:hAnsi="Tahoma" w:cs="Tahoma"/>
          <w:b/>
          <w:sz w:val="28"/>
          <w:szCs w:val="28"/>
          <w:lang w:val="sr-Latn-CS"/>
        </w:rPr>
        <w:t>April</w:t>
      </w:r>
      <w:r w:rsidR="0009483B" w:rsidRPr="008D2842">
        <w:rPr>
          <w:rFonts w:ascii="Tahoma" w:hAnsi="Tahoma" w:cs="Tahoma"/>
          <w:b/>
          <w:sz w:val="28"/>
          <w:szCs w:val="28"/>
          <w:lang w:val="sr-Cyrl-CS"/>
        </w:rPr>
        <w:t xml:space="preserve"> 201</w:t>
      </w:r>
      <w:r w:rsidR="00F24C99" w:rsidRPr="008D2842">
        <w:rPr>
          <w:rFonts w:ascii="Tahoma" w:hAnsi="Tahoma" w:cs="Tahoma"/>
          <w:b/>
          <w:sz w:val="28"/>
          <w:szCs w:val="28"/>
          <w:lang w:val="sr-Latn-CS"/>
        </w:rPr>
        <w:t>3</w:t>
      </w:r>
      <w:r w:rsidR="00153234" w:rsidRPr="008D2842">
        <w:rPr>
          <w:rFonts w:ascii="Tahoma" w:hAnsi="Tahoma" w:cs="Tahoma"/>
          <w:b/>
          <w:sz w:val="28"/>
          <w:szCs w:val="28"/>
          <w:lang w:val="sr-Cyrl-CS"/>
        </w:rPr>
        <w:t>)</w:t>
      </w:r>
      <w:r w:rsidR="007A44D9" w:rsidRPr="008D2842">
        <w:rPr>
          <w:rFonts w:ascii="Tahoma" w:hAnsi="Tahoma" w:cs="Tahoma"/>
          <w:b/>
          <w:sz w:val="28"/>
          <w:szCs w:val="28"/>
          <w:lang w:val="sr-Latn-CS"/>
        </w:rPr>
        <w:t xml:space="preserve"> </w:t>
      </w:r>
      <w:r>
        <w:rPr>
          <w:rFonts w:ascii="Tahoma" w:hAnsi="Tahoma" w:cs="Tahoma"/>
          <w:b/>
          <w:sz w:val="28"/>
          <w:szCs w:val="28"/>
        </w:rPr>
        <w:t>on the average</w:t>
      </w:r>
      <w:r>
        <w:rPr>
          <w:rFonts w:ascii="Tahoma" w:hAnsi="Tahoma" w:cs="Tahoma"/>
          <w:b/>
          <w:sz w:val="28"/>
          <w:szCs w:val="28"/>
          <w:lang w:val="sr-Cyrl-CS"/>
        </w:rPr>
        <w:t xml:space="preserve"> 0</w:t>
      </w:r>
      <w:r>
        <w:rPr>
          <w:rFonts w:ascii="Tahoma" w:hAnsi="Tahoma" w:cs="Tahoma"/>
          <w:b/>
          <w:sz w:val="28"/>
          <w:szCs w:val="28"/>
        </w:rPr>
        <w:t>.</w:t>
      </w:r>
      <w:r w:rsidR="00093C6A" w:rsidRPr="008D2842">
        <w:rPr>
          <w:rFonts w:ascii="Tahoma" w:hAnsi="Tahoma" w:cs="Tahoma"/>
          <w:b/>
          <w:sz w:val="28"/>
          <w:szCs w:val="28"/>
          <w:lang w:val="sr-Cyrl-CS"/>
        </w:rPr>
        <w:t>1</w:t>
      </w:r>
      <w:r w:rsidR="001B32B9" w:rsidRPr="008D2842">
        <w:rPr>
          <w:rFonts w:ascii="Tahoma" w:hAnsi="Tahoma" w:cs="Tahoma"/>
          <w:b/>
          <w:sz w:val="28"/>
          <w:szCs w:val="28"/>
          <w:lang w:val="sr-Cyrl-CS"/>
        </w:rPr>
        <w:t>%</w:t>
      </w:r>
      <w:r>
        <w:rPr>
          <w:rFonts w:ascii="Tahoma" w:hAnsi="Tahoma" w:cs="Tahoma"/>
          <w:b/>
          <w:sz w:val="28"/>
          <w:szCs w:val="28"/>
        </w:rPr>
        <w:t xml:space="preserve"> higher</w:t>
      </w:r>
    </w:p>
    <w:p w:rsidR="001A1901" w:rsidRPr="008D2842" w:rsidRDefault="001A1901" w:rsidP="001A1901">
      <w:pPr>
        <w:ind w:right="68"/>
        <w:jc w:val="both"/>
        <w:rPr>
          <w:rFonts w:ascii="Tahoma" w:hAnsi="Tahoma" w:cs="Tahoma"/>
          <w:lang w:val="sr-Latn-CS"/>
        </w:rPr>
      </w:pPr>
    </w:p>
    <w:p w:rsidR="00A51C15" w:rsidRDefault="00A51C15" w:rsidP="00CF3976">
      <w:pPr>
        <w:spacing w:after="120"/>
        <w:ind w:right="68"/>
        <w:jc w:val="both"/>
        <w:rPr>
          <w:rFonts w:ascii="Tahoma" w:hAnsi="Tahoma" w:cs="Tahoma"/>
        </w:rPr>
      </w:pPr>
      <w:r>
        <w:rPr>
          <w:rFonts w:ascii="Tahoma" w:hAnsi="Tahoma" w:cs="Tahoma"/>
        </w:rPr>
        <w:t xml:space="preserve">Producer prices of industrial products on domestic market in May 2013, compared to April 2013, were on the average 0.1% higher, compared to May 2012 they were 0.9% higher, while compared to December 2012 they were 0.2% lower. </w:t>
      </w:r>
    </w:p>
    <w:p w:rsidR="00A51C15" w:rsidRDefault="00A51C15" w:rsidP="00CF3976">
      <w:pPr>
        <w:spacing w:after="120"/>
        <w:ind w:right="68"/>
        <w:jc w:val="both"/>
        <w:rPr>
          <w:rFonts w:ascii="Tahoma" w:hAnsi="Tahoma" w:cs="Tahoma"/>
        </w:rPr>
      </w:pPr>
      <w:r>
        <w:rPr>
          <w:rFonts w:ascii="Tahoma" w:hAnsi="Tahoma" w:cs="Tahoma"/>
        </w:rPr>
        <w:t>By purpose of consumption, in May 2013, compared to April 2013, prices of consumer</w:t>
      </w:r>
      <w:r w:rsidRPr="00A51C15">
        <w:rPr>
          <w:rFonts w:ascii="Tahoma" w:hAnsi="Tahoma" w:cs="Tahoma"/>
        </w:rPr>
        <w:t xml:space="preserve"> </w:t>
      </w:r>
      <w:r>
        <w:rPr>
          <w:rFonts w:ascii="Tahoma" w:hAnsi="Tahoma" w:cs="Tahoma"/>
        </w:rPr>
        <w:t xml:space="preserve">non-durables were on the average 0.1% higher, while prices of energy, intermediate goods, capital goods and consumer durables remained at the same level.  </w:t>
      </w:r>
    </w:p>
    <w:p w:rsidR="00A51C15" w:rsidRDefault="00A51C15" w:rsidP="00CF3976">
      <w:pPr>
        <w:spacing w:after="120"/>
        <w:ind w:right="68"/>
        <w:jc w:val="both"/>
        <w:rPr>
          <w:rFonts w:ascii="Tahoma" w:hAnsi="Tahoma" w:cs="Tahoma"/>
        </w:rPr>
      </w:pPr>
      <w:r>
        <w:rPr>
          <w:rFonts w:ascii="Tahoma" w:hAnsi="Tahoma" w:cs="Tahoma"/>
        </w:rPr>
        <w:t xml:space="preserve">Prices of intermediate goods, by purpose of consumption, in May 2013, compared to May 2012, were on the average 2.2% higher, prices of consumer non-durables were 0.4% higher, prices of energy 0.3% higher, while prices of capital goods were on the average 0.5% lower and prices of consumer durables were 0.3% lower. </w:t>
      </w:r>
    </w:p>
    <w:p w:rsidR="00A51C15" w:rsidRDefault="0011571D" w:rsidP="00D070A9">
      <w:pPr>
        <w:spacing w:after="120"/>
        <w:ind w:right="68"/>
        <w:jc w:val="both"/>
        <w:rPr>
          <w:rFonts w:ascii="Tahoma" w:hAnsi="Tahoma" w:cs="Tahoma"/>
        </w:rPr>
      </w:pPr>
      <w:r>
        <w:rPr>
          <w:rFonts w:ascii="Tahoma" w:hAnsi="Tahoma" w:cs="Tahoma"/>
        </w:rPr>
        <w:t xml:space="preserve">By section of industrial production (PRODCOM), prices in May 2013 compared to April 2013 in the section (B) Mining and quarrying were on the average 0.2% lower, while prices in the sections (C) Manufacturing and (D) Electricity, gas, steam and air-conditioning supply remained the same. </w:t>
      </w:r>
    </w:p>
    <w:p w:rsidR="0011571D" w:rsidRDefault="0011571D" w:rsidP="00D070A9">
      <w:pPr>
        <w:spacing w:after="120"/>
        <w:ind w:right="68"/>
        <w:jc w:val="both"/>
        <w:rPr>
          <w:rFonts w:ascii="Tahoma" w:hAnsi="Tahoma" w:cs="Tahoma"/>
        </w:rPr>
      </w:pPr>
      <w:r>
        <w:rPr>
          <w:rFonts w:ascii="Tahoma" w:hAnsi="Tahoma" w:cs="Tahoma"/>
        </w:rPr>
        <w:t xml:space="preserve">In May 2013, compared to May 2012, prices in the section </w:t>
      </w:r>
      <w:r w:rsidRPr="0011571D">
        <w:rPr>
          <w:rFonts w:ascii="Tahoma" w:hAnsi="Tahoma" w:cs="Tahoma"/>
          <w:i/>
        </w:rPr>
        <w:t>Mining and quarrying</w:t>
      </w:r>
      <w:r>
        <w:rPr>
          <w:rFonts w:ascii="Tahoma" w:hAnsi="Tahoma" w:cs="Tahoma"/>
        </w:rPr>
        <w:t xml:space="preserve"> increased by 1.8%, prices in the section </w:t>
      </w:r>
      <w:r w:rsidRPr="0011571D">
        <w:rPr>
          <w:rFonts w:ascii="Tahoma" w:hAnsi="Tahoma" w:cs="Tahoma"/>
          <w:i/>
        </w:rPr>
        <w:t>Manufacturing</w:t>
      </w:r>
      <w:r>
        <w:rPr>
          <w:rFonts w:ascii="Tahoma" w:hAnsi="Tahoma" w:cs="Tahoma"/>
        </w:rPr>
        <w:t xml:space="preserve"> increased by 1.2%, while prices in the section </w:t>
      </w:r>
      <w:r w:rsidRPr="0011571D">
        <w:rPr>
          <w:rFonts w:ascii="Tahoma" w:hAnsi="Tahoma" w:cs="Tahoma"/>
          <w:i/>
        </w:rPr>
        <w:t>Electricity, gas, steam and air-conditioning supply</w:t>
      </w:r>
      <w:r>
        <w:rPr>
          <w:rFonts w:ascii="Tahoma" w:hAnsi="Tahoma" w:cs="Tahoma"/>
        </w:rPr>
        <w:t xml:space="preserve"> remained the same. </w:t>
      </w:r>
    </w:p>
    <w:p w:rsidR="006B3FBB" w:rsidRPr="00806168" w:rsidRDefault="006B3FBB" w:rsidP="00094E6E">
      <w:pPr>
        <w:jc w:val="both"/>
        <w:rPr>
          <w:rFonts w:ascii="Tahoma" w:hAnsi="Tahoma" w:cs="Tahoma"/>
          <w:lang w:val="sr-Cyrl-CS"/>
        </w:rPr>
      </w:pPr>
    </w:p>
    <w:p w:rsidR="00C155B7" w:rsidRPr="00806168" w:rsidRDefault="00C155B7" w:rsidP="00517795">
      <w:pPr>
        <w:tabs>
          <w:tab w:val="left" w:pos="0"/>
          <w:tab w:val="left" w:pos="1100"/>
        </w:tabs>
        <w:jc w:val="both"/>
        <w:rPr>
          <w:rFonts w:ascii="Tahoma" w:hAnsi="Tahoma" w:cs="Tahoma"/>
          <w:b/>
          <w:spacing w:val="-4"/>
        </w:rPr>
      </w:pPr>
    </w:p>
    <w:p w:rsidR="00861AF4" w:rsidRPr="00861AF4" w:rsidRDefault="00CF6B5C" w:rsidP="00861AF4">
      <w:pPr>
        <w:tabs>
          <w:tab w:val="left" w:pos="0"/>
          <w:tab w:val="left" w:pos="1100"/>
        </w:tabs>
        <w:jc w:val="both"/>
        <w:rPr>
          <w:rFonts w:ascii="Tahoma" w:hAnsi="Tahoma" w:cs="Tahoma"/>
          <w:b/>
          <w:sz w:val="26"/>
          <w:szCs w:val="26"/>
          <w:lang w:val="sr-Cyrl-CS"/>
        </w:rPr>
      </w:pPr>
      <w:r>
        <w:rPr>
          <w:rFonts w:ascii="Tahoma" w:hAnsi="Tahoma" w:cs="Tahoma"/>
          <w:b/>
          <w:sz w:val="26"/>
          <w:szCs w:val="26"/>
        </w:rPr>
        <w:t>Indices of employees in industry</w:t>
      </w:r>
      <w:r w:rsidR="00861AF4" w:rsidRPr="00861AF4">
        <w:rPr>
          <w:rFonts w:ascii="Tahoma" w:hAnsi="Tahoma" w:cs="Tahoma"/>
          <w:b/>
          <w:sz w:val="26"/>
          <w:szCs w:val="26"/>
          <w:lang w:val="sr-Latn-BA"/>
        </w:rPr>
        <w:t xml:space="preserve"> (</w:t>
      </w:r>
      <w:r>
        <w:rPr>
          <w:rFonts w:ascii="Tahoma" w:hAnsi="Tahoma" w:cs="Tahoma"/>
          <w:b/>
          <w:sz w:val="26"/>
          <w:szCs w:val="26"/>
        </w:rPr>
        <w:t>May</w:t>
      </w:r>
      <w:r w:rsidR="00861AF4" w:rsidRPr="00861AF4">
        <w:rPr>
          <w:rFonts w:ascii="Tahoma" w:hAnsi="Tahoma" w:cs="Tahoma"/>
          <w:b/>
          <w:sz w:val="26"/>
          <w:szCs w:val="26"/>
          <w:lang w:val="sr-Latn-BA"/>
        </w:rPr>
        <w:t xml:space="preserve"> 20</w:t>
      </w:r>
      <w:r w:rsidR="00861AF4" w:rsidRPr="00861AF4">
        <w:rPr>
          <w:rFonts w:ascii="Tahoma" w:hAnsi="Tahoma" w:cs="Tahoma"/>
          <w:b/>
          <w:sz w:val="26"/>
          <w:szCs w:val="26"/>
          <w:lang w:val="sr-Cyrl-CS"/>
        </w:rPr>
        <w:t>13</w:t>
      </w:r>
      <w:r w:rsidR="00861AF4" w:rsidRPr="00861AF4">
        <w:rPr>
          <w:rFonts w:ascii="Tahoma" w:hAnsi="Tahoma" w:cs="Tahoma"/>
          <w:b/>
          <w:sz w:val="26"/>
          <w:szCs w:val="26"/>
          <w:lang w:val="sr-Latn-BA"/>
        </w:rPr>
        <w:t>/</w:t>
      </w:r>
      <w:r>
        <w:rPr>
          <w:rFonts w:ascii="Tahoma" w:hAnsi="Tahoma" w:cs="Tahoma"/>
          <w:b/>
          <w:bCs/>
          <w:sz w:val="26"/>
          <w:szCs w:val="26"/>
        </w:rPr>
        <w:t>April</w:t>
      </w:r>
      <w:r w:rsidR="00861AF4" w:rsidRPr="00861AF4">
        <w:rPr>
          <w:rFonts w:ascii="Tahoma" w:hAnsi="Tahoma" w:cs="Tahoma"/>
          <w:b/>
          <w:bCs/>
          <w:sz w:val="26"/>
          <w:szCs w:val="26"/>
          <w:lang w:val="sr-Cyrl-CS"/>
        </w:rPr>
        <w:t xml:space="preserve"> </w:t>
      </w:r>
      <w:r w:rsidR="00861AF4" w:rsidRPr="00861AF4">
        <w:rPr>
          <w:rFonts w:ascii="Tahoma" w:hAnsi="Tahoma" w:cs="Tahoma"/>
          <w:b/>
          <w:bCs/>
          <w:sz w:val="26"/>
          <w:szCs w:val="26"/>
          <w:lang w:val="ru-RU"/>
        </w:rPr>
        <w:t>201</w:t>
      </w:r>
      <w:r w:rsidR="00861AF4" w:rsidRPr="00861AF4">
        <w:rPr>
          <w:rFonts w:ascii="Tahoma" w:hAnsi="Tahoma" w:cs="Tahoma"/>
          <w:b/>
          <w:bCs/>
          <w:sz w:val="26"/>
          <w:szCs w:val="26"/>
          <w:lang w:val="sr-Latn-CS"/>
        </w:rPr>
        <w:t>3</w:t>
      </w:r>
      <w:r w:rsidR="00861AF4" w:rsidRPr="00861AF4">
        <w:rPr>
          <w:rFonts w:ascii="Tahoma" w:hAnsi="Tahoma" w:cs="Tahoma"/>
          <w:b/>
          <w:bCs/>
          <w:sz w:val="26"/>
          <w:szCs w:val="26"/>
          <w:lang w:val="hr-HR"/>
        </w:rPr>
        <w:t>)</w:t>
      </w:r>
      <w:r w:rsidR="00861AF4" w:rsidRPr="00861AF4">
        <w:rPr>
          <w:rFonts w:ascii="Tahoma" w:hAnsi="Tahoma" w:cs="Tahoma"/>
          <w:b/>
          <w:sz w:val="26"/>
          <w:szCs w:val="26"/>
          <w:lang w:val="sr-Latn-BA"/>
        </w:rPr>
        <w:t xml:space="preserve"> </w:t>
      </w:r>
      <w:r>
        <w:rPr>
          <w:rFonts w:ascii="Tahoma" w:hAnsi="Tahoma" w:cs="Tahoma"/>
          <w:b/>
          <w:sz w:val="26"/>
          <w:szCs w:val="26"/>
        </w:rPr>
        <w:t>increased by</w:t>
      </w:r>
      <w:r w:rsidR="00861AF4" w:rsidRPr="00861AF4">
        <w:rPr>
          <w:rFonts w:ascii="Tahoma" w:hAnsi="Tahoma" w:cs="Tahoma"/>
          <w:b/>
          <w:sz w:val="26"/>
          <w:szCs w:val="26"/>
          <w:lang w:val="ru-RU"/>
        </w:rPr>
        <w:t xml:space="preserve"> 0</w:t>
      </w:r>
      <w:r>
        <w:rPr>
          <w:rFonts w:ascii="Tahoma" w:hAnsi="Tahoma" w:cs="Tahoma"/>
          <w:b/>
          <w:sz w:val="26"/>
          <w:szCs w:val="26"/>
        </w:rPr>
        <w:t>.</w:t>
      </w:r>
      <w:r w:rsidR="00861AF4" w:rsidRPr="00861AF4">
        <w:rPr>
          <w:rFonts w:ascii="Tahoma" w:hAnsi="Tahoma" w:cs="Tahoma"/>
          <w:b/>
          <w:sz w:val="26"/>
          <w:szCs w:val="26"/>
          <w:lang w:val="sr-Cyrl-BA"/>
        </w:rPr>
        <w:t>5</w:t>
      </w:r>
      <w:r w:rsidR="00861AF4" w:rsidRPr="00861AF4">
        <w:rPr>
          <w:rFonts w:ascii="Tahoma" w:hAnsi="Tahoma" w:cs="Tahoma"/>
          <w:b/>
          <w:sz w:val="26"/>
          <w:szCs w:val="26"/>
          <w:lang w:val="ru-RU"/>
        </w:rPr>
        <w:t>%</w:t>
      </w:r>
    </w:p>
    <w:p w:rsidR="00517795" w:rsidRPr="00861AF4" w:rsidRDefault="00CF6B5C" w:rsidP="00517795">
      <w:pPr>
        <w:tabs>
          <w:tab w:val="left" w:pos="0"/>
          <w:tab w:val="left" w:pos="1100"/>
        </w:tabs>
        <w:jc w:val="both"/>
        <w:rPr>
          <w:rFonts w:ascii="Tahoma" w:hAnsi="Tahoma" w:cs="Tahoma"/>
          <w:spacing w:val="-4"/>
          <w:sz w:val="28"/>
          <w:szCs w:val="28"/>
          <w:lang w:val="ru-RU"/>
        </w:rPr>
      </w:pPr>
      <w:r>
        <w:rPr>
          <w:rFonts w:ascii="Tahoma" w:hAnsi="Tahoma" w:cs="Tahoma"/>
          <w:spacing w:val="-4"/>
          <w:sz w:val="28"/>
          <w:szCs w:val="28"/>
        </w:rPr>
        <w:t>Seasonally adjusted industrial production</w:t>
      </w:r>
      <w:r w:rsidR="00517795" w:rsidRPr="00861AF4">
        <w:rPr>
          <w:rFonts w:ascii="Tahoma" w:hAnsi="Tahoma" w:cs="Tahoma"/>
          <w:spacing w:val="-4"/>
          <w:sz w:val="28"/>
          <w:szCs w:val="28"/>
          <w:lang w:val="ru-RU"/>
        </w:rPr>
        <w:t xml:space="preserve"> </w:t>
      </w:r>
      <w:r w:rsidR="00052E0C" w:rsidRPr="00861AF4">
        <w:rPr>
          <w:rFonts w:ascii="Tahoma" w:hAnsi="Tahoma" w:cs="Tahoma"/>
          <w:spacing w:val="-4"/>
          <w:sz w:val="28"/>
          <w:szCs w:val="28"/>
          <w:lang w:val="hr-HR"/>
        </w:rPr>
        <w:t>(</w:t>
      </w:r>
      <w:r>
        <w:rPr>
          <w:rFonts w:ascii="Tahoma" w:hAnsi="Tahoma" w:cs="Tahoma"/>
          <w:spacing w:val="-4"/>
          <w:sz w:val="28"/>
          <w:szCs w:val="28"/>
          <w:lang w:val="hr-HR"/>
        </w:rPr>
        <w:t>May</w:t>
      </w:r>
      <w:r w:rsidR="0010528B" w:rsidRPr="00861AF4">
        <w:rPr>
          <w:rFonts w:ascii="Tahoma" w:hAnsi="Tahoma" w:cs="Tahoma"/>
          <w:spacing w:val="-4"/>
          <w:sz w:val="28"/>
          <w:szCs w:val="28"/>
          <w:lang w:val="sr-Cyrl-CS"/>
        </w:rPr>
        <w:t xml:space="preserve"> </w:t>
      </w:r>
      <w:r w:rsidR="00517795" w:rsidRPr="00861AF4">
        <w:rPr>
          <w:rFonts w:ascii="Tahoma" w:hAnsi="Tahoma" w:cs="Tahoma"/>
          <w:spacing w:val="-4"/>
          <w:sz w:val="28"/>
          <w:szCs w:val="28"/>
          <w:lang w:val="hr-HR"/>
        </w:rPr>
        <w:t>201</w:t>
      </w:r>
      <w:r w:rsidR="00517795" w:rsidRPr="00861AF4">
        <w:rPr>
          <w:rFonts w:ascii="Tahoma" w:hAnsi="Tahoma" w:cs="Tahoma"/>
          <w:spacing w:val="-4"/>
          <w:sz w:val="28"/>
          <w:szCs w:val="28"/>
          <w:lang w:val="sr-Cyrl-CS"/>
        </w:rPr>
        <w:t>3</w:t>
      </w:r>
      <w:r w:rsidR="00517795" w:rsidRPr="00861AF4">
        <w:rPr>
          <w:rFonts w:ascii="Tahoma" w:hAnsi="Tahoma" w:cs="Tahoma"/>
          <w:spacing w:val="-4"/>
          <w:sz w:val="28"/>
          <w:szCs w:val="28"/>
          <w:lang w:val="hr-HR"/>
        </w:rPr>
        <w:t>/</w:t>
      </w:r>
      <w:r>
        <w:rPr>
          <w:rFonts w:ascii="Tahoma" w:hAnsi="Tahoma" w:cs="Tahoma"/>
          <w:spacing w:val="-4"/>
          <w:sz w:val="28"/>
          <w:szCs w:val="28"/>
          <w:lang w:val="hr-HR"/>
        </w:rPr>
        <w:t>April</w:t>
      </w:r>
      <w:r w:rsidR="0010528B" w:rsidRPr="00861AF4">
        <w:rPr>
          <w:rFonts w:ascii="Tahoma" w:hAnsi="Tahoma" w:cs="Tahoma"/>
          <w:spacing w:val="-4"/>
          <w:sz w:val="28"/>
          <w:szCs w:val="28"/>
          <w:lang w:val="sr-Cyrl-CS"/>
        </w:rPr>
        <w:t xml:space="preserve"> </w:t>
      </w:r>
      <w:r w:rsidR="00517795" w:rsidRPr="00861AF4">
        <w:rPr>
          <w:rFonts w:ascii="Tahoma" w:hAnsi="Tahoma" w:cs="Tahoma"/>
          <w:bCs/>
          <w:spacing w:val="-4"/>
          <w:sz w:val="28"/>
          <w:szCs w:val="28"/>
          <w:lang w:val="ru-RU"/>
        </w:rPr>
        <w:t>20</w:t>
      </w:r>
      <w:r w:rsidR="00517795" w:rsidRPr="00861AF4">
        <w:rPr>
          <w:rFonts w:ascii="Tahoma" w:hAnsi="Tahoma" w:cs="Tahoma"/>
          <w:bCs/>
          <w:spacing w:val="-4"/>
          <w:sz w:val="28"/>
          <w:szCs w:val="28"/>
          <w:lang w:val="sr-Cyrl-CS"/>
        </w:rPr>
        <w:t>13</w:t>
      </w:r>
      <w:r w:rsidR="00517795" w:rsidRPr="00861AF4">
        <w:rPr>
          <w:rFonts w:ascii="Tahoma" w:hAnsi="Tahoma" w:cs="Tahoma"/>
          <w:bCs/>
          <w:spacing w:val="-4"/>
          <w:sz w:val="28"/>
          <w:szCs w:val="28"/>
          <w:lang w:val="hr-HR"/>
        </w:rPr>
        <w:t xml:space="preserve">) </w:t>
      </w:r>
      <w:r>
        <w:rPr>
          <w:rFonts w:ascii="Tahoma" w:hAnsi="Tahoma" w:cs="Tahoma"/>
          <w:bCs/>
          <w:spacing w:val="-4"/>
          <w:sz w:val="28"/>
          <w:szCs w:val="28"/>
        </w:rPr>
        <w:t>decreased by</w:t>
      </w:r>
      <w:r w:rsidR="00517795" w:rsidRPr="00861AF4">
        <w:rPr>
          <w:rFonts w:ascii="Tahoma" w:hAnsi="Tahoma" w:cs="Tahoma"/>
          <w:bCs/>
          <w:spacing w:val="-4"/>
          <w:sz w:val="28"/>
          <w:szCs w:val="28"/>
          <w:lang w:val="sr-Cyrl-BA"/>
        </w:rPr>
        <w:t xml:space="preserve"> </w:t>
      </w:r>
      <w:r w:rsidR="00052E0C" w:rsidRPr="00861AF4">
        <w:rPr>
          <w:rFonts w:ascii="Tahoma" w:hAnsi="Tahoma" w:cs="Tahoma"/>
          <w:bCs/>
          <w:spacing w:val="-4"/>
          <w:sz w:val="28"/>
          <w:szCs w:val="28"/>
          <w:lang w:val="sr-Cyrl-BA"/>
        </w:rPr>
        <w:t>4</w:t>
      </w:r>
      <w:r>
        <w:rPr>
          <w:rFonts w:ascii="Tahoma" w:hAnsi="Tahoma" w:cs="Tahoma"/>
          <w:bCs/>
          <w:spacing w:val="-4"/>
          <w:sz w:val="28"/>
          <w:szCs w:val="28"/>
        </w:rPr>
        <w:t>.</w:t>
      </w:r>
      <w:r w:rsidR="00052E0C" w:rsidRPr="00861AF4">
        <w:rPr>
          <w:rFonts w:ascii="Tahoma" w:hAnsi="Tahoma" w:cs="Tahoma"/>
          <w:bCs/>
          <w:spacing w:val="-4"/>
          <w:sz w:val="28"/>
          <w:szCs w:val="28"/>
          <w:lang w:val="sr-Cyrl-BA"/>
        </w:rPr>
        <w:t>6</w:t>
      </w:r>
      <w:r w:rsidR="00517795" w:rsidRPr="00861AF4">
        <w:rPr>
          <w:rFonts w:ascii="Tahoma" w:hAnsi="Tahoma" w:cs="Tahoma"/>
          <w:spacing w:val="-4"/>
          <w:sz w:val="28"/>
          <w:szCs w:val="28"/>
          <w:lang w:val="ru-RU"/>
        </w:rPr>
        <w:t>%</w:t>
      </w:r>
    </w:p>
    <w:p w:rsidR="00517795" w:rsidRPr="008D2842" w:rsidRDefault="00CF6B5C" w:rsidP="00517795">
      <w:pPr>
        <w:tabs>
          <w:tab w:val="left" w:pos="0"/>
          <w:tab w:val="left" w:pos="1100"/>
        </w:tabs>
        <w:jc w:val="both"/>
        <w:rPr>
          <w:rFonts w:ascii="Tahoma" w:hAnsi="Tahoma" w:cs="Tahoma"/>
          <w:spacing w:val="-4"/>
          <w:sz w:val="26"/>
          <w:szCs w:val="26"/>
          <w:lang w:val="ru-RU"/>
        </w:rPr>
      </w:pPr>
      <w:r>
        <w:rPr>
          <w:rFonts w:ascii="Tahoma" w:hAnsi="Tahoma" w:cs="Tahoma"/>
          <w:spacing w:val="-4"/>
          <w:sz w:val="26"/>
          <w:szCs w:val="26"/>
        </w:rPr>
        <w:t>Working-day adjusted</w:t>
      </w:r>
      <w:r w:rsidR="00517795" w:rsidRPr="008D2842">
        <w:rPr>
          <w:rFonts w:ascii="Tahoma" w:hAnsi="Tahoma" w:cs="Tahoma"/>
          <w:spacing w:val="-4"/>
          <w:sz w:val="26"/>
          <w:szCs w:val="26"/>
          <w:lang w:val="sr-Cyrl-CS"/>
        </w:rPr>
        <w:t xml:space="preserve"> </w:t>
      </w:r>
      <w:r>
        <w:rPr>
          <w:rFonts w:ascii="Tahoma" w:hAnsi="Tahoma" w:cs="Tahoma"/>
          <w:spacing w:val="-4"/>
          <w:sz w:val="26"/>
          <w:szCs w:val="26"/>
        </w:rPr>
        <w:t>industrial production</w:t>
      </w:r>
      <w:r w:rsidR="00517795" w:rsidRPr="008D2842">
        <w:rPr>
          <w:rFonts w:ascii="Tahoma" w:hAnsi="Tahoma" w:cs="Tahoma"/>
          <w:spacing w:val="-4"/>
          <w:sz w:val="26"/>
          <w:szCs w:val="26"/>
          <w:lang w:val="ru-RU"/>
        </w:rPr>
        <w:t xml:space="preserve"> </w:t>
      </w:r>
      <w:r w:rsidR="00052E0C" w:rsidRPr="008D2842">
        <w:rPr>
          <w:rFonts w:ascii="Tahoma" w:hAnsi="Tahoma" w:cs="Tahoma"/>
          <w:spacing w:val="-4"/>
          <w:sz w:val="26"/>
          <w:szCs w:val="26"/>
          <w:lang w:val="hr-HR"/>
        </w:rPr>
        <w:t>(</w:t>
      </w:r>
      <w:r>
        <w:rPr>
          <w:rFonts w:ascii="Tahoma" w:hAnsi="Tahoma" w:cs="Tahoma"/>
          <w:spacing w:val="-4"/>
          <w:sz w:val="26"/>
          <w:szCs w:val="26"/>
          <w:lang w:val="hr-HR"/>
        </w:rPr>
        <w:t>May</w:t>
      </w:r>
      <w:r w:rsidR="0010528B" w:rsidRPr="008D2842">
        <w:rPr>
          <w:rFonts w:ascii="Tahoma" w:hAnsi="Tahoma" w:cs="Tahoma"/>
          <w:spacing w:val="-4"/>
          <w:sz w:val="26"/>
          <w:szCs w:val="26"/>
          <w:lang w:val="sr-Cyrl-CS"/>
        </w:rPr>
        <w:t xml:space="preserve"> </w:t>
      </w:r>
      <w:r w:rsidR="00517795" w:rsidRPr="008D2842">
        <w:rPr>
          <w:rFonts w:ascii="Tahoma" w:hAnsi="Tahoma" w:cs="Tahoma"/>
          <w:spacing w:val="-4"/>
          <w:sz w:val="26"/>
          <w:szCs w:val="26"/>
          <w:lang w:val="hr-HR"/>
        </w:rPr>
        <w:t>201</w:t>
      </w:r>
      <w:r w:rsidR="00517795" w:rsidRPr="008D2842">
        <w:rPr>
          <w:rFonts w:ascii="Tahoma" w:hAnsi="Tahoma" w:cs="Tahoma"/>
          <w:spacing w:val="-4"/>
          <w:sz w:val="26"/>
          <w:szCs w:val="26"/>
          <w:lang w:val="sr-Cyrl-CS"/>
        </w:rPr>
        <w:t>3</w:t>
      </w:r>
      <w:r w:rsidR="0010528B" w:rsidRPr="008D2842">
        <w:rPr>
          <w:rFonts w:ascii="Tahoma" w:hAnsi="Tahoma" w:cs="Tahoma"/>
          <w:spacing w:val="-4"/>
          <w:sz w:val="26"/>
          <w:szCs w:val="26"/>
          <w:lang w:val="hr-HR"/>
        </w:rPr>
        <w:t>/</w:t>
      </w:r>
      <w:r>
        <w:rPr>
          <w:rFonts w:ascii="Tahoma" w:hAnsi="Tahoma" w:cs="Tahoma"/>
          <w:spacing w:val="-4"/>
          <w:sz w:val="26"/>
          <w:szCs w:val="26"/>
          <w:lang w:val="hr-HR"/>
        </w:rPr>
        <w:t>May</w:t>
      </w:r>
      <w:r w:rsidR="00517795" w:rsidRPr="008D2842">
        <w:rPr>
          <w:rFonts w:ascii="Tahoma" w:hAnsi="Tahoma" w:cs="Tahoma"/>
          <w:bCs/>
          <w:spacing w:val="-4"/>
          <w:sz w:val="26"/>
          <w:szCs w:val="26"/>
          <w:lang w:val="ru-RU"/>
        </w:rPr>
        <w:t xml:space="preserve"> 20</w:t>
      </w:r>
      <w:r w:rsidR="0010528B" w:rsidRPr="008D2842">
        <w:rPr>
          <w:rFonts w:ascii="Tahoma" w:hAnsi="Tahoma" w:cs="Tahoma"/>
          <w:bCs/>
          <w:spacing w:val="-4"/>
          <w:sz w:val="26"/>
          <w:szCs w:val="26"/>
          <w:lang w:val="sr-Cyrl-CS"/>
        </w:rPr>
        <w:t>12</w:t>
      </w:r>
      <w:r w:rsidR="00517795" w:rsidRPr="008D2842">
        <w:rPr>
          <w:rFonts w:ascii="Tahoma" w:hAnsi="Tahoma" w:cs="Tahoma"/>
          <w:bCs/>
          <w:spacing w:val="-4"/>
          <w:sz w:val="26"/>
          <w:szCs w:val="26"/>
          <w:lang w:val="hr-HR"/>
        </w:rPr>
        <w:t xml:space="preserve">) </w:t>
      </w:r>
      <w:r>
        <w:rPr>
          <w:rFonts w:ascii="Tahoma" w:hAnsi="Tahoma" w:cs="Tahoma"/>
          <w:bCs/>
          <w:spacing w:val="-4"/>
          <w:sz w:val="26"/>
          <w:szCs w:val="26"/>
        </w:rPr>
        <w:t>increased by</w:t>
      </w:r>
      <w:r w:rsidR="00517795" w:rsidRPr="008D2842">
        <w:rPr>
          <w:rFonts w:ascii="Tahoma" w:hAnsi="Tahoma" w:cs="Tahoma"/>
          <w:bCs/>
          <w:spacing w:val="-4"/>
          <w:sz w:val="26"/>
          <w:szCs w:val="26"/>
          <w:lang w:val="sr-Cyrl-BA"/>
        </w:rPr>
        <w:t xml:space="preserve"> </w:t>
      </w:r>
      <w:r w:rsidR="00052E0C" w:rsidRPr="008D2842">
        <w:rPr>
          <w:rFonts w:ascii="Tahoma" w:hAnsi="Tahoma" w:cs="Tahoma"/>
          <w:bCs/>
          <w:spacing w:val="-4"/>
          <w:sz w:val="26"/>
          <w:szCs w:val="26"/>
          <w:lang w:val="sr-Cyrl-CS"/>
        </w:rPr>
        <w:t>3</w:t>
      </w:r>
      <w:r>
        <w:rPr>
          <w:rFonts w:ascii="Tahoma" w:hAnsi="Tahoma" w:cs="Tahoma"/>
          <w:bCs/>
          <w:spacing w:val="-4"/>
          <w:sz w:val="26"/>
          <w:szCs w:val="26"/>
        </w:rPr>
        <w:t>.</w:t>
      </w:r>
      <w:r w:rsidR="00052E0C" w:rsidRPr="008D2842">
        <w:rPr>
          <w:rFonts w:ascii="Tahoma" w:hAnsi="Tahoma" w:cs="Tahoma"/>
          <w:bCs/>
          <w:spacing w:val="-4"/>
          <w:sz w:val="26"/>
          <w:szCs w:val="26"/>
          <w:lang w:val="sr-Cyrl-BA"/>
        </w:rPr>
        <w:t>5</w:t>
      </w:r>
      <w:r w:rsidR="00517795" w:rsidRPr="008D2842">
        <w:rPr>
          <w:rFonts w:ascii="Tahoma" w:hAnsi="Tahoma" w:cs="Tahoma"/>
          <w:spacing w:val="-4"/>
          <w:sz w:val="26"/>
          <w:szCs w:val="26"/>
          <w:lang w:val="ru-RU"/>
        </w:rPr>
        <w:t>%</w:t>
      </w:r>
    </w:p>
    <w:p w:rsidR="00517795" w:rsidRPr="008D2842" w:rsidRDefault="00517795" w:rsidP="00517795">
      <w:pPr>
        <w:tabs>
          <w:tab w:val="left" w:pos="0"/>
          <w:tab w:val="left" w:pos="1100"/>
        </w:tabs>
        <w:jc w:val="both"/>
        <w:rPr>
          <w:rFonts w:ascii="Tahoma" w:hAnsi="Tahoma" w:cs="Tahoma"/>
          <w:sz w:val="18"/>
          <w:szCs w:val="18"/>
          <w:lang w:val="sr-Cyrl-CS"/>
        </w:rPr>
      </w:pPr>
    </w:p>
    <w:p w:rsidR="00861AF4" w:rsidRPr="008D2842" w:rsidRDefault="00044A8C" w:rsidP="00861AF4">
      <w:pPr>
        <w:jc w:val="both"/>
        <w:rPr>
          <w:rFonts w:ascii="Tahoma" w:hAnsi="Tahoma" w:cs="Tahoma"/>
          <w:lang w:val="ru-RU"/>
        </w:rPr>
      </w:pPr>
      <w:r>
        <w:rPr>
          <w:rFonts w:ascii="Tahoma" w:hAnsi="Tahoma" w:cs="Tahoma"/>
          <w:b/>
        </w:rPr>
        <w:t>Number of employees in industry</w:t>
      </w:r>
      <w:r w:rsidR="00861AF4" w:rsidRPr="008D2842">
        <w:rPr>
          <w:rFonts w:ascii="Tahoma" w:hAnsi="Tahoma" w:cs="Tahoma"/>
          <w:lang w:val="ru-RU"/>
        </w:rPr>
        <w:t xml:space="preserve"> </w:t>
      </w:r>
      <w:r>
        <w:rPr>
          <w:rFonts w:ascii="Tahoma" w:hAnsi="Tahoma" w:cs="Tahoma"/>
        </w:rPr>
        <w:t xml:space="preserve">in May 2013, compared to April 2013, increased by 0.5%. </w:t>
      </w:r>
      <w:r w:rsidR="00861AF4" w:rsidRPr="008D2842">
        <w:rPr>
          <w:rFonts w:ascii="Tahoma" w:hAnsi="Tahoma" w:cs="Tahoma"/>
          <w:lang w:val="ru-RU"/>
        </w:rPr>
        <w:t xml:space="preserve"> </w:t>
      </w:r>
    </w:p>
    <w:p w:rsidR="00861AF4" w:rsidRPr="008D2842" w:rsidRDefault="00861AF4" w:rsidP="00861AF4">
      <w:pPr>
        <w:jc w:val="both"/>
        <w:rPr>
          <w:rFonts w:ascii="Tahoma" w:hAnsi="Tahoma" w:cs="Tahoma"/>
          <w:lang w:val="ru-RU"/>
        </w:rPr>
      </w:pPr>
    </w:p>
    <w:p w:rsidR="00044A8C" w:rsidRDefault="00044A8C" w:rsidP="00861AF4">
      <w:pPr>
        <w:jc w:val="both"/>
        <w:rPr>
          <w:rFonts w:ascii="Tahoma" w:hAnsi="Tahoma" w:cs="Tahoma"/>
        </w:rPr>
      </w:pPr>
      <w:r>
        <w:rPr>
          <w:rFonts w:ascii="Tahoma" w:hAnsi="Tahoma" w:cs="Tahoma"/>
        </w:rPr>
        <w:t xml:space="preserve">Total number of employees in industry in the period January – May 2013, compared to the same period of the previous year, was 0.4% lower, with a decrease by 3.2% recorded in the section </w:t>
      </w:r>
      <w:r w:rsidRPr="00044A8C">
        <w:rPr>
          <w:rFonts w:ascii="Tahoma" w:hAnsi="Tahoma" w:cs="Tahoma"/>
          <w:i/>
        </w:rPr>
        <w:t>Electricity supply</w:t>
      </w:r>
      <w:r>
        <w:rPr>
          <w:rFonts w:ascii="Tahoma" w:hAnsi="Tahoma" w:cs="Tahoma"/>
        </w:rPr>
        <w:t xml:space="preserve">, and a decrease by 0.4% in the section </w:t>
      </w:r>
      <w:r w:rsidRPr="00044A8C">
        <w:rPr>
          <w:rFonts w:ascii="Tahoma" w:hAnsi="Tahoma" w:cs="Tahoma"/>
          <w:i/>
        </w:rPr>
        <w:t>Mining and quarrying</w:t>
      </w:r>
      <w:r>
        <w:rPr>
          <w:rFonts w:ascii="Tahoma" w:hAnsi="Tahoma" w:cs="Tahoma"/>
        </w:rPr>
        <w:t xml:space="preserve">, while in the section </w:t>
      </w:r>
      <w:r w:rsidRPr="00044A8C">
        <w:rPr>
          <w:rFonts w:ascii="Tahoma" w:hAnsi="Tahoma" w:cs="Tahoma"/>
          <w:i/>
        </w:rPr>
        <w:t>Manufacturing</w:t>
      </w:r>
      <w:r>
        <w:rPr>
          <w:rFonts w:ascii="Tahoma" w:hAnsi="Tahoma" w:cs="Tahoma"/>
        </w:rPr>
        <w:t xml:space="preserve"> a decrease in number of employees by 0.9% was recorded. </w:t>
      </w:r>
    </w:p>
    <w:p w:rsidR="00861AF4" w:rsidRDefault="00861AF4" w:rsidP="00517795">
      <w:pPr>
        <w:jc w:val="both"/>
        <w:rPr>
          <w:rFonts w:ascii="Tahoma" w:hAnsi="Tahoma" w:cs="Tahoma"/>
          <w:b/>
        </w:rPr>
      </w:pPr>
    </w:p>
    <w:p w:rsidR="006E2605" w:rsidRPr="006E2605" w:rsidRDefault="006E2605" w:rsidP="00517795">
      <w:pPr>
        <w:jc w:val="both"/>
        <w:rPr>
          <w:rFonts w:ascii="Tahoma" w:hAnsi="Tahoma" w:cs="Tahoma"/>
        </w:rPr>
      </w:pPr>
      <w:r>
        <w:rPr>
          <w:rFonts w:ascii="Tahoma" w:hAnsi="Tahoma" w:cs="Tahoma"/>
          <w:b/>
        </w:rPr>
        <w:t>Seasonally adjusted industrial production</w:t>
      </w:r>
      <w:r w:rsidR="00517795" w:rsidRPr="008D2842">
        <w:rPr>
          <w:rFonts w:ascii="Tahoma" w:hAnsi="Tahoma" w:cs="Tahoma"/>
        </w:rPr>
        <w:t xml:space="preserve"> </w:t>
      </w:r>
      <w:r>
        <w:rPr>
          <w:rFonts w:ascii="Tahoma" w:hAnsi="Tahoma" w:cs="Tahoma"/>
        </w:rPr>
        <w:t xml:space="preserve">in May 2013, compared to April 2013, in </w:t>
      </w:r>
      <w:r w:rsidRPr="0011571D">
        <w:rPr>
          <w:rFonts w:ascii="Tahoma" w:hAnsi="Tahoma" w:cs="Tahoma"/>
          <w:i/>
        </w:rPr>
        <w:t>Electricity, gas, steam and air-conditioning supply</w:t>
      </w:r>
      <w:r>
        <w:rPr>
          <w:rFonts w:ascii="Tahoma" w:hAnsi="Tahoma" w:cs="Tahoma"/>
          <w:i/>
        </w:rPr>
        <w:t xml:space="preserve"> </w:t>
      </w:r>
      <w:r>
        <w:rPr>
          <w:rFonts w:ascii="Tahoma" w:hAnsi="Tahoma" w:cs="Tahoma"/>
        </w:rPr>
        <w:t xml:space="preserve">decreased by 5.4%, in </w:t>
      </w:r>
      <w:r w:rsidRPr="006E2605">
        <w:rPr>
          <w:rFonts w:ascii="Tahoma" w:hAnsi="Tahoma" w:cs="Tahoma"/>
          <w:i/>
        </w:rPr>
        <w:t>Manufacturing</w:t>
      </w:r>
      <w:r>
        <w:rPr>
          <w:rFonts w:ascii="Tahoma" w:hAnsi="Tahoma" w:cs="Tahoma"/>
        </w:rPr>
        <w:t xml:space="preserve"> it decreased by 12.0%, while in the section </w:t>
      </w:r>
      <w:r w:rsidRPr="006E2605">
        <w:rPr>
          <w:rFonts w:ascii="Tahoma" w:hAnsi="Tahoma" w:cs="Tahoma"/>
          <w:i/>
        </w:rPr>
        <w:t>Mining</w:t>
      </w:r>
      <w:r>
        <w:rPr>
          <w:rFonts w:ascii="Tahoma" w:hAnsi="Tahoma" w:cs="Tahoma"/>
        </w:rPr>
        <w:t xml:space="preserve"> </w:t>
      </w:r>
      <w:r w:rsidRPr="006E2605">
        <w:rPr>
          <w:rFonts w:ascii="Tahoma" w:hAnsi="Tahoma" w:cs="Tahoma"/>
          <w:i/>
        </w:rPr>
        <w:t>and quarrying</w:t>
      </w:r>
      <w:r>
        <w:rPr>
          <w:rFonts w:ascii="Tahoma" w:hAnsi="Tahoma" w:cs="Tahoma"/>
        </w:rPr>
        <w:t xml:space="preserve"> an increase by 2.9% was recorded. </w:t>
      </w:r>
    </w:p>
    <w:p w:rsidR="00295772" w:rsidRPr="008D2842" w:rsidRDefault="00295772" w:rsidP="00517795">
      <w:pPr>
        <w:jc w:val="both"/>
        <w:rPr>
          <w:rFonts w:ascii="Tahoma" w:hAnsi="Tahoma" w:cs="Tahoma"/>
          <w:lang w:val="sr-Cyrl-CS"/>
        </w:rPr>
      </w:pPr>
    </w:p>
    <w:p w:rsidR="006E2605" w:rsidRDefault="006E2605" w:rsidP="00517795">
      <w:pPr>
        <w:jc w:val="both"/>
        <w:rPr>
          <w:rFonts w:ascii="Tahoma" w:hAnsi="Tahoma" w:cs="Tahoma"/>
          <w:spacing w:val="-2"/>
        </w:rPr>
      </w:pPr>
      <w:r>
        <w:rPr>
          <w:rFonts w:ascii="Tahoma" w:hAnsi="Tahoma" w:cs="Tahoma"/>
          <w:spacing w:val="-2"/>
        </w:rPr>
        <w:t xml:space="preserve">By main industrial group, based on economic purpose of products, </w:t>
      </w:r>
      <w:r w:rsidR="00D928C0">
        <w:rPr>
          <w:rFonts w:ascii="Tahoma" w:hAnsi="Tahoma" w:cs="Tahoma"/>
          <w:spacing w:val="-2"/>
        </w:rPr>
        <w:t>seasonally adjusted production of intermediate products was 5.4% lower, of energy 10.4% lower and of consumer non-durables it was 16.9%</w:t>
      </w:r>
      <w:r w:rsidR="00D579FB">
        <w:rPr>
          <w:rFonts w:ascii="Tahoma" w:hAnsi="Tahoma" w:cs="Tahoma"/>
          <w:spacing w:val="-2"/>
        </w:rPr>
        <w:t xml:space="preserve"> lower, while production of capital goods increased by 14.0% and production of consumer durables increased by 12.0%.</w:t>
      </w:r>
    </w:p>
    <w:p w:rsidR="00517795" w:rsidRPr="008D2842" w:rsidRDefault="00517795" w:rsidP="00517795">
      <w:pPr>
        <w:jc w:val="both"/>
        <w:rPr>
          <w:rFonts w:ascii="Tahoma" w:hAnsi="Tahoma" w:cs="Tahoma"/>
          <w:lang w:val="sr-Cyrl-CS"/>
        </w:rPr>
      </w:pPr>
    </w:p>
    <w:p w:rsidR="00D579FB" w:rsidRDefault="00D579FB" w:rsidP="00517795">
      <w:pPr>
        <w:jc w:val="both"/>
        <w:rPr>
          <w:rFonts w:ascii="Tahoma" w:hAnsi="Tahoma" w:cs="Tahoma"/>
        </w:rPr>
      </w:pPr>
      <w:r>
        <w:rPr>
          <w:rFonts w:ascii="Tahoma" w:hAnsi="Tahoma" w:cs="Tahoma"/>
          <w:b/>
          <w:spacing w:val="-4"/>
        </w:rPr>
        <w:lastRenderedPageBreak/>
        <w:t>Working-day adjusted industrial production</w:t>
      </w:r>
      <w:r w:rsidR="00517795" w:rsidRPr="008D2842">
        <w:rPr>
          <w:rFonts w:ascii="Tahoma" w:hAnsi="Tahoma" w:cs="Tahoma"/>
          <w:spacing w:val="-4"/>
          <w:lang w:val="sr-Cyrl-BA"/>
        </w:rPr>
        <w:t xml:space="preserve"> </w:t>
      </w:r>
      <w:r>
        <w:rPr>
          <w:rFonts w:ascii="Tahoma" w:hAnsi="Tahoma" w:cs="Tahoma"/>
          <w:spacing w:val="-4"/>
        </w:rPr>
        <w:t xml:space="preserve">in May 2013, compared to May 2012, in </w:t>
      </w:r>
      <w:r w:rsidRPr="0011571D">
        <w:rPr>
          <w:rFonts w:ascii="Tahoma" w:hAnsi="Tahoma" w:cs="Tahoma"/>
          <w:i/>
        </w:rPr>
        <w:t>Electricity, gas, steam and air-conditioning supply</w:t>
      </w:r>
      <w:r>
        <w:rPr>
          <w:rFonts w:ascii="Tahoma" w:hAnsi="Tahoma" w:cs="Tahoma"/>
        </w:rPr>
        <w:t xml:space="preserve"> increased by 11.1% and in the section </w:t>
      </w:r>
      <w:r w:rsidRPr="00D579FB">
        <w:rPr>
          <w:rFonts w:ascii="Tahoma" w:hAnsi="Tahoma" w:cs="Tahoma"/>
          <w:i/>
        </w:rPr>
        <w:t>Mining and quarrying</w:t>
      </w:r>
      <w:r>
        <w:rPr>
          <w:rFonts w:ascii="Tahoma" w:hAnsi="Tahoma" w:cs="Tahoma"/>
        </w:rPr>
        <w:t xml:space="preserve"> by 0.6%, while in </w:t>
      </w:r>
      <w:proofErr w:type="gramStart"/>
      <w:r w:rsidRPr="00D579FB">
        <w:rPr>
          <w:rFonts w:ascii="Tahoma" w:hAnsi="Tahoma" w:cs="Tahoma"/>
          <w:i/>
        </w:rPr>
        <w:t>Manufacturing</w:t>
      </w:r>
      <w:proofErr w:type="gramEnd"/>
      <w:r>
        <w:rPr>
          <w:rFonts w:ascii="Tahoma" w:hAnsi="Tahoma" w:cs="Tahoma"/>
        </w:rPr>
        <w:t xml:space="preserve"> it decreased by 1.6%.</w:t>
      </w:r>
    </w:p>
    <w:p w:rsidR="00D579FB" w:rsidRPr="00D579FB" w:rsidRDefault="00D579FB" w:rsidP="00517795">
      <w:pPr>
        <w:jc w:val="both"/>
        <w:rPr>
          <w:rFonts w:ascii="Tahoma" w:hAnsi="Tahoma" w:cs="Tahoma"/>
          <w:spacing w:val="-4"/>
        </w:rPr>
      </w:pPr>
      <w:r>
        <w:rPr>
          <w:rFonts w:ascii="Tahoma" w:hAnsi="Tahoma" w:cs="Tahoma"/>
        </w:rPr>
        <w:t xml:space="preserve">Working-day adjusted production of consumer durables in May 2013, compared to May 2012, was 18.3% higher, of consumer non-durables by 16.0%, and of energy by 4.5%, while production of intermediate goods decreased by 1.9% and production of capital goods decreased by 20.0%. </w:t>
      </w:r>
    </w:p>
    <w:p w:rsidR="00517795" w:rsidRPr="008D2842" w:rsidRDefault="00517795" w:rsidP="00517795">
      <w:pPr>
        <w:jc w:val="both"/>
        <w:rPr>
          <w:rFonts w:ascii="Tahoma" w:hAnsi="Tahoma" w:cs="Tahoma"/>
          <w:b/>
          <w:lang w:val="sr-Cyrl-CS"/>
        </w:rPr>
      </w:pPr>
    </w:p>
    <w:p w:rsidR="00E62A34" w:rsidRPr="00D579FB" w:rsidRDefault="00E62A34" w:rsidP="00E62A34">
      <w:pPr>
        <w:rPr>
          <w:rFonts w:ascii="Tahoma" w:hAnsi="Tahoma" w:cs="Tahoma"/>
          <w:b/>
          <w:spacing w:val="-4"/>
        </w:rPr>
      </w:pPr>
    </w:p>
    <w:p w:rsidR="0054179E" w:rsidRPr="00A14198" w:rsidRDefault="0054179E" w:rsidP="00E62A34">
      <w:pPr>
        <w:rPr>
          <w:rFonts w:ascii="Tahoma" w:hAnsi="Tahoma" w:cs="Tahoma"/>
          <w:b/>
          <w:spacing w:val="-4"/>
          <w:lang w:val="sr-Cyrl-CS"/>
        </w:rPr>
      </w:pPr>
    </w:p>
    <w:p w:rsidR="0054179E" w:rsidRPr="00A14198" w:rsidRDefault="0054179E" w:rsidP="00E62A34">
      <w:pPr>
        <w:rPr>
          <w:rFonts w:ascii="Tahoma" w:hAnsi="Tahoma" w:cs="Tahoma"/>
          <w:b/>
          <w:spacing w:val="-4"/>
          <w:lang w:val="sr-Latn-CS"/>
        </w:rPr>
      </w:pPr>
    </w:p>
    <w:p w:rsidR="0054179E" w:rsidRDefault="00A14198" w:rsidP="00E62A34">
      <w:pPr>
        <w:rPr>
          <w:rFonts w:ascii="Tahoma" w:hAnsi="Tahoma" w:cs="Tahoma"/>
          <w:b/>
          <w:spacing w:val="-4"/>
          <w:sz w:val="28"/>
          <w:szCs w:val="28"/>
          <w:lang w:val="sr-Cyrl-CS"/>
        </w:rPr>
      </w:pPr>
      <w:r w:rsidRPr="00A14198">
        <w:rPr>
          <w:rFonts w:ascii="Tahoma" w:hAnsi="Tahoma" w:cs="Tahoma"/>
          <w:b/>
          <w:noProof/>
          <w:spacing w:val="-4"/>
          <w:sz w:val="28"/>
          <w:szCs w:val="28"/>
        </w:rPr>
        <w:drawing>
          <wp:inline distT="0" distB="0" distL="0" distR="0">
            <wp:extent cx="6480810" cy="2800444"/>
            <wp:effectExtent l="19050" t="0" r="0" b="0"/>
            <wp:docPr id="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4198" w:rsidRPr="00A14198" w:rsidRDefault="00D51B1E" w:rsidP="00A14198">
      <w:pPr>
        <w:jc w:val="center"/>
        <w:rPr>
          <w:rFonts w:ascii="Tahoma" w:hAnsi="Tahoma" w:cs="Tahoma"/>
          <w:lang w:val="sr-Latn-CS"/>
        </w:rPr>
      </w:pPr>
      <w:r>
        <w:rPr>
          <w:rFonts w:ascii="Tahoma" w:hAnsi="Tahoma" w:cs="Tahoma"/>
          <w:lang w:val="sr-Latn-CS"/>
        </w:rPr>
        <w:t>Graph</w:t>
      </w:r>
      <w:r w:rsidR="00A14198" w:rsidRPr="00A14198">
        <w:rPr>
          <w:rFonts w:ascii="Tahoma" w:hAnsi="Tahoma" w:cs="Tahoma"/>
          <w:lang w:val="sr-Latn-CS"/>
        </w:rPr>
        <w:t xml:space="preserve"> </w:t>
      </w:r>
      <w:r w:rsidR="008D2842">
        <w:rPr>
          <w:rFonts w:ascii="Tahoma" w:hAnsi="Tahoma" w:cs="Tahoma"/>
          <w:lang w:val="sr-Latn-CS"/>
        </w:rPr>
        <w:t>2</w:t>
      </w:r>
      <w:r w:rsidR="00A14198" w:rsidRPr="00A14198">
        <w:rPr>
          <w:rFonts w:ascii="Tahoma" w:hAnsi="Tahoma" w:cs="Tahoma"/>
          <w:lang w:val="sr-Latn-CS"/>
        </w:rPr>
        <w:t xml:space="preserve">. </w:t>
      </w:r>
      <w:r>
        <w:rPr>
          <w:rFonts w:ascii="Tahoma" w:hAnsi="Tahoma" w:cs="Tahoma"/>
          <w:lang w:val="sr-Latn-CS"/>
        </w:rPr>
        <w:t>Indices of industrial production</w:t>
      </w:r>
      <w:r w:rsidR="00A14198" w:rsidRPr="00A14198">
        <w:rPr>
          <w:rFonts w:ascii="Tahoma" w:hAnsi="Tahoma" w:cs="Tahoma"/>
          <w:lang w:val="sr-Latn-CS"/>
        </w:rPr>
        <w:t xml:space="preserve">,  </w:t>
      </w:r>
      <w:r>
        <w:rPr>
          <w:rFonts w:ascii="Tahoma" w:hAnsi="Tahoma" w:cs="Tahoma"/>
          <w:lang w:val="sr-Latn-CS"/>
        </w:rPr>
        <w:t>January 2009</w:t>
      </w:r>
      <w:r w:rsidR="00A14198" w:rsidRPr="00A14198">
        <w:rPr>
          <w:rFonts w:ascii="Tahoma" w:hAnsi="Tahoma" w:cs="Tahoma"/>
          <w:lang w:val="sr-Latn-CS"/>
        </w:rPr>
        <w:t xml:space="preserve"> – </w:t>
      </w:r>
      <w:r>
        <w:rPr>
          <w:rFonts w:ascii="Tahoma" w:hAnsi="Tahoma" w:cs="Tahoma"/>
        </w:rPr>
        <w:t>May</w:t>
      </w:r>
      <w:r>
        <w:rPr>
          <w:rFonts w:ascii="Tahoma" w:hAnsi="Tahoma" w:cs="Tahoma"/>
          <w:lang w:val="sr-Latn-CS"/>
        </w:rPr>
        <w:t xml:space="preserve"> 2013</w:t>
      </w:r>
      <w:r w:rsidR="00A14198" w:rsidRPr="00A14198">
        <w:rPr>
          <w:rFonts w:ascii="Tahoma" w:hAnsi="Tahoma" w:cs="Tahoma"/>
          <w:lang w:val="sr-Latn-CS"/>
        </w:rPr>
        <w:t xml:space="preserve">  (</w:t>
      </w:r>
      <w:r w:rsidR="00A14198" w:rsidRPr="00A14198">
        <w:rPr>
          <w:rFonts w:ascii="Tahoma" w:hAnsi="Tahoma" w:cs="Tahoma"/>
          <w:lang w:val="sr-Latn-CS"/>
        </w:rPr>
        <w:sym w:font="Symbol" w:char="F0C6"/>
      </w:r>
      <w:r w:rsidR="00A14198" w:rsidRPr="00A14198">
        <w:rPr>
          <w:rFonts w:ascii="Tahoma" w:hAnsi="Tahoma" w:cs="Tahoma"/>
          <w:lang w:val="sr-Latn-CS"/>
        </w:rPr>
        <w:t>2010=100)</w:t>
      </w:r>
    </w:p>
    <w:p w:rsidR="0054179E" w:rsidRPr="00806168" w:rsidRDefault="0054179E" w:rsidP="00E62A34">
      <w:pPr>
        <w:rPr>
          <w:rFonts w:ascii="Tahoma" w:hAnsi="Tahoma" w:cs="Tahoma"/>
          <w:b/>
          <w:spacing w:val="-4"/>
          <w:lang w:val="sr-Cyrl-CS"/>
        </w:rPr>
      </w:pPr>
    </w:p>
    <w:p w:rsidR="0054179E" w:rsidRPr="00806168" w:rsidRDefault="0054179E" w:rsidP="00E62A34">
      <w:pPr>
        <w:rPr>
          <w:rFonts w:ascii="Tahoma" w:hAnsi="Tahoma" w:cs="Tahoma"/>
          <w:b/>
          <w:spacing w:val="-4"/>
          <w:lang w:val="sr-Cyrl-CS"/>
        </w:rPr>
      </w:pPr>
    </w:p>
    <w:p w:rsidR="0054179E" w:rsidRPr="00806168" w:rsidRDefault="0054179E" w:rsidP="00E62A34">
      <w:pPr>
        <w:rPr>
          <w:rFonts w:ascii="Tahoma" w:hAnsi="Tahoma" w:cs="Tahoma"/>
          <w:b/>
          <w:spacing w:val="-4"/>
          <w:lang w:val="sr-Cyrl-CS"/>
        </w:rPr>
      </w:pPr>
    </w:p>
    <w:p w:rsidR="00777348" w:rsidRPr="008D2842" w:rsidRDefault="00D579FB" w:rsidP="00777348">
      <w:pPr>
        <w:rPr>
          <w:rFonts w:ascii="Tahoma" w:hAnsi="Tahoma" w:cs="Tahoma"/>
          <w:b/>
          <w:sz w:val="28"/>
          <w:szCs w:val="28"/>
          <w:lang w:val="sr-Cyrl-CS"/>
        </w:rPr>
      </w:pPr>
      <w:r>
        <w:rPr>
          <w:rFonts w:ascii="Tahoma" w:hAnsi="Tahoma" w:cs="Tahoma"/>
          <w:b/>
          <w:sz w:val="28"/>
          <w:szCs w:val="28"/>
        </w:rPr>
        <w:t>Coverage of import by export</w:t>
      </w:r>
      <w:r w:rsidR="00777348" w:rsidRPr="008D2842">
        <w:rPr>
          <w:rFonts w:ascii="Tahoma" w:hAnsi="Tahoma" w:cs="Tahoma"/>
          <w:b/>
          <w:sz w:val="28"/>
          <w:szCs w:val="28"/>
          <w:lang w:val="sr-Cyrl-BA"/>
        </w:rPr>
        <w:t xml:space="preserve"> (</w:t>
      </w:r>
      <w:r>
        <w:rPr>
          <w:rFonts w:ascii="Tahoma" w:hAnsi="Tahoma" w:cs="Tahoma"/>
          <w:b/>
          <w:sz w:val="28"/>
          <w:szCs w:val="28"/>
        </w:rPr>
        <w:t>in the period</w:t>
      </w:r>
      <w:r w:rsidR="00777348" w:rsidRPr="008D2842">
        <w:rPr>
          <w:rFonts w:ascii="Tahoma" w:hAnsi="Tahoma" w:cs="Tahoma"/>
          <w:b/>
          <w:sz w:val="28"/>
          <w:szCs w:val="28"/>
          <w:lang w:val="sr-Cyrl-BA"/>
        </w:rPr>
        <w:t xml:space="preserve"> </w:t>
      </w:r>
      <w:r>
        <w:rPr>
          <w:rFonts w:ascii="Tahoma" w:hAnsi="Tahoma" w:cs="Tahoma"/>
          <w:b/>
          <w:sz w:val="28"/>
          <w:szCs w:val="28"/>
          <w:lang w:val="sr-Latn-CS"/>
        </w:rPr>
        <w:t>January</w:t>
      </w:r>
      <w:r w:rsidR="00777348" w:rsidRPr="008D2842">
        <w:rPr>
          <w:rFonts w:ascii="Tahoma" w:hAnsi="Tahoma" w:cs="Tahoma"/>
          <w:b/>
          <w:sz w:val="28"/>
          <w:szCs w:val="28"/>
          <w:lang w:val="sr-Latn-CS"/>
        </w:rPr>
        <w:t>-</w:t>
      </w:r>
      <w:r>
        <w:rPr>
          <w:rFonts w:ascii="Tahoma" w:hAnsi="Tahoma" w:cs="Tahoma"/>
          <w:b/>
          <w:sz w:val="28"/>
          <w:szCs w:val="28"/>
          <w:lang w:val="sr-Latn-CS"/>
        </w:rPr>
        <w:t>May</w:t>
      </w:r>
      <w:r w:rsidR="00777348" w:rsidRPr="008D2842">
        <w:rPr>
          <w:rFonts w:ascii="Tahoma" w:hAnsi="Tahoma" w:cs="Tahoma"/>
          <w:b/>
          <w:sz w:val="28"/>
          <w:szCs w:val="28"/>
          <w:lang w:val="sr-Cyrl-CS"/>
        </w:rPr>
        <w:t xml:space="preserve"> </w:t>
      </w:r>
      <w:r w:rsidR="00777348" w:rsidRPr="008D2842">
        <w:rPr>
          <w:rFonts w:ascii="Tahoma" w:hAnsi="Tahoma" w:cs="Tahoma"/>
          <w:b/>
          <w:sz w:val="28"/>
          <w:szCs w:val="28"/>
          <w:lang w:val="ru-RU"/>
        </w:rPr>
        <w:t>201</w:t>
      </w:r>
      <w:r w:rsidR="00777348" w:rsidRPr="008D2842">
        <w:rPr>
          <w:rFonts w:ascii="Tahoma" w:hAnsi="Tahoma" w:cs="Tahoma"/>
          <w:b/>
          <w:sz w:val="28"/>
          <w:szCs w:val="28"/>
        </w:rPr>
        <w:t>3</w:t>
      </w:r>
      <w:r w:rsidR="00777348" w:rsidRPr="008D2842">
        <w:rPr>
          <w:rFonts w:ascii="Tahoma" w:hAnsi="Tahoma" w:cs="Tahoma"/>
          <w:b/>
          <w:sz w:val="28"/>
          <w:szCs w:val="28"/>
          <w:lang w:val="sr-Cyrl-BA"/>
        </w:rPr>
        <w:t>)</w:t>
      </w:r>
      <w:r w:rsidR="00777348" w:rsidRPr="008D2842">
        <w:rPr>
          <w:rFonts w:ascii="Tahoma" w:hAnsi="Tahoma" w:cs="Tahoma"/>
          <w:b/>
          <w:sz w:val="28"/>
          <w:szCs w:val="28"/>
          <w:lang w:val="sr-Cyrl-CS"/>
        </w:rPr>
        <w:t xml:space="preserve"> </w:t>
      </w:r>
      <w:r w:rsidR="00777348" w:rsidRPr="008D2842">
        <w:rPr>
          <w:rFonts w:ascii="Tahoma" w:hAnsi="Tahoma" w:cs="Tahoma"/>
          <w:b/>
          <w:sz w:val="28"/>
          <w:szCs w:val="28"/>
          <w:lang w:val="hr-HR"/>
        </w:rPr>
        <w:t>57</w:t>
      </w:r>
      <w:r>
        <w:rPr>
          <w:rFonts w:ascii="Tahoma" w:hAnsi="Tahoma" w:cs="Tahoma"/>
          <w:b/>
          <w:sz w:val="28"/>
          <w:szCs w:val="28"/>
        </w:rPr>
        <w:t>.</w:t>
      </w:r>
      <w:r w:rsidR="00777348" w:rsidRPr="008D2842">
        <w:rPr>
          <w:rFonts w:ascii="Tahoma" w:hAnsi="Tahoma" w:cs="Tahoma"/>
          <w:b/>
          <w:sz w:val="28"/>
          <w:szCs w:val="28"/>
        </w:rPr>
        <w:t>1</w:t>
      </w:r>
      <w:r w:rsidR="00777348" w:rsidRPr="008D2842">
        <w:rPr>
          <w:rFonts w:ascii="Tahoma" w:hAnsi="Tahoma" w:cs="Tahoma"/>
          <w:b/>
          <w:sz w:val="28"/>
          <w:szCs w:val="28"/>
          <w:lang w:val="ru-RU"/>
        </w:rPr>
        <w:t xml:space="preserve">% </w:t>
      </w:r>
    </w:p>
    <w:p w:rsidR="00777348" w:rsidRPr="008D2842" w:rsidRDefault="00D579FB" w:rsidP="00777348">
      <w:pPr>
        <w:tabs>
          <w:tab w:val="left" w:pos="300"/>
          <w:tab w:val="left" w:pos="1100"/>
        </w:tabs>
        <w:jc w:val="both"/>
        <w:rPr>
          <w:rFonts w:ascii="Tahoma" w:hAnsi="Tahoma" w:cs="Tahoma"/>
          <w:sz w:val="24"/>
          <w:szCs w:val="24"/>
          <w:lang w:val="ru-RU"/>
        </w:rPr>
      </w:pPr>
      <w:r>
        <w:rPr>
          <w:rFonts w:ascii="Tahoma" w:hAnsi="Tahoma" w:cs="Tahoma"/>
          <w:sz w:val="24"/>
          <w:szCs w:val="24"/>
        </w:rPr>
        <w:t>Export</w:t>
      </w:r>
      <w:r w:rsidR="00777348" w:rsidRPr="008D2842">
        <w:rPr>
          <w:rFonts w:ascii="Tahoma" w:hAnsi="Tahoma" w:cs="Tahoma"/>
          <w:sz w:val="24"/>
          <w:szCs w:val="24"/>
          <w:lang w:val="sr-Cyrl-CS"/>
        </w:rPr>
        <w:t xml:space="preserve"> </w:t>
      </w:r>
      <w:r>
        <w:rPr>
          <w:rFonts w:ascii="Tahoma" w:hAnsi="Tahoma" w:cs="Tahoma"/>
          <w:sz w:val="24"/>
          <w:szCs w:val="24"/>
          <w:lang w:val="hr-HR"/>
        </w:rPr>
        <w:t>(January</w:t>
      </w:r>
      <w:r w:rsidR="00777348" w:rsidRPr="008D2842">
        <w:rPr>
          <w:rFonts w:ascii="Tahoma" w:hAnsi="Tahoma" w:cs="Tahoma"/>
          <w:sz w:val="24"/>
          <w:szCs w:val="24"/>
          <w:lang w:val="hr-HR"/>
        </w:rPr>
        <w:t>-</w:t>
      </w:r>
      <w:r>
        <w:rPr>
          <w:rFonts w:ascii="Tahoma" w:hAnsi="Tahoma" w:cs="Tahoma"/>
          <w:sz w:val="24"/>
          <w:szCs w:val="24"/>
          <w:lang w:val="hr-HR"/>
        </w:rPr>
        <w:t>May</w:t>
      </w:r>
      <w:r w:rsidR="00777348" w:rsidRPr="008D2842">
        <w:rPr>
          <w:rFonts w:ascii="Tahoma" w:hAnsi="Tahoma" w:cs="Tahoma"/>
          <w:sz w:val="24"/>
          <w:szCs w:val="24"/>
          <w:lang w:val="hr-HR"/>
        </w:rPr>
        <w:t xml:space="preserve"> 2013/</w:t>
      </w:r>
      <w:r w:rsidRPr="00D579FB">
        <w:rPr>
          <w:rFonts w:ascii="Tahoma" w:hAnsi="Tahoma" w:cs="Tahoma"/>
          <w:sz w:val="24"/>
          <w:szCs w:val="24"/>
          <w:lang w:val="hr-HR"/>
        </w:rPr>
        <w:t xml:space="preserve"> </w:t>
      </w:r>
      <w:r>
        <w:rPr>
          <w:rFonts w:ascii="Tahoma" w:hAnsi="Tahoma" w:cs="Tahoma"/>
          <w:sz w:val="24"/>
          <w:szCs w:val="24"/>
          <w:lang w:val="hr-HR"/>
        </w:rPr>
        <w:t>January</w:t>
      </w:r>
      <w:r w:rsidRPr="008D2842">
        <w:rPr>
          <w:rFonts w:ascii="Tahoma" w:hAnsi="Tahoma" w:cs="Tahoma"/>
          <w:sz w:val="24"/>
          <w:szCs w:val="24"/>
          <w:lang w:val="hr-HR"/>
        </w:rPr>
        <w:t>-</w:t>
      </w:r>
      <w:r>
        <w:rPr>
          <w:rFonts w:ascii="Tahoma" w:hAnsi="Tahoma" w:cs="Tahoma"/>
          <w:sz w:val="24"/>
          <w:szCs w:val="24"/>
          <w:lang w:val="hr-HR"/>
        </w:rPr>
        <w:t>May</w:t>
      </w:r>
      <w:r w:rsidR="00777348" w:rsidRPr="008D2842">
        <w:rPr>
          <w:rFonts w:ascii="Tahoma" w:hAnsi="Tahoma" w:cs="Tahoma"/>
          <w:sz w:val="24"/>
          <w:szCs w:val="24"/>
          <w:lang w:val="hr-HR"/>
        </w:rPr>
        <w:t xml:space="preserve"> 2012) </w:t>
      </w:r>
      <w:r>
        <w:rPr>
          <w:rFonts w:ascii="Tahoma" w:hAnsi="Tahoma" w:cs="Tahoma"/>
          <w:sz w:val="24"/>
          <w:szCs w:val="24"/>
        </w:rPr>
        <w:t>increased by</w:t>
      </w:r>
      <w:r w:rsidR="00777348" w:rsidRPr="008D2842">
        <w:rPr>
          <w:rFonts w:ascii="Tahoma" w:hAnsi="Tahoma" w:cs="Tahoma"/>
          <w:sz w:val="24"/>
          <w:szCs w:val="24"/>
          <w:lang w:val="sr-Cyrl-BA"/>
        </w:rPr>
        <w:t xml:space="preserve"> </w:t>
      </w:r>
      <w:r w:rsidR="00777348" w:rsidRPr="008D2842">
        <w:rPr>
          <w:rFonts w:ascii="Tahoma" w:hAnsi="Tahoma" w:cs="Tahoma"/>
          <w:sz w:val="24"/>
          <w:szCs w:val="24"/>
        </w:rPr>
        <w:t>5</w:t>
      </w:r>
      <w:r>
        <w:rPr>
          <w:rFonts w:ascii="Tahoma" w:hAnsi="Tahoma" w:cs="Tahoma"/>
          <w:sz w:val="24"/>
          <w:szCs w:val="24"/>
        </w:rPr>
        <w:t>.</w:t>
      </w:r>
      <w:r w:rsidR="00777348" w:rsidRPr="008D2842">
        <w:rPr>
          <w:rFonts w:ascii="Tahoma" w:hAnsi="Tahoma" w:cs="Tahoma"/>
          <w:sz w:val="24"/>
          <w:szCs w:val="24"/>
        </w:rPr>
        <w:t>6</w:t>
      </w:r>
      <w:r w:rsidR="00777348" w:rsidRPr="008D2842">
        <w:rPr>
          <w:rFonts w:ascii="Tahoma" w:hAnsi="Tahoma" w:cs="Tahoma"/>
          <w:sz w:val="24"/>
          <w:szCs w:val="24"/>
          <w:lang w:val="ru-RU"/>
        </w:rPr>
        <w:t>%</w:t>
      </w:r>
    </w:p>
    <w:p w:rsidR="00777348" w:rsidRPr="008D2842" w:rsidRDefault="00777348" w:rsidP="00777348">
      <w:pPr>
        <w:tabs>
          <w:tab w:val="left" w:pos="300"/>
          <w:tab w:val="left" w:pos="1100"/>
        </w:tabs>
        <w:jc w:val="both"/>
        <w:rPr>
          <w:rFonts w:ascii="Tahoma" w:hAnsi="Tahoma" w:cs="Tahoma"/>
          <w:b/>
          <w:lang w:val="sr-Cyrl-BA"/>
        </w:rPr>
      </w:pPr>
    </w:p>
    <w:p w:rsidR="00D579FB" w:rsidRDefault="00D579FB" w:rsidP="00777348">
      <w:pPr>
        <w:jc w:val="both"/>
        <w:rPr>
          <w:rFonts w:ascii="Tahoma" w:hAnsi="Tahoma" w:cs="Tahoma"/>
        </w:rPr>
      </w:pPr>
      <w:r>
        <w:rPr>
          <w:rFonts w:ascii="Tahoma" w:hAnsi="Tahoma" w:cs="Tahoma"/>
        </w:rPr>
        <w:t xml:space="preserve">In May 2013, the value of export was 221 million KM, while the value of import was 381 million KM. </w:t>
      </w:r>
    </w:p>
    <w:p w:rsidR="00777348" w:rsidRPr="008D2842" w:rsidRDefault="00777348" w:rsidP="00777348">
      <w:pPr>
        <w:jc w:val="both"/>
        <w:rPr>
          <w:rFonts w:ascii="Tahoma" w:hAnsi="Tahoma" w:cs="Tahoma"/>
          <w:lang w:val="sr-Cyrl-BA"/>
        </w:rPr>
      </w:pPr>
    </w:p>
    <w:p w:rsidR="00D579FB" w:rsidRDefault="00D579FB" w:rsidP="00777348">
      <w:pPr>
        <w:jc w:val="both"/>
        <w:rPr>
          <w:rFonts w:ascii="Tahoma" w:hAnsi="Tahoma" w:cs="Tahoma"/>
        </w:rPr>
      </w:pPr>
      <w:r>
        <w:rPr>
          <w:rFonts w:ascii="Tahoma" w:hAnsi="Tahoma" w:cs="Tahoma"/>
        </w:rPr>
        <w:t xml:space="preserve">In the total external trade </w:t>
      </w:r>
      <w:proofErr w:type="spellStart"/>
      <w:r>
        <w:rPr>
          <w:rFonts w:ascii="Tahoma" w:hAnsi="Tahoma" w:cs="Tahoma"/>
        </w:rPr>
        <w:t>realised</w:t>
      </w:r>
      <w:proofErr w:type="spellEnd"/>
      <w:r>
        <w:rPr>
          <w:rFonts w:ascii="Tahoma" w:hAnsi="Tahoma" w:cs="Tahoma"/>
        </w:rPr>
        <w:t xml:space="preserve"> by </w:t>
      </w:r>
      <w:proofErr w:type="spellStart"/>
      <w:r>
        <w:rPr>
          <w:rFonts w:ascii="Tahoma" w:hAnsi="Tahoma" w:cs="Tahoma"/>
        </w:rPr>
        <w:t>Republika</w:t>
      </w:r>
      <w:proofErr w:type="spellEnd"/>
      <w:r>
        <w:rPr>
          <w:rFonts w:ascii="Tahoma" w:hAnsi="Tahoma" w:cs="Tahoma"/>
        </w:rPr>
        <w:t xml:space="preserve"> </w:t>
      </w:r>
      <w:proofErr w:type="spellStart"/>
      <w:r>
        <w:rPr>
          <w:rFonts w:ascii="Tahoma" w:hAnsi="Tahoma" w:cs="Tahoma"/>
        </w:rPr>
        <w:t>Srpska</w:t>
      </w:r>
      <w:proofErr w:type="spellEnd"/>
      <w:r>
        <w:rPr>
          <w:rFonts w:ascii="Tahoma" w:hAnsi="Tahoma" w:cs="Tahoma"/>
        </w:rPr>
        <w:t xml:space="preserve"> in May this year, the percentage of coverage of import by export was 58.1%. </w:t>
      </w:r>
    </w:p>
    <w:p w:rsidR="00777348" w:rsidRPr="008D2842" w:rsidRDefault="00777348" w:rsidP="00777348">
      <w:pPr>
        <w:jc w:val="both"/>
        <w:rPr>
          <w:rFonts w:ascii="Tahoma" w:hAnsi="Tahoma" w:cs="Tahoma"/>
        </w:rPr>
      </w:pPr>
    </w:p>
    <w:p w:rsidR="00D579FB" w:rsidRDefault="00D579FB" w:rsidP="00777348">
      <w:pPr>
        <w:jc w:val="both"/>
        <w:rPr>
          <w:rFonts w:ascii="Tahoma" w:hAnsi="Tahoma" w:cs="Tahoma"/>
        </w:rPr>
      </w:pPr>
      <w:r>
        <w:rPr>
          <w:rFonts w:ascii="Tahoma" w:hAnsi="Tahoma" w:cs="Tahoma"/>
        </w:rPr>
        <w:t xml:space="preserve">In the period January – May 2013, the value of export was 1 billion and 20 million KM, which was an increase by 5.6% </w:t>
      </w:r>
      <w:r w:rsidR="005D5C78">
        <w:rPr>
          <w:rFonts w:ascii="Tahoma" w:hAnsi="Tahoma" w:cs="Tahoma"/>
        </w:rPr>
        <w:t xml:space="preserve">compared to the same period of the previous year. During the same period, the value of import was 1 billion and 786 million KM, which was an increase by 1.3% compared to the same period of the previous year. </w:t>
      </w:r>
    </w:p>
    <w:p w:rsidR="00777348" w:rsidRPr="008D2842" w:rsidRDefault="00777348" w:rsidP="00777348">
      <w:pPr>
        <w:jc w:val="both"/>
        <w:rPr>
          <w:rFonts w:ascii="Tahoma" w:hAnsi="Tahoma" w:cs="Tahoma"/>
          <w:lang w:val="ru-RU"/>
        </w:rPr>
      </w:pPr>
    </w:p>
    <w:p w:rsidR="005D5C78" w:rsidRDefault="005D5C78" w:rsidP="00777348">
      <w:pPr>
        <w:jc w:val="both"/>
        <w:rPr>
          <w:rFonts w:ascii="Tahoma" w:hAnsi="Tahoma" w:cs="Tahoma"/>
        </w:rPr>
      </w:pPr>
      <w:r>
        <w:rPr>
          <w:rFonts w:ascii="Tahoma" w:hAnsi="Tahoma" w:cs="Tahoma"/>
        </w:rPr>
        <w:t xml:space="preserve">Percentage of coverage of import with export during the first five months of the current year was 57.1%, while external trade deficit was 766 million KM. </w:t>
      </w:r>
    </w:p>
    <w:p w:rsidR="00777348" w:rsidRPr="008D2842" w:rsidRDefault="00777348" w:rsidP="00777348">
      <w:pPr>
        <w:tabs>
          <w:tab w:val="left" w:pos="300"/>
          <w:tab w:val="left" w:pos="1100"/>
        </w:tabs>
        <w:jc w:val="both"/>
        <w:rPr>
          <w:rFonts w:ascii="Tahoma" w:hAnsi="Tahoma" w:cs="Tahoma"/>
          <w:b/>
          <w:lang w:val="ru-RU"/>
        </w:rPr>
      </w:pPr>
    </w:p>
    <w:p w:rsidR="005D5C78" w:rsidRDefault="005D5C78" w:rsidP="00106980">
      <w:pPr>
        <w:tabs>
          <w:tab w:val="left" w:pos="300"/>
          <w:tab w:val="left" w:pos="1100"/>
        </w:tabs>
        <w:jc w:val="both"/>
        <w:rPr>
          <w:rFonts w:ascii="Tahoma" w:hAnsi="Tahoma" w:cs="Tahoma"/>
        </w:rPr>
      </w:pPr>
      <w:r>
        <w:rPr>
          <w:rFonts w:ascii="Tahoma" w:hAnsi="Tahoma" w:cs="Tahoma"/>
        </w:rPr>
        <w:t xml:space="preserve">In terms of the geographical distribution of external trade of </w:t>
      </w:r>
      <w:proofErr w:type="spellStart"/>
      <w:r>
        <w:rPr>
          <w:rFonts w:ascii="Tahoma" w:hAnsi="Tahoma" w:cs="Tahoma"/>
        </w:rPr>
        <w:t>Republika</w:t>
      </w:r>
      <w:proofErr w:type="spellEnd"/>
      <w:r>
        <w:rPr>
          <w:rFonts w:ascii="Tahoma" w:hAnsi="Tahoma" w:cs="Tahoma"/>
        </w:rPr>
        <w:t xml:space="preserve"> </w:t>
      </w:r>
      <w:proofErr w:type="spellStart"/>
      <w:r>
        <w:rPr>
          <w:rFonts w:ascii="Tahoma" w:hAnsi="Tahoma" w:cs="Tahoma"/>
        </w:rPr>
        <w:t>Srpska</w:t>
      </w:r>
      <w:proofErr w:type="spellEnd"/>
      <w:r>
        <w:rPr>
          <w:rFonts w:ascii="Tahoma" w:hAnsi="Tahoma" w:cs="Tahoma"/>
        </w:rPr>
        <w:t xml:space="preserve">, in the period January – May 2013, the highest value of export was that of export to Italy, with 154 million KM or 15.1%, followed by Serbia with 147 million KM or 14.4% of the total </w:t>
      </w:r>
      <w:proofErr w:type="spellStart"/>
      <w:r>
        <w:rPr>
          <w:rFonts w:ascii="Tahoma" w:hAnsi="Tahoma" w:cs="Tahoma"/>
        </w:rPr>
        <w:t>realised</w:t>
      </w:r>
      <w:proofErr w:type="spellEnd"/>
      <w:r>
        <w:rPr>
          <w:rFonts w:ascii="Tahoma" w:hAnsi="Tahoma" w:cs="Tahoma"/>
        </w:rPr>
        <w:t xml:space="preserve"> export.</w:t>
      </w:r>
    </w:p>
    <w:p w:rsidR="005D5C78" w:rsidRDefault="005D5C78" w:rsidP="00106980">
      <w:pPr>
        <w:tabs>
          <w:tab w:val="left" w:pos="300"/>
          <w:tab w:val="left" w:pos="1100"/>
        </w:tabs>
        <w:jc w:val="both"/>
        <w:rPr>
          <w:rFonts w:ascii="Tahoma" w:hAnsi="Tahoma" w:cs="Tahoma"/>
        </w:rPr>
      </w:pPr>
      <w:r>
        <w:rPr>
          <w:rFonts w:ascii="Tahoma" w:hAnsi="Tahoma" w:cs="Tahoma"/>
        </w:rPr>
        <w:t xml:space="preserve">During the same period, the highest value of import was that of import from Russia, with 495 million KM or 27.7%, followed by Serbia, with 283 million KM or 15.8% of the total </w:t>
      </w:r>
      <w:proofErr w:type="spellStart"/>
      <w:r>
        <w:rPr>
          <w:rFonts w:ascii="Tahoma" w:hAnsi="Tahoma" w:cs="Tahoma"/>
        </w:rPr>
        <w:t>realised</w:t>
      </w:r>
      <w:proofErr w:type="spellEnd"/>
      <w:r>
        <w:rPr>
          <w:rFonts w:ascii="Tahoma" w:hAnsi="Tahoma" w:cs="Tahoma"/>
        </w:rPr>
        <w:t xml:space="preserve"> import. </w:t>
      </w:r>
    </w:p>
    <w:p w:rsidR="00777348" w:rsidRPr="008D2842" w:rsidRDefault="00777348" w:rsidP="00777348">
      <w:pPr>
        <w:tabs>
          <w:tab w:val="left" w:pos="300"/>
          <w:tab w:val="left" w:pos="1100"/>
        </w:tabs>
        <w:jc w:val="both"/>
        <w:rPr>
          <w:rFonts w:ascii="Tahoma" w:hAnsi="Tahoma" w:cs="Tahoma"/>
          <w:lang w:val="sr-Cyrl-CS"/>
        </w:rPr>
      </w:pPr>
    </w:p>
    <w:p w:rsidR="005D5C78" w:rsidRDefault="005D5C78" w:rsidP="00777348">
      <w:pPr>
        <w:tabs>
          <w:tab w:val="left" w:pos="300"/>
          <w:tab w:val="left" w:pos="1100"/>
        </w:tabs>
        <w:jc w:val="both"/>
        <w:rPr>
          <w:rFonts w:ascii="Tahoma" w:hAnsi="Tahoma" w:cs="Tahoma"/>
          <w:bCs/>
        </w:rPr>
      </w:pPr>
      <w:r>
        <w:rPr>
          <w:rFonts w:ascii="Tahoma" w:hAnsi="Tahoma" w:cs="Tahoma"/>
          <w:bCs/>
        </w:rPr>
        <w:t>By group of products, in the period January – May 2013, the highest participation in export was that of electricity, with the total value of 93 million KM, which was 9.1% of the total export, while the highest participation in import was that of p</w:t>
      </w:r>
      <w:r w:rsidRPr="005D5C78">
        <w:rPr>
          <w:rFonts w:ascii="Tahoma" w:hAnsi="Tahoma" w:cs="Tahoma"/>
          <w:bCs/>
        </w:rPr>
        <w:t>etroleum oils and oils obtained from bituminous minerals</w:t>
      </w:r>
      <w:r>
        <w:rPr>
          <w:rFonts w:ascii="Tahoma" w:hAnsi="Tahoma" w:cs="Tahoma"/>
          <w:bCs/>
        </w:rPr>
        <w:t xml:space="preserve"> (raw), with the total value of 486%, which was 27.2% of the total import. </w:t>
      </w:r>
    </w:p>
    <w:p w:rsidR="00115CDB" w:rsidRPr="003E0BC7" w:rsidRDefault="00115CDB" w:rsidP="00115CDB">
      <w:pPr>
        <w:tabs>
          <w:tab w:val="left" w:pos="300"/>
          <w:tab w:val="left" w:pos="1100"/>
        </w:tabs>
        <w:jc w:val="both"/>
        <w:rPr>
          <w:rFonts w:ascii="Tahoma" w:hAnsi="Tahoma" w:cs="Tahoma"/>
          <w:sz w:val="18"/>
          <w:szCs w:val="18"/>
          <w:lang w:val="sr-Cyrl-CS"/>
        </w:rPr>
      </w:pPr>
    </w:p>
    <w:p w:rsidR="0076768F" w:rsidRDefault="0076768F">
      <w:pPr>
        <w:rPr>
          <w:rFonts w:ascii="Tahoma" w:hAnsi="Tahoma" w:cs="Tahoma"/>
          <w:color w:val="FF0000"/>
          <w:sz w:val="18"/>
          <w:szCs w:val="18"/>
          <w:lang w:val="sr-Cyrl-CS"/>
        </w:rPr>
      </w:pPr>
    </w:p>
    <w:p w:rsidR="00115CDB" w:rsidRPr="00115CDB" w:rsidRDefault="00115CDB" w:rsidP="00115CDB">
      <w:pPr>
        <w:tabs>
          <w:tab w:val="left" w:pos="300"/>
          <w:tab w:val="left" w:pos="1100"/>
        </w:tabs>
        <w:jc w:val="center"/>
        <w:rPr>
          <w:rFonts w:ascii="Tahoma" w:hAnsi="Tahoma" w:cs="Tahoma"/>
          <w:color w:val="FF0000"/>
          <w:sz w:val="18"/>
          <w:szCs w:val="18"/>
          <w:lang w:val="sr-Cyrl-CS"/>
        </w:rPr>
      </w:pPr>
    </w:p>
    <w:p w:rsidR="00115CDB" w:rsidRPr="00115CDB" w:rsidRDefault="00A050FF" w:rsidP="00115CDB">
      <w:pPr>
        <w:tabs>
          <w:tab w:val="left" w:pos="300"/>
          <w:tab w:val="left" w:pos="1100"/>
        </w:tabs>
        <w:jc w:val="center"/>
        <w:rPr>
          <w:rFonts w:ascii="Tahoma" w:hAnsi="Tahoma" w:cs="Tahoma"/>
          <w:b/>
          <w:color w:val="FF0000"/>
          <w:sz w:val="18"/>
          <w:szCs w:val="18"/>
          <w:lang w:val="sr-Cyrl-CS"/>
        </w:rPr>
      </w:pPr>
      <w:r>
        <w:rPr>
          <w:rFonts w:ascii="Tahoma" w:hAnsi="Tahoma" w:cs="Tahoma"/>
          <w:noProof/>
          <w:color w:val="FF0000"/>
          <w:sz w:val="18"/>
          <w:szCs w:val="18"/>
          <w:lang w:eastAsia="zh-TW"/>
        </w:rPr>
        <w:pict>
          <v:shapetype id="_x0000_t202" coordsize="21600,21600" o:spt="202" path="m,l,21600r21600,l21600,xe">
            <v:stroke joinstyle="miter"/>
            <v:path gradientshapeok="t" o:connecttype="rect"/>
          </v:shapetype>
          <v:shape id="_x0000_s1068" type="#_x0000_t202" style="position:absolute;left:0;text-align:left;margin-left:335.95pt;margin-top:.6pt;width:61.05pt;height:19.75pt;z-index:251664384;mso-width-relative:margin;mso-height-relative:margin" stroked="f">
            <v:textbox style="mso-next-textbox:#_x0000_s1068">
              <w:txbxContent>
                <w:p w:rsidR="00562019" w:rsidRPr="001631DD" w:rsidRDefault="00AF5B54" w:rsidP="00115CDB">
                  <w:pPr>
                    <w:rPr>
                      <w:rFonts w:ascii="Tahoma" w:hAnsi="Tahoma" w:cs="Tahoma"/>
                      <w:lang w:val="bs-Cyrl-BA"/>
                    </w:rPr>
                  </w:pPr>
                  <w:proofErr w:type="spellStart"/>
                  <w:proofErr w:type="gramStart"/>
                  <w:r>
                    <w:rPr>
                      <w:rFonts w:ascii="Tahoma" w:hAnsi="Tahoma" w:cs="Tahoma"/>
                    </w:rPr>
                    <w:t>thous</w:t>
                  </w:r>
                  <w:proofErr w:type="spellEnd"/>
                  <w:proofErr w:type="gramEnd"/>
                  <w:r w:rsidR="00562019" w:rsidRPr="001631DD">
                    <w:rPr>
                      <w:rFonts w:ascii="Tahoma" w:hAnsi="Tahoma" w:cs="Tahoma"/>
                      <w:lang w:val="bs-Cyrl-BA"/>
                    </w:rPr>
                    <w:t>. КМ</w:t>
                  </w:r>
                </w:p>
              </w:txbxContent>
            </v:textbox>
          </v:shape>
        </w:pict>
      </w:r>
    </w:p>
    <w:p w:rsidR="00115CDB" w:rsidRPr="001225F9" w:rsidRDefault="00777348" w:rsidP="00115CDB">
      <w:pPr>
        <w:tabs>
          <w:tab w:val="left" w:pos="4545"/>
        </w:tabs>
        <w:jc w:val="center"/>
        <w:rPr>
          <w:rFonts w:ascii="Tahoma" w:hAnsi="Tahoma" w:cs="Tahoma"/>
          <w:b/>
        </w:rPr>
      </w:pPr>
      <w:r w:rsidRPr="00777348">
        <w:rPr>
          <w:rFonts w:ascii="Tahoma" w:hAnsi="Tahoma" w:cs="Tahoma"/>
          <w:b/>
          <w:noProof/>
        </w:rPr>
        <w:drawing>
          <wp:inline distT="0" distB="0" distL="0" distR="0">
            <wp:extent cx="4982320" cy="2568272"/>
            <wp:effectExtent l="19050" t="0" r="878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5CDB" w:rsidRDefault="00A050FF" w:rsidP="00115CDB">
      <w:pPr>
        <w:tabs>
          <w:tab w:val="left" w:pos="2535"/>
        </w:tabs>
        <w:jc w:val="center"/>
        <w:rPr>
          <w:rFonts w:ascii="Tahoma" w:hAnsi="Tahoma" w:cs="Tahoma"/>
          <w:sz w:val="16"/>
          <w:szCs w:val="16"/>
          <w:lang w:val="ru-RU"/>
        </w:rPr>
      </w:pPr>
      <w:r>
        <w:rPr>
          <w:rFonts w:ascii="Tahoma" w:hAnsi="Tahoma" w:cs="Tahoma"/>
          <w:b/>
          <w:noProof/>
          <w:sz w:val="16"/>
          <w:szCs w:val="16"/>
          <w:lang w:val="bs-Latn-BA" w:eastAsia="bs-Latn-BA"/>
        </w:rPr>
        <w:pict>
          <v:shape id="_x0000_s1067" type="#_x0000_t202" style="position:absolute;left:0;text-align:left;margin-left:308.6pt;margin-top:-.15pt;width:36.15pt;height:16.85pt;z-index:251663360;mso-height-percent:200;mso-height-percent:200;mso-width-relative:margin;mso-height-relative:margin" stroked="f">
            <v:textbox style="mso-next-textbox:#_x0000_s1067;mso-fit-shape-to-text:t">
              <w:txbxContent>
                <w:p w:rsidR="00562019" w:rsidRPr="001C4E5B" w:rsidRDefault="00562019" w:rsidP="00115CDB">
                  <w:pPr>
                    <w:rPr>
                      <w:rFonts w:ascii="Tahoma" w:hAnsi="Tahoma" w:cs="Tahoma"/>
                      <w:sz w:val="16"/>
                      <w:szCs w:val="16"/>
                      <w:lang w:val="sr-Cyrl-BA"/>
                    </w:rPr>
                  </w:pPr>
                  <w:r w:rsidRPr="0078288A">
                    <w:rPr>
                      <w:rFonts w:ascii="Tahoma" w:hAnsi="Tahoma" w:cs="Tahoma"/>
                      <w:sz w:val="16"/>
                      <w:szCs w:val="16"/>
                    </w:rPr>
                    <w:t>2</w:t>
                  </w:r>
                  <w:r>
                    <w:rPr>
                      <w:rFonts w:ascii="Tahoma" w:hAnsi="Tahoma" w:cs="Tahoma"/>
                      <w:sz w:val="16"/>
                      <w:szCs w:val="16"/>
                    </w:rPr>
                    <w:t>01</w:t>
                  </w:r>
                  <w:r>
                    <w:rPr>
                      <w:rFonts w:ascii="Tahoma" w:hAnsi="Tahoma" w:cs="Tahoma"/>
                      <w:sz w:val="16"/>
                      <w:szCs w:val="16"/>
                      <w:lang w:val="sr-Cyrl-BA"/>
                    </w:rPr>
                    <w:t>3</w:t>
                  </w:r>
                </w:p>
              </w:txbxContent>
            </v:textbox>
          </v:shape>
        </w:pict>
      </w:r>
      <w:r>
        <w:rPr>
          <w:rFonts w:ascii="Tahoma" w:hAnsi="Tahoma" w:cs="Tahoma"/>
          <w:b/>
          <w:noProof/>
          <w:sz w:val="16"/>
          <w:szCs w:val="16"/>
          <w:lang w:eastAsia="zh-TW"/>
        </w:rPr>
        <w:pict>
          <v:shape id="_x0000_s1066" type="#_x0000_t202" style="position:absolute;left:0;text-align:left;margin-left:170.45pt;margin-top:-.15pt;width:36.15pt;height:16.85pt;z-index:251662336;mso-height-percent:200;mso-height-percent:200;mso-width-relative:margin;mso-height-relative:margin" stroked="f">
            <v:textbox style="mso-next-textbox:#_x0000_s1066;mso-fit-shape-to-text:t">
              <w:txbxContent>
                <w:p w:rsidR="00562019" w:rsidRPr="001C4E5B" w:rsidRDefault="00562019" w:rsidP="00115CDB">
                  <w:pPr>
                    <w:rPr>
                      <w:rFonts w:ascii="Tahoma" w:hAnsi="Tahoma" w:cs="Tahoma"/>
                      <w:sz w:val="16"/>
                      <w:szCs w:val="16"/>
                      <w:lang w:val="sr-Cyrl-BA"/>
                    </w:rPr>
                  </w:pPr>
                  <w:r w:rsidRPr="0078288A">
                    <w:rPr>
                      <w:rFonts w:ascii="Tahoma" w:hAnsi="Tahoma" w:cs="Tahoma"/>
                      <w:sz w:val="16"/>
                      <w:szCs w:val="16"/>
                    </w:rPr>
                    <w:t>201</w:t>
                  </w:r>
                  <w:r>
                    <w:rPr>
                      <w:rFonts w:ascii="Tahoma" w:hAnsi="Tahoma" w:cs="Tahoma"/>
                      <w:sz w:val="16"/>
                      <w:szCs w:val="16"/>
                      <w:lang w:val="sr-Cyrl-BA"/>
                    </w:rPr>
                    <w:t>2</w:t>
                  </w:r>
                </w:p>
              </w:txbxContent>
            </v:textbox>
          </v:shape>
        </w:pict>
      </w:r>
    </w:p>
    <w:p w:rsidR="00C043E2" w:rsidRPr="00C043E2" w:rsidRDefault="00C043E2" w:rsidP="00115CDB">
      <w:pPr>
        <w:tabs>
          <w:tab w:val="left" w:pos="2535"/>
        </w:tabs>
        <w:jc w:val="center"/>
        <w:rPr>
          <w:rFonts w:ascii="Tahoma" w:hAnsi="Tahoma" w:cs="Tahoma"/>
          <w:color w:val="FF0000"/>
          <w:sz w:val="16"/>
          <w:szCs w:val="16"/>
          <w:lang w:val="ru-RU"/>
        </w:rPr>
      </w:pPr>
    </w:p>
    <w:p w:rsidR="00777348" w:rsidRPr="00AF5B54" w:rsidRDefault="00AF5B54" w:rsidP="00777348">
      <w:pPr>
        <w:tabs>
          <w:tab w:val="left" w:pos="2535"/>
        </w:tabs>
        <w:jc w:val="center"/>
        <w:rPr>
          <w:rFonts w:ascii="Tahoma" w:hAnsi="Tahoma" w:cs="Tahoma"/>
          <w:iCs/>
        </w:rPr>
      </w:pPr>
      <w:proofErr w:type="gramStart"/>
      <w:r>
        <w:rPr>
          <w:rFonts w:ascii="Tahoma" w:hAnsi="Tahoma" w:cs="Tahoma"/>
        </w:rPr>
        <w:t>Graph</w:t>
      </w:r>
      <w:r w:rsidR="00777348" w:rsidRPr="00806168">
        <w:rPr>
          <w:rFonts w:ascii="Tahoma" w:hAnsi="Tahoma" w:cs="Tahoma"/>
          <w:lang w:val="ru-RU"/>
        </w:rPr>
        <w:t xml:space="preserve"> </w:t>
      </w:r>
      <w:r w:rsidR="008D2842" w:rsidRPr="00806168">
        <w:rPr>
          <w:rFonts w:ascii="Tahoma" w:hAnsi="Tahoma" w:cs="Tahoma"/>
          <w:lang w:val="sr-Latn-CS"/>
        </w:rPr>
        <w:t>3</w:t>
      </w:r>
      <w:r w:rsidR="00777348" w:rsidRPr="00806168">
        <w:rPr>
          <w:rFonts w:ascii="Tahoma" w:hAnsi="Tahoma" w:cs="Tahoma"/>
          <w:lang w:val="ru-RU"/>
        </w:rPr>
        <w:t>.</w:t>
      </w:r>
      <w:proofErr w:type="gramEnd"/>
      <w:r w:rsidR="00777348" w:rsidRPr="00806168">
        <w:rPr>
          <w:rFonts w:ascii="Tahoma" w:hAnsi="Tahoma" w:cs="Tahoma"/>
          <w:lang w:val="ru-RU"/>
        </w:rPr>
        <w:t xml:space="preserve"> </w:t>
      </w:r>
      <w:r>
        <w:rPr>
          <w:rFonts w:ascii="Tahoma" w:hAnsi="Tahoma" w:cs="Tahoma"/>
          <w:iCs/>
        </w:rPr>
        <w:t>Export and import by month</w:t>
      </w:r>
    </w:p>
    <w:p w:rsidR="00115CDB" w:rsidRDefault="00115CDB" w:rsidP="00115CDB">
      <w:pPr>
        <w:tabs>
          <w:tab w:val="left" w:pos="2535"/>
        </w:tabs>
        <w:jc w:val="center"/>
        <w:rPr>
          <w:rFonts w:ascii="Tahoma" w:hAnsi="Tahoma" w:cs="Tahoma"/>
          <w:iCs/>
          <w:sz w:val="18"/>
          <w:szCs w:val="18"/>
          <w:lang w:val="ru-RU"/>
        </w:rPr>
      </w:pPr>
    </w:p>
    <w:p w:rsidR="00115CDB" w:rsidRPr="001225F9" w:rsidRDefault="00115CDB" w:rsidP="00115CDB">
      <w:pPr>
        <w:tabs>
          <w:tab w:val="left" w:pos="2535"/>
        </w:tabs>
        <w:jc w:val="center"/>
        <w:rPr>
          <w:rFonts w:ascii="Tahoma" w:hAnsi="Tahoma" w:cs="Tahoma"/>
          <w:b/>
          <w:spacing w:val="-16"/>
          <w:sz w:val="18"/>
          <w:szCs w:val="18"/>
          <w:lang w:val="ru-RU"/>
        </w:rPr>
      </w:pPr>
    </w:p>
    <w:p w:rsidR="00115CDB" w:rsidRPr="001225F9" w:rsidRDefault="00115CDB" w:rsidP="00115CDB">
      <w:pPr>
        <w:ind w:firstLine="720"/>
        <w:jc w:val="both"/>
        <w:rPr>
          <w:rFonts w:ascii="Tahoma" w:hAnsi="Tahoma" w:cs="Tahoma"/>
          <w:b/>
          <w:sz w:val="18"/>
          <w:szCs w:val="18"/>
          <w:lang w:val="sr-Cyrl-BA"/>
        </w:rPr>
      </w:pPr>
    </w:p>
    <w:p w:rsidR="00115CDB" w:rsidRDefault="00115CDB" w:rsidP="00115CDB">
      <w:pPr>
        <w:rPr>
          <w:rFonts w:ascii="Tahoma" w:hAnsi="Tahoma" w:cs="Tahoma"/>
          <w:bCs/>
          <w:sz w:val="18"/>
          <w:szCs w:val="18"/>
          <w:lang w:val="sr-Cyrl-CS"/>
        </w:rPr>
      </w:pPr>
    </w:p>
    <w:p w:rsidR="00BC7CF8" w:rsidRDefault="00BC7CF8" w:rsidP="00115CDB">
      <w:pPr>
        <w:rPr>
          <w:rFonts w:ascii="Tahoma" w:hAnsi="Tahoma" w:cs="Tahoma"/>
          <w:bCs/>
          <w:sz w:val="18"/>
          <w:szCs w:val="18"/>
          <w:lang w:val="sr-Cyrl-CS"/>
        </w:rPr>
      </w:pPr>
    </w:p>
    <w:p w:rsidR="00BC7CF8" w:rsidRDefault="00BC7CF8" w:rsidP="00115CDB">
      <w:pPr>
        <w:rPr>
          <w:rFonts w:ascii="Tahoma" w:hAnsi="Tahoma" w:cs="Tahoma"/>
          <w:bCs/>
          <w:sz w:val="18"/>
          <w:szCs w:val="18"/>
          <w:lang w:val="sr-Cyrl-CS"/>
        </w:rPr>
      </w:pPr>
    </w:p>
    <w:p w:rsidR="00BC7CF8" w:rsidRDefault="00BC7CF8" w:rsidP="00115CDB">
      <w:pPr>
        <w:rPr>
          <w:rFonts w:ascii="Tahoma" w:hAnsi="Tahoma" w:cs="Tahoma"/>
          <w:bCs/>
          <w:sz w:val="18"/>
          <w:szCs w:val="18"/>
          <w:lang w:val="sr-Cyrl-CS"/>
        </w:rPr>
      </w:pPr>
    </w:p>
    <w:p w:rsidR="00BC7CF8" w:rsidRDefault="00BC7CF8" w:rsidP="00115CDB">
      <w:pPr>
        <w:rPr>
          <w:rFonts w:ascii="Tahoma" w:hAnsi="Tahoma" w:cs="Tahoma"/>
          <w:bCs/>
          <w:sz w:val="18"/>
          <w:szCs w:val="18"/>
          <w:lang w:val="sr-Cyrl-CS"/>
        </w:rPr>
      </w:pPr>
    </w:p>
    <w:p w:rsidR="00780C4A" w:rsidRPr="003B6379" w:rsidRDefault="00780C4A" w:rsidP="003F532D">
      <w:pPr>
        <w:tabs>
          <w:tab w:val="left" w:pos="3643"/>
        </w:tabs>
        <w:rPr>
          <w:rFonts w:ascii="Tahoma" w:hAnsi="Tahoma" w:cs="Tahoma"/>
          <w:bCs/>
          <w:sz w:val="28"/>
          <w:szCs w:val="28"/>
          <w:lang w:val="sr-Latn-CS"/>
        </w:rPr>
      </w:pPr>
    </w:p>
    <w:p w:rsidR="00C77C25" w:rsidRDefault="00C77C25" w:rsidP="008F2385">
      <w:pPr>
        <w:jc w:val="both"/>
        <w:rPr>
          <w:rFonts w:ascii="Tahoma" w:hAnsi="Tahoma" w:cs="Tahoma"/>
          <w:bCs/>
          <w:lang w:val="sr-Latn-CS"/>
        </w:rPr>
      </w:pPr>
    </w:p>
    <w:p w:rsidR="009E2A9A" w:rsidRDefault="009E2A9A" w:rsidP="008F2385">
      <w:pPr>
        <w:jc w:val="both"/>
        <w:rPr>
          <w:rFonts w:ascii="Tahoma" w:hAnsi="Tahoma" w:cs="Tahoma"/>
          <w:bCs/>
          <w:lang w:val="sr-Latn-CS"/>
        </w:rPr>
      </w:pPr>
    </w:p>
    <w:p w:rsidR="009E2A9A" w:rsidRDefault="009E2A9A" w:rsidP="008F2385">
      <w:pPr>
        <w:jc w:val="both"/>
        <w:rPr>
          <w:rFonts w:ascii="Tahoma" w:hAnsi="Tahoma" w:cs="Tahoma"/>
          <w:bCs/>
          <w:lang w:val="sr-Latn-CS"/>
        </w:rPr>
      </w:pPr>
    </w:p>
    <w:p w:rsidR="0076768F" w:rsidRDefault="0076768F">
      <w:pPr>
        <w:rPr>
          <w:rFonts w:ascii="Tahoma" w:hAnsi="Tahoma" w:cs="Tahoma"/>
          <w:bCs/>
          <w:lang w:val="sr-Latn-CS"/>
        </w:rPr>
      </w:pPr>
      <w:r>
        <w:rPr>
          <w:rFonts w:ascii="Tahoma" w:hAnsi="Tahoma" w:cs="Tahoma"/>
          <w:bCs/>
          <w:lang w:val="sr-Latn-CS"/>
        </w:rPr>
        <w:br w:type="page"/>
      </w:r>
    </w:p>
    <w:p w:rsidR="009E2A9A" w:rsidRDefault="009E2A9A" w:rsidP="008F2385">
      <w:pPr>
        <w:jc w:val="both"/>
        <w:rPr>
          <w:rFonts w:ascii="Tahoma" w:hAnsi="Tahoma" w:cs="Tahoma"/>
          <w:bCs/>
          <w:lang w:val="sr-Latn-CS"/>
        </w:rPr>
      </w:pPr>
    </w:p>
    <w:p w:rsidR="009E2A9A" w:rsidRDefault="009E2A9A" w:rsidP="008F2385">
      <w:pPr>
        <w:jc w:val="both"/>
        <w:rPr>
          <w:rFonts w:ascii="Tahoma" w:hAnsi="Tahoma" w:cs="Tahoma"/>
          <w:bCs/>
          <w:lang w:val="sr-Latn-CS"/>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9"/>
      </w:tblGrid>
      <w:tr w:rsidR="009E2A9A" w:rsidRPr="00221BD9" w:rsidTr="009E2A9A">
        <w:trPr>
          <w:trHeight w:hRule="exact" w:val="340"/>
          <w:jc w:val="center"/>
        </w:trPr>
        <w:tc>
          <w:tcPr>
            <w:tcW w:w="10419" w:type="dxa"/>
            <w:tcBorders>
              <w:top w:val="nil"/>
              <w:left w:val="nil"/>
              <w:bottom w:val="nil"/>
              <w:right w:val="nil"/>
            </w:tcBorders>
          </w:tcPr>
          <w:p w:rsidR="009E2A9A" w:rsidRPr="00221BD9" w:rsidRDefault="006C3F99" w:rsidP="009E2A9A">
            <w:pPr>
              <w:jc w:val="both"/>
              <w:rPr>
                <w:rFonts w:ascii="Tahoma" w:hAnsi="Tahoma" w:cs="Tahoma"/>
                <w:b/>
                <w:lang w:val="sr-Cyrl-CS"/>
              </w:rPr>
            </w:pPr>
            <w:r>
              <w:rPr>
                <w:rFonts w:ascii="Tahoma" w:hAnsi="Tahoma" w:cs="Tahoma"/>
                <w:b/>
              </w:rPr>
              <w:t>PREPARED BY:</w:t>
            </w:r>
            <w:r w:rsidR="009E2A9A" w:rsidRPr="00221BD9">
              <w:rPr>
                <w:rFonts w:ascii="Tahoma" w:hAnsi="Tahoma" w:cs="Tahoma"/>
                <w:b/>
                <w:lang w:val="sr-Cyrl-CS"/>
              </w:rPr>
              <w:t xml:space="preserve"> </w:t>
            </w:r>
          </w:p>
          <w:p w:rsidR="009E2A9A" w:rsidRPr="00221BD9" w:rsidRDefault="009E2A9A" w:rsidP="009E2A9A">
            <w:pPr>
              <w:jc w:val="both"/>
              <w:rPr>
                <w:rFonts w:ascii="Tahoma" w:hAnsi="Tahoma" w:cs="Tahoma"/>
                <w:b/>
                <w:lang w:val="sr-Cyrl-CS"/>
              </w:rPr>
            </w:pPr>
          </w:p>
          <w:p w:rsidR="009E2A9A" w:rsidRPr="00221BD9" w:rsidRDefault="009E2A9A" w:rsidP="009E2A9A">
            <w:pPr>
              <w:jc w:val="both"/>
              <w:rPr>
                <w:rFonts w:ascii="Tahoma" w:hAnsi="Tahoma" w:cs="Tahoma"/>
                <w:b/>
                <w:lang w:val="sr-Cyrl-CS"/>
              </w:rPr>
            </w:pPr>
          </w:p>
          <w:p w:rsidR="009E2A9A" w:rsidRPr="00221BD9" w:rsidRDefault="009E2A9A" w:rsidP="009E2A9A">
            <w:pPr>
              <w:jc w:val="both"/>
              <w:rPr>
                <w:rFonts w:ascii="Tahoma" w:hAnsi="Tahoma" w:cs="Tahoma"/>
                <w:b/>
                <w:lang w:val="sr-Cyrl-CS"/>
              </w:rPr>
            </w:pPr>
          </w:p>
          <w:p w:rsidR="009E2A9A" w:rsidRPr="00221BD9" w:rsidRDefault="009E2A9A" w:rsidP="009E2A9A">
            <w:pPr>
              <w:jc w:val="both"/>
              <w:rPr>
                <w:rFonts w:ascii="Tahoma" w:hAnsi="Tahoma" w:cs="Tahoma"/>
                <w:b/>
                <w:lang w:val="sr-Cyrl-CS"/>
              </w:rPr>
            </w:pPr>
          </w:p>
          <w:p w:rsidR="009E2A9A" w:rsidRPr="00221BD9" w:rsidRDefault="009E2A9A" w:rsidP="009E2A9A">
            <w:pPr>
              <w:jc w:val="both"/>
              <w:rPr>
                <w:rFonts w:ascii="Tahoma" w:hAnsi="Tahoma" w:cs="Tahoma"/>
                <w:b/>
                <w:lang w:val="sr-Cyrl-CS"/>
              </w:rPr>
            </w:pPr>
          </w:p>
        </w:tc>
      </w:tr>
      <w:tr w:rsidR="009E2A9A" w:rsidRPr="00221BD9" w:rsidTr="009E2A9A">
        <w:trPr>
          <w:trHeight w:val="709"/>
          <w:jc w:val="center"/>
        </w:trPr>
        <w:tc>
          <w:tcPr>
            <w:tcW w:w="10419" w:type="dxa"/>
            <w:tcBorders>
              <w:top w:val="nil"/>
              <w:left w:val="nil"/>
              <w:bottom w:val="nil"/>
              <w:right w:val="nil"/>
            </w:tcBorders>
          </w:tcPr>
          <w:p w:rsidR="009E2A9A" w:rsidRPr="003E0BC7" w:rsidRDefault="009E2A9A" w:rsidP="009E2A9A">
            <w:pPr>
              <w:jc w:val="both"/>
              <w:rPr>
                <w:rFonts w:ascii="Tahoma" w:hAnsi="Tahoma" w:cs="Tahoma"/>
                <w:b/>
                <w:sz w:val="16"/>
                <w:lang w:val="sr-Cyrl-CS"/>
              </w:rPr>
            </w:pPr>
          </w:p>
          <w:p w:rsidR="009E2A9A" w:rsidRPr="006C3F99" w:rsidRDefault="006C3F99" w:rsidP="009E2A9A">
            <w:pPr>
              <w:jc w:val="both"/>
              <w:rPr>
                <w:rFonts w:ascii="Tahoma" w:hAnsi="Tahoma" w:cs="Tahoma"/>
                <w:b/>
                <w:sz w:val="16"/>
              </w:rPr>
            </w:pPr>
            <w:r>
              <w:rPr>
                <w:rFonts w:ascii="Tahoma" w:hAnsi="Tahoma" w:cs="Tahoma"/>
                <w:b/>
                <w:sz w:val="16"/>
              </w:rPr>
              <w:t>Social welfare statistics</w:t>
            </w:r>
          </w:p>
          <w:p w:rsidR="009E2A9A" w:rsidRPr="006C3F99" w:rsidRDefault="006C3F99" w:rsidP="009E2A9A">
            <w:pPr>
              <w:jc w:val="both"/>
              <w:rPr>
                <w:rFonts w:ascii="Tahoma" w:hAnsi="Tahoma" w:cs="Tahoma"/>
                <w:sz w:val="16"/>
              </w:rPr>
            </w:pPr>
            <w:r>
              <w:rPr>
                <w:rFonts w:ascii="Tahoma" w:hAnsi="Tahoma" w:cs="Tahoma"/>
                <w:sz w:val="16"/>
              </w:rPr>
              <w:t>Suzana Adamović</w:t>
            </w:r>
          </w:p>
          <w:p w:rsidR="009E2A9A" w:rsidRPr="00106980" w:rsidRDefault="00A050FF" w:rsidP="009E2A9A">
            <w:pPr>
              <w:jc w:val="both"/>
              <w:rPr>
                <w:lang w:val="sr-Cyrl-BA"/>
              </w:rPr>
            </w:pPr>
            <w:hyperlink r:id="rId13" w:history="1">
              <w:r w:rsidR="00806168" w:rsidRPr="00106980">
                <w:rPr>
                  <w:rStyle w:val="Hyperlink"/>
                  <w:rFonts w:ascii="Tahoma" w:hAnsi="Tahoma" w:cs="Tahoma"/>
                  <w:color w:val="auto"/>
                  <w:sz w:val="16"/>
                  <w:lang w:val="sr-Latn-CS"/>
                </w:rPr>
                <w:t>suzana</w:t>
              </w:r>
              <w:r w:rsidR="00806168" w:rsidRPr="00106980">
                <w:rPr>
                  <w:rStyle w:val="Hyperlink"/>
                  <w:rFonts w:ascii="Tahoma" w:hAnsi="Tahoma" w:cs="Tahoma"/>
                  <w:color w:val="auto"/>
                  <w:sz w:val="16"/>
                  <w:lang w:val="sr-Cyrl-CS"/>
                </w:rPr>
                <w:t>.</w:t>
              </w:r>
              <w:r w:rsidR="00806168" w:rsidRPr="00106980">
                <w:rPr>
                  <w:rStyle w:val="Hyperlink"/>
                  <w:rFonts w:ascii="Tahoma" w:hAnsi="Tahoma" w:cs="Tahoma"/>
                  <w:color w:val="auto"/>
                  <w:sz w:val="16"/>
                </w:rPr>
                <w:t>adamovic</w:t>
              </w:r>
              <w:r w:rsidR="00806168" w:rsidRPr="00106980">
                <w:rPr>
                  <w:rStyle w:val="Hyperlink"/>
                  <w:rFonts w:ascii="Tahoma" w:hAnsi="Tahoma" w:cs="Tahoma"/>
                  <w:color w:val="auto"/>
                  <w:sz w:val="16"/>
                  <w:lang w:val="sr-Cyrl-CS"/>
                </w:rPr>
                <w:t>@</w:t>
              </w:r>
              <w:r w:rsidR="00806168" w:rsidRPr="00106980">
                <w:rPr>
                  <w:rStyle w:val="Hyperlink"/>
                  <w:rFonts w:ascii="Tahoma" w:hAnsi="Tahoma" w:cs="Tahoma"/>
                  <w:color w:val="auto"/>
                  <w:sz w:val="16"/>
                </w:rPr>
                <w:t>rzs</w:t>
              </w:r>
              <w:r w:rsidR="00806168" w:rsidRPr="00106980">
                <w:rPr>
                  <w:rStyle w:val="Hyperlink"/>
                  <w:rFonts w:ascii="Tahoma" w:hAnsi="Tahoma" w:cs="Tahoma"/>
                  <w:color w:val="auto"/>
                  <w:sz w:val="16"/>
                  <w:lang w:val="sr-Cyrl-CS"/>
                </w:rPr>
                <w:t>.</w:t>
              </w:r>
              <w:r w:rsidR="00806168" w:rsidRPr="00106980">
                <w:rPr>
                  <w:rStyle w:val="Hyperlink"/>
                  <w:rFonts w:ascii="Tahoma" w:hAnsi="Tahoma" w:cs="Tahoma"/>
                  <w:color w:val="auto"/>
                  <w:sz w:val="16"/>
                </w:rPr>
                <w:t>rs</w:t>
              </w:r>
              <w:r w:rsidR="00806168" w:rsidRPr="00106980">
                <w:rPr>
                  <w:rStyle w:val="Hyperlink"/>
                  <w:rFonts w:ascii="Tahoma" w:hAnsi="Tahoma" w:cs="Tahoma"/>
                  <w:color w:val="auto"/>
                  <w:sz w:val="16"/>
                  <w:lang w:val="sr-Cyrl-CS"/>
                </w:rPr>
                <w:t>.</w:t>
              </w:r>
              <w:proofErr w:type="spellStart"/>
              <w:r w:rsidR="00806168" w:rsidRPr="00106980">
                <w:rPr>
                  <w:rStyle w:val="Hyperlink"/>
                  <w:rFonts w:ascii="Tahoma" w:hAnsi="Tahoma" w:cs="Tahoma"/>
                  <w:color w:val="auto"/>
                  <w:sz w:val="16"/>
                </w:rPr>
                <w:t>ba</w:t>
              </w:r>
              <w:proofErr w:type="spellEnd"/>
            </w:hyperlink>
          </w:p>
          <w:p w:rsidR="009E2A9A" w:rsidRPr="003E0BC7" w:rsidRDefault="009E2A9A" w:rsidP="009E2A9A">
            <w:pPr>
              <w:jc w:val="both"/>
              <w:rPr>
                <w:rFonts w:ascii="Tahoma" w:hAnsi="Tahoma" w:cs="Tahoma"/>
                <w:b/>
                <w:sz w:val="16"/>
                <w:lang w:val="sr-Latn-CS"/>
              </w:rPr>
            </w:pPr>
          </w:p>
          <w:p w:rsidR="00806168" w:rsidRPr="006C3F99" w:rsidRDefault="006C3F99" w:rsidP="00806168">
            <w:pPr>
              <w:jc w:val="both"/>
              <w:rPr>
                <w:rFonts w:ascii="Tahoma" w:hAnsi="Tahoma" w:cs="Tahoma"/>
                <w:b/>
                <w:sz w:val="16"/>
              </w:rPr>
            </w:pPr>
            <w:r>
              <w:rPr>
                <w:rFonts w:ascii="Tahoma" w:hAnsi="Tahoma" w:cs="Tahoma"/>
                <w:b/>
                <w:sz w:val="16"/>
              </w:rPr>
              <w:t>Crime statistics</w:t>
            </w:r>
          </w:p>
          <w:p w:rsidR="00806168" w:rsidRPr="006C3F99" w:rsidRDefault="006C3F99" w:rsidP="00806168">
            <w:pPr>
              <w:jc w:val="both"/>
              <w:rPr>
                <w:rFonts w:ascii="Tahoma" w:hAnsi="Tahoma" w:cs="Tahoma"/>
                <w:sz w:val="16"/>
              </w:rPr>
            </w:pPr>
            <w:r>
              <w:rPr>
                <w:rFonts w:ascii="Tahoma" w:hAnsi="Tahoma" w:cs="Tahoma"/>
                <w:sz w:val="16"/>
              </w:rPr>
              <w:t>Vanja Vilipić</w:t>
            </w:r>
          </w:p>
          <w:p w:rsidR="00806168" w:rsidRPr="00106980" w:rsidRDefault="00A050FF" w:rsidP="00806168">
            <w:pPr>
              <w:jc w:val="both"/>
              <w:rPr>
                <w:lang w:val="sr-Cyrl-BA"/>
              </w:rPr>
            </w:pPr>
            <w:hyperlink r:id="rId14" w:history="1">
              <w:r w:rsidR="00806168" w:rsidRPr="00106980">
                <w:rPr>
                  <w:rStyle w:val="Hyperlink"/>
                  <w:rFonts w:ascii="Tahoma" w:hAnsi="Tahoma" w:cs="Tahoma"/>
                  <w:color w:val="auto"/>
                  <w:sz w:val="16"/>
                  <w:lang w:val="sr-Latn-CS"/>
                </w:rPr>
                <w:t>vanja</w:t>
              </w:r>
              <w:r w:rsidR="00806168" w:rsidRPr="00106980">
                <w:rPr>
                  <w:rStyle w:val="Hyperlink"/>
                  <w:rFonts w:ascii="Tahoma" w:hAnsi="Tahoma" w:cs="Tahoma"/>
                  <w:color w:val="auto"/>
                  <w:sz w:val="16"/>
                  <w:lang w:val="sr-Cyrl-CS"/>
                </w:rPr>
                <w:t>.</w:t>
              </w:r>
              <w:r w:rsidR="00806168" w:rsidRPr="00106980">
                <w:rPr>
                  <w:rStyle w:val="Hyperlink"/>
                  <w:rFonts w:ascii="Tahoma" w:hAnsi="Tahoma" w:cs="Tahoma"/>
                  <w:color w:val="auto"/>
                  <w:sz w:val="16"/>
                </w:rPr>
                <w:t>vilipic</w:t>
              </w:r>
              <w:r w:rsidR="00806168" w:rsidRPr="00106980">
                <w:rPr>
                  <w:rStyle w:val="Hyperlink"/>
                  <w:rFonts w:ascii="Tahoma" w:hAnsi="Tahoma" w:cs="Tahoma"/>
                  <w:color w:val="auto"/>
                  <w:sz w:val="16"/>
                  <w:lang w:val="sr-Cyrl-CS"/>
                </w:rPr>
                <w:t>@</w:t>
              </w:r>
              <w:r w:rsidR="00806168" w:rsidRPr="00106980">
                <w:rPr>
                  <w:rStyle w:val="Hyperlink"/>
                  <w:rFonts w:ascii="Tahoma" w:hAnsi="Tahoma" w:cs="Tahoma"/>
                  <w:color w:val="auto"/>
                  <w:sz w:val="16"/>
                </w:rPr>
                <w:t>rzs</w:t>
              </w:r>
              <w:r w:rsidR="00806168" w:rsidRPr="00106980">
                <w:rPr>
                  <w:rStyle w:val="Hyperlink"/>
                  <w:rFonts w:ascii="Tahoma" w:hAnsi="Tahoma" w:cs="Tahoma"/>
                  <w:color w:val="auto"/>
                  <w:sz w:val="16"/>
                  <w:lang w:val="sr-Cyrl-CS"/>
                </w:rPr>
                <w:t>.</w:t>
              </w:r>
              <w:r w:rsidR="00806168" w:rsidRPr="00106980">
                <w:rPr>
                  <w:rStyle w:val="Hyperlink"/>
                  <w:rFonts w:ascii="Tahoma" w:hAnsi="Tahoma" w:cs="Tahoma"/>
                  <w:color w:val="auto"/>
                  <w:sz w:val="16"/>
                </w:rPr>
                <w:t>rs</w:t>
              </w:r>
              <w:r w:rsidR="00806168" w:rsidRPr="00106980">
                <w:rPr>
                  <w:rStyle w:val="Hyperlink"/>
                  <w:rFonts w:ascii="Tahoma" w:hAnsi="Tahoma" w:cs="Tahoma"/>
                  <w:color w:val="auto"/>
                  <w:sz w:val="16"/>
                  <w:lang w:val="sr-Cyrl-CS"/>
                </w:rPr>
                <w:t>.</w:t>
              </w:r>
              <w:proofErr w:type="spellStart"/>
              <w:r w:rsidR="00806168" w:rsidRPr="00106980">
                <w:rPr>
                  <w:rStyle w:val="Hyperlink"/>
                  <w:rFonts w:ascii="Tahoma" w:hAnsi="Tahoma" w:cs="Tahoma"/>
                  <w:color w:val="auto"/>
                  <w:sz w:val="16"/>
                </w:rPr>
                <w:t>ba</w:t>
              </w:r>
              <w:proofErr w:type="spellEnd"/>
            </w:hyperlink>
          </w:p>
          <w:p w:rsidR="00806168" w:rsidRDefault="00806168" w:rsidP="009E2A9A">
            <w:pPr>
              <w:jc w:val="both"/>
              <w:rPr>
                <w:rFonts w:ascii="Tahoma" w:hAnsi="Tahoma" w:cs="Tahoma"/>
                <w:b/>
                <w:sz w:val="16"/>
                <w:lang w:val="sr-Latn-CS"/>
              </w:rPr>
            </w:pPr>
          </w:p>
          <w:p w:rsidR="009E2A9A" w:rsidRPr="006C3F99" w:rsidRDefault="006C3F99" w:rsidP="009E2A9A">
            <w:pPr>
              <w:jc w:val="both"/>
              <w:rPr>
                <w:rFonts w:ascii="Tahoma" w:hAnsi="Tahoma" w:cs="Tahoma"/>
                <w:b/>
                <w:sz w:val="16"/>
              </w:rPr>
            </w:pPr>
            <w:r>
              <w:rPr>
                <w:rFonts w:ascii="Tahoma" w:hAnsi="Tahoma" w:cs="Tahoma"/>
                <w:b/>
                <w:sz w:val="16"/>
              </w:rPr>
              <w:t>Labour statistics</w:t>
            </w:r>
          </w:p>
          <w:p w:rsidR="009E2A9A" w:rsidRPr="006C3F99" w:rsidRDefault="006C3F99" w:rsidP="009E2A9A">
            <w:pPr>
              <w:jc w:val="both"/>
              <w:rPr>
                <w:rFonts w:ascii="Tahoma" w:hAnsi="Tahoma" w:cs="Tahoma"/>
                <w:sz w:val="16"/>
              </w:rPr>
            </w:pPr>
            <w:r>
              <w:rPr>
                <w:rFonts w:ascii="Tahoma" w:hAnsi="Tahoma" w:cs="Tahoma"/>
                <w:sz w:val="16"/>
              </w:rPr>
              <w:t>Vladimir Koprivica</w:t>
            </w:r>
          </w:p>
          <w:p w:rsidR="009E2A9A" w:rsidRPr="003E0BC7" w:rsidRDefault="009E2A9A" w:rsidP="009E2A9A">
            <w:pPr>
              <w:jc w:val="both"/>
              <w:rPr>
                <w:rFonts w:ascii="Tahoma" w:hAnsi="Tahoma" w:cs="Tahoma"/>
                <w:u w:val="single"/>
                <w:lang w:val="sr-Cyrl-CS"/>
              </w:rPr>
            </w:pPr>
            <w:r w:rsidRPr="003E0BC7">
              <w:rPr>
                <w:rFonts w:ascii="Tahoma" w:hAnsi="Tahoma" w:cs="Tahoma"/>
                <w:sz w:val="16"/>
                <w:szCs w:val="16"/>
                <w:u w:val="single"/>
              </w:rPr>
              <w:t>vladimir.koprivica@rzs.rs.ba</w:t>
            </w:r>
          </w:p>
          <w:p w:rsidR="009E2A9A" w:rsidRPr="003E0BC7" w:rsidRDefault="009E2A9A" w:rsidP="009E2A9A">
            <w:pPr>
              <w:jc w:val="both"/>
              <w:rPr>
                <w:rFonts w:ascii="Tahoma" w:hAnsi="Tahoma" w:cs="Tahoma"/>
                <w:sz w:val="16"/>
                <w:szCs w:val="16"/>
              </w:rPr>
            </w:pPr>
          </w:p>
        </w:tc>
      </w:tr>
      <w:tr w:rsidR="009E2A9A" w:rsidRPr="00221BD9" w:rsidTr="009E2A9A">
        <w:trPr>
          <w:trHeight w:val="720"/>
          <w:jc w:val="center"/>
        </w:trPr>
        <w:tc>
          <w:tcPr>
            <w:tcW w:w="10419" w:type="dxa"/>
            <w:tcBorders>
              <w:top w:val="nil"/>
              <w:left w:val="nil"/>
              <w:bottom w:val="nil"/>
              <w:right w:val="nil"/>
            </w:tcBorders>
          </w:tcPr>
          <w:p w:rsidR="009E2A9A" w:rsidRPr="006C3F99" w:rsidRDefault="006C3F99" w:rsidP="009E2A9A">
            <w:pPr>
              <w:jc w:val="both"/>
              <w:rPr>
                <w:rFonts w:ascii="Tahoma" w:hAnsi="Tahoma" w:cs="Tahoma"/>
                <w:b/>
                <w:sz w:val="16"/>
              </w:rPr>
            </w:pPr>
            <w:r>
              <w:rPr>
                <w:rFonts w:ascii="Tahoma" w:hAnsi="Tahoma" w:cs="Tahoma"/>
                <w:b/>
                <w:sz w:val="16"/>
              </w:rPr>
              <w:t>Prices statistics</w:t>
            </w:r>
          </w:p>
          <w:p w:rsidR="009E2A9A" w:rsidRPr="006C3F99" w:rsidRDefault="006C3F99" w:rsidP="009E2A9A">
            <w:pPr>
              <w:jc w:val="both"/>
              <w:rPr>
                <w:rFonts w:ascii="Tahoma" w:hAnsi="Tahoma" w:cs="Tahoma"/>
                <w:sz w:val="16"/>
              </w:rPr>
            </w:pPr>
            <w:r>
              <w:rPr>
                <w:rFonts w:ascii="Tahoma" w:hAnsi="Tahoma" w:cs="Tahoma"/>
                <w:sz w:val="16"/>
              </w:rPr>
              <w:t>Biljana Tešić</w:t>
            </w:r>
          </w:p>
          <w:p w:rsidR="009E2A9A" w:rsidRPr="00221BD9" w:rsidRDefault="00A050FF" w:rsidP="009E2A9A">
            <w:pPr>
              <w:jc w:val="both"/>
              <w:rPr>
                <w:rFonts w:ascii="Tahoma" w:hAnsi="Tahoma" w:cs="Tahoma"/>
                <w:sz w:val="16"/>
                <w:lang w:val="sr-Latn-CS"/>
              </w:rPr>
            </w:pPr>
            <w:hyperlink r:id="rId15" w:history="1">
              <w:r w:rsidR="009E2A9A" w:rsidRPr="00221BD9">
                <w:rPr>
                  <w:rStyle w:val="Hyperlink"/>
                  <w:rFonts w:ascii="Tahoma" w:hAnsi="Tahoma" w:cs="Tahoma"/>
                  <w:color w:val="auto"/>
                  <w:sz w:val="16"/>
                  <w:lang w:val="sr-Latn-CS"/>
                </w:rPr>
                <w:t>Biljana.tesic@rzs.rs.ba</w:t>
              </w:r>
            </w:hyperlink>
          </w:p>
          <w:p w:rsidR="009E2A9A" w:rsidRPr="006C3F99" w:rsidRDefault="006C3F99" w:rsidP="009E2A9A">
            <w:pPr>
              <w:jc w:val="both"/>
              <w:rPr>
                <w:rFonts w:ascii="Tahoma" w:hAnsi="Tahoma" w:cs="Tahoma"/>
                <w:sz w:val="16"/>
              </w:rPr>
            </w:pPr>
            <w:r>
              <w:rPr>
                <w:rFonts w:ascii="Tahoma" w:hAnsi="Tahoma" w:cs="Tahoma"/>
                <w:sz w:val="16"/>
              </w:rPr>
              <w:t>Jasminka Milić</w:t>
            </w:r>
          </w:p>
          <w:p w:rsidR="009E2A9A" w:rsidRPr="00221BD9" w:rsidRDefault="00A050FF" w:rsidP="009E2A9A">
            <w:pPr>
              <w:jc w:val="both"/>
              <w:rPr>
                <w:rFonts w:ascii="Tahoma" w:hAnsi="Tahoma" w:cs="Tahoma"/>
                <w:sz w:val="16"/>
                <w:lang w:val="bs-Cyrl-BA"/>
              </w:rPr>
            </w:pPr>
            <w:hyperlink r:id="rId16" w:history="1">
              <w:r w:rsidR="009E2A9A" w:rsidRPr="00221BD9">
                <w:rPr>
                  <w:rStyle w:val="Hyperlink"/>
                  <w:rFonts w:ascii="Tahoma" w:hAnsi="Tahoma" w:cs="Tahoma"/>
                  <w:color w:val="auto"/>
                  <w:sz w:val="16"/>
                  <w:lang w:val="sr-Latn-CS"/>
                </w:rPr>
                <w:t>jasminka</w:t>
              </w:r>
              <w:r w:rsidR="009E2A9A" w:rsidRPr="00221BD9">
                <w:rPr>
                  <w:rStyle w:val="Hyperlink"/>
                  <w:rFonts w:ascii="Tahoma" w:hAnsi="Tahoma" w:cs="Tahoma"/>
                  <w:color w:val="auto"/>
                  <w:sz w:val="16"/>
                  <w:lang w:val="sr-Cyrl-BA"/>
                </w:rPr>
                <w:t>.</w:t>
              </w:r>
              <w:r w:rsidR="009E2A9A" w:rsidRPr="00221BD9">
                <w:rPr>
                  <w:rStyle w:val="Hyperlink"/>
                  <w:rFonts w:ascii="Tahoma" w:hAnsi="Tahoma" w:cs="Tahoma"/>
                  <w:color w:val="auto"/>
                  <w:sz w:val="16"/>
                  <w:lang w:val="sr-Latn-CS"/>
                </w:rPr>
                <w:t>milic</w:t>
              </w:r>
              <w:r w:rsidR="009E2A9A" w:rsidRPr="00221BD9">
                <w:rPr>
                  <w:rStyle w:val="Hyperlink"/>
                  <w:rFonts w:ascii="Tahoma" w:hAnsi="Tahoma" w:cs="Tahoma"/>
                  <w:color w:val="auto"/>
                  <w:sz w:val="16"/>
                  <w:lang w:val="sr-Cyrl-CS"/>
                </w:rPr>
                <w:t>@</w:t>
              </w:r>
              <w:r w:rsidR="009E2A9A" w:rsidRPr="00221BD9">
                <w:rPr>
                  <w:rStyle w:val="Hyperlink"/>
                  <w:rFonts w:ascii="Tahoma" w:hAnsi="Tahoma" w:cs="Tahoma"/>
                  <w:color w:val="auto"/>
                  <w:sz w:val="16"/>
                  <w:lang w:val="sr-Latn-CS"/>
                </w:rPr>
                <w:t>rzs</w:t>
              </w:r>
              <w:r w:rsidR="009E2A9A" w:rsidRPr="00221BD9">
                <w:rPr>
                  <w:rStyle w:val="Hyperlink"/>
                  <w:rFonts w:ascii="Tahoma" w:hAnsi="Tahoma" w:cs="Tahoma"/>
                  <w:color w:val="auto"/>
                  <w:sz w:val="16"/>
                  <w:lang w:val="sr-Cyrl-CS"/>
                </w:rPr>
                <w:t>.</w:t>
              </w:r>
              <w:r w:rsidR="009E2A9A" w:rsidRPr="00221BD9">
                <w:rPr>
                  <w:rStyle w:val="Hyperlink"/>
                  <w:rFonts w:ascii="Tahoma" w:hAnsi="Tahoma" w:cs="Tahoma"/>
                  <w:color w:val="auto"/>
                  <w:sz w:val="16"/>
                  <w:lang w:val="sr-Latn-CS"/>
                </w:rPr>
                <w:t>rs</w:t>
              </w:r>
              <w:r w:rsidR="009E2A9A" w:rsidRPr="00221BD9">
                <w:rPr>
                  <w:rStyle w:val="Hyperlink"/>
                  <w:rFonts w:ascii="Tahoma" w:hAnsi="Tahoma" w:cs="Tahoma"/>
                  <w:color w:val="auto"/>
                  <w:sz w:val="16"/>
                  <w:lang w:val="sr-Cyrl-CS"/>
                </w:rPr>
                <w:t>.</w:t>
              </w:r>
              <w:r w:rsidR="009E2A9A" w:rsidRPr="00221BD9">
                <w:rPr>
                  <w:rStyle w:val="Hyperlink"/>
                  <w:rFonts w:ascii="Tahoma" w:hAnsi="Tahoma" w:cs="Tahoma"/>
                  <w:color w:val="auto"/>
                  <w:sz w:val="16"/>
                  <w:lang w:val="sr-Latn-CS"/>
                </w:rPr>
                <w:t>ba</w:t>
              </w:r>
            </w:hyperlink>
          </w:p>
          <w:p w:rsidR="009E2A9A" w:rsidRPr="00221BD9" w:rsidRDefault="009E2A9A" w:rsidP="009E2A9A">
            <w:pPr>
              <w:jc w:val="both"/>
              <w:rPr>
                <w:rFonts w:ascii="Tahoma" w:hAnsi="Tahoma" w:cs="Tahoma"/>
                <w:sz w:val="16"/>
                <w:lang w:val="sr-Cyrl-CS"/>
              </w:rPr>
            </w:pPr>
          </w:p>
        </w:tc>
      </w:tr>
      <w:tr w:rsidR="009E2A9A" w:rsidRPr="00221BD9" w:rsidTr="009E2A9A">
        <w:trPr>
          <w:trHeight w:hRule="exact" w:val="726"/>
          <w:jc w:val="center"/>
        </w:trPr>
        <w:tc>
          <w:tcPr>
            <w:tcW w:w="10419" w:type="dxa"/>
            <w:tcBorders>
              <w:top w:val="nil"/>
              <w:left w:val="nil"/>
              <w:bottom w:val="nil"/>
              <w:right w:val="nil"/>
            </w:tcBorders>
          </w:tcPr>
          <w:p w:rsidR="009E2A9A" w:rsidRPr="006C3F99" w:rsidRDefault="006C3F99" w:rsidP="009E2A9A">
            <w:pPr>
              <w:jc w:val="both"/>
              <w:rPr>
                <w:rFonts w:ascii="Tahoma" w:hAnsi="Tahoma" w:cs="Tahoma"/>
                <w:b/>
                <w:sz w:val="16"/>
              </w:rPr>
            </w:pPr>
            <w:r>
              <w:rPr>
                <w:rFonts w:ascii="Tahoma" w:hAnsi="Tahoma" w:cs="Tahoma"/>
                <w:b/>
                <w:sz w:val="16"/>
              </w:rPr>
              <w:t>Industry and mining statistics</w:t>
            </w:r>
          </w:p>
          <w:p w:rsidR="009E2A9A" w:rsidRPr="006C3F99" w:rsidRDefault="006C3F99" w:rsidP="009E2A9A">
            <w:pPr>
              <w:jc w:val="both"/>
              <w:rPr>
                <w:rFonts w:ascii="Tahoma" w:hAnsi="Tahoma" w:cs="Tahoma"/>
                <w:sz w:val="16"/>
              </w:rPr>
            </w:pPr>
            <w:r>
              <w:rPr>
                <w:rFonts w:ascii="Tahoma" w:hAnsi="Tahoma" w:cs="Tahoma"/>
                <w:sz w:val="16"/>
              </w:rPr>
              <w:t>Mirjana Bandur</w:t>
            </w:r>
          </w:p>
          <w:p w:rsidR="009E2A9A" w:rsidRPr="00221BD9" w:rsidRDefault="00A050FF" w:rsidP="009E2A9A">
            <w:pPr>
              <w:jc w:val="both"/>
              <w:rPr>
                <w:rFonts w:ascii="Tahoma" w:hAnsi="Tahoma" w:cs="Tahoma"/>
                <w:b/>
                <w:sz w:val="16"/>
                <w:lang w:val="sr-Cyrl-BA"/>
              </w:rPr>
            </w:pPr>
            <w:hyperlink r:id="rId17" w:history="1">
              <w:r w:rsidR="009E2A9A" w:rsidRPr="00221BD9">
                <w:rPr>
                  <w:rStyle w:val="Hyperlink"/>
                  <w:rFonts w:ascii="Tahoma" w:hAnsi="Tahoma" w:cs="Tahoma"/>
                  <w:color w:val="auto"/>
                  <w:sz w:val="16"/>
                </w:rPr>
                <w:t>mirjana</w:t>
              </w:r>
              <w:r w:rsidR="009E2A9A" w:rsidRPr="00221BD9">
                <w:rPr>
                  <w:rStyle w:val="Hyperlink"/>
                  <w:rFonts w:ascii="Tahoma" w:hAnsi="Tahoma" w:cs="Tahoma"/>
                  <w:color w:val="auto"/>
                  <w:sz w:val="16"/>
                  <w:lang w:val="sr-Cyrl-BA"/>
                </w:rPr>
                <w:t>.</w:t>
              </w:r>
              <w:r w:rsidR="009E2A9A" w:rsidRPr="00221BD9">
                <w:rPr>
                  <w:rStyle w:val="Hyperlink"/>
                  <w:rFonts w:ascii="Tahoma" w:hAnsi="Tahoma" w:cs="Tahoma"/>
                  <w:color w:val="auto"/>
                  <w:sz w:val="16"/>
                </w:rPr>
                <w:t>bandur</w:t>
              </w:r>
              <w:r w:rsidR="009E2A9A" w:rsidRPr="00221BD9">
                <w:rPr>
                  <w:rStyle w:val="Hyperlink"/>
                  <w:rFonts w:ascii="Tahoma" w:hAnsi="Tahoma" w:cs="Tahoma"/>
                  <w:color w:val="auto"/>
                  <w:sz w:val="16"/>
                  <w:lang w:val="sr-Cyrl-BA"/>
                </w:rPr>
                <w:t>@</w:t>
              </w:r>
              <w:r w:rsidR="009E2A9A" w:rsidRPr="00221BD9">
                <w:rPr>
                  <w:rStyle w:val="Hyperlink"/>
                  <w:rFonts w:ascii="Tahoma" w:hAnsi="Tahoma" w:cs="Tahoma"/>
                  <w:color w:val="auto"/>
                  <w:sz w:val="16"/>
                </w:rPr>
                <w:t>rzs</w:t>
              </w:r>
              <w:r w:rsidR="009E2A9A" w:rsidRPr="00221BD9">
                <w:rPr>
                  <w:rStyle w:val="Hyperlink"/>
                  <w:rFonts w:ascii="Tahoma" w:hAnsi="Tahoma" w:cs="Tahoma"/>
                  <w:color w:val="auto"/>
                  <w:sz w:val="16"/>
                  <w:lang w:val="sr-Cyrl-BA"/>
                </w:rPr>
                <w:t>.</w:t>
              </w:r>
              <w:r w:rsidR="009E2A9A" w:rsidRPr="00221BD9">
                <w:rPr>
                  <w:rStyle w:val="Hyperlink"/>
                  <w:rFonts w:ascii="Tahoma" w:hAnsi="Tahoma" w:cs="Tahoma"/>
                  <w:color w:val="auto"/>
                  <w:sz w:val="16"/>
                </w:rPr>
                <w:t>rs</w:t>
              </w:r>
              <w:r w:rsidR="009E2A9A" w:rsidRPr="00221BD9">
                <w:rPr>
                  <w:rStyle w:val="Hyperlink"/>
                  <w:rFonts w:ascii="Tahoma" w:hAnsi="Tahoma" w:cs="Tahoma"/>
                  <w:color w:val="auto"/>
                  <w:sz w:val="16"/>
                  <w:lang w:val="sr-Cyrl-BA"/>
                </w:rPr>
                <w:t>.</w:t>
              </w:r>
              <w:proofErr w:type="spellStart"/>
              <w:r w:rsidR="009E2A9A" w:rsidRPr="00221BD9">
                <w:rPr>
                  <w:rStyle w:val="Hyperlink"/>
                  <w:rFonts w:ascii="Tahoma" w:hAnsi="Tahoma" w:cs="Tahoma"/>
                  <w:color w:val="auto"/>
                  <w:sz w:val="16"/>
                </w:rPr>
                <w:t>ba</w:t>
              </w:r>
              <w:proofErr w:type="spellEnd"/>
            </w:hyperlink>
            <w:r w:rsidR="009E2A9A" w:rsidRPr="00221BD9">
              <w:rPr>
                <w:rFonts w:ascii="Tahoma" w:hAnsi="Tahoma" w:cs="Tahoma"/>
                <w:b/>
                <w:sz w:val="16"/>
                <w:lang w:val="sr-Cyrl-BA"/>
              </w:rPr>
              <w:t xml:space="preserve"> </w:t>
            </w:r>
          </w:p>
          <w:p w:rsidR="009E2A9A" w:rsidRPr="00221BD9" w:rsidRDefault="009E2A9A" w:rsidP="009E2A9A">
            <w:pPr>
              <w:jc w:val="both"/>
              <w:rPr>
                <w:rFonts w:ascii="Tahoma" w:hAnsi="Tahoma" w:cs="Tahoma"/>
                <w:sz w:val="16"/>
                <w:lang w:val="sr-Cyrl-CS"/>
              </w:rPr>
            </w:pPr>
          </w:p>
        </w:tc>
      </w:tr>
      <w:tr w:rsidR="009E2A9A" w:rsidRPr="00221BD9" w:rsidTr="009E2A9A">
        <w:trPr>
          <w:trHeight w:hRule="exact" w:val="680"/>
          <w:jc w:val="center"/>
        </w:trPr>
        <w:tc>
          <w:tcPr>
            <w:tcW w:w="10419" w:type="dxa"/>
            <w:tcBorders>
              <w:top w:val="nil"/>
              <w:left w:val="nil"/>
              <w:bottom w:val="nil"/>
              <w:right w:val="nil"/>
            </w:tcBorders>
          </w:tcPr>
          <w:p w:rsidR="009E2A9A" w:rsidRPr="006C3F99" w:rsidRDefault="006C3F99" w:rsidP="009E2A9A">
            <w:pPr>
              <w:jc w:val="both"/>
              <w:rPr>
                <w:rFonts w:ascii="Tahoma" w:hAnsi="Tahoma" w:cs="Tahoma"/>
                <w:b/>
                <w:sz w:val="16"/>
              </w:rPr>
            </w:pPr>
            <w:r>
              <w:rPr>
                <w:rFonts w:ascii="Tahoma" w:hAnsi="Tahoma" w:cs="Tahoma"/>
                <w:b/>
                <w:sz w:val="16"/>
              </w:rPr>
              <w:t>External trade statistics</w:t>
            </w:r>
          </w:p>
          <w:p w:rsidR="009E2A9A" w:rsidRPr="006C3F99" w:rsidRDefault="006C3F99" w:rsidP="009E2A9A">
            <w:pPr>
              <w:jc w:val="both"/>
              <w:rPr>
                <w:rFonts w:ascii="Tahoma" w:hAnsi="Tahoma" w:cs="Tahoma"/>
                <w:sz w:val="16"/>
              </w:rPr>
            </w:pPr>
            <w:proofErr w:type="spellStart"/>
            <w:r>
              <w:rPr>
                <w:rFonts w:ascii="Tahoma" w:hAnsi="Tahoma" w:cs="Tahoma"/>
                <w:sz w:val="16"/>
              </w:rPr>
              <w:t>Sanja</w:t>
            </w:r>
            <w:proofErr w:type="spellEnd"/>
            <w:r>
              <w:rPr>
                <w:rFonts w:ascii="Tahoma" w:hAnsi="Tahoma" w:cs="Tahoma"/>
                <w:sz w:val="16"/>
              </w:rPr>
              <w:t xml:space="preserve"> </w:t>
            </w:r>
            <w:proofErr w:type="spellStart"/>
            <w:r>
              <w:rPr>
                <w:rFonts w:ascii="Tahoma" w:hAnsi="Tahoma" w:cs="Tahoma"/>
                <w:sz w:val="16"/>
              </w:rPr>
              <w:t>Stojčević</w:t>
            </w:r>
            <w:proofErr w:type="spellEnd"/>
            <w:r>
              <w:rPr>
                <w:rFonts w:ascii="Tahoma" w:hAnsi="Tahoma" w:cs="Tahoma"/>
                <w:sz w:val="16"/>
              </w:rPr>
              <w:t xml:space="preserve"> </w:t>
            </w:r>
            <w:proofErr w:type="spellStart"/>
            <w:r>
              <w:rPr>
                <w:rFonts w:ascii="Tahoma" w:hAnsi="Tahoma" w:cs="Tahoma"/>
                <w:sz w:val="16"/>
              </w:rPr>
              <w:t>Uvalić</w:t>
            </w:r>
            <w:proofErr w:type="spellEnd"/>
            <w:r>
              <w:rPr>
                <w:rFonts w:ascii="Tahoma" w:hAnsi="Tahoma" w:cs="Tahoma"/>
                <w:sz w:val="16"/>
              </w:rPr>
              <w:t>, MSc</w:t>
            </w:r>
          </w:p>
          <w:p w:rsidR="009E2A9A" w:rsidRPr="00221BD9" w:rsidRDefault="00A050FF" w:rsidP="009E2A9A">
            <w:pPr>
              <w:jc w:val="both"/>
              <w:rPr>
                <w:lang w:val="sr-Cyrl-BA"/>
              </w:rPr>
            </w:pPr>
            <w:hyperlink r:id="rId18" w:history="1">
              <w:r w:rsidR="009E2A9A" w:rsidRPr="00221BD9">
                <w:rPr>
                  <w:rStyle w:val="Hyperlink"/>
                  <w:rFonts w:ascii="Tahoma" w:hAnsi="Tahoma" w:cs="Tahoma"/>
                  <w:color w:val="auto"/>
                  <w:sz w:val="16"/>
                </w:rPr>
                <w:t>sanja</w:t>
              </w:r>
              <w:r w:rsidR="009E2A9A" w:rsidRPr="00221BD9">
                <w:rPr>
                  <w:rStyle w:val="Hyperlink"/>
                  <w:rFonts w:ascii="Tahoma" w:hAnsi="Tahoma" w:cs="Tahoma"/>
                  <w:color w:val="auto"/>
                  <w:sz w:val="16"/>
                  <w:lang w:val="sr-Cyrl-CS"/>
                </w:rPr>
                <w:t>.</w:t>
              </w:r>
              <w:r w:rsidR="009E2A9A" w:rsidRPr="00221BD9">
                <w:rPr>
                  <w:rStyle w:val="Hyperlink"/>
                  <w:rFonts w:ascii="Tahoma" w:hAnsi="Tahoma" w:cs="Tahoma"/>
                  <w:color w:val="auto"/>
                  <w:sz w:val="16"/>
                </w:rPr>
                <w:t>stojcevic</w:t>
              </w:r>
              <w:r w:rsidR="009E2A9A" w:rsidRPr="00221BD9">
                <w:rPr>
                  <w:rStyle w:val="Hyperlink"/>
                  <w:rFonts w:ascii="Tahoma" w:hAnsi="Tahoma" w:cs="Tahoma"/>
                  <w:color w:val="auto"/>
                  <w:sz w:val="16"/>
                  <w:lang w:val="sr-Cyrl-CS"/>
                </w:rPr>
                <w:t>@</w:t>
              </w:r>
              <w:r w:rsidR="009E2A9A" w:rsidRPr="00221BD9">
                <w:rPr>
                  <w:rStyle w:val="Hyperlink"/>
                  <w:rFonts w:ascii="Tahoma" w:hAnsi="Tahoma" w:cs="Tahoma"/>
                  <w:color w:val="auto"/>
                  <w:sz w:val="16"/>
                </w:rPr>
                <w:t>rzs</w:t>
              </w:r>
              <w:r w:rsidR="009E2A9A" w:rsidRPr="00221BD9">
                <w:rPr>
                  <w:rStyle w:val="Hyperlink"/>
                  <w:rFonts w:ascii="Tahoma" w:hAnsi="Tahoma" w:cs="Tahoma"/>
                  <w:color w:val="auto"/>
                  <w:sz w:val="16"/>
                  <w:lang w:val="sr-Cyrl-CS"/>
                </w:rPr>
                <w:t>.</w:t>
              </w:r>
              <w:r w:rsidR="009E2A9A" w:rsidRPr="00221BD9">
                <w:rPr>
                  <w:rStyle w:val="Hyperlink"/>
                  <w:rFonts w:ascii="Tahoma" w:hAnsi="Tahoma" w:cs="Tahoma"/>
                  <w:color w:val="auto"/>
                  <w:sz w:val="16"/>
                </w:rPr>
                <w:t>rs</w:t>
              </w:r>
              <w:r w:rsidR="009E2A9A" w:rsidRPr="00221BD9">
                <w:rPr>
                  <w:rStyle w:val="Hyperlink"/>
                  <w:rFonts w:ascii="Tahoma" w:hAnsi="Tahoma" w:cs="Tahoma"/>
                  <w:color w:val="auto"/>
                  <w:sz w:val="16"/>
                  <w:lang w:val="sr-Cyrl-CS"/>
                </w:rPr>
                <w:t>.</w:t>
              </w:r>
              <w:proofErr w:type="spellStart"/>
              <w:r w:rsidR="009E2A9A" w:rsidRPr="00221BD9">
                <w:rPr>
                  <w:rStyle w:val="Hyperlink"/>
                  <w:rFonts w:ascii="Tahoma" w:hAnsi="Tahoma" w:cs="Tahoma"/>
                  <w:color w:val="auto"/>
                  <w:sz w:val="16"/>
                </w:rPr>
                <w:t>ba</w:t>
              </w:r>
              <w:proofErr w:type="spellEnd"/>
            </w:hyperlink>
          </w:p>
          <w:p w:rsidR="009E2A9A" w:rsidRPr="00221BD9" w:rsidRDefault="009E2A9A" w:rsidP="009E2A9A">
            <w:pPr>
              <w:jc w:val="both"/>
              <w:rPr>
                <w:lang w:val="sr-Cyrl-BA"/>
              </w:rPr>
            </w:pPr>
          </w:p>
          <w:p w:rsidR="009E2A9A" w:rsidRPr="00221BD9" w:rsidRDefault="009E2A9A" w:rsidP="009E2A9A">
            <w:pPr>
              <w:jc w:val="both"/>
              <w:rPr>
                <w:lang w:val="sr-Cyrl-BA"/>
              </w:rPr>
            </w:pPr>
          </w:p>
          <w:p w:rsidR="009E2A9A" w:rsidRPr="00221BD9" w:rsidRDefault="009E2A9A" w:rsidP="009E2A9A">
            <w:pPr>
              <w:jc w:val="both"/>
              <w:rPr>
                <w:rFonts w:ascii="Tahoma" w:hAnsi="Tahoma" w:cs="Tahoma"/>
                <w:sz w:val="16"/>
                <w:lang w:val="sr-Cyrl-BA"/>
              </w:rPr>
            </w:pPr>
          </w:p>
          <w:p w:rsidR="009E2A9A" w:rsidRPr="00221BD9" w:rsidRDefault="009E2A9A" w:rsidP="009E2A9A">
            <w:pPr>
              <w:jc w:val="both"/>
              <w:rPr>
                <w:rFonts w:ascii="Tahoma" w:hAnsi="Tahoma" w:cs="Tahoma"/>
                <w:sz w:val="16"/>
                <w:lang w:val="sr-Cyrl-CS"/>
              </w:rPr>
            </w:pPr>
          </w:p>
        </w:tc>
      </w:tr>
    </w:tbl>
    <w:p w:rsidR="009E2A9A" w:rsidRPr="00BC7CF8" w:rsidRDefault="009E2A9A" w:rsidP="009E2A9A">
      <w:pPr>
        <w:tabs>
          <w:tab w:val="left" w:pos="300"/>
          <w:tab w:val="left" w:pos="1100"/>
        </w:tabs>
        <w:jc w:val="both"/>
        <w:rPr>
          <w:rFonts w:ascii="Tahoma" w:hAnsi="Tahoma" w:cs="Tahoma"/>
          <w:b/>
          <w:color w:val="FF0000"/>
          <w:sz w:val="16"/>
          <w:szCs w:val="16"/>
          <w:lang w:val="ru-RU"/>
        </w:rPr>
      </w:pPr>
    </w:p>
    <w:p w:rsidR="009E2A9A" w:rsidRPr="00B74EE9" w:rsidRDefault="009E2A9A" w:rsidP="009E2A9A">
      <w:pPr>
        <w:tabs>
          <w:tab w:val="left" w:pos="300"/>
          <w:tab w:val="left" w:pos="1100"/>
        </w:tabs>
        <w:jc w:val="both"/>
        <w:rPr>
          <w:rFonts w:ascii="Tahoma" w:hAnsi="Tahoma" w:cs="Tahoma"/>
          <w:b/>
          <w:sz w:val="16"/>
          <w:szCs w:val="16"/>
          <w:lang w:val="sr-Cyrl-CS"/>
        </w:rPr>
      </w:pPr>
    </w:p>
    <w:tbl>
      <w:tblPr>
        <w:tblW w:w="10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6"/>
      </w:tblGrid>
      <w:tr w:rsidR="009E2A9A" w:rsidRPr="001225F9" w:rsidTr="009E2A9A">
        <w:trPr>
          <w:trHeight w:hRule="exact" w:val="1165"/>
          <w:jc w:val="center"/>
        </w:trPr>
        <w:tc>
          <w:tcPr>
            <w:tcW w:w="10646" w:type="dxa"/>
            <w:tcBorders>
              <w:top w:val="nil"/>
              <w:left w:val="nil"/>
              <w:bottom w:val="nil"/>
              <w:right w:val="nil"/>
            </w:tcBorders>
          </w:tcPr>
          <w:p w:rsidR="009E2A9A" w:rsidRDefault="009E2A9A" w:rsidP="009E2A9A">
            <w:pPr>
              <w:jc w:val="both"/>
              <w:rPr>
                <w:rFonts w:ascii="Tahoma" w:hAnsi="Tahoma" w:cs="Tahoma"/>
                <w:b/>
                <w:lang w:val="sr-Cyrl-CS"/>
              </w:rPr>
            </w:pPr>
          </w:p>
          <w:p w:rsidR="009E2A9A" w:rsidRDefault="009E2A9A" w:rsidP="009E2A9A">
            <w:pPr>
              <w:jc w:val="both"/>
              <w:rPr>
                <w:rFonts w:ascii="Tahoma" w:hAnsi="Tahoma" w:cs="Tahoma"/>
                <w:b/>
                <w:lang w:val="sr-Cyrl-CS"/>
              </w:rPr>
            </w:pPr>
          </w:p>
          <w:p w:rsidR="009E2A9A" w:rsidRDefault="009E2A9A" w:rsidP="009E2A9A">
            <w:pPr>
              <w:jc w:val="both"/>
              <w:rPr>
                <w:rFonts w:ascii="Tahoma" w:hAnsi="Tahoma" w:cs="Tahoma"/>
                <w:b/>
                <w:lang w:val="sr-Cyrl-CS"/>
              </w:rPr>
            </w:pPr>
          </w:p>
          <w:p w:rsidR="009E2A9A" w:rsidRPr="006C3F99" w:rsidRDefault="006C3F99" w:rsidP="009E2A9A">
            <w:pPr>
              <w:jc w:val="both"/>
              <w:rPr>
                <w:rFonts w:ascii="Tahoma" w:hAnsi="Tahoma" w:cs="Tahoma"/>
                <w:b/>
              </w:rPr>
            </w:pPr>
            <w:r>
              <w:rPr>
                <w:rFonts w:ascii="Tahoma" w:hAnsi="Tahoma" w:cs="Tahoma"/>
                <w:b/>
              </w:rPr>
              <w:t>SYMBOLS</w:t>
            </w:r>
          </w:p>
        </w:tc>
      </w:tr>
      <w:tr w:rsidR="009E2A9A" w:rsidRPr="001225F9" w:rsidTr="009E2A9A">
        <w:trPr>
          <w:trHeight w:hRule="exact" w:val="1025"/>
          <w:jc w:val="center"/>
        </w:trPr>
        <w:tc>
          <w:tcPr>
            <w:tcW w:w="10646" w:type="dxa"/>
            <w:tcBorders>
              <w:top w:val="nil"/>
              <w:left w:val="nil"/>
              <w:bottom w:val="nil"/>
              <w:right w:val="nil"/>
            </w:tcBorders>
          </w:tcPr>
          <w:p w:rsidR="009E2A9A" w:rsidRPr="006C3F99" w:rsidRDefault="009E2A9A" w:rsidP="009E2A9A">
            <w:pPr>
              <w:jc w:val="both"/>
              <w:rPr>
                <w:rFonts w:ascii="Tahoma" w:hAnsi="Tahoma" w:cs="Tahoma"/>
                <w:bCs/>
                <w:sz w:val="16"/>
                <w:szCs w:val="16"/>
              </w:rPr>
            </w:pPr>
            <w:r w:rsidRPr="001225F9">
              <w:rPr>
                <w:rFonts w:ascii="Tahoma" w:hAnsi="Tahoma" w:cs="Tahoma"/>
                <w:b/>
                <w:bCs/>
              </w:rPr>
              <w:sym w:font="Symbol" w:char="00C6"/>
            </w:r>
            <w:r w:rsidRPr="001225F9">
              <w:rPr>
                <w:rFonts w:ascii="Tahoma" w:hAnsi="Tahoma" w:cs="Tahoma"/>
                <w:b/>
                <w:bCs/>
                <w:sz w:val="28"/>
                <w:szCs w:val="28"/>
                <w:lang w:val="sr-Cyrl-CS"/>
              </w:rPr>
              <w:t xml:space="preserve"> </w:t>
            </w:r>
            <w:r w:rsidRPr="001225F9">
              <w:rPr>
                <w:rFonts w:ascii="Tahoma" w:hAnsi="Tahoma" w:cs="Tahoma"/>
                <w:bCs/>
                <w:sz w:val="16"/>
                <w:szCs w:val="16"/>
                <w:lang w:val="sr-Cyrl-CS"/>
              </w:rPr>
              <w:t xml:space="preserve">- </w:t>
            </w:r>
            <w:r w:rsidR="006C3F99">
              <w:rPr>
                <w:rFonts w:ascii="Tahoma" w:hAnsi="Tahoma" w:cs="Tahoma"/>
                <w:bCs/>
                <w:sz w:val="16"/>
                <w:szCs w:val="16"/>
              </w:rPr>
              <w:t>average</w:t>
            </w: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0B312E" w:rsidRDefault="000B312E" w:rsidP="009E2A9A">
            <w:pPr>
              <w:jc w:val="both"/>
              <w:rPr>
                <w:rFonts w:ascii="Tahoma" w:hAnsi="Tahoma" w:cs="Tahoma"/>
                <w:bCs/>
                <w:sz w:val="16"/>
                <w:szCs w:val="16"/>
                <w:lang w:val="sr-Latn-CS"/>
              </w:rPr>
            </w:pPr>
          </w:p>
          <w:p w:rsidR="0076768F" w:rsidRDefault="0076768F" w:rsidP="009E2A9A">
            <w:pPr>
              <w:jc w:val="both"/>
              <w:rPr>
                <w:rFonts w:ascii="Tahoma" w:hAnsi="Tahoma" w:cs="Tahoma"/>
                <w:bCs/>
                <w:sz w:val="16"/>
                <w:szCs w:val="16"/>
                <w:lang w:val="sr-Latn-CS"/>
              </w:rPr>
            </w:pPr>
          </w:p>
          <w:p w:rsidR="0076768F" w:rsidRDefault="0076768F" w:rsidP="009E2A9A">
            <w:pPr>
              <w:jc w:val="both"/>
              <w:rPr>
                <w:rFonts w:ascii="Tahoma" w:hAnsi="Tahoma" w:cs="Tahoma"/>
                <w:bCs/>
                <w:sz w:val="16"/>
                <w:szCs w:val="16"/>
                <w:lang w:val="sr-Latn-CS"/>
              </w:rPr>
            </w:pPr>
          </w:p>
          <w:p w:rsidR="0076768F" w:rsidRDefault="0076768F" w:rsidP="009E2A9A">
            <w:pPr>
              <w:jc w:val="both"/>
              <w:rPr>
                <w:rFonts w:ascii="Tahoma" w:hAnsi="Tahoma" w:cs="Tahoma"/>
                <w:bCs/>
                <w:sz w:val="16"/>
                <w:szCs w:val="16"/>
                <w:lang w:val="sr-Latn-CS"/>
              </w:rPr>
            </w:pPr>
          </w:p>
          <w:p w:rsidR="000B312E" w:rsidRDefault="000B312E" w:rsidP="009E2A9A">
            <w:pPr>
              <w:jc w:val="both"/>
              <w:rPr>
                <w:rFonts w:ascii="Tahoma" w:hAnsi="Tahoma" w:cs="Tahoma"/>
                <w:bCs/>
                <w:sz w:val="16"/>
                <w:szCs w:val="16"/>
                <w:lang w:val="sr-Latn-CS"/>
              </w:rPr>
            </w:pPr>
          </w:p>
          <w:p w:rsidR="000B312E" w:rsidRDefault="000B312E"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Pr="009E2A9A" w:rsidRDefault="009E2A9A" w:rsidP="009E2A9A">
            <w:pPr>
              <w:jc w:val="both"/>
              <w:rPr>
                <w:rFonts w:ascii="Tahoma" w:hAnsi="Tahoma" w:cs="Tahoma"/>
                <w:b/>
                <w:sz w:val="16"/>
                <w:lang w:val="sr-Latn-CS"/>
              </w:rPr>
            </w:pPr>
          </w:p>
        </w:tc>
      </w:tr>
    </w:tbl>
    <w:p w:rsidR="009E2A9A" w:rsidRDefault="009E2A9A" w:rsidP="009E2A9A">
      <w:pPr>
        <w:tabs>
          <w:tab w:val="left" w:pos="300"/>
          <w:tab w:val="left" w:pos="1100"/>
        </w:tabs>
        <w:jc w:val="both"/>
        <w:rPr>
          <w:rFonts w:ascii="Tahoma" w:hAnsi="Tahoma" w:cs="Tahoma"/>
          <w:b/>
        </w:rPr>
      </w:pPr>
    </w:p>
    <w:p w:rsidR="0076768F" w:rsidRDefault="0076768F" w:rsidP="009E2A9A">
      <w:pPr>
        <w:tabs>
          <w:tab w:val="left" w:pos="300"/>
          <w:tab w:val="left" w:pos="1100"/>
        </w:tabs>
        <w:jc w:val="both"/>
        <w:rPr>
          <w:rFonts w:ascii="Tahoma" w:hAnsi="Tahoma" w:cs="Tahoma"/>
          <w:b/>
        </w:rPr>
      </w:pPr>
    </w:p>
    <w:p w:rsidR="0076768F" w:rsidRDefault="0076768F" w:rsidP="009E2A9A">
      <w:pPr>
        <w:tabs>
          <w:tab w:val="left" w:pos="300"/>
          <w:tab w:val="left" w:pos="1100"/>
        </w:tabs>
        <w:jc w:val="both"/>
        <w:rPr>
          <w:rFonts w:ascii="Tahoma" w:hAnsi="Tahoma" w:cs="Tahoma"/>
          <w:b/>
        </w:rPr>
      </w:pPr>
    </w:p>
    <w:p w:rsidR="0076768F" w:rsidRDefault="0076768F" w:rsidP="009E2A9A">
      <w:pPr>
        <w:tabs>
          <w:tab w:val="left" w:pos="300"/>
          <w:tab w:val="left" w:pos="1100"/>
        </w:tabs>
        <w:jc w:val="both"/>
        <w:rPr>
          <w:rFonts w:ascii="Tahoma" w:hAnsi="Tahoma" w:cs="Tahoma"/>
          <w:b/>
        </w:rPr>
      </w:pPr>
    </w:p>
    <w:p w:rsidR="0076768F" w:rsidRDefault="0076768F" w:rsidP="009E2A9A">
      <w:pPr>
        <w:tabs>
          <w:tab w:val="left" w:pos="300"/>
          <w:tab w:val="left" w:pos="1100"/>
        </w:tabs>
        <w:jc w:val="both"/>
        <w:rPr>
          <w:rFonts w:ascii="Tahoma" w:hAnsi="Tahoma" w:cs="Tahoma"/>
          <w:b/>
        </w:rPr>
      </w:pPr>
      <w:bookmarkStart w:id="0" w:name="_GoBack"/>
      <w:bookmarkEnd w:id="0"/>
    </w:p>
    <w:p w:rsidR="00AC4669" w:rsidRPr="00AC4669" w:rsidRDefault="00AC4669" w:rsidP="009E2A9A">
      <w:pPr>
        <w:tabs>
          <w:tab w:val="left" w:pos="300"/>
          <w:tab w:val="left" w:pos="1100"/>
        </w:tabs>
        <w:jc w:val="both"/>
        <w:rPr>
          <w:rFonts w:ascii="Tahoma" w:hAnsi="Tahoma" w:cs="Tahoma"/>
          <w:b/>
          <w:lang w:val="sr-Cyrl-CS"/>
        </w:rPr>
      </w:pPr>
    </w:p>
    <w:p w:rsidR="0076768F" w:rsidRDefault="0076768F" w:rsidP="009E2A9A">
      <w:pPr>
        <w:tabs>
          <w:tab w:val="left" w:pos="300"/>
          <w:tab w:val="left" w:pos="1100"/>
        </w:tabs>
        <w:jc w:val="both"/>
        <w:rPr>
          <w:rFonts w:ascii="Tahoma" w:hAnsi="Tahoma" w:cs="Tahoma"/>
          <w:b/>
          <w:lang w:val="sr-Cyrl-CS"/>
        </w:rPr>
      </w:pPr>
    </w:p>
    <w:p w:rsidR="00106980" w:rsidRPr="00106980" w:rsidRDefault="00106980" w:rsidP="009E2A9A">
      <w:pPr>
        <w:tabs>
          <w:tab w:val="left" w:pos="300"/>
          <w:tab w:val="left" w:pos="1100"/>
        </w:tabs>
        <w:jc w:val="both"/>
        <w:rPr>
          <w:rFonts w:ascii="Tahoma" w:hAnsi="Tahoma" w:cs="Tahoma"/>
          <w:b/>
          <w:lang w:val="sr-Cyrl-CS"/>
        </w:rPr>
      </w:pPr>
    </w:p>
    <w:p w:rsidR="009E2A9A" w:rsidRPr="001225F9" w:rsidRDefault="00A050FF" w:rsidP="009E2A9A">
      <w:pPr>
        <w:tabs>
          <w:tab w:val="left" w:pos="300"/>
          <w:tab w:val="left" w:pos="1100"/>
        </w:tabs>
        <w:jc w:val="both"/>
        <w:rPr>
          <w:rFonts w:ascii="Tahoma" w:hAnsi="Tahoma" w:cs="Tahoma"/>
          <w:b/>
          <w:lang w:val="sr-Cyrl-CS"/>
        </w:rPr>
      </w:pPr>
      <w:r>
        <w:rPr>
          <w:rFonts w:ascii="Tahoma" w:hAnsi="Tahoma" w:cs="Tahoma"/>
          <w:noProof/>
          <w:sz w:val="16"/>
        </w:rPr>
        <w:pict>
          <v:line id="_x0000_s1070" style="position:absolute;left:0;text-align:left;z-index:251666432" from="-.5pt,13.7pt" to="512.5pt,13.7pt" strokecolor="#376ea5" strokeweight="1.5pt"/>
        </w:pict>
      </w:r>
    </w:p>
    <w:tbl>
      <w:tblPr>
        <w:tblpPr w:leftFromText="180" w:rightFromText="180" w:vertAnchor="text" w:horzAnchor="margin" w:tblpXSpec="center" w:tblpY="84"/>
        <w:tblW w:w="10348" w:type="dxa"/>
        <w:tblLook w:val="01E0" w:firstRow="1" w:lastRow="1" w:firstColumn="1" w:lastColumn="1" w:noHBand="0" w:noVBand="0"/>
      </w:tblPr>
      <w:tblGrid>
        <w:gridCol w:w="10348"/>
      </w:tblGrid>
      <w:tr w:rsidR="009E2A9A" w:rsidRPr="001225F9" w:rsidTr="009E2A9A">
        <w:trPr>
          <w:trHeight w:hRule="exact" w:val="113"/>
        </w:trPr>
        <w:tc>
          <w:tcPr>
            <w:tcW w:w="10348" w:type="dxa"/>
            <w:tcMar>
              <w:left w:w="0" w:type="dxa"/>
              <w:right w:w="0" w:type="dxa"/>
            </w:tcMar>
          </w:tcPr>
          <w:p w:rsidR="009E2A9A" w:rsidRPr="001225F9" w:rsidRDefault="009E2A9A" w:rsidP="009E2A9A">
            <w:pPr>
              <w:jc w:val="both"/>
              <w:rPr>
                <w:rFonts w:ascii="Tahoma" w:hAnsi="Tahoma" w:cs="Tahoma"/>
                <w:sz w:val="16"/>
                <w:lang w:val="sr-Cyrl-CS"/>
              </w:rPr>
            </w:pPr>
          </w:p>
        </w:tc>
      </w:tr>
      <w:tr w:rsidR="009E2A9A" w:rsidRPr="001225F9" w:rsidTr="009E2A9A">
        <w:tc>
          <w:tcPr>
            <w:tcW w:w="10348" w:type="dxa"/>
            <w:tcMar>
              <w:left w:w="0" w:type="dxa"/>
              <w:right w:w="0" w:type="dxa"/>
            </w:tcMar>
          </w:tcPr>
          <w:p w:rsidR="009E2A9A" w:rsidRPr="00392C6E" w:rsidRDefault="00392C6E" w:rsidP="00392C6E">
            <w:pPr>
              <w:jc w:val="center"/>
              <w:rPr>
                <w:rFonts w:ascii="Tahoma" w:hAnsi="Tahoma" w:cs="Tahoma"/>
                <w:sz w:val="16"/>
                <w:szCs w:val="16"/>
              </w:rPr>
            </w:pPr>
            <w:r>
              <w:rPr>
                <w:rFonts w:ascii="Tahoma" w:hAnsi="Tahoma" w:cs="Tahoma"/>
                <w:sz w:val="16"/>
              </w:rPr>
              <w:t>The Release prepared by the Publications Division</w:t>
            </w:r>
          </w:p>
        </w:tc>
      </w:tr>
      <w:tr w:rsidR="009E2A9A" w:rsidRPr="001225F9" w:rsidTr="009E2A9A">
        <w:trPr>
          <w:trHeight w:val="1603"/>
        </w:trPr>
        <w:tc>
          <w:tcPr>
            <w:tcW w:w="10348" w:type="dxa"/>
            <w:tcMar>
              <w:left w:w="0" w:type="dxa"/>
              <w:right w:w="0" w:type="dxa"/>
            </w:tcMar>
          </w:tcPr>
          <w:p w:rsidR="009E2A9A" w:rsidRPr="00392C6E" w:rsidRDefault="00392C6E" w:rsidP="009E2A9A">
            <w:pPr>
              <w:autoSpaceDE w:val="0"/>
              <w:autoSpaceDN w:val="0"/>
              <w:adjustRightInd w:val="0"/>
              <w:jc w:val="center"/>
              <w:rPr>
                <w:rFonts w:ascii="Tahoma" w:hAnsi="Tahoma" w:cs="Tahoma"/>
                <w:sz w:val="16"/>
              </w:rPr>
            </w:pPr>
            <w:r>
              <w:rPr>
                <w:rFonts w:ascii="Tahoma" w:hAnsi="Tahoma" w:cs="Tahoma"/>
                <w:sz w:val="16"/>
              </w:rPr>
              <w:t>Vladan Sibinović</w:t>
            </w:r>
            <w:r w:rsidR="009E2A9A" w:rsidRPr="001225F9">
              <w:rPr>
                <w:rFonts w:ascii="Tahoma" w:hAnsi="Tahoma" w:cs="Tahoma"/>
                <w:sz w:val="16"/>
                <w:lang w:val="ru-RU"/>
              </w:rPr>
              <w:t xml:space="preserve">, </w:t>
            </w:r>
            <w:r>
              <w:rPr>
                <w:rFonts w:ascii="Tahoma" w:hAnsi="Tahoma" w:cs="Tahoma"/>
                <w:sz w:val="16"/>
              </w:rPr>
              <w:t>Head of the Division</w:t>
            </w:r>
          </w:p>
          <w:p w:rsidR="009E2A9A" w:rsidRPr="001225F9" w:rsidRDefault="00392C6E" w:rsidP="009E2A9A">
            <w:pPr>
              <w:autoSpaceDE w:val="0"/>
              <w:autoSpaceDN w:val="0"/>
              <w:adjustRightInd w:val="0"/>
              <w:jc w:val="center"/>
              <w:rPr>
                <w:rFonts w:ascii="Tahoma" w:hAnsi="Tahoma" w:cs="Tahoma"/>
                <w:sz w:val="16"/>
                <w:lang w:val="ru-RU"/>
              </w:rPr>
            </w:pPr>
            <w:r>
              <w:rPr>
                <w:rFonts w:ascii="Tahoma" w:hAnsi="Tahoma" w:cs="Tahoma"/>
                <w:sz w:val="16"/>
              </w:rPr>
              <w:t>Published by</w:t>
            </w:r>
            <w:r w:rsidR="009E2A9A" w:rsidRPr="001225F9">
              <w:rPr>
                <w:rFonts w:ascii="Tahoma" w:hAnsi="Tahoma" w:cs="Tahoma"/>
                <w:sz w:val="16"/>
                <w:lang w:val="ru-RU"/>
              </w:rPr>
              <w:t xml:space="preserve"> </w:t>
            </w:r>
            <w:r>
              <w:rPr>
                <w:rFonts w:ascii="Tahoma" w:hAnsi="Tahoma" w:cs="Tahoma"/>
                <w:sz w:val="16"/>
              </w:rPr>
              <w:t>the Republika Srpska Institute of Statistics</w:t>
            </w:r>
            <w:r w:rsidR="009E2A9A" w:rsidRPr="001225F9">
              <w:rPr>
                <w:rFonts w:ascii="Tahoma" w:hAnsi="Tahoma" w:cs="Tahoma"/>
                <w:sz w:val="16"/>
                <w:lang w:val="ru-RU"/>
              </w:rPr>
              <w:t>,</w:t>
            </w:r>
          </w:p>
          <w:p w:rsidR="009E2A9A" w:rsidRPr="00392C6E" w:rsidRDefault="00392C6E" w:rsidP="009E2A9A">
            <w:pPr>
              <w:autoSpaceDE w:val="0"/>
              <w:autoSpaceDN w:val="0"/>
              <w:adjustRightInd w:val="0"/>
              <w:jc w:val="center"/>
              <w:rPr>
                <w:rFonts w:ascii="Tahoma" w:hAnsi="Tahoma" w:cs="Tahoma"/>
                <w:sz w:val="16"/>
              </w:rPr>
            </w:pPr>
            <w:r>
              <w:rPr>
                <w:rFonts w:ascii="Tahoma" w:hAnsi="Tahoma" w:cs="Tahoma"/>
                <w:sz w:val="16"/>
              </w:rPr>
              <w:t>Republika Srpska</w:t>
            </w:r>
            <w:r w:rsidR="009E2A9A" w:rsidRPr="001225F9">
              <w:rPr>
                <w:rFonts w:ascii="Tahoma" w:hAnsi="Tahoma" w:cs="Tahoma"/>
                <w:sz w:val="16"/>
                <w:lang w:val="sr-Cyrl-CS"/>
              </w:rPr>
              <w:t xml:space="preserve">, </w:t>
            </w:r>
            <w:r>
              <w:rPr>
                <w:rFonts w:ascii="Tahoma" w:hAnsi="Tahoma" w:cs="Tahoma"/>
                <w:sz w:val="16"/>
              </w:rPr>
              <w:t>Banja Luka</w:t>
            </w:r>
            <w:r w:rsidR="009E2A9A" w:rsidRPr="001225F9">
              <w:rPr>
                <w:rFonts w:ascii="Tahoma" w:hAnsi="Tahoma" w:cs="Tahoma"/>
                <w:sz w:val="16"/>
                <w:lang w:val="ru-RU"/>
              </w:rPr>
              <w:t xml:space="preserve">, </w:t>
            </w:r>
            <w:r>
              <w:rPr>
                <w:rFonts w:ascii="Tahoma" w:hAnsi="Tahoma" w:cs="Tahoma"/>
                <w:sz w:val="16"/>
              </w:rPr>
              <w:t>Veljka Mlađenovića</w:t>
            </w:r>
            <w:r>
              <w:rPr>
                <w:rFonts w:ascii="Tahoma" w:hAnsi="Tahoma" w:cs="Tahoma"/>
                <w:sz w:val="16"/>
                <w:lang w:val="ru-RU"/>
              </w:rPr>
              <w:t xml:space="preserve"> 12</w:t>
            </w:r>
            <w:r>
              <w:rPr>
                <w:rFonts w:ascii="Tahoma" w:hAnsi="Tahoma" w:cs="Tahoma"/>
                <w:sz w:val="16"/>
              </w:rPr>
              <w:t>d</w:t>
            </w:r>
          </w:p>
          <w:p w:rsidR="009E2A9A" w:rsidRPr="00392C6E" w:rsidRDefault="00392C6E" w:rsidP="009E2A9A">
            <w:pPr>
              <w:autoSpaceDE w:val="0"/>
              <w:autoSpaceDN w:val="0"/>
              <w:adjustRightInd w:val="0"/>
              <w:jc w:val="center"/>
              <w:rPr>
                <w:rFonts w:ascii="Tahoma" w:hAnsi="Tahoma" w:cs="Tahoma"/>
                <w:sz w:val="16"/>
              </w:rPr>
            </w:pPr>
            <w:r>
              <w:rPr>
                <w:rFonts w:ascii="Tahoma" w:hAnsi="Tahoma" w:cs="Tahoma"/>
                <w:sz w:val="16"/>
              </w:rPr>
              <w:t>Radmila Čičković, PhD</w:t>
            </w:r>
            <w:r w:rsidR="009E2A9A" w:rsidRPr="001225F9">
              <w:rPr>
                <w:rFonts w:ascii="Tahoma" w:hAnsi="Tahoma" w:cs="Tahoma"/>
                <w:sz w:val="16"/>
                <w:lang w:val="sr-Cyrl-CS"/>
              </w:rPr>
              <w:t xml:space="preserve">, </w:t>
            </w:r>
            <w:r>
              <w:rPr>
                <w:rFonts w:ascii="Tahoma" w:hAnsi="Tahoma" w:cs="Tahoma"/>
                <w:sz w:val="16"/>
              </w:rPr>
              <w:t>Director of the Institute</w:t>
            </w:r>
          </w:p>
          <w:p w:rsidR="009E2A9A" w:rsidRPr="001225F9" w:rsidRDefault="00392C6E" w:rsidP="009E2A9A">
            <w:pPr>
              <w:autoSpaceDE w:val="0"/>
              <w:autoSpaceDN w:val="0"/>
              <w:adjustRightInd w:val="0"/>
              <w:jc w:val="center"/>
              <w:rPr>
                <w:rFonts w:ascii="Tahoma" w:hAnsi="Tahoma" w:cs="Tahoma"/>
                <w:sz w:val="16"/>
                <w:lang w:val="sr-Cyrl-CS"/>
              </w:rPr>
            </w:pPr>
            <w:r>
              <w:rPr>
                <w:rFonts w:ascii="Tahoma" w:hAnsi="Tahoma" w:cs="Tahoma"/>
                <w:sz w:val="16"/>
              </w:rPr>
              <w:t>The Release is published online</w:t>
            </w:r>
            <w:r w:rsidR="009E2A9A" w:rsidRPr="001225F9">
              <w:rPr>
                <w:rFonts w:ascii="Tahoma" w:hAnsi="Tahoma" w:cs="Tahoma"/>
                <w:sz w:val="16"/>
                <w:lang w:val="sr-Cyrl-CS"/>
              </w:rPr>
              <w:t xml:space="preserve">, </w:t>
            </w:r>
            <w:r>
              <w:rPr>
                <w:rFonts w:ascii="Tahoma" w:hAnsi="Tahoma" w:cs="Tahoma"/>
                <w:sz w:val="16"/>
              </w:rPr>
              <w:t>at the address</w:t>
            </w:r>
            <w:r w:rsidR="009E2A9A" w:rsidRPr="001225F9">
              <w:rPr>
                <w:rFonts w:ascii="Tahoma" w:hAnsi="Tahoma" w:cs="Tahoma"/>
                <w:sz w:val="16"/>
                <w:lang w:val="sr-Cyrl-CS"/>
              </w:rPr>
              <w:t xml:space="preserve">: </w:t>
            </w:r>
            <w:r w:rsidR="009E2A9A" w:rsidRPr="001225F9">
              <w:rPr>
                <w:rFonts w:ascii="Tahoma" w:hAnsi="Tahoma" w:cs="Tahoma"/>
                <w:sz w:val="16"/>
                <w:szCs w:val="16"/>
                <w:lang w:val="fr-FR"/>
              </w:rPr>
              <w:t>www</w:t>
            </w:r>
            <w:r w:rsidR="009E2A9A" w:rsidRPr="001225F9">
              <w:rPr>
                <w:rFonts w:ascii="Tahoma" w:hAnsi="Tahoma" w:cs="Tahoma"/>
                <w:sz w:val="16"/>
                <w:szCs w:val="16"/>
                <w:lang w:val="ru-RU"/>
              </w:rPr>
              <w:t>.</w:t>
            </w:r>
            <w:proofErr w:type="spellStart"/>
            <w:r w:rsidR="009E2A9A" w:rsidRPr="001225F9">
              <w:rPr>
                <w:rFonts w:ascii="Tahoma" w:hAnsi="Tahoma" w:cs="Tahoma"/>
                <w:sz w:val="16"/>
                <w:szCs w:val="16"/>
                <w:lang w:val="fr-FR"/>
              </w:rPr>
              <w:t>rzs</w:t>
            </w:r>
            <w:proofErr w:type="spellEnd"/>
            <w:r w:rsidR="009E2A9A" w:rsidRPr="001225F9">
              <w:rPr>
                <w:rFonts w:ascii="Tahoma" w:hAnsi="Tahoma" w:cs="Tahoma"/>
                <w:sz w:val="16"/>
                <w:szCs w:val="16"/>
                <w:lang w:val="ru-RU"/>
              </w:rPr>
              <w:t>.</w:t>
            </w:r>
            <w:proofErr w:type="spellStart"/>
            <w:r w:rsidR="009E2A9A" w:rsidRPr="001225F9">
              <w:rPr>
                <w:rFonts w:ascii="Tahoma" w:hAnsi="Tahoma" w:cs="Tahoma"/>
                <w:sz w:val="16"/>
                <w:szCs w:val="16"/>
                <w:lang w:val="fr-FR"/>
              </w:rPr>
              <w:t>rs</w:t>
            </w:r>
            <w:proofErr w:type="spellEnd"/>
            <w:r w:rsidR="009E2A9A" w:rsidRPr="001225F9">
              <w:rPr>
                <w:rFonts w:ascii="Tahoma" w:hAnsi="Tahoma" w:cs="Tahoma"/>
                <w:sz w:val="16"/>
                <w:szCs w:val="16"/>
                <w:lang w:val="ru-RU"/>
              </w:rPr>
              <w:t>.</w:t>
            </w:r>
            <w:proofErr w:type="spellStart"/>
            <w:r w:rsidR="009E2A9A" w:rsidRPr="001225F9">
              <w:rPr>
                <w:rFonts w:ascii="Tahoma" w:hAnsi="Tahoma" w:cs="Tahoma"/>
                <w:sz w:val="16"/>
                <w:szCs w:val="16"/>
                <w:lang w:val="fr-FR"/>
              </w:rPr>
              <w:t>ba</w:t>
            </w:r>
            <w:proofErr w:type="spellEnd"/>
          </w:p>
          <w:p w:rsidR="009E2A9A" w:rsidRPr="001225F9" w:rsidRDefault="00392C6E" w:rsidP="009E2A9A">
            <w:pPr>
              <w:autoSpaceDE w:val="0"/>
              <w:autoSpaceDN w:val="0"/>
              <w:adjustRightInd w:val="0"/>
              <w:jc w:val="center"/>
              <w:rPr>
                <w:rFonts w:ascii="Tahoma" w:hAnsi="Tahoma" w:cs="Tahoma"/>
                <w:sz w:val="16"/>
                <w:lang w:val="sr-Cyrl-CS"/>
              </w:rPr>
            </w:pPr>
            <w:r>
              <w:rPr>
                <w:rFonts w:ascii="Tahoma" w:hAnsi="Tahoma" w:cs="Tahoma"/>
                <w:sz w:val="16"/>
              </w:rPr>
              <w:t>telepone</w:t>
            </w:r>
            <w:r w:rsidR="009E2A9A" w:rsidRPr="001225F9">
              <w:rPr>
                <w:rFonts w:ascii="Tahoma" w:hAnsi="Tahoma" w:cs="Tahoma"/>
                <w:sz w:val="16"/>
                <w:lang w:val="ru-RU"/>
              </w:rPr>
              <w:t xml:space="preserve"> +387 51 </w:t>
            </w:r>
            <w:r w:rsidR="009E2A9A" w:rsidRPr="001225F9">
              <w:rPr>
                <w:rFonts w:ascii="Tahoma" w:hAnsi="Tahoma" w:cs="Tahoma"/>
                <w:sz w:val="16"/>
                <w:szCs w:val="16"/>
                <w:lang w:val="ru-RU"/>
              </w:rPr>
              <w:t>332 700</w:t>
            </w:r>
            <w:r w:rsidR="009E2A9A" w:rsidRPr="001225F9">
              <w:rPr>
                <w:rFonts w:ascii="Tahoma" w:hAnsi="Tahoma" w:cs="Tahoma"/>
                <w:sz w:val="16"/>
                <w:lang w:val="sr-Cyrl-CS"/>
              </w:rPr>
              <w:t xml:space="preserve">; </w:t>
            </w:r>
            <w:r>
              <w:rPr>
                <w:rFonts w:ascii="Tahoma" w:hAnsi="Tahoma" w:cs="Tahoma"/>
                <w:sz w:val="16"/>
                <w:szCs w:val="16"/>
                <w:lang w:val="pt-BR"/>
              </w:rPr>
              <w:t>e</w:t>
            </w:r>
            <w:r w:rsidR="009E2A9A" w:rsidRPr="001225F9">
              <w:rPr>
                <w:rFonts w:ascii="Tahoma" w:hAnsi="Tahoma" w:cs="Tahoma"/>
                <w:sz w:val="16"/>
                <w:szCs w:val="16"/>
                <w:lang w:val="ru-RU"/>
              </w:rPr>
              <w:t>-</w:t>
            </w:r>
            <w:r w:rsidR="009E2A9A" w:rsidRPr="001225F9">
              <w:rPr>
                <w:rFonts w:ascii="Tahoma" w:hAnsi="Tahoma" w:cs="Tahoma"/>
                <w:sz w:val="16"/>
                <w:szCs w:val="16"/>
                <w:lang w:val="pt-BR"/>
              </w:rPr>
              <w:t>mail</w:t>
            </w:r>
            <w:r w:rsidR="009E2A9A" w:rsidRPr="001225F9">
              <w:rPr>
                <w:rFonts w:ascii="Tahoma" w:hAnsi="Tahoma" w:cs="Tahoma"/>
                <w:sz w:val="16"/>
                <w:szCs w:val="16"/>
                <w:lang w:val="ru-RU"/>
              </w:rPr>
              <w:t xml:space="preserve">: </w:t>
            </w:r>
            <w:hyperlink r:id="rId19" w:history="1">
              <w:r w:rsidR="009E2A9A" w:rsidRPr="001225F9">
                <w:rPr>
                  <w:rStyle w:val="Hyperlink"/>
                  <w:rFonts w:ascii="Tahoma" w:hAnsi="Tahoma" w:cs="Tahoma"/>
                  <w:color w:val="auto"/>
                  <w:sz w:val="16"/>
                  <w:szCs w:val="16"/>
                  <w:lang w:val="pt-BR"/>
                </w:rPr>
                <w:t>stat</w:t>
              </w:r>
              <w:r w:rsidR="009E2A9A" w:rsidRPr="001225F9">
                <w:rPr>
                  <w:rStyle w:val="Hyperlink"/>
                  <w:rFonts w:ascii="Tahoma" w:hAnsi="Tahoma" w:cs="Tahoma"/>
                  <w:color w:val="auto"/>
                  <w:sz w:val="16"/>
                  <w:szCs w:val="16"/>
                  <w:lang w:val="ru-RU"/>
                </w:rPr>
                <w:t>@</w:t>
              </w:r>
              <w:r w:rsidR="009E2A9A" w:rsidRPr="001225F9">
                <w:rPr>
                  <w:rStyle w:val="Hyperlink"/>
                  <w:rFonts w:ascii="Tahoma" w:hAnsi="Tahoma" w:cs="Tahoma"/>
                  <w:color w:val="auto"/>
                  <w:sz w:val="16"/>
                  <w:szCs w:val="16"/>
                  <w:lang w:val="pt-BR"/>
                </w:rPr>
                <w:t>rzs</w:t>
              </w:r>
              <w:r w:rsidR="009E2A9A" w:rsidRPr="001225F9">
                <w:rPr>
                  <w:rStyle w:val="Hyperlink"/>
                  <w:rFonts w:ascii="Tahoma" w:hAnsi="Tahoma" w:cs="Tahoma"/>
                  <w:color w:val="auto"/>
                  <w:sz w:val="16"/>
                  <w:szCs w:val="16"/>
                  <w:lang w:val="ru-RU"/>
                </w:rPr>
                <w:t>.</w:t>
              </w:r>
              <w:r w:rsidR="009E2A9A" w:rsidRPr="001225F9">
                <w:rPr>
                  <w:rStyle w:val="Hyperlink"/>
                  <w:rFonts w:ascii="Tahoma" w:hAnsi="Tahoma" w:cs="Tahoma"/>
                  <w:color w:val="auto"/>
                  <w:sz w:val="16"/>
                  <w:szCs w:val="16"/>
                  <w:lang w:val="pt-BR"/>
                </w:rPr>
                <w:t>rs</w:t>
              </w:r>
              <w:r w:rsidR="009E2A9A" w:rsidRPr="001225F9">
                <w:rPr>
                  <w:rStyle w:val="Hyperlink"/>
                  <w:rFonts w:ascii="Tahoma" w:hAnsi="Tahoma" w:cs="Tahoma"/>
                  <w:color w:val="auto"/>
                  <w:sz w:val="16"/>
                  <w:szCs w:val="16"/>
                  <w:lang w:val="ru-RU"/>
                </w:rPr>
                <w:t>.</w:t>
              </w:r>
              <w:r w:rsidR="009E2A9A" w:rsidRPr="001225F9">
                <w:rPr>
                  <w:rStyle w:val="Hyperlink"/>
                  <w:rFonts w:ascii="Tahoma" w:hAnsi="Tahoma" w:cs="Tahoma"/>
                  <w:color w:val="auto"/>
                  <w:sz w:val="16"/>
                  <w:szCs w:val="16"/>
                  <w:lang w:val="pt-BR"/>
                </w:rPr>
                <w:t>ba</w:t>
              </w:r>
            </w:hyperlink>
          </w:p>
          <w:p w:rsidR="009E2A9A" w:rsidRPr="001225F9" w:rsidRDefault="009E2A9A" w:rsidP="009E2A9A">
            <w:pPr>
              <w:jc w:val="center"/>
              <w:rPr>
                <w:rFonts w:ascii="Tahoma" w:hAnsi="Tahoma" w:cs="Tahoma"/>
                <w:b/>
                <w:bCs/>
                <w:sz w:val="16"/>
                <w:lang w:val="ru-RU"/>
              </w:rPr>
            </w:pPr>
          </w:p>
          <w:p w:rsidR="009E2A9A" w:rsidRPr="00392C6E" w:rsidRDefault="00392C6E" w:rsidP="009E2A9A">
            <w:pPr>
              <w:autoSpaceDE w:val="0"/>
              <w:autoSpaceDN w:val="0"/>
              <w:adjustRightInd w:val="0"/>
              <w:ind w:left="-198"/>
              <w:jc w:val="center"/>
              <w:rPr>
                <w:rFonts w:ascii="Tahoma" w:hAnsi="Tahoma" w:cs="Tahoma"/>
                <w:b/>
                <w:bCs/>
                <w:sz w:val="16"/>
                <w:szCs w:val="18"/>
              </w:rPr>
            </w:pPr>
            <w:r>
              <w:rPr>
                <w:rFonts w:ascii="Tahoma" w:hAnsi="Tahoma" w:cs="Tahoma"/>
                <w:b/>
                <w:bCs/>
                <w:sz w:val="16"/>
              </w:rPr>
              <w:t>Data may be used provided the source is acknowledged</w:t>
            </w:r>
          </w:p>
        </w:tc>
      </w:tr>
    </w:tbl>
    <w:p w:rsidR="009E2A9A" w:rsidRPr="001225F9" w:rsidRDefault="00A050FF" w:rsidP="009E2A9A">
      <w:pPr>
        <w:rPr>
          <w:rFonts w:ascii="Tahoma" w:hAnsi="Tahoma" w:cs="Tahoma"/>
          <w:lang w:val="sr-Cyrl-BA"/>
        </w:rPr>
      </w:pPr>
      <w:r>
        <w:rPr>
          <w:rFonts w:ascii="Tahoma" w:hAnsi="Tahoma" w:cs="Tahoma"/>
          <w:noProof/>
          <w:lang w:val="bs-Latn-BA" w:eastAsia="bs-Latn-BA"/>
        </w:rPr>
        <w:pict>
          <v:line id="_x0000_s1071" style="position:absolute;z-index:251667456;mso-position-horizontal-relative:text;mso-position-vertical-relative:text" from="-2.5pt,108.2pt" to="510.5pt,108.2pt" strokecolor="#376ea5" strokeweight="1.5pt"/>
        </w:pict>
      </w:r>
    </w:p>
    <w:p w:rsidR="009E2A9A" w:rsidRDefault="009E2A9A" w:rsidP="008F2385">
      <w:pPr>
        <w:jc w:val="both"/>
        <w:rPr>
          <w:rFonts w:ascii="Tahoma" w:hAnsi="Tahoma" w:cs="Tahoma"/>
          <w:bCs/>
          <w:lang w:val="sr-Latn-CS"/>
        </w:rPr>
      </w:pPr>
    </w:p>
    <w:p w:rsidR="009E2A9A" w:rsidRPr="009E2A9A" w:rsidRDefault="009E2A9A" w:rsidP="009E2A9A">
      <w:pPr>
        <w:rPr>
          <w:rFonts w:ascii="Tahoma" w:hAnsi="Tahoma" w:cs="Tahoma"/>
          <w:lang w:val="sr-Latn-CS"/>
        </w:rPr>
      </w:pPr>
    </w:p>
    <w:p w:rsidR="009E2A9A" w:rsidRPr="009E2A9A" w:rsidRDefault="009E2A9A" w:rsidP="009E2A9A">
      <w:pPr>
        <w:rPr>
          <w:rFonts w:ascii="Tahoma" w:hAnsi="Tahoma" w:cs="Tahoma"/>
          <w:lang w:val="sr-Latn-CS"/>
        </w:rPr>
      </w:pPr>
    </w:p>
    <w:p w:rsidR="009E2A9A" w:rsidRPr="009E2A9A" w:rsidRDefault="009E2A9A" w:rsidP="009E2A9A">
      <w:pPr>
        <w:rPr>
          <w:rFonts w:ascii="Tahoma" w:hAnsi="Tahoma" w:cs="Tahoma"/>
          <w:lang w:val="sr-Latn-CS"/>
        </w:rPr>
      </w:pPr>
    </w:p>
    <w:p w:rsidR="009E2A9A" w:rsidRPr="009E2A9A" w:rsidRDefault="009E2A9A" w:rsidP="009E2A9A">
      <w:pPr>
        <w:rPr>
          <w:rFonts w:ascii="Tahoma" w:hAnsi="Tahoma" w:cs="Tahoma"/>
          <w:lang w:val="sr-Latn-CS"/>
        </w:rPr>
      </w:pPr>
    </w:p>
    <w:p w:rsidR="00DB6D76" w:rsidRPr="00221BD9" w:rsidRDefault="00DB6D76" w:rsidP="009E2A9A">
      <w:pPr>
        <w:jc w:val="both"/>
        <w:rPr>
          <w:rFonts w:ascii="Tahoma" w:hAnsi="Tahoma" w:cs="Tahoma"/>
          <w:bCs/>
          <w:sz w:val="18"/>
          <w:szCs w:val="18"/>
          <w:lang w:val="sr-Cyrl-BA"/>
        </w:rPr>
      </w:pPr>
    </w:p>
    <w:sectPr w:rsidR="00DB6D76" w:rsidRPr="00221BD9" w:rsidSect="0076768F">
      <w:headerReference w:type="default" r:id="rId20"/>
      <w:footerReference w:type="default" r:id="rId21"/>
      <w:footerReference w:type="first" r:id="rId22"/>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0FF" w:rsidRDefault="00A050FF">
      <w:r>
        <w:separator/>
      </w:r>
    </w:p>
  </w:endnote>
  <w:endnote w:type="continuationSeparator" w:id="0">
    <w:p w:rsidR="00A050FF" w:rsidRDefault="00A0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PlainItalic">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19" w:rsidRDefault="00A050FF" w:rsidP="0076768F">
    <w:pPr>
      <w:pStyle w:val="Footer"/>
      <w:jc w:val="center"/>
    </w:pPr>
    <w:r>
      <w:rPr>
        <w:noProof/>
      </w:rPr>
      <w:pict>
        <v:group id="_x0000_s2068" style="position:absolute;left:0;text-align:left;margin-left:299.55pt;margin-top:16.85pt;width:22.45pt;height:18.25pt;z-index:251659776;mso-position-horizontal-relative:page" coordorigin="5729,16224" coordsize="449,365">
          <v:group id="_x0000_s2069" style="position:absolute;left:5753;top:16224;width:401;height:365;mso-position-horizontal:center;mso-position-horizontal-relative:page" coordorigin="5663,16158" coordsize="401,365">
            <v:rect id="_x0000_s2070" style="position:absolute;left:5663;top:16158;width:401;height:313" fillcolor="#bfbfbf" strokecolor="#bfbfbf"/>
            <v:rect id="_x0000_s2071" style="position:absolute;left:5663;top:16497;width:401;height:26" fillcolor="#bfbfbf" strokecolor="#bfbfbf"/>
          </v:group>
          <v:shapetype id="_x0000_t202" coordsize="21600,21600" o:spt="202" path="m,l,21600r21600,l21600,xe">
            <v:stroke joinstyle="miter"/>
            <v:path gradientshapeok="t" o:connecttype="rect"/>
          </v:shapetype>
          <v:shape id="_x0000_s2072" type="#_x0000_t202" style="position:absolute;left:5729;top:16236;width:449;height:301;mso-position-horizontal:center;mso-position-horizontal-relative:page;v-text-anchor:bottom" filled="f" stroked="f">
            <v:textbox style="mso-next-textbox:#_x0000_s2072" inset="4.32pt,0,4.32pt,0">
              <w:txbxContent>
                <w:p w:rsidR="00562019" w:rsidRPr="00175687" w:rsidRDefault="00A2281E"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562019"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D22614">
                    <w:rPr>
                      <w:rFonts w:ascii="Tahoma" w:hAnsi="Tahoma" w:cs="Tahoma"/>
                      <w:noProof/>
                      <w:color w:val="FFFFFF"/>
                    </w:rPr>
                    <w:t>6</w:t>
                  </w:r>
                  <w:r w:rsidRPr="00175687">
                    <w:rPr>
                      <w:rFonts w:ascii="Tahoma" w:hAnsi="Tahoma" w:cs="Tahoma"/>
                      <w:color w:val="FFFFFF"/>
                    </w:rPr>
                    <w:fldChar w:fldCharType="end"/>
                  </w:r>
                </w:p>
              </w:txbxContent>
            </v:textbox>
          </v:shape>
          <w10:wrap anchorx="page"/>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19" w:rsidRDefault="00A050FF" w:rsidP="0076768F">
    <w:pPr>
      <w:pStyle w:val="Footer"/>
      <w:jc w:val="center"/>
    </w:pPr>
    <w:r>
      <w:rPr>
        <w:noProof/>
      </w:rPr>
      <w:pict>
        <v:group id="_x0000_s2063" style="position:absolute;left:0;text-align:left;margin-left:287.55pt;margin-top:17.95pt;width:22.45pt;height:18.25pt;z-index:251658752;mso-position-horizontal-relative:page" coordorigin="5729,16224" coordsize="449,365">
          <v:group id="_x0000_s2064" style="position:absolute;left:5753;top:16224;width:401;height:365;mso-position-horizontal:center;mso-position-horizontal-relative:page" coordorigin="5663,16158" coordsize="401,365">
            <v:rect id="_x0000_s2065" style="position:absolute;left:5663;top:16158;width:401;height:313" fillcolor="#bfbfbf" strokecolor="#bfbfbf"/>
            <v:rect id="_x0000_s2066" style="position:absolute;left:5663;top:16497;width:401;height:26" fillcolor="#bfbfbf" strokecolor="#bfbfbf"/>
          </v:group>
          <v:shapetype id="_x0000_t202" coordsize="21600,21600" o:spt="202" path="m,l,21600r21600,l21600,xe">
            <v:stroke joinstyle="miter"/>
            <v:path gradientshapeok="t" o:connecttype="rect"/>
          </v:shapetype>
          <v:shape id="_x0000_s2067" type="#_x0000_t202" style="position:absolute;left:5729;top:16236;width:449;height:301;mso-position-horizontal:center;mso-position-horizontal-relative:page;v-text-anchor:bottom" filled="f" stroked="f">
            <v:textbox style="mso-next-textbox:#_x0000_s2067" inset="4.32pt,0,4.32pt,0">
              <w:txbxContent>
                <w:p w:rsidR="00562019" w:rsidRPr="00175687" w:rsidRDefault="00A2281E"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562019"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D22614">
                    <w:rPr>
                      <w:rFonts w:ascii="Tahoma" w:hAnsi="Tahoma" w:cs="Tahoma"/>
                      <w:noProof/>
                      <w:color w:val="FFFFFF"/>
                    </w:rPr>
                    <w:t>1</w:t>
                  </w:r>
                  <w:r w:rsidRPr="00175687">
                    <w:rPr>
                      <w:rFonts w:ascii="Tahoma" w:hAnsi="Tahoma" w:cs="Tahoma"/>
                      <w:color w:val="FFFFFF"/>
                    </w:rPr>
                    <w:fldChar w:fldCharType="end"/>
                  </w:r>
                </w:p>
              </w:txbxContent>
            </v:textbox>
          </v:shape>
          <w10:wrap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0FF" w:rsidRDefault="00A050FF">
      <w:r>
        <w:separator/>
      </w:r>
    </w:p>
  </w:footnote>
  <w:footnote w:type="continuationSeparator" w:id="0">
    <w:p w:rsidR="00A050FF" w:rsidRDefault="00A05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3517"/>
      <w:gridCol w:w="6920"/>
    </w:tblGrid>
    <w:tr w:rsidR="00562019" w:rsidTr="00FF437D">
      <w:tc>
        <w:tcPr>
          <w:tcW w:w="1685" w:type="pct"/>
          <w:tcBorders>
            <w:bottom w:val="single" w:sz="4" w:space="0" w:color="943634"/>
          </w:tcBorders>
          <w:shd w:val="clear" w:color="auto" w:fill="365F91"/>
          <w:vAlign w:val="bottom"/>
        </w:tcPr>
        <w:p w:rsidR="00562019" w:rsidRPr="00FF437D" w:rsidRDefault="00FF437D" w:rsidP="006E56EA">
          <w:pPr>
            <w:pStyle w:val="Header"/>
            <w:jc w:val="both"/>
            <w:rPr>
              <w:rFonts w:ascii="Tahoma" w:hAnsi="Tahoma" w:cs="Tahoma"/>
              <w:b/>
              <w:color w:val="FFFFFF"/>
              <w:sz w:val="16"/>
              <w:szCs w:val="16"/>
            </w:rPr>
          </w:pPr>
          <w:proofErr w:type="spellStart"/>
          <w:r>
            <w:rPr>
              <w:rFonts w:ascii="Tahoma" w:hAnsi="Tahoma" w:cs="Tahoma"/>
              <w:b/>
              <w:color w:val="FFFFFF"/>
              <w:sz w:val="16"/>
              <w:szCs w:val="16"/>
            </w:rPr>
            <w:t>Republika</w:t>
          </w:r>
          <w:proofErr w:type="spellEnd"/>
          <w:r>
            <w:rPr>
              <w:rFonts w:ascii="Tahoma" w:hAnsi="Tahoma" w:cs="Tahoma"/>
              <w:b/>
              <w:color w:val="FFFFFF"/>
              <w:sz w:val="16"/>
              <w:szCs w:val="16"/>
            </w:rPr>
            <w:t xml:space="preserve"> </w:t>
          </w:r>
          <w:proofErr w:type="spellStart"/>
          <w:r>
            <w:rPr>
              <w:rFonts w:ascii="Tahoma" w:hAnsi="Tahoma" w:cs="Tahoma"/>
              <w:b/>
              <w:color w:val="FFFFFF"/>
              <w:sz w:val="16"/>
              <w:szCs w:val="16"/>
            </w:rPr>
            <w:t>Srpska</w:t>
          </w:r>
          <w:proofErr w:type="spellEnd"/>
          <w:r>
            <w:rPr>
              <w:rFonts w:ascii="Tahoma" w:hAnsi="Tahoma" w:cs="Tahoma"/>
              <w:b/>
              <w:color w:val="FFFFFF"/>
              <w:sz w:val="16"/>
              <w:szCs w:val="16"/>
            </w:rPr>
            <w:t xml:space="preserve"> Institute of Statistics</w:t>
          </w:r>
        </w:p>
        <w:p w:rsidR="00562019" w:rsidRPr="00FF437D" w:rsidRDefault="00FF437D" w:rsidP="00E34FA2">
          <w:pPr>
            <w:pStyle w:val="Header"/>
            <w:rPr>
              <w:color w:val="FFFFFF"/>
            </w:rPr>
          </w:pPr>
          <w:r>
            <w:rPr>
              <w:rFonts w:ascii="Tahoma" w:hAnsi="Tahoma" w:cs="Tahoma"/>
              <w:b/>
              <w:color w:val="FFFFFF"/>
            </w:rPr>
            <w:t>MEDIA RELEASE</w:t>
          </w:r>
        </w:p>
      </w:tc>
      <w:tc>
        <w:tcPr>
          <w:tcW w:w="3315" w:type="pct"/>
          <w:tcBorders>
            <w:bottom w:val="single" w:sz="4" w:space="0" w:color="auto"/>
          </w:tcBorders>
          <w:vAlign w:val="bottom"/>
        </w:tcPr>
        <w:p w:rsidR="00562019" w:rsidRPr="005D5311" w:rsidRDefault="00562019" w:rsidP="00581526">
          <w:pPr>
            <w:pStyle w:val="Header"/>
            <w:rPr>
              <w:bCs/>
              <w:color w:val="76923C"/>
              <w:sz w:val="24"/>
              <w:szCs w:val="24"/>
              <w:lang w:val="bs-Cyrl-BA"/>
            </w:rPr>
          </w:pPr>
          <w:r w:rsidRPr="008F3819">
            <w:rPr>
              <w:rFonts w:ascii="Tahoma" w:hAnsi="Tahoma" w:cs="Tahoma"/>
              <w:color w:val="0070C0"/>
              <w:sz w:val="16"/>
              <w:lang w:val="sr-Cyrl-BA"/>
            </w:rPr>
            <w:t>[</w:t>
          </w:r>
          <w:r>
            <w:rPr>
              <w:rFonts w:ascii="Tahoma" w:hAnsi="Tahoma" w:cs="Tahoma"/>
              <w:color w:val="0070C0"/>
              <w:sz w:val="16"/>
              <w:lang w:val="sr-Cyrl-BA"/>
            </w:rPr>
            <w:t>2</w:t>
          </w:r>
          <w:r w:rsidR="00581526">
            <w:rPr>
              <w:rFonts w:ascii="Tahoma" w:hAnsi="Tahoma" w:cs="Tahoma"/>
              <w:color w:val="0070C0"/>
              <w:sz w:val="16"/>
              <w:lang w:val="sr-Cyrl-BA"/>
            </w:rPr>
            <w:t>4</w:t>
          </w:r>
          <w:proofErr w:type="spellStart"/>
          <w:r w:rsidR="00FF437D" w:rsidRPr="00FF437D">
            <w:rPr>
              <w:rFonts w:ascii="Tahoma" w:hAnsi="Tahoma" w:cs="Tahoma"/>
              <w:color w:val="0070C0"/>
              <w:sz w:val="16"/>
              <w:vertAlign w:val="superscript"/>
            </w:rPr>
            <w:t>th</w:t>
          </w:r>
          <w:proofErr w:type="spellEnd"/>
          <w:r w:rsidR="00FF437D">
            <w:rPr>
              <w:rFonts w:ascii="Tahoma" w:hAnsi="Tahoma" w:cs="Tahoma"/>
              <w:color w:val="0070C0"/>
              <w:sz w:val="16"/>
            </w:rPr>
            <w:t xml:space="preserve"> June</w:t>
          </w:r>
          <w:r>
            <w:rPr>
              <w:rFonts w:ascii="Tahoma" w:hAnsi="Tahoma" w:cs="Tahoma"/>
              <w:color w:val="0070C0"/>
              <w:sz w:val="16"/>
              <w:lang w:val="sr-Cyrl-BA"/>
            </w:rPr>
            <w:t xml:space="preserve"> 2013</w:t>
          </w:r>
          <w:r w:rsidRPr="008F3819">
            <w:rPr>
              <w:rFonts w:ascii="Tahoma" w:hAnsi="Tahoma" w:cs="Tahoma"/>
              <w:color w:val="0070C0"/>
              <w:sz w:val="16"/>
              <w:lang w:val="sr-Cyrl-BA"/>
            </w:rPr>
            <w:t xml:space="preserve">]  </w:t>
          </w:r>
          <w:r w:rsidR="00581526">
            <w:rPr>
              <w:rFonts w:ascii="Tahoma" w:hAnsi="Tahoma" w:cs="Tahoma"/>
              <w:b/>
              <w:color w:val="0070C0"/>
              <w:sz w:val="32"/>
              <w:szCs w:val="32"/>
              <w:lang w:val="sr-Cyrl-BA"/>
            </w:rPr>
            <w:t>6</w:t>
          </w:r>
          <w:r>
            <w:rPr>
              <w:rFonts w:ascii="Tahoma" w:hAnsi="Tahoma" w:cs="Tahoma"/>
              <w:b/>
              <w:color w:val="0070C0"/>
              <w:sz w:val="32"/>
              <w:szCs w:val="32"/>
            </w:rPr>
            <w:t>/</w:t>
          </w:r>
          <w:r>
            <w:rPr>
              <w:rFonts w:ascii="Tahoma" w:hAnsi="Tahoma" w:cs="Tahoma"/>
              <w:b/>
              <w:color w:val="0070C0"/>
              <w:sz w:val="32"/>
              <w:szCs w:val="32"/>
              <w:lang w:val="sr-Cyrl-BA"/>
            </w:rPr>
            <w:t>13</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562019" w:rsidRDefault="00A050FF" w:rsidP="006D0CE1">
    <w:pPr>
      <w:pStyle w:val="Header"/>
      <w:ind w:right="360"/>
      <w:rPr>
        <w:rFonts w:ascii="Tahoma" w:hAnsi="Tahoma" w:cs="Tahoma"/>
        <w:sz w:val="16"/>
        <w:lang w:val="sr-Latn-CS"/>
      </w:rPr>
    </w:pPr>
    <w:r>
      <w:rPr>
        <w:rFonts w:ascii="Tahoma" w:hAnsi="Tahoma" w:cs="Tahoma"/>
        <w:b/>
        <w:noProof/>
        <w:color w:val="FFFFFF"/>
        <w:sz w:val="16"/>
        <w:szCs w:val="16"/>
      </w:rPr>
      <w:pict>
        <v:line id="_x0000_s2051" style="position:absolute;z-index:251657728;mso-position-horizontal-relative:text;mso-position-vertical-relative:text" from="-6pt,-.3pt" to="515.45pt,-.3pt" strokecolor="#376ea5"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73">
      <o:colormru v:ext="edit" colors="#963,#969696,#777"/>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F0C5F"/>
    <w:rsid w:val="0000107C"/>
    <w:rsid w:val="00001104"/>
    <w:rsid w:val="000012D7"/>
    <w:rsid w:val="000013DE"/>
    <w:rsid w:val="0000196F"/>
    <w:rsid w:val="00001AA6"/>
    <w:rsid w:val="00002145"/>
    <w:rsid w:val="0000258F"/>
    <w:rsid w:val="000025B1"/>
    <w:rsid w:val="00002914"/>
    <w:rsid w:val="00002BA6"/>
    <w:rsid w:val="00003366"/>
    <w:rsid w:val="0000385A"/>
    <w:rsid w:val="00003DB0"/>
    <w:rsid w:val="0000448E"/>
    <w:rsid w:val="00004492"/>
    <w:rsid w:val="0000602C"/>
    <w:rsid w:val="00006133"/>
    <w:rsid w:val="0000686C"/>
    <w:rsid w:val="000068FA"/>
    <w:rsid w:val="0000692F"/>
    <w:rsid w:val="00006A69"/>
    <w:rsid w:val="00006F97"/>
    <w:rsid w:val="00007602"/>
    <w:rsid w:val="0000773B"/>
    <w:rsid w:val="00007BAD"/>
    <w:rsid w:val="00007CC8"/>
    <w:rsid w:val="00007DDC"/>
    <w:rsid w:val="00010078"/>
    <w:rsid w:val="00010581"/>
    <w:rsid w:val="0001097F"/>
    <w:rsid w:val="000110A0"/>
    <w:rsid w:val="00013C1D"/>
    <w:rsid w:val="00016342"/>
    <w:rsid w:val="00016ABE"/>
    <w:rsid w:val="00016B4C"/>
    <w:rsid w:val="00017392"/>
    <w:rsid w:val="00017432"/>
    <w:rsid w:val="00017E51"/>
    <w:rsid w:val="00017F05"/>
    <w:rsid w:val="00020495"/>
    <w:rsid w:val="0002095E"/>
    <w:rsid w:val="000209A8"/>
    <w:rsid w:val="000209D4"/>
    <w:rsid w:val="00020E19"/>
    <w:rsid w:val="000226F2"/>
    <w:rsid w:val="000227FB"/>
    <w:rsid w:val="00022A35"/>
    <w:rsid w:val="00022C48"/>
    <w:rsid w:val="00022F99"/>
    <w:rsid w:val="0002360C"/>
    <w:rsid w:val="00023649"/>
    <w:rsid w:val="00023721"/>
    <w:rsid w:val="00024D86"/>
    <w:rsid w:val="0002500A"/>
    <w:rsid w:val="0002526D"/>
    <w:rsid w:val="00025429"/>
    <w:rsid w:val="000254D0"/>
    <w:rsid w:val="0002599F"/>
    <w:rsid w:val="000260ED"/>
    <w:rsid w:val="00026206"/>
    <w:rsid w:val="00026529"/>
    <w:rsid w:val="000266D0"/>
    <w:rsid w:val="00026A26"/>
    <w:rsid w:val="00026EC6"/>
    <w:rsid w:val="00027282"/>
    <w:rsid w:val="00027655"/>
    <w:rsid w:val="00027772"/>
    <w:rsid w:val="00030356"/>
    <w:rsid w:val="00030613"/>
    <w:rsid w:val="00030616"/>
    <w:rsid w:val="000310AC"/>
    <w:rsid w:val="000314AF"/>
    <w:rsid w:val="0003173C"/>
    <w:rsid w:val="00032253"/>
    <w:rsid w:val="00032858"/>
    <w:rsid w:val="000328B8"/>
    <w:rsid w:val="00032F8D"/>
    <w:rsid w:val="000337C4"/>
    <w:rsid w:val="000339BC"/>
    <w:rsid w:val="0003415D"/>
    <w:rsid w:val="000352E4"/>
    <w:rsid w:val="0003576D"/>
    <w:rsid w:val="00035F0F"/>
    <w:rsid w:val="00036B69"/>
    <w:rsid w:val="000377E5"/>
    <w:rsid w:val="000378BC"/>
    <w:rsid w:val="00040A66"/>
    <w:rsid w:val="000416CE"/>
    <w:rsid w:val="00042CEF"/>
    <w:rsid w:val="00042D44"/>
    <w:rsid w:val="00042F45"/>
    <w:rsid w:val="00042FCA"/>
    <w:rsid w:val="000435D0"/>
    <w:rsid w:val="000438A7"/>
    <w:rsid w:val="00043B2F"/>
    <w:rsid w:val="00044205"/>
    <w:rsid w:val="00044A8C"/>
    <w:rsid w:val="00044D24"/>
    <w:rsid w:val="00045064"/>
    <w:rsid w:val="00045665"/>
    <w:rsid w:val="00045BC2"/>
    <w:rsid w:val="0004709E"/>
    <w:rsid w:val="0004724E"/>
    <w:rsid w:val="00047312"/>
    <w:rsid w:val="00050308"/>
    <w:rsid w:val="00050450"/>
    <w:rsid w:val="00050457"/>
    <w:rsid w:val="00051051"/>
    <w:rsid w:val="000518DE"/>
    <w:rsid w:val="00051B7E"/>
    <w:rsid w:val="00051C70"/>
    <w:rsid w:val="00051F9C"/>
    <w:rsid w:val="00052187"/>
    <w:rsid w:val="00052327"/>
    <w:rsid w:val="00052502"/>
    <w:rsid w:val="00052AA1"/>
    <w:rsid w:val="00052E0C"/>
    <w:rsid w:val="00053355"/>
    <w:rsid w:val="00053FAA"/>
    <w:rsid w:val="000542A7"/>
    <w:rsid w:val="0005459B"/>
    <w:rsid w:val="0005460E"/>
    <w:rsid w:val="00054CE7"/>
    <w:rsid w:val="000556C9"/>
    <w:rsid w:val="00055E53"/>
    <w:rsid w:val="0005615D"/>
    <w:rsid w:val="00056965"/>
    <w:rsid w:val="00056D41"/>
    <w:rsid w:val="0005752C"/>
    <w:rsid w:val="00057892"/>
    <w:rsid w:val="00057981"/>
    <w:rsid w:val="00057C57"/>
    <w:rsid w:val="00057D94"/>
    <w:rsid w:val="0006014D"/>
    <w:rsid w:val="00060C1B"/>
    <w:rsid w:val="00060E42"/>
    <w:rsid w:val="00061647"/>
    <w:rsid w:val="000618BA"/>
    <w:rsid w:val="00061DA8"/>
    <w:rsid w:val="00061E95"/>
    <w:rsid w:val="0006275F"/>
    <w:rsid w:val="0006287B"/>
    <w:rsid w:val="000631AE"/>
    <w:rsid w:val="0006323A"/>
    <w:rsid w:val="000636A7"/>
    <w:rsid w:val="00063B90"/>
    <w:rsid w:val="00063EEF"/>
    <w:rsid w:val="000643ED"/>
    <w:rsid w:val="0006449C"/>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7B4"/>
    <w:rsid w:val="00067A4F"/>
    <w:rsid w:val="00070140"/>
    <w:rsid w:val="00070149"/>
    <w:rsid w:val="00072832"/>
    <w:rsid w:val="000728BB"/>
    <w:rsid w:val="0007308C"/>
    <w:rsid w:val="0007340D"/>
    <w:rsid w:val="00073AB3"/>
    <w:rsid w:val="00073DC1"/>
    <w:rsid w:val="00074A77"/>
    <w:rsid w:val="00075147"/>
    <w:rsid w:val="00075904"/>
    <w:rsid w:val="0007594B"/>
    <w:rsid w:val="00075C26"/>
    <w:rsid w:val="00076100"/>
    <w:rsid w:val="000766A2"/>
    <w:rsid w:val="00076763"/>
    <w:rsid w:val="000769BE"/>
    <w:rsid w:val="00076A0D"/>
    <w:rsid w:val="00076AB1"/>
    <w:rsid w:val="0007720D"/>
    <w:rsid w:val="000772BC"/>
    <w:rsid w:val="00077386"/>
    <w:rsid w:val="00077637"/>
    <w:rsid w:val="00077F55"/>
    <w:rsid w:val="000801CA"/>
    <w:rsid w:val="000803C9"/>
    <w:rsid w:val="00080A5E"/>
    <w:rsid w:val="00080C17"/>
    <w:rsid w:val="00080DA6"/>
    <w:rsid w:val="00080E7F"/>
    <w:rsid w:val="000811BC"/>
    <w:rsid w:val="000818F2"/>
    <w:rsid w:val="000821CB"/>
    <w:rsid w:val="00082C41"/>
    <w:rsid w:val="00082D67"/>
    <w:rsid w:val="00082FC9"/>
    <w:rsid w:val="00083276"/>
    <w:rsid w:val="00083569"/>
    <w:rsid w:val="00083B51"/>
    <w:rsid w:val="000843D4"/>
    <w:rsid w:val="00084D1F"/>
    <w:rsid w:val="000851FC"/>
    <w:rsid w:val="00085757"/>
    <w:rsid w:val="00085FF5"/>
    <w:rsid w:val="00087329"/>
    <w:rsid w:val="00087631"/>
    <w:rsid w:val="00087CC4"/>
    <w:rsid w:val="000902AB"/>
    <w:rsid w:val="000903A7"/>
    <w:rsid w:val="000905BB"/>
    <w:rsid w:val="0009201C"/>
    <w:rsid w:val="000920C0"/>
    <w:rsid w:val="000924FE"/>
    <w:rsid w:val="0009256A"/>
    <w:rsid w:val="00092C9F"/>
    <w:rsid w:val="00093094"/>
    <w:rsid w:val="0009365C"/>
    <w:rsid w:val="000936F1"/>
    <w:rsid w:val="00093768"/>
    <w:rsid w:val="000938DC"/>
    <w:rsid w:val="000938E1"/>
    <w:rsid w:val="00093B0B"/>
    <w:rsid w:val="00093C6A"/>
    <w:rsid w:val="00094168"/>
    <w:rsid w:val="0009476B"/>
    <w:rsid w:val="0009483B"/>
    <w:rsid w:val="00094E6E"/>
    <w:rsid w:val="00095132"/>
    <w:rsid w:val="0009552F"/>
    <w:rsid w:val="00095985"/>
    <w:rsid w:val="000959BA"/>
    <w:rsid w:val="00095AC9"/>
    <w:rsid w:val="00095F66"/>
    <w:rsid w:val="000960E4"/>
    <w:rsid w:val="000966FD"/>
    <w:rsid w:val="00096D69"/>
    <w:rsid w:val="000971CB"/>
    <w:rsid w:val="0009752B"/>
    <w:rsid w:val="00097E2F"/>
    <w:rsid w:val="00097EA2"/>
    <w:rsid w:val="00097EF8"/>
    <w:rsid w:val="000A1737"/>
    <w:rsid w:val="000A174B"/>
    <w:rsid w:val="000A17C4"/>
    <w:rsid w:val="000A1B6E"/>
    <w:rsid w:val="000A21C9"/>
    <w:rsid w:val="000A297F"/>
    <w:rsid w:val="000A2B72"/>
    <w:rsid w:val="000A2D23"/>
    <w:rsid w:val="000A305D"/>
    <w:rsid w:val="000A376F"/>
    <w:rsid w:val="000A414B"/>
    <w:rsid w:val="000A476D"/>
    <w:rsid w:val="000A5575"/>
    <w:rsid w:val="000A5A08"/>
    <w:rsid w:val="000A61D7"/>
    <w:rsid w:val="000A6260"/>
    <w:rsid w:val="000A6778"/>
    <w:rsid w:val="000A6CB1"/>
    <w:rsid w:val="000A7CAD"/>
    <w:rsid w:val="000B012E"/>
    <w:rsid w:val="000B089F"/>
    <w:rsid w:val="000B106E"/>
    <w:rsid w:val="000B17FC"/>
    <w:rsid w:val="000B1836"/>
    <w:rsid w:val="000B1B84"/>
    <w:rsid w:val="000B21DF"/>
    <w:rsid w:val="000B2264"/>
    <w:rsid w:val="000B24C4"/>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E52"/>
    <w:rsid w:val="000C4147"/>
    <w:rsid w:val="000C478D"/>
    <w:rsid w:val="000C4E02"/>
    <w:rsid w:val="000C6A1A"/>
    <w:rsid w:val="000C6B72"/>
    <w:rsid w:val="000C7878"/>
    <w:rsid w:val="000C7A83"/>
    <w:rsid w:val="000C7AFA"/>
    <w:rsid w:val="000C7B20"/>
    <w:rsid w:val="000C7C89"/>
    <w:rsid w:val="000C7E48"/>
    <w:rsid w:val="000C7FA6"/>
    <w:rsid w:val="000D03D6"/>
    <w:rsid w:val="000D07BD"/>
    <w:rsid w:val="000D0B89"/>
    <w:rsid w:val="000D1198"/>
    <w:rsid w:val="000D1B34"/>
    <w:rsid w:val="000D1F6D"/>
    <w:rsid w:val="000D2185"/>
    <w:rsid w:val="000D2420"/>
    <w:rsid w:val="000D2561"/>
    <w:rsid w:val="000D2C8E"/>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738"/>
    <w:rsid w:val="000D7FBE"/>
    <w:rsid w:val="000E0B81"/>
    <w:rsid w:val="000E0CC6"/>
    <w:rsid w:val="000E1040"/>
    <w:rsid w:val="000E1647"/>
    <w:rsid w:val="000E17E0"/>
    <w:rsid w:val="000E1945"/>
    <w:rsid w:val="000E1D81"/>
    <w:rsid w:val="000E20BF"/>
    <w:rsid w:val="000E2466"/>
    <w:rsid w:val="000E2535"/>
    <w:rsid w:val="000E27D5"/>
    <w:rsid w:val="000E2B3D"/>
    <w:rsid w:val="000E2C26"/>
    <w:rsid w:val="000E3084"/>
    <w:rsid w:val="000E3579"/>
    <w:rsid w:val="000E3EBB"/>
    <w:rsid w:val="000E4F4D"/>
    <w:rsid w:val="000E53BA"/>
    <w:rsid w:val="000E54E7"/>
    <w:rsid w:val="000E5D2E"/>
    <w:rsid w:val="000E6068"/>
    <w:rsid w:val="000E660D"/>
    <w:rsid w:val="000E7180"/>
    <w:rsid w:val="000E720C"/>
    <w:rsid w:val="000E7ABD"/>
    <w:rsid w:val="000E7C83"/>
    <w:rsid w:val="000E7FE3"/>
    <w:rsid w:val="000F0E12"/>
    <w:rsid w:val="000F0E43"/>
    <w:rsid w:val="000F0FB0"/>
    <w:rsid w:val="000F1185"/>
    <w:rsid w:val="000F1EDA"/>
    <w:rsid w:val="000F2712"/>
    <w:rsid w:val="000F27B9"/>
    <w:rsid w:val="000F2FBE"/>
    <w:rsid w:val="000F4DE8"/>
    <w:rsid w:val="000F5794"/>
    <w:rsid w:val="000F5F23"/>
    <w:rsid w:val="000F5F69"/>
    <w:rsid w:val="000F6DEC"/>
    <w:rsid w:val="000F6E1C"/>
    <w:rsid w:val="000F6F19"/>
    <w:rsid w:val="000F7338"/>
    <w:rsid w:val="000F78E1"/>
    <w:rsid w:val="000F7922"/>
    <w:rsid w:val="00100507"/>
    <w:rsid w:val="0010093D"/>
    <w:rsid w:val="00100D7F"/>
    <w:rsid w:val="0010157F"/>
    <w:rsid w:val="00102240"/>
    <w:rsid w:val="0010254C"/>
    <w:rsid w:val="0010279D"/>
    <w:rsid w:val="0010285B"/>
    <w:rsid w:val="00102975"/>
    <w:rsid w:val="00102D95"/>
    <w:rsid w:val="001031CA"/>
    <w:rsid w:val="001037C6"/>
    <w:rsid w:val="00103B20"/>
    <w:rsid w:val="001046CD"/>
    <w:rsid w:val="00104805"/>
    <w:rsid w:val="00104CCC"/>
    <w:rsid w:val="0010528B"/>
    <w:rsid w:val="001053AA"/>
    <w:rsid w:val="0010606C"/>
    <w:rsid w:val="00106980"/>
    <w:rsid w:val="00106EB7"/>
    <w:rsid w:val="001071FC"/>
    <w:rsid w:val="00107247"/>
    <w:rsid w:val="001072E9"/>
    <w:rsid w:val="001076FC"/>
    <w:rsid w:val="00107886"/>
    <w:rsid w:val="0011006F"/>
    <w:rsid w:val="00110072"/>
    <w:rsid w:val="00110C5B"/>
    <w:rsid w:val="0011133B"/>
    <w:rsid w:val="00111BA9"/>
    <w:rsid w:val="001121BE"/>
    <w:rsid w:val="001121DC"/>
    <w:rsid w:val="0011255B"/>
    <w:rsid w:val="00112BD9"/>
    <w:rsid w:val="00112C54"/>
    <w:rsid w:val="00113CFD"/>
    <w:rsid w:val="00114426"/>
    <w:rsid w:val="00114976"/>
    <w:rsid w:val="001149E4"/>
    <w:rsid w:val="00114AA6"/>
    <w:rsid w:val="00114DBD"/>
    <w:rsid w:val="00114F6F"/>
    <w:rsid w:val="00115427"/>
    <w:rsid w:val="0011571D"/>
    <w:rsid w:val="0011574D"/>
    <w:rsid w:val="00115AB2"/>
    <w:rsid w:val="00115CDB"/>
    <w:rsid w:val="0011687B"/>
    <w:rsid w:val="00116938"/>
    <w:rsid w:val="001170A3"/>
    <w:rsid w:val="0012009F"/>
    <w:rsid w:val="00120CF2"/>
    <w:rsid w:val="00120DC7"/>
    <w:rsid w:val="00121006"/>
    <w:rsid w:val="001212B2"/>
    <w:rsid w:val="00121D87"/>
    <w:rsid w:val="00121D96"/>
    <w:rsid w:val="001225F9"/>
    <w:rsid w:val="0012313C"/>
    <w:rsid w:val="0012327F"/>
    <w:rsid w:val="0012365C"/>
    <w:rsid w:val="00123781"/>
    <w:rsid w:val="0012395D"/>
    <w:rsid w:val="001240AE"/>
    <w:rsid w:val="0012449B"/>
    <w:rsid w:val="001245D5"/>
    <w:rsid w:val="00124B9C"/>
    <w:rsid w:val="00125074"/>
    <w:rsid w:val="00125B22"/>
    <w:rsid w:val="00125E3D"/>
    <w:rsid w:val="00126A82"/>
    <w:rsid w:val="00126D11"/>
    <w:rsid w:val="00126D59"/>
    <w:rsid w:val="001279DD"/>
    <w:rsid w:val="00127C99"/>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656"/>
    <w:rsid w:val="001336C0"/>
    <w:rsid w:val="00133944"/>
    <w:rsid w:val="00133A21"/>
    <w:rsid w:val="00133CDB"/>
    <w:rsid w:val="001342E2"/>
    <w:rsid w:val="001343EF"/>
    <w:rsid w:val="00134484"/>
    <w:rsid w:val="00134E6F"/>
    <w:rsid w:val="001359AE"/>
    <w:rsid w:val="001361D7"/>
    <w:rsid w:val="001364A2"/>
    <w:rsid w:val="001364A4"/>
    <w:rsid w:val="00136588"/>
    <w:rsid w:val="001369A5"/>
    <w:rsid w:val="00136EF9"/>
    <w:rsid w:val="00137550"/>
    <w:rsid w:val="00137828"/>
    <w:rsid w:val="00137B14"/>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E55"/>
    <w:rsid w:val="001431EA"/>
    <w:rsid w:val="001434C5"/>
    <w:rsid w:val="00143A64"/>
    <w:rsid w:val="00144036"/>
    <w:rsid w:val="00144A3E"/>
    <w:rsid w:val="001454C5"/>
    <w:rsid w:val="00145B6B"/>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3234"/>
    <w:rsid w:val="00153934"/>
    <w:rsid w:val="0015431F"/>
    <w:rsid w:val="00154BE7"/>
    <w:rsid w:val="00154D02"/>
    <w:rsid w:val="00155AC7"/>
    <w:rsid w:val="00155ECD"/>
    <w:rsid w:val="00155F2E"/>
    <w:rsid w:val="001561A7"/>
    <w:rsid w:val="0015632D"/>
    <w:rsid w:val="001569CD"/>
    <w:rsid w:val="0015710C"/>
    <w:rsid w:val="0015782C"/>
    <w:rsid w:val="00157D59"/>
    <w:rsid w:val="00157F8F"/>
    <w:rsid w:val="0016007E"/>
    <w:rsid w:val="0016046D"/>
    <w:rsid w:val="0016082F"/>
    <w:rsid w:val="00160856"/>
    <w:rsid w:val="00160B4F"/>
    <w:rsid w:val="0016129B"/>
    <w:rsid w:val="0016147D"/>
    <w:rsid w:val="00161776"/>
    <w:rsid w:val="001617A5"/>
    <w:rsid w:val="00161921"/>
    <w:rsid w:val="00161B6A"/>
    <w:rsid w:val="00162629"/>
    <w:rsid w:val="00162B49"/>
    <w:rsid w:val="001631DD"/>
    <w:rsid w:val="00163556"/>
    <w:rsid w:val="00163595"/>
    <w:rsid w:val="00163A9B"/>
    <w:rsid w:val="00164E59"/>
    <w:rsid w:val="001655F9"/>
    <w:rsid w:val="0016574C"/>
    <w:rsid w:val="001658E6"/>
    <w:rsid w:val="001658F6"/>
    <w:rsid w:val="00165B0F"/>
    <w:rsid w:val="00165FE9"/>
    <w:rsid w:val="001664E5"/>
    <w:rsid w:val="00166C85"/>
    <w:rsid w:val="00167333"/>
    <w:rsid w:val="001700D8"/>
    <w:rsid w:val="001702DD"/>
    <w:rsid w:val="001704AA"/>
    <w:rsid w:val="0017077B"/>
    <w:rsid w:val="00171CD1"/>
    <w:rsid w:val="00172A89"/>
    <w:rsid w:val="0017306E"/>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D8D"/>
    <w:rsid w:val="00180436"/>
    <w:rsid w:val="00180905"/>
    <w:rsid w:val="00180BB1"/>
    <w:rsid w:val="00180F8A"/>
    <w:rsid w:val="001810DB"/>
    <w:rsid w:val="00181861"/>
    <w:rsid w:val="00181A98"/>
    <w:rsid w:val="00181E28"/>
    <w:rsid w:val="00181FFB"/>
    <w:rsid w:val="00182073"/>
    <w:rsid w:val="001825BC"/>
    <w:rsid w:val="00182CDB"/>
    <w:rsid w:val="0018317D"/>
    <w:rsid w:val="00183F3E"/>
    <w:rsid w:val="00183FBA"/>
    <w:rsid w:val="001845F2"/>
    <w:rsid w:val="00184CE0"/>
    <w:rsid w:val="00185169"/>
    <w:rsid w:val="0018539C"/>
    <w:rsid w:val="00186821"/>
    <w:rsid w:val="001868B0"/>
    <w:rsid w:val="001871A5"/>
    <w:rsid w:val="001872B7"/>
    <w:rsid w:val="001878D9"/>
    <w:rsid w:val="00187D0E"/>
    <w:rsid w:val="001904BB"/>
    <w:rsid w:val="00190F19"/>
    <w:rsid w:val="0019139D"/>
    <w:rsid w:val="00191A36"/>
    <w:rsid w:val="00191C2B"/>
    <w:rsid w:val="00193339"/>
    <w:rsid w:val="00193AFD"/>
    <w:rsid w:val="001944E2"/>
    <w:rsid w:val="00194546"/>
    <w:rsid w:val="001951AE"/>
    <w:rsid w:val="001952E2"/>
    <w:rsid w:val="00195AC9"/>
    <w:rsid w:val="00195F3F"/>
    <w:rsid w:val="00196133"/>
    <w:rsid w:val="001966D3"/>
    <w:rsid w:val="00196D35"/>
    <w:rsid w:val="0019785A"/>
    <w:rsid w:val="0019795C"/>
    <w:rsid w:val="00197F64"/>
    <w:rsid w:val="00197F82"/>
    <w:rsid w:val="001A01E7"/>
    <w:rsid w:val="001A026F"/>
    <w:rsid w:val="001A0CB0"/>
    <w:rsid w:val="001A164F"/>
    <w:rsid w:val="001A1708"/>
    <w:rsid w:val="001A1901"/>
    <w:rsid w:val="001A1B78"/>
    <w:rsid w:val="001A2C11"/>
    <w:rsid w:val="001A2F5F"/>
    <w:rsid w:val="001A35D4"/>
    <w:rsid w:val="001A3906"/>
    <w:rsid w:val="001A3F95"/>
    <w:rsid w:val="001A4B3B"/>
    <w:rsid w:val="001A4DFA"/>
    <w:rsid w:val="001A514E"/>
    <w:rsid w:val="001A6249"/>
    <w:rsid w:val="001A66C4"/>
    <w:rsid w:val="001A694C"/>
    <w:rsid w:val="001A6C7F"/>
    <w:rsid w:val="001A6CDD"/>
    <w:rsid w:val="001A7EB6"/>
    <w:rsid w:val="001B04F0"/>
    <w:rsid w:val="001B07B0"/>
    <w:rsid w:val="001B0F7E"/>
    <w:rsid w:val="001B0FDE"/>
    <w:rsid w:val="001B11F9"/>
    <w:rsid w:val="001B12C1"/>
    <w:rsid w:val="001B1476"/>
    <w:rsid w:val="001B1BF6"/>
    <w:rsid w:val="001B1DEF"/>
    <w:rsid w:val="001B2385"/>
    <w:rsid w:val="001B25BD"/>
    <w:rsid w:val="001B26F1"/>
    <w:rsid w:val="001B32B9"/>
    <w:rsid w:val="001B3372"/>
    <w:rsid w:val="001B35E4"/>
    <w:rsid w:val="001B3F32"/>
    <w:rsid w:val="001B4666"/>
    <w:rsid w:val="001B4963"/>
    <w:rsid w:val="001B4B15"/>
    <w:rsid w:val="001B4DFA"/>
    <w:rsid w:val="001B5A80"/>
    <w:rsid w:val="001B5BA3"/>
    <w:rsid w:val="001B5D22"/>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53E"/>
    <w:rsid w:val="001C4E5B"/>
    <w:rsid w:val="001C5406"/>
    <w:rsid w:val="001C5808"/>
    <w:rsid w:val="001C5DBF"/>
    <w:rsid w:val="001C6474"/>
    <w:rsid w:val="001C67D7"/>
    <w:rsid w:val="001C6A6F"/>
    <w:rsid w:val="001C6F45"/>
    <w:rsid w:val="001C703B"/>
    <w:rsid w:val="001C7275"/>
    <w:rsid w:val="001C77AB"/>
    <w:rsid w:val="001C787F"/>
    <w:rsid w:val="001D0554"/>
    <w:rsid w:val="001D0F80"/>
    <w:rsid w:val="001D1B61"/>
    <w:rsid w:val="001D1FE4"/>
    <w:rsid w:val="001D2625"/>
    <w:rsid w:val="001D2A95"/>
    <w:rsid w:val="001D32FB"/>
    <w:rsid w:val="001D3B70"/>
    <w:rsid w:val="001D4005"/>
    <w:rsid w:val="001D464D"/>
    <w:rsid w:val="001D4B40"/>
    <w:rsid w:val="001D4F92"/>
    <w:rsid w:val="001D5564"/>
    <w:rsid w:val="001D57CB"/>
    <w:rsid w:val="001D5BDA"/>
    <w:rsid w:val="001D6176"/>
    <w:rsid w:val="001D66C4"/>
    <w:rsid w:val="001D6B60"/>
    <w:rsid w:val="001D6EA5"/>
    <w:rsid w:val="001D7DB8"/>
    <w:rsid w:val="001E0310"/>
    <w:rsid w:val="001E0C41"/>
    <w:rsid w:val="001E0DFB"/>
    <w:rsid w:val="001E15D3"/>
    <w:rsid w:val="001E1C21"/>
    <w:rsid w:val="001E1C32"/>
    <w:rsid w:val="001E223C"/>
    <w:rsid w:val="001E23B3"/>
    <w:rsid w:val="001E2988"/>
    <w:rsid w:val="001E3099"/>
    <w:rsid w:val="001E334F"/>
    <w:rsid w:val="001E336F"/>
    <w:rsid w:val="001E37B5"/>
    <w:rsid w:val="001E3D3D"/>
    <w:rsid w:val="001E4108"/>
    <w:rsid w:val="001E4631"/>
    <w:rsid w:val="001E49D1"/>
    <w:rsid w:val="001E4C45"/>
    <w:rsid w:val="001E50D4"/>
    <w:rsid w:val="001E5D74"/>
    <w:rsid w:val="001E664D"/>
    <w:rsid w:val="001E6CEF"/>
    <w:rsid w:val="001E7691"/>
    <w:rsid w:val="001E7B77"/>
    <w:rsid w:val="001E7E76"/>
    <w:rsid w:val="001F0754"/>
    <w:rsid w:val="001F0FB7"/>
    <w:rsid w:val="001F1D6F"/>
    <w:rsid w:val="001F25AB"/>
    <w:rsid w:val="001F2961"/>
    <w:rsid w:val="001F3550"/>
    <w:rsid w:val="001F3754"/>
    <w:rsid w:val="001F3858"/>
    <w:rsid w:val="001F38C3"/>
    <w:rsid w:val="001F3A00"/>
    <w:rsid w:val="001F3A53"/>
    <w:rsid w:val="001F3A58"/>
    <w:rsid w:val="001F5630"/>
    <w:rsid w:val="001F59BE"/>
    <w:rsid w:val="001F610A"/>
    <w:rsid w:val="001F64A6"/>
    <w:rsid w:val="001F6806"/>
    <w:rsid w:val="001F72B8"/>
    <w:rsid w:val="0020048F"/>
    <w:rsid w:val="00200DC0"/>
    <w:rsid w:val="002010BD"/>
    <w:rsid w:val="002015FA"/>
    <w:rsid w:val="00201944"/>
    <w:rsid w:val="002023E4"/>
    <w:rsid w:val="0020352C"/>
    <w:rsid w:val="00203A26"/>
    <w:rsid w:val="00203AB1"/>
    <w:rsid w:val="00203D39"/>
    <w:rsid w:val="00204DA6"/>
    <w:rsid w:val="00205062"/>
    <w:rsid w:val="00205492"/>
    <w:rsid w:val="00205FAF"/>
    <w:rsid w:val="00206767"/>
    <w:rsid w:val="0020707B"/>
    <w:rsid w:val="002072A1"/>
    <w:rsid w:val="00207411"/>
    <w:rsid w:val="00207950"/>
    <w:rsid w:val="002079B7"/>
    <w:rsid w:val="00207AB0"/>
    <w:rsid w:val="002111D5"/>
    <w:rsid w:val="0021128A"/>
    <w:rsid w:val="002115D7"/>
    <w:rsid w:val="00211CC7"/>
    <w:rsid w:val="00211E80"/>
    <w:rsid w:val="00212742"/>
    <w:rsid w:val="00212852"/>
    <w:rsid w:val="00213429"/>
    <w:rsid w:val="002138CB"/>
    <w:rsid w:val="00213B31"/>
    <w:rsid w:val="0021419D"/>
    <w:rsid w:val="00214204"/>
    <w:rsid w:val="00214990"/>
    <w:rsid w:val="002169B7"/>
    <w:rsid w:val="00216B1A"/>
    <w:rsid w:val="00216DAA"/>
    <w:rsid w:val="00216E68"/>
    <w:rsid w:val="0021716A"/>
    <w:rsid w:val="00217355"/>
    <w:rsid w:val="00217362"/>
    <w:rsid w:val="00217481"/>
    <w:rsid w:val="002178ED"/>
    <w:rsid w:val="00217A53"/>
    <w:rsid w:val="00217C95"/>
    <w:rsid w:val="00217FF4"/>
    <w:rsid w:val="0022030A"/>
    <w:rsid w:val="00220781"/>
    <w:rsid w:val="0022089A"/>
    <w:rsid w:val="002210D4"/>
    <w:rsid w:val="002217DD"/>
    <w:rsid w:val="00221BD9"/>
    <w:rsid w:val="0022220C"/>
    <w:rsid w:val="00222A82"/>
    <w:rsid w:val="002235F8"/>
    <w:rsid w:val="00223F1C"/>
    <w:rsid w:val="00224307"/>
    <w:rsid w:val="002245E0"/>
    <w:rsid w:val="002245F4"/>
    <w:rsid w:val="0022460E"/>
    <w:rsid w:val="002249FF"/>
    <w:rsid w:val="00224AD5"/>
    <w:rsid w:val="00224ADF"/>
    <w:rsid w:val="00224DB6"/>
    <w:rsid w:val="00225035"/>
    <w:rsid w:val="00225444"/>
    <w:rsid w:val="002254B2"/>
    <w:rsid w:val="00225FB3"/>
    <w:rsid w:val="00226533"/>
    <w:rsid w:val="0022693C"/>
    <w:rsid w:val="00226A96"/>
    <w:rsid w:val="00227A59"/>
    <w:rsid w:val="0023009E"/>
    <w:rsid w:val="002308A9"/>
    <w:rsid w:val="00230D4C"/>
    <w:rsid w:val="002314BE"/>
    <w:rsid w:val="0023291B"/>
    <w:rsid w:val="00233350"/>
    <w:rsid w:val="00233634"/>
    <w:rsid w:val="00234660"/>
    <w:rsid w:val="00234E18"/>
    <w:rsid w:val="00234F78"/>
    <w:rsid w:val="002359D5"/>
    <w:rsid w:val="00235B39"/>
    <w:rsid w:val="00235CB0"/>
    <w:rsid w:val="00235D8A"/>
    <w:rsid w:val="00236515"/>
    <w:rsid w:val="002367CD"/>
    <w:rsid w:val="00236968"/>
    <w:rsid w:val="00237233"/>
    <w:rsid w:val="002377A4"/>
    <w:rsid w:val="002377EF"/>
    <w:rsid w:val="00237806"/>
    <w:rsid w:val="00237A9C"/>
    <w:rsid w:val="00237C0B"/>
    <w:rsid w:val="002407A5"/>
    <w:rsid w:val="0024115F"/>
    <w:rsid w:val="00241A56"/>
    <w:rsid w:val="00241AB2"/>
    <w:rsid w:val="00241ABD"/>
    <w:rsid w:val="00241CAE"/>
    <w:rsid w:val="00242008"/>
    <w:rsid w:val="00242AF6"/>
    <w:rsid w:val="00242E4C"/>
    <w:rsid w:val="00242ECC"/>
    <w:rsid w:val="002432EC"/>
    <w:rsid w:val="002433B0"/>
    <w:rsid w:val="002438E0"/>
    <w:rsid w:val="00244668"/>
    <w:rsid w:val="00244DC1"/>
    <w:rsid w:val="002452EE"/>
    <w:rsid w:val="00245AA0"/>
    <w:rsid w:val="00245CD6"/>
    <w:rsid w:val="00246014"/>
    <w:rsid w:val="002462B7"/>
    <w:rsid w:val="0024644E"/>
    <w:rsid w:val="00246542"/>
    <w:rsid w:val="00246F48"/>
    <w:rsid w:val="00247472"/>
    <w:rsid w:val="00247F87"/>
    <w:rsid w:val="002505B7"/>
    <w:rsid w:val="00250883"/>
    <w:rsid w:val="00250D4D"/>
    <w:rsid w:val="0025175B"/>
    <w:rsid w:val="002518FB"/>
    <w:rsid w:val="00251CC6"/>
    <w:rsid w:val="00252354"/>
    <w:rsid w:val="00252AB0"/>
    <w:rsid w:val="00252B09"/>
    <w:rsid w:val="00252EE0"/>
    <w:rsid w:val="00253013"/>
    <w:rsid w:val="00253158"/>
    <w:rsid w:val="002532E1"/>
    <w:rsid w:val="00253674"/>
    <w:rsid w:val="002537D9"/>
    <w:rsid w:val="0025382B"/>
    <w:rsid w:val="00253EBE"/>
    <w:rsid w:val="0025403F"/>
    <w:rsid w:val="00254312"/>
    <w:rsid w:val="0025537B"/>
    <w:rsid w:val="00255416"/>
    <w:rsid w:val="00255C36"/>
    <w:rsid w:val="00255F05"/>
    <w:rsid w:val="00255F2F"/>
    <w:rsid w:val="00256280"/>
    <w:rsid w:val="00256315"/>
    <w:rsid w:val="0025643C"/>
    <w:rsid w:val="00256BAE"/>
    <w:rsid w:val="00256C51"/>
    <w:rsid w:val="00256E5E"/>
    <w:rsid w:val="00257313"/>
    <w:rsid w:val="0026011A"/>
    <w:rsid w:val="002601B7"/>
    <w:rsid w:val="00260742"/>
    <w:rsid w:val="00260AEE"/>
    <w:rsid w:val="00260CD9"/>
    <w:rsid w:val="00260EE5"/>
    <w:rsid w:val="0026155E"/>
    <w:rsid w:val="0026162B"/>
    <w:rsid w:val="00261646"/>
    <w:rsid w:val="00261905"/>
    <w:rsid w:val="0026340B"/>
    <w:rsid w:val="0026343A"/>
    <w:rsid w:val="002636AD"/>
    <w:rsid w:val="00263A1B"/>
    <w:rsid w:val="00264012"/>
    <w:rsid w:val="002640AC"/>
    <w:rsid w:val="0026426D"/>
    <w:rsid w:val="00264C41"/>
    <w:rsid w:val="00264F4A"/>
    <w:rsid w:val="00265162"/>
    <w:rsid w:val="002654CA"/>
    <w:rsid w:val="00265F5A"/>
    <w:rsid w:val="00265FD9"/>
    <w:rsid w:val="002662D8"/>
    <w:rsid w:val="00266E14"/>
    <w:rsid w:val="00267410"/>
    <w:rsid w:val="00270462"/>
    <w:rsid w:val="00270850"/>
    <w:rsid w:val="0027151F"/>
    <w:rsid w:val="00271A5A"/>
    <w:rsid w:val="0027269C"/>
    <w:rsid w:val="00272A1A"/>
    <w:rsid w:val="00272E9A"/>
    <w:rsid w:val="00272FE5"/>
    <w:rsid w:val="00274ED4"/>
    <w:rsid w:val="0027513C"/>
    <w:rsid w:val="00276A47"/>
    <w:rsid w:val="00276B92"/>
    <w:rsid w:val="00276E82"/>
    <w:rsid w:val="0027733F"/>
    <w:rsid w:val="00277A36"/>
    <w:rsid w:val="002800DC"/>
    <w:rsid w:val="002806F5"/>
    <w:rsid w:val="0028085B"/>
    <w:rsid w:val="00280A37"/>
    <w:rsid w:val="00280E6A"/>
    <w:rsid w:val="002818F0"/>
    <w:rsid w:val="00281B94"/>
    <w:rsid w:val="00282327"/>
    <w:rsid w:val="00282901"/>
    <w:rsid w:val="00282AE0"/>
    <w:rsid w:val="00282D51"/>
    <w:rsid w:val="00282F33"/>
    <w:rsid w:val="00283136"/>
    <w:rsid w:val="0028333A"/>
    <w:rsid w:val="002833DF"/>
    <w:rsid w:val="00283A20"/>
    <w:rsid w:val="00284362"/>
    <w:rsid w:val="00284583"/>
    <w:rsid w:val="002846F8"/>
    <w:rsid w:val="00284ED6"/>
    <w:rsid w:val="00285ABF"/>
    <w:rsid w:val="002862C9"/>
    <w:rsid w:val="00286541"/>
    <w:rsid w:val="00286BE3"/>
    <w:rsid w:val="00286F2A"/>
    <w:rsid w:val="0028723A"/>
    <w:rsid w:val="002874ED"/>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3AD"/>
    <w:rsid w:val="00295772"/>
    <w:rsid w:val="00295815"/>
    <w:rsid w:val="002965F0"/>
    <w:rsid w:val="00296673"/>
    <w:rsid w:val="002966C6"/>
    <w:rsid w:val="00296A19"/>
    <w:rsid w:val="002971F6"/>
    <w:rsid w:val="00297419"/>
    <w:rsid w:val="002977CD"/>
    <w:rsid w:val="00297EBC"/>
    <w:rsid w:val="00297EE9"/>
    <w:rsid w:val="002A00D6"/>
    <w:rsid w:val="002A050B"/>
    <w:rsid w:val="002A0895"/>
    <w:rsid w:val="002A09EB"/>
    <w:rsid w:val="002A0AFA"/>
    <w:rsid w:val="002A0E02"/>
    <w:rsid w:val="002A2D25"/>
    <w:rsid w:val="002A2D6C"/>
    <w:rsid w:val="002A2F1D"/>
    <w:rsid w:val="002A2F98"/>
    <w:rsid w:val="002A3735"/>
    <w:rsid w:val="002A379E"/>
    <w:rsid w:val="002A3B13"/>
    <w:rsid w:val="002A4550"/>
    <w:rsid w:val="002A48B6"/>
    <w:rsid w:val="002A4A01"/>
    <w:rsid w:val="002A4A12"/>
    <w:rsid w:val="002A4EE3"/>
    <w:rsid w:val="002A513E"/>
    <w:rsid w:val="002A5AF3"/>
    <w:rsid w:val="002A5D3A"/>
    <w:rsid w:val="002A5EF6"/>
    <w:rsid w:val="002A6004"/>
    <w:rsid w:val="002A6D97"/>
    <w:rsid w:val="002A7310"/>
    <w:rsid w:val="002A75CA"/>
    <w:rsid w:val="002B087B"/>
    <w:rsid w:val="002B0900"/>
    <w:rsid w:val="002B0C47"/>
    <w:rsid w:val="002B12EA"/>
    <w:rsid w:val="002B16A4"/>
    <w:rsid w:val="002B1FEF"/>
    <w:rsid w:val="002B2333"/>
    <w:rsid w:val="002B2749"/>
    <w:rsid w:val="002B36D8"/>
    <w:rsid w:val="002B39A1"/>
    <w:rsid w:val="002B3C27"/>
    <w:rsid w:val="002B3DE9"/>
    <w:rsid w:val="002B3EB3"/>
    <w:rsid w:val="002B40A0"/>
    <w:rsid w:val="002B41DE"/>
    <w:rsid w:val="002B4A50"/>
    <w:rsid w:val="002B4AB5"/>
    <w:rsid w:val="002B4B27"/>
    <w:rsid w:val="002B55FB"/>
    <w:rsid w:val="002B58E2"/>
    <w:rsid w:val="002B5908"/>
    <w:rsid w:val="002B6CC0"/>
    <w:rsid w:val="002B6F16"/>
    <w:rsid w:val="002B77CD"/>
    <w:rsid w:val="002B7ECE"/>
    <w:rsid w:val="002C01F4"/>
    <w:rsid w:val="002C06CB"/>
    <w:rsid w:val="002C17A1"/>
    <w:rsid w:val="002C192E"/>
    <w:rsid w:val="002C1AD3"/>
    <w:rsid w:val="002C1EA1"/>
    <w:rsid w:val="002C21AB"/>
    <w:rsid w:val="002C2209"/>
    <w:rsid w:val="002C23B5"/>
    <w:rsid w:val="002C27B5"/>
    <w:rsid w:val="002C284A"/>
    <w:rsid w:val="002C2F32"/>
    <w:rsid w:val="002C39F4"/>
    <w:rsid w:val="002C3E82"/>
    <w:rsid w:val="002C4231"/>
    <w:rsid w:val="002C4816"/>
    <w:rsid w:val="002C4D5F"/>
    <w:rsid w:val="002C4ED0"/>
    <w:rsid w:val="002C5106"/>
    <w:rsid w:val="002C5389"/>
    <w:rsid w:val="002C5953"/>
    <w:rsid w:val="002C5A7F"/>
    <w:rsid w:val="002C5AF5"/>
    <w:rsid w:val="002C5D41"/>
    <w:rsid w:val="002C5FF5"/>
    <w:rsid w:val="002C6753"/>
    <w:rsid w:val="002C6F3E"/>
    <w:rsid w:val="002C6FF2"/>
    <w:rsid w:val="002C7473"/>
    <w:rsid w:val="002C7486"/>
    <w:rsid w:val="002D00BA"/>
    <w:rsid w:val="002D03B5"/>
    <w:rsid w:val="002D03F7"/>
    <w:rsid w:val="002D0D7F"/>
    <w:rsid w:val="002D0FA3"/>
    <w:rsid w:val="002D118E"/>
    <w:rsid w:val="002D128D"/>
    <w:rsid w:val="002D2441"/>
    <w:rsid w:val="002D2447"/>
    <w:rsid w:val="002D282F"/>
    <w:rsid w:val="002D2A5B"/>
    <w:rsid w:val="002D300C"/>
    <w:rsid w:val="002D35C4"/>
    <w:rsid w:val="002D3B87"/>
    <w:rsid w:val="002D3C28"/>
    <w:rsid w:val="002D3D1C"/>
    <w:rsid w:val="002D4997"/>
    <w:rsid w:val="002D5374"/>
    <w:rsid w:val="002D5BBD"/>
    <w:rsid w:val="002D5F48"/>
    <w:rsid w:val="002D5F6F"/>
    <w:rsid w:val="002D6198"/>
    <w:rsid w:val="002D6710"/>
    <w:rsid w:val="002D697C"/>
    <w:rsid w:val="002D6BA8"/>
    <w:rsid w:val="002D6DC7"/>
    <w:rsid w:val="002D7347"/>
    <w:rsid w:val="002D782E"/>
    <w:rsid w:val="002D7F12"/>
    <w:rsid w:val="002D7F22"/>
    <w:rsid w:val="002E0153"/>
    <w:rsid w:val="002E04AD"/>
    <w:rsid w:val="002E0A57"/>
    <w:rsid w:val="002E0EDF"/>
    <w:rsid w:val="002E1901"/>
    <w:rsid w:val="002E192B"/>
    <w:rsid w:val="002E1AB6"/>
    <w:rsid w:val="002E24F0"/>
    <w:rsid w:val="002E252D"/>
    <w:rsid w:val="002E2616"/>
    <w:rsid w:val="002E2812"/>
    <w:rsid w:val="002E2AED"/>
    <w:rsid w:val="002E2F11"/>
    <w:rsid w:val="002E2F2D"/>
    <w:rsid w:val="002E374A"/>
    <w:rsid w:val="002E38F9"/>
    <w:rsid w:val="002E3C33"/>
    <w:rsid w:val="002E43B3"/>
    <w:rsid w:val="002E45EC"/>
    <w:rsid w:val="002E47F9"/>
    <w:rsid w:val="002E5431"/>
    <w:rsid w:val="002E58CD"/>
    <w:rsid w:val="002E5B75"/>
    <w:rsid w:val="002E61A6"/>
    <w:rsid w:val="002E651F"/>
    <w:rsid w:val="002E66C9"/>
    <w:rsid w:val="002E689C"/>
    <w:rsid w:val="002E6C7D"/>
    <w:rsid w:val="002E72E4"/>
    <w:rsid w:val="002E79F1"/>
    <w:rsid w:val="002E7B7C"/>
    <w:rsid w:val="002F0943"/>
    <w:rsid w:val="002F0A21"/>
    <w:rsid w:val="002F0B0E"/>
    <w:rsid w:val="002F0C5F"/>
    <w:rsid w:val="002F0E52"/>
    <w:rsid w:val="002F0F75"/>
    <w:rsid w:val="002F109E"/>
    <w:rsid w:val="002F15D0"/>
    <w:rsid w:val="002F18C9"/>
    <w:rsid w:val="002F20B7"/>
    <w:rsid w:val="002F2305"/>
    <w:rsid w:val="002F25BE"/>
    <w:rsid w:val="002F25E1"/>
    <w:rsid w:val="002F289C"/>
    <w:rsid w:val="002F2DAB"/>
    <w:rsid w:val="002F36A8"/>
    <w:rsid w:val="002F390E"/>
    <w:rsid w:val="002F4162"/>
    <w:rsid w:val="002F4336"/>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B07"/>
    <w:rsid w:val="00305B23"/>
    <w:rsid w:val="00306856"/>
    <w:rsid w:val="00306871"/>
    <w:rsid w:val="00306CF2"/>
    <w:rsid w:val="00306D83"/>
    <w:rsid w:val="003071A2"/>
    <w:rsid w:val="00307BA6"/>
    <w:rsid w:val="00307D91"/>
    <w:rsid w:val="00310247"/>
    <w:rsid w:val="00310650"/>
    <w:rsid w:val="003107D2"/>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35D"/>
    <w:rsid w:val="00314EDA"/>
    <w:rsid w:val="00316671"/>
    <w:rsid w:val="003169EF"/>
    <w:rsid w:val="003170C4"/>
    <w:rsid w:val="00317BE9"/>
    <w:rsid w:val="00317F21"/>
    <w:rsid w:val="003206D2"/>
    <w:rsid w:val="00320758"/>
    <w:rsid w:val="00320DFF"/>
    <w:rsid w:val="003214C3"/>
    <w:rsid w:val="0032196C"/>
    <w:rsid w:val="00321BF0"/>
    <w:rsid w:val="003229F0"/>
    <w:rsid w:val="00322A2E"/>
    <w:rsid w:val="0032304A"/>
    <w:rsid w:val="00323B58"/>
    <w:rsid w:val="00323FA9"/>
    <w:rsid w:val="00324441"/>
    <w:rsid w:val="00324BBA"/>
    <w:rsid w:val="00324DC4"/>
    <w:rsid w:val="003251B6"/>
    <w:rsid w:val="00325262"/>
    <w:rsid w:val="00326011"/>
    <w:rsid w:val="00326CDA"/>
    <w:rsid w:val="00326D60"/>
    <w:rsid w:val="00327191"/>
    <w:rsid w:val="00327635"/>
    <w:rsid w:val="00327997"/>
    <w:rsid w:val="00327AE7"/>
    <w:rsid w:val="003304DD"/>
    <w:rsid w:val="00330746"/>
    <w:rsid w:val="00330AC9"/>
    <w:rsid w:val="00330C24"/>
    <w:rsid w:val="00330DBE"/>
    <w:rsid w:val="003317CD"/>
    <w:rsid w:val="00331990"/>
    <w:rsid w:val="00331EFC"/>
    <w:rsid w:val="00333467"/>
    <w:rsid w:val="00333C8C"/>
    <w:rsid w:val="003342A7"/>
    <w:rsid w:val="0033459B"/>
    <w:rsid w:val="0033492B"/>
    <w:rsid w:val="00335854"/>
    <w:rsid w:val="00335D4A"/>
    <w:rsid w:val="003369A1"/>
    <w:rsid w:val="00336F29"/>
    <w:rsid w:val="00336FDA"/>
    <w:rsid w:val="00337925"/>
    <w:rsid w:val="00337AB2"/>
    <w:rsid w:val="003401A5"/>
    <w:rsid w:val="003402DF"/>
    <w:rsid w:val="0034035A"/>
    <w:rsid w:val="00340B56"/>
    <w:rsid w:val="0034144F"/>
    <w:rsid w:val="00341D7A"/>
    <w:rsid w:val="00341F47"/>
    <w:rsid w:val="00342360"/>
    <w:rsid w:val="00342909"/>
    <w:rsid w:val="003430D9"/>
    <w:rsid w:val="00343FDF"/>
    <w:rsid w:val="0034462C"/>
    <w:rsid w:val="00345547"/>
    <w:rsid w:val="00345A7C"/>
    <w:rsid w:val="00345E26"/>
    <w:rsid w:val="00346D1E"/>
    <w:rsid w:val="00346E55"/>
    <w:rsid w:val="00346E91"/>
    <w:rsid w:val="00347088"/>
    <w:rsid w:val="003475FD"/>
    <w:rsid w:val="003477B5"/>
    <w:rsid w:val="00347C93"/>
    <w:rsid w:val="00347EBE"/>
    <w:rsid w:val="0035060C"/>
    <w:rsid w:val="00350E65"/>
    <w:rsid w:val="00350F5A"/>
    <w:rsid w:val="0035153D"/>
    <w:rsid w:val="00351BFE"/>
    <w:rsid w:val="00351CAB"/>
    <w:rsid w:val="00352533"/>
    <w:rsid w:val="00352595"/>
    <w:rsid w:val="003525D7"/>
    <w:rsid w:val="00352A1A"/>
    <w:rsid w:val="00354418"/>
    <w:rsid w:val="00354D74"/>
    <w:rsid w:val="00354E11"/>
    <w:rsid w:val="003551AF"/>
    <w:rsid w:val="00355928"/>
    <w:rsid w:val="00355D8B"/>
    <w:rsid w:val="003564A1"/>
    <w:rsid w:val="003569E7"/>
    <w:rsid w:val="00356C57"/>
    <w:rsid w:val="00356DFB"/>
    <w:rsid w:val="00357294"/>
    <w:rsid w:val="00357478"/>
    <w:rsid w:val="00357B94"/>
    <w:rsid w:val="00357F48"/>
    <w:rsid w:val="003604D8"/>
    <w:rsid w:val="00360634"/>
    <w:rsid w:val="00360660"/>
    <w:rsid w:val="003611BC"/>
    <w:rsid w:val="0036123C"/>
    <w:rsid w:val="003612AC"/>
    <w:rsid w:val="003615C9"/>
    <w:rsid w:val="0036228B"/>
    <w:rsid w:val="00362B37"/>
    <w:rsid w:val="00362CC2"/>
    <w:rsid w:val="00362CCD"/>
    <w:rsid w:val="00362F36"/>
    <w:rsid w:val="00362FB2"/>
    <w:rsid w:val="00363512"/>
    <w:rsid w:val="00363D00"/>
    <w:rsid w:val="003640F3"/>
    <w:rsid w:val="0036428E"/>
    <w:rsid w:val="00364550"/>
    <w:rsid w:val="00364778"/>
    <w:rsid w:val="00364967"/>
    <w:rsid w:val="00364D6C"/>
    <w:rsid w:val="003654AE"/>
    <w:rsid w:val="003654DC"/>
    <w:rsid w:val="00365713"/>
    <w:rsid w:val="00365C70"/>
    <w:rsid w:val="00365CB4"/>
    <w:rsid w:val="00365E77"/>
    <w:rsid w:val="00366068"/>
    <w:rsid w:val="003660FC"/>
    <w:rsid w:val="003669B1"/>
    <w:rsid w:val="00366E4A"/>
    <w:rsid w:val="0036702E"/>
    <w:rsid w:val="003670D6"/>
    <w:rsid w:val="0036725D"/>
    <w:rsid w:val="003705CD"/>
    <w:rsid w:val="00370B9E"/>
    <w:rsid w:val="00370DD0"/>
    <w:rsid w:val="00371660"/>
    <w:rsid w:val="00371B2C"/>
    <w:rsid w:val="003722ED"/>
    <w:rsid w:val="003723D8"/>
    <w:rsid w:val="0037247E"/>
    <w:rsid w:val="00373311"/>
    <w:rsid w:val="00373D2D"/>
    <w:rsid w:val="00374009"/>
    <w:rsid w:val="00374A5B"/>
    <w:rsid w:val="00374E8D"/>
    <w:rsid w:val="003751C6"/>
    <w:rsid w:val="00375352"/>
    <w:rsid w:val="00376624"/>
    <w:rsid w:val="00376B7A"/>
    <w:rsid w:val="00376EC0"/>
    <w:rsid w:val="0037746C"/>
    <w:rsid w:val="003777E1"/>
    <w:rsid w:val="00380095"/>
    <w:rsid w:val="0038029C"/>
    <w:rsid w:val="003802FC"/>
    <w:rsid w:val="0038091E"/>
    <w:rsid w:val="00380A07"/>
    <w:rsid w:val="00380C0A"/>
    <w:rsid w:val="00380E95"/>
    <w:rsid w:val="00380EA5"/>
    <w:rsid w:val="00381D11"/>
    <w:rsid w:val="0038216B"/>
    <w:rsid w:val="003823D5"/>
    <w:rsid w:val="003825AD"/>
    <w:rsid w:val="003829AC"/>
    <w:rsid w:val="00383A6C"/>
    <w:rsid w:val="00383BEF"/>
    <w:rsid w:val="00384028"/>
    <w:rsid w:val="0038413E"/>
    <w:rsid w:val="0038415D"/>
    <w:rsid w:val="00384405"/>
    <w:rsid w:val="003847DE"/>
    <w:rsid w:val="00384D0D"/>
    <w:rsid w:val="00385114"/>
    <w:rsid w:val="0038529D"/>
    <w:rsid w:val="003853D5"/>
    <w:rsid w:val="0038543A"/>
    <w:rsid w:val="00385702"/>
    <w:rsid w:val="00386299"/>
    <w:rsid w:val="003865D5"/>
    <w:rsid w:val="0038670C"/>
    <w:rsid w:val="00386D56"/>
    <w:rsid w:val="003872F0"/>
    <w:rsid w:val="0038773A"/>
    <w:rsid w:val="003879D9"/>
    <w:rsid w:val="00387B35"/>
    <w:rsid w:val="0039027A"/>
    <w:rsid w:val="00390754"/>
    <w:rsid w:val="0039185E"/>
    <w:rsid w:val="003919FB"/>
    <w:rsid w:val="00391BD1"/>
    <w:rsid w:val="003928F4"/>
    <w:rsid w:val="00392AC5"/>
    <w:rsid w:val="00392C6E"/>
    <w:rsid w:val="00392DD2"/>
    <w:rsid w:val="00392E50"/>
    <w:rsid w:val="00393033"/>
    <w:rsid w:val="003935C8"/>
    <w:rsid w:val="0039369E"/>
    <w:rsid w:val="003938AD"/>
    <w:rsid w:val="003940DE"/>
    <w:rsid w:val="0039420B"/>
    <w:rsid w:val="00394D75"/>
    <w:rsid w:val="00394DDE"/>
    <w:rsid w:val="0039534B"/>
    <w:rsid w:val="00395878"/>
    <w:rsid w:val="003961DF"/>
    <w:rsid w:val="0039672B"/>
    <w:rsid w:val="00396B37"/>
    <w:rsid w:val="00397310"/>
    <w:rsid w:val="003974BA"/>
    <w:rsid w:val="0039758E"/>
    <w:rsid w:val="0039761B"/>
    <w:rsid w:val="00397E41"/>
    <w:rsid w:val="003A03E5"/>
    <w:rsid w:val="003A0F8F"/>
    <w:rsid w:val="003A1401"/>
    <w:rsid w:val="003A1432"/>
    <w:rsid w:val="003A17AE"/>
    <w:rsid w:val="003A1987"/>
    <w:rsid w:val="003A1AA6"/>
    <w:rsid w:val="003A2971"/>
    <w:rsid w:val="003A2EF4"/>
    <w:rsid w:val="003A3040"/>
    <w:rsid w:val="003A30D1"/>
    <w:rsid w:val="003A432B"/>
    <w:rsid w:val="003A463B"/>
    <w:rsid w:val="003A4D79"/>
    <w:rsid w:val="003A4D8B"/>
    <w:rsid w:val="003A560F"/>
    <w:rsid w:val="003A5C12"/>
    <w:rsid w:val="003A5F0B"/>
    <w:rsid w:val="003A5F55"/>
    <w:rsid w:val="003A5F78"/>
    <w:rsid w:val="003A6825"/>
    <w:rsid w:val="003A68CE"/>
    <w:rsid w:val="003A75E4"/>
    <w:rsid w:val="003A790D"/>
    <w:rsid w:val="003A7BA1"/>
    <w:rsid w:val="003A7D4A"/>
    <w:rsid w:val="003B0B35"/>
    <w:rsid w:val="003B0DFC"/>
    <w:rsid w:val="003B111A"/>
    <w:rsid w:val="003B111E"/>
    <w:rsid w:val="003B1DF1"/>
    <w:rsid w:val="003B2055"/>
    <w:rsid w:val="003B22AA"/>
    <w:rsid w:val="003B248A"/>
    <w:rsid w:val="003B2573"/>
    <w:rsid w:val="003B29E0"/>
    <w:rsid w:val="003B353E"/>
    <w:rsid w:val="003B3D70"/>
    <w:rsid w:val="003B4853"/>
    <w:rsid w:val="003B4898"/>
    <w:rsid w:val="003B48C8"/>
    <w:rsid w:val="003B4C78"/>
    <w:rsid w:val="003B4E90"/>
    <w:rsid w:val="003B52BE"/>
    <w:rsid w:val="003B5C91"/>
    <w:rsid w:val="003B6379"/>
    <w:rsid w:val="003B66DD"/>
    <w:rsid w:val="003B6801"/>
    <w:rsid w:val="003B6F53"/>
    <w:rsid w:val="003B71D7"/>
    <w:rsid w:val="003B74FC"/>
    <w:rsid w:val="003C003A"/>
    <w:rsid w:val="003C067F"/>
    <w:rsid w:val="003C08DB"/>
    <w:rsid w:val="003C0DD0"/>
    <w:rsid w:val="003C12A9"/>
    <w:rsid w:val="003C12E1"/>
    <w:rsid w:val="003C17A2"/>
    <w:rsid w:val="003C1DBB"/>
    <w:rsid w:val="003C2209"/>
    <w:rsid w:val="003C2D8A"/>
    <w:rsid w:val="003C3173"/>
    <w:rsid w:val="003C39F3"/>
    <w:rsid w:val="003C4748"/>
    <w:rsid w:val="003C50E5"/>
    <w:rsid w:val="003C5E2C"/>
    <w:rsid w:val="003C62E7"/>
    <w:rsid w:val="003C6764"/>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937"/>
    <w:rsid w:val="003D1306"/>
    <w:rsid w:val="003D1FC7"/>
    <w:rsid w:val="003D2083"/>
    <w:rsid w:val="003D221C"/>
    <w:rsid w:val="003D2D32"/>
    <w:rsid w:val="003D2E1C"/>
    <w:rsid w:val="003D2E84"/>
    <w:rsid w:val="003D35F2"/>
    <w:rsid w:val="003D384E"/>
    <w:rsid w:val="003D3D27"/>
    <w:rsid w:val="003D4208"/>
    <w:rsid w:val="003D4551"/>
    <w:rsid w:val="003D494D"/>
    <w:rsid w:val="003D4EBC"/>
    <w:rsid w:val="003D4FE0"/>
    <w:rsid w:val="003D5248"/>
    <w:rsid w:val="003D5470"/>
    <w:rsid w:val="003D5C76"/>
    <w:rsid w:val="003D6043"/>
    <w:rsid w:val="003D6262"/>
    <w:rsid w:val="003D6655"/>
    <w:rsid w:val="003D7DF4"/>
    <w:rsid w:val="003E01D2"/>
    <w:rsid w:val="003E03A1"/>
    <w:rsid w:val="003E0409"/>
    <w:rsid w:val="003E09E8"/>
    <w:rsid w:val="003E0BC7"/>
    <w:rsid w:val="003E0C2D"/>
    <w:rsid w:val="003E0DBA"/>
    <w:rsid w:val="003E12C0"/>
    <w:rsid w:val="003E1AC0"/>
    <w:rsid w:val="003E1AE8"/>
    <w:rsid w:val="003E1ECA"/>
    <w:rsid w:val="003E21BD"/>
    <w:rsid w:val="003E2379"/>
    <w:rsid w:val="003E2BA1"/>
    <w:rsid w:val="003E2C14"/>
    <w:rsid w:val="003E3A26"/>
    <w:rsid w:val="003E3B6B"/>
    <w:rsid w:val="003E40C0"/>
    <w:rsid w:val="003E412B"/>
    <w:rsid w:val="003E49F9"/>
    <w:rsid w:val="003E4C57"/>
    <w:rsid w:val="003E4CE7"/>
    <w:rsid w:val="003E52C8"/>
    <w:rsid w:val="003E5E54"/>
    <w:rsid w:val="003E6516"/>
    <w:rsid w:val="003E6751"/>
    <w:rsid w:val="003E7689"/>
    <w:rsid w:val="003E793A"/>
    <w:rsid w:val="003F02D9"/>
    <w:rsid w:val="003F0BB4"/>
    <w:rsid w:val="003F0CE8"/>
    <w:rsid w:val="003F0D72"/>
    <w:rsid w:val="003F0E9A"/>
    <w:rsid w:val="003F14E1"/>
    <w:rsid w:val="003F1C1E"/>
    <w:rsid w:val="003F2626"/>
    <w:rsid w:val="003F28F6"/>
    <w:rsid w:val="003F3434"/>
    <w:rsid w:val="003F3D3C"/>
    <w:rsid w:val="003F4296"/>
    <w:rsid w:val="003F50B8"/>
    <w:rsid w:val="003F532D"/>
    <w:rsid w:val="003F5884"/>
    <w:rsid w:val="003F59ED"/>
    <w:rsid w:val="003F5BEF"/>
    <w:rsid w:val="003F5D86"/>
    <w:rsid w:val="003F5EFD"/>
    <w:rsid w:val="003F6277"/>
    <w:rsid w:val="003F677D"/>
    <w:rsid w:val="003F6C54"/>
    <w:rsid w:val="003F6D2E"/>
    <w:rsid w:val="003F75F2"/>
    <w:rsid w:val="003F7CC0"/>
    <w:rsid w:val="003F7E04"/>
    <w:rsid w:val="004000EB"/>
    <w:rsid w:val="00400C18"/>
    <w:rsid w:val="00400E76"/>
    <w:rsid w:val="004010E8"/>
    <w:rsid w:val="004015D0"/>
    <w:rsid w:val="00401AA7"/>
    <w:rsid w:val="00401C62"/>
    <w:rsid w:val="00402734"/>
    <w:rsid w:val="00402843"/>
    <w:rsid w:val="00402854"/>
    <w:rsid w:val="004028E4"/>
    <w:rsid w:val="00403492"/>
    <w:rsid w:val="00403539"/>
    <w:rsid w:val="00403DE5"/>
    <w:rsid w:val="0040451D"/>
    <w:rsid w:val="00404CCD"/>
    <w:rsid w:val="00404CD2"/>
    <w:rsid w:val="0040530C"/>
    <w:rsid w:val="00405C30"/>
    <w:rsid w:val="004070EE"/>
    <w:rsid w:val="004071BC"/>
    <w:rsid w:val="004075AA"/>
    <w:rsid w:val="0040787F"/>
    <w:rsid w:val="00407963"/>
    <w:rsid w:val="00407BAF"/>
    <w:rsid w:val="00407EBD"/>
    <w:rsid w:val="0041001A"/>
    <w:rsid w:val="00410206"/>
    <w:rsid w:val="00410BC0"/>
    <w:rsid w:val="00410FD1"/>
    <w:rsid w:val="004110F2"/>
    <w:rsid w:val="00411D51"/>
    <w:rsid w:val="00412202"/>
    <w:rsid w:val="004124F6"/>
    <w:rsid w:val="004125F6"/>
    <w:rsid w:val="00412C21"/>
    <w:rsid w:val="004135B5"/>
    <w:rsid w:val="00413E88"/>
    <w:rsid w:val="00414104"/>
    <w:rsid w:val="004141B2"/>
    <w:rsid w:val="0041472F"/>
    <w:rsid w:val="00414975"/>
    <w:rsid w:val="00414D92"/>
    <w:rsid w:val="00414FE6"/>
    <w:rsid w:val="00415072"/>
    <w:rsid w:val="0041536E"/>
    <w:rsid w:val="0041578C"/>
    <w:rsid w:val="00415CCF"/>
    <w:rsid w:val="00416335"/>
    <w:rsid w:val="004163E1"/>
    <w:rsid w:val="004171C7"/>
    <w:rsid w:val="004174F1"/>
    <w:rsid w:val="00417584"/>
    <w:rsid w:val="00417A4C"/>
    <w:rsid w:val="00417F14"/>
    <w:rsid w:val="0042000B"/>
    <w:rsid w:val="00420572"/>
    <w:rsid w:val="00420589"/>
    <w:rsid w:val="00420899"/>
    <w:rsid w:val="00420929"/>
    <w:rsid w:val="00420AE5"/>
    <w:rsid w:val="00420C8E"/>
    <w:rsid w:val="00420E1C"/>
    <w:rsid w:val="00421B57"/>
    <w:rsid w:val="00421C75"/>
    <w:rsid w:val="00421FFF"/>
    <w:rsid w:val="004225A9"/>
    <w:rsid w:val="004225CA"/>
    <w:rsid w:val="00422860"/>
    <w:rsid w:val="00422ACA"/>
    <w:rsid w:val="00422EC5"/>
    <w:rsid w:val="0042435F"/>
    <w:rsid w:val="004243F9"/>
    <w:rsid w:val="004252FE"/>
    <w:rsid w:val="004257DE"/>
    <w:rsid w:val="00425876"/>
    <w:rsid w:val="00425E36"/>
    <w:rsid w:val="00426128"/>
    <w:rsid w:val="00426834"/>
    <w:rsid w:val="00426AC1"/>
    <w:rsid w:val="00426D82"/>
    <w:rsid w:val="004272AF"/>
    <w:rsid w:val="004278E9"/>
    <w:rsid w:val="00427920"/>
    <w:rsid w:val="00427DFD"/>
    <w:rsid w:val="00430550"/>
    <w:rsid w:val="00430D76"/>
    <w:rsid w:val="00430E65"/>
    <w:rsid w:val="004319F0"/>
    <w:rsid w:val="00431EFB"/>
    <w:rsid w:val="00431FA7"/>
    <w:rsid w:val="00432260"/>
    <w:rsid w:val="004323F5"/>
    <w:rsid w:val="0043250A"/>
    <w:rsid w:val="00432B8B"/>
    <w:rsid w:val="00432DAF"/>
    <w:rsid w:val="00432E5A"/>
    <w:rsid w:val="00432FF8"/>
    <w:rsid w:val="0043343F"/>
    <w:rsid w:val="00433EAD"/>
    <w:rsid w:val="00433EBB"/>
    <w:rsid w:val="00434495"/>
    <w:rsid w:val="004349B8"/>
    <w:rsid w:val="0043513A"/>
    <w:rsid w:val="0043521E"/>
    <w:rsid w:val="004352D1"/>
    <w:rsid w:val="00435439"/>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AA0"/>
    <w:rsid w:val="00443172"/>
    <w:rsid w:val="00443456"/>
    <w:rsid w:val="0044390C"/>
    <w:rsid w:val="00444078"/>
    <w:rsid w:val="0044451E"/>
    <w:rsid w:val="00444766"/>
    <w:rsid w:val="00445324"/>
    <w:rsid w:val="004459B2"/>
    <w:rsid w:val="00445CA0"/>
    <w:rsid w:val="004470E3"/>
    <w:rsid w:val="00447529"/>
    <w:rsid w:val="0044759B"/>
    <w:rsid w:val="0044764F"/>
    <w:rsid w:val="0044767E"/>
    <w:rsid w:val="00447856"/>
    <w:rsid w:val="004478B5"/>
    <w:rsid w:val="00447A49"/>
    <w:rsid w:val="00447AE6"/>
    <w:rsid w:val="0045093E"/>
    <w:rsid w:val="00450CD5"/>
    <w:rsid w:val="00450D1C"/>
    <w:rsid w:val="0045110F"/>
    <w:rsid w:val="00451A53"/>
    <w:rsid w:val="00451E0A"/>
    <w:rsid w:val="004521D8"/>
    <w:rsid w:val="00452346"/>
    <w:rsid w:val="0045252D"/>
    <w:rsid w:val="00453016"/>
    <w:rsid w:val="004532C0"/>
    <w:rsid w:val="0045350E"/>
    <w:rsid w:val="00453C0D"/>
    <w:rsid w:val="00454068"/>
    <w:rsid w:val="0045449A"/>
    <w:rsid w:val="00454645"/>
    <w:rsid w:val="004549B0"/>
    <w:rsid w:val="00454D24"/>
    <w:rsid w:val="004552DC"/>
    <w:rsid w:val="0045570F"/>
    <w:rsid w:val="00455B31"/>
    <w:rsid w:val="00455DB5"/>
    <w:rsid w:val="00456B3F"/>
    <w:rsid w:val="00457173"/>
    <w:rsid w:val="00457CA3"/>
    <w:rsid w:val="00457F03"/>
    <w:rsid w:val="0046013D"/>
    <w:rsid w:val="004604EB"/>
    <w:rsid w:val="00460578"/>
    <w:rsid w:val="00460A5B"/>
    <w:rsid w:val="00460B18"/>
    <w:rsid w:val="00461655"/>
    <w:rsid w:val="004618F7"/>
    <w:rsid w:val="00461A1C"/>
    <w:rsid w:val="00462AD1"/>
    <w:rsid w:val="00462B54"/>
    <w:rsid w:val="00462DD2"/>
    <w:rsid w:val="0046323F"/>
    <w:rsid w:val="004632B1"/>
    <w:rsid w:val="00463D57"/>
    <w:rsid w:val="004641E9"/>
    <w:rsid w:val="004641F7"/>
    <w:rsid w:val="00464858"/>
    <w:rsid w:val="00464A3B"/>
    <w:rsid w:val="0046574E"/>
    <w:rsid w:val="0046582A"/>
    <w:rsid w:val="00465911"/>
    <w:rsid w:val="00465BC3"/>
    <w:rsid w:val="004661EE"/>
    <w:rsid w:val="0046702A"/>
    <w:rsid w:val="004671E6"/>
    <w:rsid w:val="00467736"/>
    <w:rsid w:val="00467907"/>
    <w:rsid w:val="00467A8A"/>
    <w:rsid w:val="004701AA"/>
    <w:rsid w:val="00470575"/>
    <w:rsid w:val="00470599"/>
    <w:rsid w:val="004705A6"/>
    <w:rsid w:val="004706A8"/>
    <w:rsid w:val="004706B3"/>
    <w:rsid w:val="00470732"/>
    <w:rsid w:val="00470BF4"/>
    <w:rsid w:val="00470E85"/>
    <w:rsid w:val="00471D80"/>
    <w:rsid w:val="00471D9A"/>
    <w:rsid w:val="004726CC"/>
    <w:rsid w:val="00472AC0"/>
    <w:rsid w:val="004731DD"/>
    <w:rsid w:val="00473439"/>
    <w:rsid w:val="00473BAC"/>
    <w:rsid w:val="00473EEC"/>
    <w:rsid w:val="00475172"/>
    <w:rsid w:val="004756D2"/>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246C"/>
    <w:rsid w:val="0048286E"/>
    <w:rsid w:val="004829CA"/>
    <w:rsid w:val="00482E7F"/>
    <w:rsid w:val="00482EE8"/>
    <w:rsid w:val="00483074"/>
    <w:rsid w:val="004831C2"/>
    <w:rsid w:val="004835E7"/>
    <w:rsid w:val="00483B1B"/>
    <w:rsid w:val="00483B1D"/>
    <w:rsid w:val="00483F67"/>
    <w:rsid w:val="00484540"/>
    <w:rsid w:val="00485198"/>
    <w:rsid w:val="004855EE"/>
    <w:rsid w:val="0048581F"/>
    <w:rsid w:val="00486AF3"/>
    <w:rsid w:val="00486BB4"/>
    <w:rsid w:val="0048713A"/>
    <w:rsid w:val="004873AA"/>
    <w:rsid w:val="00487404"/>
    <w:rsid w:val="004875DF"/>
    <w:rsid w:val="00487F41"/>
    <w:rsid w:val="004903C6"/>
    <w:rsid w:val="004905F5"/>
    <w:rsid w:val="0049172B"/>
    <w:rsid w:val="004917E5"/>
    <w:rsid w:val="00492216"/>
    <w:rsid w:val="00492A01"/>
    <w:rsid w:val="00492D51"/>
    <w:rsid w:val="00492EF8"/>
    <w:rsid w:val="00493097"/>
    <w:rsid w:val="00493B19"/>
    <w:rsid w:val="00494DDB"/>
    <w:rsid w:val="004951FA"/>
    <w:rsid w:val="00495BED"/>
    <w:rsid w:val="004962DD"/>
    <w:rsid w:val="00496430"/>
    <w:rsid w:val="004965BD"/>
    <w:rsid w:val="00496FF8"/>
    <w:rsid w:val="00497620"/>
    <w:rsid w:val="004979AB"/>
    <w:rsid w:val="00497ABD"/>
    <w:rsid w:val="004A08B4"/>
    <w:rsid w:val="004A0AFC"/>
    <w:rsid w:val="004A1545"/>
    <w:rsid w:val="004A1F5B"/>
    <w:rsid w:val="004A2217"/>
    <w:rsid w:val="004A2B52"/>
    <w:rsid w:val="004A3255"/>
    <w:rsid w:val="004A3930"/>
    <w:rsid w:val="004A3BC9"/>
    <w:rsid w:val="004A3C2A"/>
    <w:rsid w:val="004A3DCE"/>
    <w:rsid w:val="004A3E23"/>
    <w:rsid w:val="004A3FB6"/>
    <w:rsid w:val="004A4297"/>
    <w:rsid w:val="004A4464"/>
    <w:rsid w:val="004A44CF"/>
    <w:rsid w:val="004A4813"/>
    <w:rsid w:val="004A4A8A"/>
    <w:rsid w:val="004A52B9"/>
    <w:rsid w:val="004A5908"/>
    <w:rsid w:val="004A5DD0"/>
    <w:rsid w:val="004A5E5F"/>
    <w:rsid w:val="004A5F34"/>
    <w:rsid w:val="004A6092"/>
    <w:rsid w:val="004A62D9"/>
    <w:rsid w:val="004A62E8"/>
    <w:rsid w:val="004A632A"/>
    <w:rsid w:val="004A6BC5"/>
    <w:rsid w:val="004A6F0D"/>
    <w:rsid w:val="004A7E87"/>
    <w:rsid w:val="004A7EAC"/>
    <w:rsid w:val="004B06A2"/>
    <w:rsid w:val="004B0748"/>
    <w:rsid w:val="004B0B25"/>
    <w:rsid w:val="004B0BF9"/>
    <w:rsid w:val="004B1A8F"/>
    <w:rsid w:val="004B2096"/>
    <w:rsid w:val="004B22F9"/>
    <w:rsid w:val="004B2785"/>
    <w:rsid w:val="004B28CD"/>
    <w:rsid w:val="004B2F35"/>
    <w:rsid w:val="004B34F2"/>
    <w:rsid w:val="004B3E2C"/>
    <w:rsid w:val="004B4485"/>
    <w:rsid w:val="004B4AAC"/>
    <w:rsid w:val="004B4E9E"/>
    <w:rsid w:val="004B50C6"/>
    <w:rsid w:val="004B521D"/>
    <w:rsid w:val="004B561D"/>
    <w:rsid w:val="004B5631"/>
    <w:rsid w:val="004B642C"/>
    <w:rsid w:val="004B65B0"/>
    <w:rsid w:val="004B6832"/>
    <w:rsid w:val="004B6841"/>
    <w:rsid w:val="004B6FC7"/>
    <w:rsid w:val="004B72CB"/>
    <w:rsid w:val="004B76E8"/>
    <w:rsid w:val="004C0C22"/>
    <w:rsid w:val="004C158C"/>
    <w:rsid w:val="004C194C"/>
    <w:rsid w:val="004C1EAA"/>
    <w:rsid w:val="004C1F9D"/>
    <w:rsid w:val="004C2680"/>
    <w:rsid w:val="004C277B"/>
    <w:rsid w:val="004C27BF"/>
    <w:rsid w:val="004C2910"/>
    <w:rsid w:val="004C2B3F"/>
    <w:rsid w:val="004C2B44"/>
    <w:rsid w:val="004C2E68"/>
    <w:rsid w:val="004C2EDB"/>
    <w:rsid w:val="004C3325"/>
    <w:rsid w:val="004C40CC"/>
    <w:rsid w:val="004C4F71"/>
    <w:rsid w:val="004C52F7"/>
    <w:rsid w:val="004C54CD"/>
    <w:rsid w:val="004C5733"/>
    <w:rsid w:val="004C59B2"/>
    <w:rsid w:val="004C5A02"/>
    <w:rsid w:val="004C5E32"/>
    <w:rsid w:val="004C65D0"/>
    <w:rsid w:val="004C6A7C"/>
    <w:rsid w:val="004C7641"/>
    <w:rsid w:val="004C777D"/>
    <w:rsid w:val="004C77CC"/>
    <w:rsid w:val="004C7978"/>
    <w:rsid w:val="004C7D98"/>
    <w:rsid w:val="004C7FE4"/>
    <w:rsid w:val="004D012D"/>
    <w:rsid w:val="004D047A"/>
    <w:rsid w:val="004D1260"/>
    <w:rsid w:val="004D1594"/>
    <w:rsid w:val="004D181B"/>
    <w:rsid w:val="004D1AFD"/>
    <w:rsid w:val="004D2A73"/>
    <w:rsid w:val="004D2EF5"/>
    <w:rsid w:val="004D4005"/>
    <w:rsid w:val="004D43C4"/>
    <w:rsid w:val="004D5060"/>
    <w:rsid w:val="004D55E8"/>
    <w:rsid w:val="004D581F"/>
    <w:rsid w:val="004D58F0"/>
    <w:rsid w:val="004D5A28"/>
    <w:rsid w:val="004D5DF5"/>
    <w:rsid w:val="004D6CF1"/>
    <w:rsid w:val="004D703F"/>
    <w:rsid w:val="004D711C"/>
    <w:rsid w:val="004D740C"/>
    <w:rsid w:val="004D7803"/>
    <w:rsid w:val="004D7874"/>
    <w:rsid w:val="004E03E4"/>
    <w:rsid w:val="004E0439"/>
    <w:rsid w:val="004E0457"/>
    <w:rsid w:val="004E054D"/>
    <w:rsid w:val="004E086F"/>
    <w:rsid w:val="004E0CC8"/>
    <w:rsid w:val="004E0DE5"/>
    <w:rsid w:val="004E1C2B"/>
    <w:rsid w:val="004E1D92"/>
    <w:rsid w:val="004E2122"/>
    <w:rsid w:val="004E21D8"/>
    <w:rsid w:val="004E22D6"/>
    <w:rsid w:val="004E2454"/>
    <w:rsid w:val="004E29A4"/>
    <w:rsid w:val="004E3444"/>
    <w:rsid w:val="004E3C07"/>
    <w:rsid w:val="004E3C09"/>
    <w:rsid w:val="004E3DAF"/>
    <w:rsid w:val="004E4013"/>
    <w:rsid w:val="004E4809"/>
    <w:rsid w:val="004E4A1F"/>
    <w:rsid w:val="004E5C88"/>
    <w:rsid w:val="004E623D"/>
    <w:rsid w:val="004E639B"/>
    <w:rsid w:val="004E6C1E"/>
    <w:rsid w:val="004E6E8F"/>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A10"/>
    <w:rsid w:val="004F40BE"/>
    <w:rsid w:val="004F4CF0"/>
    <w:rsid w:val="004F4F8F"/>
    <w:rsid w:val="004F5666"/>
    <w:rsid w:val="004F59CB"/>
    <w:rsid w:val="004F6B28"/>
    <w:rsid w:val="004F727C"/>
    <w:rsid w:val="004F7DB0"/>
    <w:rsid w:val="005000C2"/>
    <w:rsid w:val="005004A2"/>
    <w:rsid w:val="00500790"/>
    <w:rsid w:val="005007F8"/>
    <w:rsid w:val="00500C7B"/>
    <w:rsid w:val="005012BF"/>
    <w:rsid w:val="00501F39"/>
    <w:rsid w:val="00502830"/>
    <w:rsid w:val="005029D8"/>
    <w:rsid w:val="00503531"/>
    <w:rsid w:val="00503CCF"/>
    <w:rsid w:val="005042D2"/>
    <w:rsid w:val="005047CD"/>
    <w:rsid w:val="005048DF"/>
    <w:rsid w:val="00504A9A"/>
    <w:rsid w:val="00504CA2"/>
    <w:rsid w:val="00504D5D"/>
    <w:rsid w:val="00504F54"/>
    <w:rsid w:val="005055E4"/>
    <w:rsid w:val="0050571D"/>
    <w:rsid w:val="00506303"/>
    <w:rsid w:val="00507018"/>
    <w:rsid w:val="005073CC"/>
    <w:rsid w:val="005074F6"/>
    <w:rsid w:val="005076E5"/>
    <w:rsid w:val="0050785B"/>
    <w:rsid w:val="005079C9"/>
    <w:rsid w:val="00507B23"/>
    <w:rsid w:val="00510774"/>
    <w:rsid w:val="00510A7F"/>
    <w:rsid w:val="005118F2"/>
    <w:rsid w:val="00511A95"/>
    <w:rsid w:val="00511E71"/>
    <w:rsid w:val="00512609"/>
    <w:rsid w:val="00512664"/>
    <w:rsid w:val="00512A95"/>
    <w:rsid w:val="0051317E"/>
    <w:rsid w:val="0051359A"/>
    <w:rsid w:val="0051362A"/>
    <w:rsid w:val="005138D6"/>
    <w:rsid w:val="00513B70"/>
    <w:rsid w:val="0051445D"/>
    <w:rsid w:val="00514AEF"/>
    <w:rsid w:val="00514D99"/>
    <w:rsid w:val="00515A72"/>
    <w:rsid w:val="00515B71"/>
    <w:rsid w:val="00516328"/>
    <w:rsid w:val="00516766"/>
    <w:rsid w:val="00516FEA"/>
    <w:rsid w:val="005172FA"/>
    <w:rsid w:val="005175CC"/>
    <w:rsid w:val="00517795"/>
    <w:rsid w:val="00517847"/>
    <w:rsid w:val="005179D8"/>
    <w:rsid w:val="00520250"/>
    <w:rsid w:val="005206D7"/>
    <w:rsid w:val="00520DE0"/>
    <w:rsid w:val="00521B73"/>
    <w:rsid w:val="00521E1B"/>
    <w:rsid w:val="0052236A"/>
    <w:rsid w:val="005226CB"/>
    <w:rsid w:val="0052298E"/>
    <w:rsid w:val="005234E8"/>
    <w:rsid w:val="00523AC5"/>
    <w:rsid w:val="00523C1A"/>
    <w:rsid w:val="00524090"/>
    <w:rsid w:val="005254B8"/>
    <w:rsid w:val="0052593C"/>
    <w:rsid w:val="00525991"/>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3004F"/>
    <w:rsid w:val="00530431"/>
    <w:rsid w:val="005307A6"/>
    <w:rsid w:val="00530988"/>
    <w:rsid w:val="005314A9"/>
    <w:rsid w:val="00531844"/>
    <w:rsid w:val="00531A70"/>
    <w:rsid w:val="00531AB1"/>
    <w:rsid w:val="005324A9"/>
    <w:rsid w:val="00532721"/>
    <w:rsid w:val="00533618"/>
    <w:rsid w:val="00533CBF"/>
    <w:rsid w:val="00534A22"/>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91"/>
    <w:rsid w:val="00540B69"/>
    <w:rsid w:val="00540BBA"/>
    <w:rsid w:val="00540FDE"/>
    <w:rsid w:val="00541591"/>
    <w:rsid w:val="0054179E"/>
    <w:rsid w:val="00541A13"/>
    <w:rsid w:val="00541D04"/>
    <w:rsid w:val="00541D29"/>
    <w:rsid w:val="00541E8A"/>
    <w:rsid w:val="0054214F"/>
    <w:rsid w:val="00542A21"/>
    <w:rsid w:val="00542C96"/>
    <w:rsid w:val="00542CD5"/>
    <w:rsid w:val="00542D7B"/>
    <w:rsid w:val="0054311F"/>
    <w:rsid w:val="0054315B"/>
    <w:rsid w:val="00543397"/>
    <w:rsid w:val="00543645"/>
    <w:rsid w:val="00543DB1"/>
    <w:rsid w:val="00543FDD"/>
    <w:rsid w:val="00544594"/>
    <w:rsid w:val="005447EB"/>
    <w:rsid w:val="0054487B"/>
    <w:rsid w:val="00544AD6"/>
    <w:rsid w:val="00544C08"/>
    <w:rsid w:val="0054536A"/>
    <w:rsid w:val="005456ED"/>
    <w:rsid w:val="005461DE"/>
    <w:rsid w:val="00546250"/>
    <w:rsid w:val="005464E3"/>
    <w:rsid w:val="00546AEB"/>
    <w:rsid w:val="0054743F"/>
    <w:rsid w:val="00551991"/>
    <w:rsid w:val="00551A48"/>
    <w:rsid w:val="00551A67"/>
    <w:rsid w:val="0055228C"/>
    <w:rsid w:val="00552353"/>
    <w:rsid w:val="0055242C"/>
    <w:rsid w:val="00552635"/>
    <w:rsid w:val="00552702"/>
    <w:rsid w:val="00552B3B"/>
    <w:rsid w:val="00552F07"/>
    <w:rsid w:val="0055398D"/>
    <w:rsid w:val="00553BE9"/>
    <w:rsid w:val="005540B3"/>
    <w:rsid w:val="005541DB"/>
    <w:rsid w:val="005546EA"/>
    <w:rsid w:val="00554BC4"/>
    <w:rsid w:val="00554C97"/>
    <w:rsid w:val="00554EB1"/>
    <w:rsid w:val="00554FBE"/>
    <w:rsid w:val="005554A7"/>
    <w:rsid w:val="00555B40"/>
    <w:rsid w:val="0055618E"/>
    <w:rsid w:val="005561E5"/>
    <w:rsid w:val="005562EB"/>
    <w:rsid w:val="0055637A"/>
    <w:rsid w:val="00556772"/>
    <w:rsid w:val="00556B00"/>
    <w:rsid w:val="00556B7D"/>
    <w:rsid w:val="00556D66"/>
    <w:rsid w:val="00557617"/>
    <w:rsid w:val="00557674"/>
    <w:rsid w:val="00557E67"/>
    <w:rsid w:val="005604A5"/>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970"/>
    <w:rsid w:val="00565ACC"/>
    <w:rsid w:val="00565DE4"/>
    <w:rsid w:val="00565FA3"/>
    <w:rsid w:val="005661BC"/>
    <w:rsid w:val="0056626B"/>
    <w:rsid w:val="00566311"/>
    <w:rsid w:val="005665FA"/>
    <w:rsid w:val="00566911"/>
    <w:rsid w:val="00566CBF"/>
    <w:rsid w:val="005676A0"/>
    <w:rsid w:val="00567C84"/>
    <w:rsid w:val="00570120"/>
    <w:rsid w:val="0057089F"/>
    <w:rsid w:val="00570C88"/>
    <w:rsid w:val="0057142A"/>
    <w:rsid w:val="00571759"/>
    <w:rsid w:val="00571C36"/>
    <w:rsid w:val="005720D7"/>
    <w:rsid w:val="00572295"/>
    <w:rsid w:val="00572877"/>
    <w:rsid w:val="0057322B"/>
    <w:rsid w:val="00573302"/>
    <w:rsid w:val="00573627"/>
    <w:rsid w:val="00573801"/>
    <w:rsid w:val="005749A2"/>
    <w:rsid w:val="005769D8"/>
    <w:rsid w:val="00576B31"/>
    <w:rsid w:val="00576C77"/>
    <w:rsid w:val="0057714E"/>
    <w:rsid w:val="005771B5"/>
    <w:rsid w:val="00577336"/>
    <w:rsid w:val="00577434"/>
    <w:rsid w:val="00577690"/>
    <w:rsid w:val="0058011A"/>
    <w:rsid w:val="00580DE0"/>
    <w:rsid w:val="005813EF"/>
    <w:rsid w:val="00581526"/>
    <w:rsid w:val="005818FA"/>
    <w:rsid w:val="00582928"/>
    <w:rsid w:val="0058353A"/>
    <w:rsid w:val="00583934"/>
    <w:rsid w:val="00583D8B"/>
    <w:rsid w:val="00584118"/>
    <w:rsid w:val="005841DF"/>
    <w:rsid w:val="00584618"/>
    <w:rsid w:val="0058557D"/>
    <w:rsid w:val="005855FA"/>
    <w:rsid w:val="00585C01"/>
    <w:rsid w:val="00585ED2"/>
    <w:rsid w:val="005869D2"/>
    <w:rsid w:val="00586A11"/>
    <w:rsid w:val="00586AAF"/>
    <w:rsid w:val="00586AE3"/>
    <w:rsid w:val="00586E85"/>
    <w:rsid w:val="00587077"/>
    <w:rsid w:val="005875BA"/>
    <w:rsid w:val="005878FA"/>
    <w:rsid w:val="005903CA"/>
    <w:rsid w:val="0059094B"/>
    <w:rsid w:val="00590DE7"/>
    <w:rsid w:val="0059119F"/>
    <w:rsid w:val="00591969"/>
    <w:rsid w:val="00591BE5"/>
    <w:rsid w:val="00591F1F"/>
    <w:rsid w:val="00592196"/>
    <w:rsid w:val="00592309"/>
    <w:rsid w:val="005923C1"/>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916"/>
    <w:rsid w:val="00596D11"/>
    <w:rsid w:val="005970BA"/>
    <w:rsid w:val="005977BE"/>
    <w:rsid w:val="0059781F"/>
    <w:rsid w:val="00597AB4"/>
    <w:rsid w:val="00597ABC"/>
    <w:rsid w:val="00597B39"/>
    <w:rsid w:val="005A000C"/>
    <w:rsid w:val="005A0121"/>
    <w:rsid w:val="005A01AE"/>
    <w:rsid w:val="005A11BE"/>
    <w:rsid w:val="005A14A0"/>
    <w:rsid w:val="005A1706"/>
    <w:rsid w:val="005A18B0"/>
    <w:rsid w:val="005A1EEF"/>
    <w:rsid w:val="005A25E1"/>
    <w:rsid w:val="005A2DAC"/>
    <w:rsid w:val="005A30DF"/>
    <w:rsid w:val="005A315C"/>
    <w:rsid w:val="005A331E"/>
    <w:rsid w:val="005A3FC7"/>
    <w:rsid w:val="005A406D"/>
    <w:rsid w:val="005A41D0"/>
    <w:rsid w:val="005A5086"/>
    <w:rsid w:val="005A55F0"/>
    <w:rsid w:val="005A5687"/>
    <w:rsid w:val="005A5827"/>
    <w:rsid w:val="005A5E33"/>
    <w:rsid w:val="005A6113"/>
    <w:rsid w:val="005A6721"/>
    <w:rsid w:val="005A6ADF"/>
    <w:rsid w:val="005A7795"/>
    <w:rsid w:val="005A7926"/>
    <w:rsid w:val="005A7BAC"/>
    <w:rsid w:val="005A7DC1"/>
    <w:rsid w:val="005A7EDD"/>
    <w:rsid w:val="005B0E07"/>
    <w:rsid w:val="005B12F7"/>
    <w:rsid w:val="005B17F5"/>
    <w:rsid w:val="005B18B5"/>
    <w:rsid w:val="005B1A41"/>
    <w:rsid w:val="005B1C29"/>
    <w:rsid w:val="005B308E"/>
    <w:rsid w:val="005B366E"/>
    <w:rsid w:val="005B3812"/>
    <w:rsid w:val="005B3DBA"/>
    <w:rsid w:val="005B4378"/>
    <w:rsid w:val="005B4590"/>
    <w:rsid w:val="005B4924"/>
    <w:rsid w:val="005B4986"/>
    <w:rsid w:val="005B49A2"/>
    <w:rsid w:val="005B4E67"/>
    <w:rsid w:val="005B527E"/>
    <w:rsid w:val="005B547B"/>
    <w:rsid w:val="005B55D1"/>
    <w:rsid w:val="005B622F"/>
    <w:rsid w:val="005B69FC"/>
    <w:rsid w:val="005B76AC"/>
    <w:rsid w:val="005C0430"/>
    <w:rsid w:val="005C092E"/>
    <w:rsid w:val="005C0B77"/>
    <w:rsid w:val="005C0FD7"/>
    <w:rsid w:val="005C12D7"/>
    <w:rsid w:val="005C196F"/>
    <w:rsid w:val="005C20E2"/>
    <w:rsid w:val="005C230F"/>
    <w:rsid w:val="005C245B"/>
    <w:rsid w:val="005C289E"/>
    <w:rsid w:val="005C29C7"/>
    <w:rsid w:val="005C2C7D"/>
    <w:rsid w:val="005C2FAF"/>
    <w:rsid w:val="005C3021"/>
    <w:rsid w:val="005C333B"/>
    <w:rsid w:val="005C395C"/>
    <w:rsid w:val="005C4D9D"/>
    <w:rsid w:val="005C5288"/>
    <w:rsid w:val="005C53BD"/>
    <w:rsid w:val="005C5861"/>
    <w:rsid w:val="005C6042"/>
    <w:rsid w:val="005C6F6A"/>
    <w:rsid w:val="005C7278"/>
    <w:rsid w:val="005C75AB"/>
    <w:rsid w:val="005C77DB"/>
    <w:rsid w:val="005C79A7"/>
    <w:rsid w:val="005D0B20"/>
    <w:rsid w:val="005D0DA2"/>
    <w:rsid w:val="005D119F"/>
    <w:rsid w:val="005D1315"/>
    <w:rsid w:val="005D131E"/>
    <w:rsid w:val="005D1843"/>
    <w:rsid w:val="005D18BA"/>
    <w:rsid w:val="005D1D0A"/>
    <w:rsid w:val="005D2389"/>
    <w:rsid w:val="005D2604"/>
    <w:rsid w:val="005D2E6F"/>
    <w:rsid w:val="005D321D"/>
    <w:rsid w:val="005D3857"/>
    <w:rsid w:val="005D3B5D"/>
    <w:rsid w:val="005D3F90"/>
    <w:rsid w:val="005D400E"/>
    <w:rsid w:val="005D441C"/>
    <w:rsid w:val="005D449D"/>
    <w:rsid w:val="005D5163"/>
    <w:rsid w:val="005D525A"/>
    <w:rsid w:val="005D5311"/>
    <w:rsid w:val="005D5336"/>
    <w:rsid w:val="005D53AF"/>
    <w:rsid w:val="005D54ED"/>
    <w:rsid w:val="005D55AF"/>
    <w:rsid w:val="005D57DA"/>
    <w:rsid w:val="005D5862"/>
    <w:rsid w:val="005D5C78"/>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5AE"/>
    <w:rsid w:val="005E1625"/>
    <w:rsid w:val="005E1630"/>
    <w:rsid w:val="005E182E"/>
    <w:rsid w:val="005E1E37"/>
    <w:rsid w:val="005E1F4A"/>
    <w:rsid w:val="005E2B2A"/>
    <w:rsid w:val="005E3454"/>
    <w:rsid w:val="005E3DCB"/>
    <w:rsid w:val="005E44B7"/>
    <w:rsid w:val="005E4A8D"/>
    <w:rsid w:val="005E4E1C"/>
    <w:rsid w:val="005E4FC2"/>
    <w:rsid w:val="005E5C26"/>
    <w:rsid w:val="005E5C89"/>
    <w:rsid w:val="005E5E3F"/>
    <w:rsid w:val="005E60C5"/>
    <w:rsid w:val="005E703E"/>
    <w:rsid w:val="005E758A"/>
    <w:rsid w:val="005E790C"/>
    <w:rsid w:val="005E7DB1"/>
    <w:rsid w:val="005F0733"/>
    <w:rsid w:val="005F07B6"/>
    <w:rsid w:val="005F0A6A"/>
    <w:rsid w:val="005F0AE8"/>
    <w:rsid w:val="005F0FD4"/>
    <w:rsid w:val="005F14A0"/>
    <w:rsid w:val="005F1C68"/>
    <w:rsid w:val="005F3049"/>
    <w:rsid w:val="005F3130"/>
    <w:rsid w:val="005F3A70"/>
    <w:rsid w:val="005F3F35"/>
    <w:rsid w:val="005F44EB"/>
    <w:rsid w:val="005F47E6"/>
    <w:rsid w:val="005F4A59"/>
    <w:rsid w:val="005F4B4A"/>
    <w:rsid w:val="005F4E46"/>
    <w:rsid w:val="005F4E86"/>
    <w:rsid w:val="005F4F54"/>
    <w:rsid w:val="005F506D"/>
    <w:rsid w:val="005F5272"/>
    <w:rsid w:val="005F56D4"/>
    <w:rsid w:val="005F57A9"/>
    <w:rsid w:val="005F59F9"/>
    <w:rsid w:val="005F5C29"/>
    <w:rsid w:val="005F5CAB"/>
    <w:rsid w:val="005F74B0"/>
    <w:rsid w:val="005F7AFC"/>
    <w:rsid w:val="006000B3"/>
    <w:rsid w:val="00600C85"/>
    <w:rsid w:val="00600D12"/>
    <w:rsid w:val="006010B4"/>
    <w:rsid w:val="006018E0"/>
    <w:rsid w:val="00602739"/>
    <w:rsid w:val="006028E5"/>
    <w:rsid w:val="00602926"/>
    <w:rsid w:val="006029AE"/>
    <w:rsid w:val="00602C51"/>
    <w:rsid w:val="00602CEC"/>
    <w:rsid w:val="00603611"/>
    <w:rsid w:val="0060366F"/>
    <w:rsid w:val="006036C9"/>
    <w:rsid w:val="00603A56"/>
    <w:rsid w:val="00603ED6"/>
    <w:rsid w:val="0060437B"/>
    <w:rsid w:val="00604D9E"/>
    <w:rsid w:val="00604FF7"/>
    <w:rsid w:val="00605015"/>
    <w:rsid w:val="00605474"/>
    <w:rsid w:val="00605C12"/>
    <w:rsid w:val="00605ED3"/>
    <w:rsid w:val="00605FE5"/>
    <w:rsid w:val="00606CE2"/>
    <w:rsid w:val="00606FDA"/>
    <w:rsid w:val="0060717B"/>
    <w:rsid w:val="006073DD"/>
    <w:rsid w:val="0060787D"/>
    <w:rsid w:val="00607CFD"/>
    <w:rsid w:val="006103C0"/>
    <w:rsid w:val="00610403"/>
    <w:rsid w:val="00610435"/>
    <w:rsid w:val="0061180C"/>
    <w:rsid w:val="00611CBF"/>
    <w:rsid w:val="0061256C"/>
    <w:rsid w:val="0061355A"/>
    <w:rsid w:val="006136CB"/>
    <w:rsid w:val="006139C7"/>
    <w:rsid w:val="00613CAD"/>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201E6"/>
    <w:rsid w:val="006208FB"/>
    <w:rsid w:val="00620AE0"/>
    <w:rsid w:val="00620D02"/>
    <w:rsid w:val="00620F43"/>
    <w:rsid w:val="00621277"/>
    <w:rsid w:val="0062155B"/>
    <w:rsid w:val="00621626"/>
    <w:rsid w:val="00621962"/>
    <w:rsid w:val="00621A4F"/>
    <w:rsid w:val="00622228"/>
    <w:rsid w:val="006222FA"/>
    <w:rsid w:val="00622373"/>
    <w:rsid w:val="0062263D"/>
    <w:rsid w:val="006229C7"/>
    <w:rsid w:val="00622ADB"/>
    <w:rsid w:val="00622B74"/>
    <w:rsid w:val="00623697"/>
    <w:rsid w:val="00623D48"/>
    <w:rsid w:val="00623DA5"/>
    <w:rsid w:val="006240D5"/>
    <w:rsid w:val="00624876"/>
    <w:rsid w:val="00624B78"/>
    <w:rsid w:val="00624CFB"/>
    <w:rsid w:val="00624DBD"/>
    <w:rsid w:val="00624EDA"/>
    <w:rsid w:val="0062578C"/>
    <w:rsid w:val="006257F4"/>
    <w:rsid w:val="00625F70"/>
    <w:rsid w:val="00626270"/>
    <w:rsid w:val="006268EA"/>
    <w:rsid w:val="00626CC8"/>
    <w:rsid w:val="006270C5"/>
    <w:rsid w:val="00627AE8"/>
    <w:rsid w:val="00627CD1"/>
    <w:rsid w:val="00627F78"/>
    <w:rsid w:val="00630452"/>
    <w:rsid w:val="006309EA"/>
    <w:rsid w:val="00631FAD"/>
    <w:rsid w:val="00632574"/>
    <w:rsid w:val="00632AA3"/>
    <w:rsid w:val="006335C7"/>
    <w:rsid w:val="006335DD"/>
    <w:rsid w:val="00633846"/>
    <w:rsid w:val="00633C8D"/>
    <w:rsid w:val="006343DD"/>
    <w:rsid w:val="006347F7"/>
    <w:rsid w:val="00634A22"/>
    <w:rsid w:val="00634D14"/>
    <w:rsid w:val="00634EEF"/>
    <w:rsid w:val="00635246"/>
    <w:rsid w:val="006352A8"/>
    <w:rsid w:val="0063655A"/>
    <w:rsid w:val="0063688F"/>
    <w:rsid w:val="006372DC"/>
    <w:rsid w:val="00637DA2"/>
    <w:rsid w:val="00640B02"/>
    <w:rsid w:val="00640D78"/>
    <w:rsid w:val="006411A4"/>
    <w:rsid w:val="0064294C"/>
    <w:rsid w:val="0064319E"/>
    <w:rsid w:val="00644528"/>
    <w:rsid w:val="006447A9"/>
    <w:rsid w:val="00644AF4"/>
    <w:rsid w:val="00644BBF"/>
    <w:rsid w:val="00645033"/>
    <w:rsid w:val="00645699"/>
    <w:rsid w:val="00645828"/>
    <w:rsid w:val="00645A08"/>
    <w:rsid w:val="00645F42"/>
    <w:rsid w:val="006468ED"/>
    <w:rsid w:val="0064732A"/>
    <w:rsid w:val="00647A25"/>
    <w:rsid w:val="0065039F"/>
    <w:rsid w:val="006506E1"/>
    <w:rsid w:val="0065131E"/>
    <w:rsid w:val="00651DDC"/>
    <w:rsid w:val="006520C9"/>
    <w:rsid w:val="0065239C"/>
    <w:rsid w:val="00652720"/>
    <w:rsid w:val="00653430"/>
    <w:rsid w:val="006535D4"/>
    <w:rsid w:val="00653F7D"/>
    <w:rsid w:val="00653FBA"/>
    <w:rsid w:val="0065447D"/>
    <w:rsid w:val="00655176"/>
    <w:rsid w:val="00655652"/>
    <w:rsid w:val="00655994"/>
    <w:rsid w:val="00655C13"/>
    <w:rsid w:val="006560FE"/>
    <w:rsid w:val="006568D5"/>
    <w:rsid w:val="00656ED0"/>
    <w:rsid w:val="006570BB"/>
    <w:rsid w:val="0065774D"/>
    <w:rsid w:val="00657939"/>
    <w:rsid w:val="00660A00"/>
    <w:rsid w:val="00660A85"/>
    <w:rsid w:val="00660DC6"/>
    <w:rsid w:val="00661850"/>
    <w:rsid w:val="00662052"/>
    <w:rsid w:val="00662279"/>
    <w:rsid w:val="00662BCD"/>
    <w:rsid w:val="00662D61"/>
    <w:rsid w:val="0066355A"/>
    <w:rsid w:val="00663F86"/>
    <w:rsid w:val="00664BB8"/>
    <w:rsid w:val="00664CCF"/>
    <w:rsid w:val="0066513E"/>
    <w:rsid w:val="006651BC"/>
    <w:rsid w:val="00665525"/>
    <w:rsid w:val="00665E25"/>
    <w:rsid w:val="0066624B"/>
    <w:rsid w:val="006666A2"/>
    <w:rsid w:val="00666AD9"/>
    <w:rsid w:val="00666BEA"/>
    <w:rsid w:val="006670C1"/>
    <w:rsid w:val="006671E8"/>
    <w:rsid w:val="00667330"/>
    <w:rsid w:val="00667BF9"/>
    <w:rsid w:val="006702DF"/>
    <w:rsid w:val="006707F0"/>
    <w:rsid w:val="00670D6C"/>
    <w:rsid w:val="00670E6E"/>
    <w:rsid w:val="0067124E"/>
    <w:rsid w:val="00671BCE"/>
    <w:rsid w:val="00672866"/>
    <w:rsid w:val="0067319A"/>
    <w:rsid w:val="006732F7"/>
    <w:rsid w:val="0067365B"/>
    <w:rsid w:val="00673764"/>
    <w:rsid w:val="00676268"/>
    <w:rsid w:val="0067642C"/>
    <w:rsid w:val="00676997"/>
    <w:rsid w:val="00676CDE"/>
    <w:rsid w:val="0067719B"/>
    <w:rsid w:val="0067771F"/>
    <w:rsid w:val="00677996"/>
    <w:rsid w:val="00677BBB"/>
    <w:rsid w:val="00680125"/>
    <w:rsid w:val="00680200"/>
    <w:rsid w:val="00680471"/>
    <w:rsid w:val="00680DCA"/>
    <w:rsid w:val="00681593"/>
    <w:rsid w:val="00681670"/>
    <w:rsid w:val="00681B4A"/>
    <w:rsid w:val="00683B94"/>
    <w:rsid w:val="00683CE3"/>
    <w:rsid w:val="00683EE2"/>
    <w:rsid w:val="006840D4"/>
    <w:rsid w:val="0068468C"/>
    <w:rsid w:val="00684A69"/>
    <w:rsid w:val="00684D20"/>
    <w:rsid w:val="006856A4"/>
    <w:rsid w:val="00685F1F"/>
    <w:rsid w:val="006864B5"/>
    <w:rsid w:val="006866D6"/>
    <w:rsid w:val="00686818"/>
    <w:rsid w:val="006869EB"/>
    <w:rsid w:val="00687166"/>
    <w:rsid w:val="00687499"/>
    <w:rsid w:val="00687A3F"/>
    <w:rsid w:val="00687E68"/>
    <w:rsid w:val="00687F1C"/>
    <w:rsid w:val="00690369"/>
    <w:rsid w:val="00690446"/>
    <w:rsid w:val="00690920"/>
    <w:rsid w:val="00690A47"/>
    <w:rsid w:val="006910F6"/>
    <w:rsid w:val="0069129A"/>
    <w:rsid w:val="00691D0F"/>
    <w:rsid w:val="0069331D"/>
    <w:rsid w:val="00693412"/>
    <w:rsid w:val="006935B5"/>
    <w:rsid w:val="0069369C"/>
    <w:rsid w:val="00693F16"/>
    <w:rsid w:val="0069537C"/>
    <w:rsid w:val="006954BC"/>
    <w:rsid w:val="00695711"/>
    <w:rsid w:val="00695CAC"/>
    <w:rsid w:val="00695E45"/>
    <w:rsid w:val="00696A0B"/>
    <w:rsid w:val="00697732"/>
    <w:rsid w:val="00697984"/>
    <w:rsid w:val="00697AD3"/>
    <w:rsid w:val="00697B1F"/>
    <w:rsid w:val="006A043D"/>
    <w:rsid w:val="006A0741"/>
    <w:rsid w:val="006A0CE3"/>
    <w:rsid w:val="006A1254"/>
    <w:rsid w:val="006A1E02"/>
    <w:rsid w:val="006A273D"/>
    <w:rsid w:val="006A398F"/>
    <w:rsid w:val="006A415E"/>
    <w:rsid w:val="006A43C6"/>
    <w:rsid w:val="006A518E"/>
    <w:rsid w:val="006A5346"/>
    <w:rsid w:val="006A5AAF"/>
    <w:rsid w:val="006A5EA6"/>
    <w:rsid w:val="006A5F98"/>
    <w:rsid w:val="006A64E0"/>
    <w:rsid w:val="006A71DE"/>
    <w:rsid w:val="006A73AF"/>
    <w:rsid w:val="006A7874"/>
    <w:rsid w:val="006A7A27"/>
    <w:rsid w:val="006A7F32"/>
    <w:rsid w:val="006B0F1B"/>
    <w:rsid w:val="006B14C2"/>
    <w:rsid w:val="006B17A5"/>
    <w:rsid w:val="006B1AE8"/>
    <w:rsid w:val="006B1D10"/>
    <w:rsid w:val="006B2196"/>
    <w:rsid w:val="006B2270"/>
    <w:rsid w:val="006B23B3"/>
    <w:rsid w:val="006B24B2"/>
    <w:rsid w:val="006B292D"/>
    <w:rsid w:val="006B29FF"/>
    <w:rsid w:val="006B2E82"/>
    <w:rsid w:val="006B3196"/>
    <w:rsid w:val="006B37A7"/>
    <w:rsid w:val="006B3B8E"/>
    <w:rsid w:val="006B3FBB"/>
    <w:rsid w:val="006B4063"/>
    <w:rsid w:val="006B4F12"/>
    <w:rsid w:val="006B5096"/>
    <w:rsid w:val="006B5144"/>
    <w:rsid w:val="006B5211"/>
    <w:rsid w:val="006B525D"/>
    <w:rsid w:val="006B5A30"/>
    <w:rsid w:val="006B5DF8"/>
    <w:rsid w:val="006B5FB7"/>
    <w:rsid w:val="006B6B7A"/>
    <w:rsid w:val="006B720F"/>
    <w:rsid w:val="006B7353"/>
    <w:rsid w:val="006B7A92"/>
    <w:rsid w:val="006B7A9D"/>
    <w:rsid w:val="006C00F3"/>
    <w:rsid w:val="006C126E"/>
    <w:rsid w:val="006C14C2"/>
    <w:rsid w:val="006C1D40"/>
    <w:rsid w:val="006C1FC6"/>
    <w:rsid w:val="006C2231"/>
    <w:rsid w:val="006C33B8"/>
    <w:rsid w:val="006C3A6D"/>
    <w:rsid w:val="006C3CBA"/>
    <w:rsid w:val="006C3D7C"/>
    <w:rsid w:val="006C3E4C"/>
    <w:rsid w:val="006C3F99"/>
    <w:rsid w:val="006C4080"/>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CE1"/>
    <w:rsid w:val="006D0D39"/>
    <w:rsid w:val="006D0F07"/>
    <w:rsid w:val="006D14D7"/>
    <w:rsid w:val="006D177E"/>
    <w:rsid w:val="006D19AF"/>
    <w:rsid w:val="006D4010"/>
    <w:rsid w:val="006D4DEF"/>
    <w:rsid w:val="006D57FE"/>
    <w:rsid w:val="006D5EA6"/>
    <w:rsid w:val="006D5FD8"/>
    <w:rsid w:val="006D604D"/>
    <w:rsid w:val="006D634C"/>
    <w:rsid w:val="006E03E4"/>
    <w:rsid w:val="006E06E0"/>
    <w:rsid w:val="006E0CA3"/>
    <w:rsid w:val="006E0EA9"/>
    <w:rsid w:val="006E0F39"/>
    <w:rsid w:val="006E14CC"/>
    <w:rsid w:val="006E1DD2"/>
    <w:rsid w:val="006E2120"/>
    <w:rsid w:val="006E2605"/>
    <w:rsid w:val="006E26FA"/>
    <w:rsid w:val="006E305A"/>
    <w:rsid w:val="006E3454"/>
    <w:rsid w:val="006E362C"/>
    <w:rsid w:val="006E3A3E"/>
    <w:rsid w:val="006E3C95"/>
    <w:rsid w:val="006E3EAC"/>
    <w:rsid w:val="006E43EC"/>
    <w:rsid w:val="006E496E"/>
    <w:rsid w:val="006E56EA"/>
    <w:rsid w:val="006E5E5C"/>
    <w:rsid w:val="006E60C8"/>
    <w:rsid w:val="006E6696"/>
    <w:rsid w:val="006E69FF"/>
    <w:rsid w:val="006E6A73"/>
    <w:rsid w:val="006E6FA3"/>
    <w:rsid w:val="006E71AB"/>
    <w:rsid w:val="006E7844"/>
    <w:rsid w:val="006E7B4D"/>
    <w:rsid w:val="006F001E"/>
    <w:rsid w:val="006F0082"/>
    <w:rsid w:val="006F01FB"/>
    <w:rsid w:val="006F078A"/>
    <w:rsid w:val="006F109A"/>
    <w:rsid w:val="006F1EF5"/>
    <w:rsid w:val="006F21EE"/>
    <w:rsid w:val="006F2C11"/>
    <w:rsid w:val="006F32EC"/>
    <w:rsid w:val="006F34BE"/>
    <w:rsid w:val="006F3D34"/>
    <w:rsid w:val="006F434E"/>
    <w:rsid w:val="006F4894"/>
    <w:rsid w:val="006F51DF"/>
    <w:rsid w:val="006F5277"/>
    <w:rsid w:val="006F571C"/>
    <w:rsid w:val="006F6047"/>
    <w:rsid w:val="006F6A56"/>
    <w:rsid w:val="006F6C22"/>
    <w:rsid w:val="006F6C7B"/>
    <w:rsid w:val="006F73B0"/>
    <w:rsid w:val="006F73BF"/>
    <w:rsid w:val="006F7E2D"/>
    <w:rsid w:val="00700BDC"/>
    <w:rsid w:val="00700FA4"/>
    <w:rsid w:val="007010A2"/>
    <w:rsid w:val="0070158E"/>
    <w:rsid w:val="007015F7"/>
    <w:rsid w:val="007018D7"/>
    <w:rsid w:val="00701952"/>
    <w:rsid w:val="00702691"/>
    <w:rsid w:val="00703088"/>
    <w:rsid w:val="0070346A"/>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A69"/>
    <w:rsid w:val="0070735C"/>
    <w:rsid w:val="0070737A"/>
    <w:rsid w:val="007073D9"/>
    <w:rsid w:val="007100AF"/>
    <w:rsid w:val="0071011D"/>
    <w:rsid w:val="007107E0"/>
    <w:rsid w:val="007108E1"/>
    <w:rsid w:val="00710A63"/>
    <w:rsid w:val="00711172"/>
    <w:rsid w:val="00711B00"/>
    <w:rsid w:val="00711D85"/>
    <w:rsid w:val="007120CF"/>
    <w:rsid w:val="0071221A"/>
    <w:rsid w:val="007131A6"/>
    <w:rsid w:val="0071323E"/>
    <w:rsid w:val="00714C82"/>
    <w:rsid w:val="00714EA2"/>
    <w:rsid w:val="00715D3A"/>
    <w:rsid w:val="0071698A"/>
    <w:rsid w:val="00716A5F"/>
    <w:rsid w:val="007170BE"/>
    <w:rsid w:val="007170FD"/>
    <w:rsid w:val="00717195"/>
    <w:rsid w:val="0071743B"/>
    <w:rsid w:val="00717C65"/>
    <w:rsid w:val="00717EE8"/>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6088"/>
    <w:rsid w:val="00726943"/>
    <w:rsid w:val="00726D0C"/>
    <w:rsid w:val="00727AFF"/>
    <w:rsid w:val="00727E06"/>
    <w:rsid w:val="0073087D"/>
    <w:rsid w:val="00730CA7"/>
    <w:rsid w:val="00732A02"/>
    <w:rsid w:val="00732F02"/>
    <w:rsid w:val="007336C5"/>
    <w:rsid w:val="007348F9"/>
    <w:rsid w:val="00734A0E"/>
    <w:rsid w:val="00734AFC"/>
    <w:rsid w:val="00734D17"/>
    <w:rsid w:val="00735CAF"/>
    <w:rsid w:val="00736969"/>
    <w:rsid w:val="007369C5"/>
    <w:rsid w:val="00736C77"/>
    <w:rsid w:val="0073734F"/>
    <w:rsid w:val="007376EF"/>
    <w:rsid w:val="007404C2"/>
    <w:rsid w:val="0074070A"/>
    <w:rsid w:val="00740A1A"/>
    <w:rsid w:val="007412C5"/>
    <w:rsid w:val="00741994"/>
    <w:rsid w:val="00741A96"/>
    <w:rsid w:val="007420FC"/>
    <w:rsid w:val="00742658"/>
    <w:rsid w:val="0074280D"/>
    <w:rsid w:val="00742DE5"/>
    <w:rsid w:val="00743A3A"/>
    <w:rsid w:val="007440DA"/>
    <w:rsid w:val="00744723"/>
    <w:rsid w:val="00744C3C"/>
    <w:rsid w:val="00745410"/>
    <w:rsid w:val="0074556D"/>
    <w:rsid w:val="00745977"/>
    <w:rsid w:val="00745C5B"/>
    <w:rsid w:val="00745F42"/>
    <w:rsid w:val="007460AA"/>
    <w:rsid w:val="00746402"/>
    <w:rsid w:val="007466E3"/>
    <w:rsid w:val="00746D76"/>
    <w:rsid w:val="00747A05"/>
    <w:rsid w:val="00750157"/>
    <w:rsid w:val="00750A09"/>
    <w:rsid w:val="00750FF7"/>
    <w:rsid w:val="007512AD"/>
    <w:rsid w:val="007521FE"/>
    <w:rsid w:val="00752728"/>
    <w:rsid w:val="00752FB6"/>
    <w:rsid w:val="00753F40"/>
    <w:rsid w:val="00754B2B"/>
    <w:rsid w:val="0075500A"/>
    <w:rsid w:val="007551AE"/>
    <w:rsid w:val="0075538F"/>
    <w:rsid w:val="0075571A"/>
    <w:rsid w:val="00755C74"/>
    <w:rsid w:val="00755E74"/>
    <w:rsid w:val="00756242"/>
    <w:rsid w:val="007571BC"/>
    <w:rsid w:val="00757BAA"/>
    <w:rsid w:val="00757F11"/>
    <w:rsid w:val="00760187"/>
    <w:rsid w:val="007602AF"/>
    <w:rsid w:val="00760342"/>
    <w:rsid w:val="0076086A"/>
    <w:rsid w:val="00760A3C"/>
    <w:rsid w:val="00761102"/>
    <w:rsid w:val="007612E1"/>
    <w:rsid w:val="0076135D"/>
    <w:rsid w:val="00761944"/>
    <w:rsid w:val="00761B35"/>
    <w:rsid w:val="007629D9"/>
    <w:rsid w:val="00764128"/>
    <w:rsid w:val="00764307"/>
    <w:rsid w:val="00764767"/>
    <w:rsid w:val="00765234"/>
    <w:rsid w:val="00765F6A"/>
    <w:rsid w:val="00765F97"/>
    <w:rsid w:val="00766038"/>
    <w:rsid w:val="00766057"/>
    <w:rsid w:val="007666BA"/>
    <w:rsid w:val="00766BD6"/>
    <w:rsid w:val="00766F45"/>
    <w:rsid w:val="007670F4"/>
    <w:rsid w:val="0076768F"/>
    <w:rsid w:val="00767708"/>
    <w:rsid w:val="0077080D"/>
    <w:rsid w:val="00770D6D"/>
    <w:rsid w:val="00771020"/>
    <w:rsid w:val="0077193C"/>
    <w:rsid w:val="00771CC7"/>
    <w:rsid w:val="0077218B"/>
    <w:rsid w:val="007721FA"/>
    <w:rsid w:val="007723AB"/>
    <w:rsid w:val="007727DA"/>
    <w:rsid w:val="0077289A"/>
    <w:rsid w:val="007729EF"/>
    <w:rsid w:val="00772CDC"/>
    <w:rsid w:val="00772ECB"/>
    <w:rsid w:val="00773DE2"/>
    <w:rsid w:val="00773ED3"/>
    <w:rsid w:val="00774084"/>
    <w:rsid w:val="007743B2"/>
    <w:rsid w:val="0077463D"/>
    <w:rsid w:val="007748AE"/>
    <w:rsid w:val="00774D67"/>
    <w:rsid w:val="0077549D"/>
    <w:rsid w:val="0077580E"/>
    <w:rsid w:val="00775965"/>
    <w:rsid w:val="00776322"/>
    <w:rsid w:val="007766BF"/>
    <w:rsid w:val="007769D2"/>
    <w:rsid w:val="00776BA0"/>
    <w:rsid w:val="00776C86"/>
    <w:rsid w:val="00776E6F"/>
    <w:rsid w:val="00776EBD"/>
    <w:rsid w:val="00777348"/>
    <w:rsid w:val="00777EB7"/>
    <w:rsid w:val="00780215"/>
    <w:rsid w:val="00780C4A"/>
    <w:rsid w:val="00780F74"/>
    <w:rsid w:val="007811E3"/>
    <w:rsid w:val="007813D0"/>
    <w:rsid w:val="00781545"/>
    <w:rsid w:val="0078167A"/>
    <w:rsid w:val="00781C15"/>
    <w:rsid w:val="00781CEE"/>
    <w:rsid w:val="007822FA"/>
    <w:rsid w:val="007827BB"/>
    <w:rsid w:val="0078288A"/>
    <w:rsid w:val="00782D85"/>
    <w:rsid w:val="00782F1F"/>
    <w:rsid w:val="0078386F"/>
    <w:rsid w:val="00783C10"/>
    <w:rsid w:val="00784B4E"/>
    <w:rsid w:val="00784DBE"/>
    <w:rsid w:val="00785617"/>
    <w:rsid w:val="00785EDB"/>
    <w:rsid w:val="007863E0"/>
    <w:rsid w:val="00786AD9"/>
    <w:rsid w:val="00786C07"/>
    <w:rsid w:val="00786C1B"/>
    <w:rsid w:val="00787325"/>
    <w:rsid w:val="00787817"/>
    <w:rsid w:val="00787CEE"/>
    <w:rsid w:val="00787E63"/>
    <w:rsid w:val="00787F92"/>
    <w:rsid w:val="007906AB"/>
    <w:rsid w:val="00790840"/>
    <w:rsid w:val="00790A27"/>
    <w:rsid w:val="00790CB8"/>
    <w:rsid w:val="00790DC3"/>
    <w:rsid w:val="00791257"/>
    <w:rsid w:val="00791D8A"/>
    <w:rsid w:val="007923AE"/>
    <w:rsid w:val="00792F81"/>
    <w:rsid w:val="00793D18"/>
    <w:rsid w:val="007942AC"/>
    <w:rsid w:val="0079483D"/>
    <w:rsid w:val="0079506E"/>
    <w:rsid w:val="0079515E"/>
    <w:rsid w:val="007958A8"/>
    <w:rsid w:val="00795920"/>
    <w:rsid w:val="007959B9"/>
    <w:rsid w:val="0079603A"/>
    <w:rsid w:val="007962A4"/>
    <w:rsid w:val="00796470"/>
    <w:rsid w:val="00796537"/>
    <w:rsid w:val="00796FEE"/>
    <w:rsid w:val="007971C5"/>
    <w:rsid w:val="007973DA"/>
    <w:rsid w:val="00797D41"/>
    <w:rsid w:val="007A058B"/>
    <w:rsid w:val="007A100A"/>
    <w:rsid w:val="007A12CE"/>
    <w:rsid w:val="007A1C2F"/>
    <w:rsid w:val="007A1E1B"/>
    <w:rsid w:val="007A27AB"/>
    <w:rsid w:val="007A2A39"/>
    <w:rsid w:val="007A2D9D"/>
    <w:rsid w:val="007A2E28"/>
    <w:rsid w:val="007A2EE6"/>
    <w:rsid w:val="007A334D"/>
    <w:rsid w:val="007A35A1"/>
    <w:rsid w:val="007A401C"/>
    <w:rsid w:val="007A44D9"/>
    <w:rsid w:val="007A47BD"/>
    <w:rsid w:val="007A4836"/>
    <w:rsid w:val="007A4C82"/>
    <w:rsid w:val="007A50E0"/>
    <w:rsid w:val="007A52AC"/>
    <w:rsid w:val="007A60CB"/>
    <w:rsid w:val="007A61EB"/>
    <w:rsid w:val="007A6675"/>
    <w:rsid w:val="007A68D2"/>
    <w:rsid w:val="007A6BE5"/>
    <w:rsid w:val="007A6D3F"/>
    <w:rsid w:val="007A6DAD"/>
    <w:rsid w:val="007A6DF3"/>
    <w:rsid w:val="007A7E5D"/>
    <w:rsid w:val="007A7FAD"/>
    <w:rsid w:val="007B0209"/>
    <w:rsid w:val="007B02D0"/>
    <w:rsid w:val="007B065A"/>
    <w:rsid w:val="007B0A9F"/>
    <w:rsid w:val="007B0DDC"/>
    <w:rsid w:val="007B12AE"/>
    <w:rsid w:val="007B1398"/>
    <w:rsid w:val="007B19BD"/>
    <w:rsid w:val="007B1F6F"/>
    <w:rsid w:val="007B2BE8"/>
    <w:rsid w:val="007B3132"/>
    <w:rsid w:val="007B317B"/>
    <w:rsid w:val="007B3344"/>
    <w:rsid w:val="007B3D5E"/>
    <w:rsid w:val="007B3DF0"/>
    <w:rsid w:val="007B56FD"/>
    <w:rsid w:val="007B607A"/>
    <w:rsid w:val="007B69A0"/>
    <w:rsid w:val="007C0828"/>
    <w:rsid w:val="007C09B7"/>
    <w:rsid w:val="007C0B22"/>
    <w:rsid w:val="007C0BB1"/>
    <w:rsid w:val="007C0C7B"/>
    <w:rsid w:val="007C1316"/>
    <w:rsid w:val="007C1E1A"/>
    <w:rsid w:val="007C1ECD"/>
    <w:rsid w:val="007C2CBB"/>
    <w:rsid w:val="007C302C"/>
    <w:rsid w:val="007C3142"/>
    <w:rsid w:val="007C3569"/>
    <w:rsid w:val="007C3E1C"/>
    <w:rsid w:val="007C4D74"/>
    <w:rsid w:val="007C57BC"/>
    <w:rsid w:val="007C61BD"/>
    <w:rsid w:val="007C6377"/>
    <w:rsid w:val="007C6929"/>
    <w:rsid w:val="007C6C1C"/>
    <w:rsid w:val="007C6E82"/>
    <w:rsid w:val="007C7305"/>
    <w:rsid w:val="007C78CC"/>
    <w:rsid w:val="007C79B5"/>
    <w:rsid w:val="007C7AC2"/>
    <w:rsid w:val="007C7ECD"/>
    <w:rsid w:val="007C7ED9"/>
    <w:rsid w:val="007C7EE8"/>
    <w:rsid w:val="007D1564"/>
    <w:rsid w:val="007D16CC"/>
    <w:rsid w:val="007D1A13"/>
    <w:rsid w:val="007D1B33"/>
    <w:rsid w:val="007D207E"/>
    <w:rsid w:val="007D24A6"/>
    <w:rsid w:val="007D278B"/>
    <w:rsid w:val="007D28C2"/>
    <w:rsid w:val="007D2B08"/>
    <w:rsid w:val="007D2CC6"/>
    <w:rsid w:val="007D2D38"/>
    <w:rsid w:val="007D2D4B"/>
    <w:rsid w:val="007D2F9C"/>
    <w:rsid w:val="007D2FD9"/>
    <w:rsid w:val="007D338E"/>
    <w:rsid w:val="007D3890"/>
    <w:rsid w:val="007D3C01"/>
    <w:rsid w:val="007D472C"/>
    <w:rsid w:val="007D4876"/>
    <w:rsid w:val="007D5299"/>
    <w:rsid w:val="007D56FB"/>
    <w:rsid w:val="007D574B"/>
    <w:rsid w:val="007D591E"/>
    <w:rsid w:val="007D5B30"/>
    <w:rsid w:val="007D5B7E"/>
    <w:rsid w:val="007D6408"/>
    <w:rsid w:val="007D659A"/>
    <w:rsid w:val="007D68C0"/>
    <w:rsid w:val="007D68F1"/>
    <w:rsid w:val="007D6B44"/>
    <w:rsid w:val="007D7033"/>
    <w:rsid w:val="007D7789"/>
    <w:rsid w:val="007D799B"/>
    <w:rsid w:val="007E01DB"/>
    <w:rsid w:val="007E0C0D"/>
    <w:rsid w:val="007E158B"/>
    <w:rsid w:val="007E2039"/>
    <w:rsid w:val="007E27B6"/>
    <w:rsid w:val="007E2C56"/>
    <w:rsid w:val="007E2C58"/>
    <w:rsid w:val="007E32C2"/>
    <w:rsid w:val="007E3445"/>
    <w:rsid w:val="007E37E3"/>
    <w:rsid w:val="007E3812"/>
    <w:rsid w:val="007E3FFF"/>
    <w:rsid w:val="007E40FA"/>
    <w:rsid w:val="007E42C1"/>
    <w:rsid w:val="007E47BC"/>
    <w:rsid w:val="007E4BF2"/>
    <w:rsid w:val="007E4F0D"/>
    <w:rsid w:val="007E4F1E"/>
    <w:rsid w:val="007E52D6"/>
    <w:rsid w:val="007E540F"/>
    <w:rsid w:val="007E6760"/>
    <w:rsid w:val="007E6990"/>
    <w:rsid w:val="007E6C0E"/>
    <w:rsid w:val="007E71B3"/>
    <w:rsid w:val="007E7446"/>
    <w:rsid w:val="007E7A97"/>
    <w:rsid w:val="007F011B"/>
    <w:rsid w:val="007F04AC"/>
    <w:rsid w:val="007F0665"/>
    <w:rsid w:val="007F09DE"/>
    <w:rsid w:val="007F106C"/>
    <w:rsid w:val="007F12F7"/>
    <w:rsid w:val="007F1743"/>
    <w:rsid w:val="007F1B89"/>
    <w:rsid w:val="007F1D4E"/>
    <w:rsid w:val="007F2070"/>
    <w:rsid w:val="007F2822"/>
    <w:rsid w:val="007F29FD"/>
    <w:rsid w:val="007F2A54"/>
    <w:rsid w:val="007F2C40"/>
    <w:rsid w:val="007F3175"/>
    <w:rsid w:val="007F3559"/>
    <w:rsid w:val="007F3A74"/>
    <w:rsid w:val="007F40A7"/>
    <w:rsid w:val="007F4258"/>
    <w:rsid w:val="007F456D"/>
    <w:rsid w:val="007F4847"/>
    <w:rsid w:val="007F4921"/>
    <w:rsid w:val="007F4A8F"/>
    <w:rsid w:val="007F507D"/>
    <w:rsid w:val="007F5217"/>
    <w:rsid w:val="007F5A67"/>
    <w:rsid w:val="007F632D"/>
    <w:rsid w:val="007F642E"/>
    <w:rsid w:val="007F675F"/>
    <w:rsid w:val="007F6DA0"/>
    <w:rsid w:val="007F754F"/>
    <w:rsid w:val="007F76E3"/>
    <w:rsid w:val="0080016A"/>
    <w:rsid w:val="0080066C"/>
    <w:rsid w:val="00801247"/>
    <w:rsid w:val="008013AF"/>
    <w:rsid w:val="0080163E"/>
    <w:rsid w:val="00801DEE"/>
    <w:rsid w:val="00801E8C"/>
    <w:rsid w:val="00802368"/>
    <w:rsid w:val="008024E0"/>
    <w:rsid w:val="008026FD"/>
    <w:rsid w:val="00802779"/>
    <w:rsid w:val="008028A8"/>
    <w:rsid w:val="00802CBB"/>
    <w:rsid w:val="00803257"/>
    <w:rsid w:val="00803786"/>
    <w:rsid w:val="0080435C"/>
    <w:rsid w:val="00804458"/>
    <w:rsid w:val="008044FF"/>
    <w:rsid w:val="00805410"/>
    <w:rsid w:val="00805DCF"/>
    <w:rsid w:val="00805E7B"/>
    <w:rsid w:val="00806168"/>
    <w:rsid w:val="0080618E"/>
    <w:rsid w:val="008061CD"/>
    <w:rsid w:val="008066C0"/>
    <w:rsid w:val="008066F8"/>
    <w:rsid w:val="00806A9D"/>
    <w:rsid w:val="0080700D"/>
    <w:rsid w:val="00807531"/>
    <w:rsid w:val="00807C8C"/>
    <w:rsid w:val="00810668"/>
    <w:rsid w:val="00810873"/>
    <w:rsid w:val="0081097A"/>
    <w:rsid w:val="008112E7"/>
    <w:rsid w:val="00811CF0"/>
    <w:rsid w:val="008122A3"/>
    <w:rsid w:val="008123B4"/>
    <w:rsid w:val="00812407"/>
    <w:rsid w:val="00812577"/>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D3F"/>
    <w:rsid w:val="00815E0B"/>
    <w:rsid w:val="00815FDB"/>
    <w:rsid w:val="00816080"/>
    <w:rsid w:val="008168C7"/>
    <w:rsid w:val="00816AE6"/>
    <w:rsid w:val="00816E12"/>
    <w:rsid w:val="008179B6"/>
    <w:rsid w:val="00817C4A"/>
    <w:rsid w:val="00820340"/>
    <w:rsid w:val="00821345"/>
    <w:rsid w:val="008217E6"/>
    <w:rsid w:val="008220D3"/>
    <w:rsid w:val="0082251F"/>
    <w:rsid w:val="008226E1"/>
    <w:rsid w:val="0082329C"/>
    <w:rsid w:val="00823A6A"/>
    <w:rsid w:val="00824733"/>
    <w:rsid w:val="00824E12"/>
    <w:rsid w:val="00824F2B"/>
    <w:rsid w:val="00825667"/>
    <w:rsid w:val="008256BC"/>
    <w:rsid w:val="0082588D"/>
    <w:rsid w:val="00825D8E"/>
    <w:rsid w:val="0082638C"/>
    <w:rsid w:val="00826576"/>
    <w:rsid w:val="0082677E"/>
    <w:rsid w:val="00826C7C"/>
    <w:rsid w:val="00827573"/>
    <w:rsid w:val="008277C2"/>
    <w:rsid w:val="00827A75"/>
    <w:rsid w:val="00827C6D"/>
    <w:rsid w:val="008301D2"/>
    <w:rsid w:val="008301FA"/>
    <w:rsid w:val="00830C1E"/>
    <w:rsid w:val="00830FA7"/>
    <w:rsid w:val="0083221F"/>
    <w:rsid w:val="00832A9A"/>
    <w:rsid w:val="00832F1F"/>
    <w:rsid w:val="0083315E"/>
    <w:rsid w:val="00833284"/>
    <w:rsid w:val="008336E9"/>
    <w:rsid w:val="00833D75"/>
    <w:rsid w:val="008341F2"/>
    <w:rsid w:val="008341FE"/>
    <w:rsid w:val="00834DEC"/>
    <w:rsid w:val="008351E6"/>
    <w:rsid w:val="008357BB"/>
    <w:rsid w:val="0083591D"/>
    <w:rsid w:val="00835F0E"/>
    <w:rsid w:val="00836E56"/>
    <w:rsid w:val="00836F17"/>
    <w:rsid w:val="00837084"/>
    <w:rsid w:val="0083727B"/>
    <w:rsid w:val="0084005D"/>
    <w:rsid w:val="0084058F"/>
    <w:rsid w:val="00840652"/>
    <w:rsid w:val="008406F4"/>
    <w:rsid w:val="00840E14"/>
    <w:rsid w:val="008419AC"/>
    <w:rsid w:val="0084223B"/>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C45"/>
    <w:rsid w:val="00846676"/>
    <w:rsid w:val="00846CEB"/>
    <w:rsid w:val="008472E7"/>
    <w:rsid w:val="008477E2"/>
    <w:rsid w:val="008509E2"/>
    <w:rsid w:val="00850AE5"/>
    <w:rsid w:val="00850DE9"/>
    <w:rsid w:val="008516EB"/>
    <w:rsid w:val="00851B45"/>
    <w:rsid w:val="00851D78"/>
    <w:rsid w:val="00851DC8"/>
    <w:rsid w:val="00851FE4"/>
    <w:rsid w:val="00852B85"/>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FCB"/>
    <w:rsid w:val="00860471"/>
    <w:rsid w:val="00860531"/>
    <w:rsid w:val="00860703"/>
    <w:rsid w:val="008615D1"/>
    <w:rsid w:val="0086162D"/>
    <w:rsid w:val="00861ACD"/>
    <w:rsid w:val="00861AF4"/>
    <w:rsid w:val="008627D4"/>
    <w:rsid w:val="00862973"/>
    <w:rsid w:val="00862C3F"/>
    <w:rsid w:val="00863B68"/>
    <w:rsid w:val="00864206"/>
    <w:rsid w:val="00864355"/>
    <w:rsid w:val="0086454C"/>
    <w:rsid w:val="00864B20"/>
    <w:rsid w:val="00864B70"/>
    <w:rsid w:val="00864ED9"/>
    <w:rsid w:val="00865235"/>
    <w:rsid w:val="00865485"/>
    <w:rsid w:val="0086589A"/>
    <w:rsid w:val="0086599A"/>
    <w:rsid w:val="00865F3B"/>
    <w:rsid w:val="00866BF5"/>
    <w:rsid w:val="00866C3C"/>
    <w:rsid w:val="00866F37"/>
    <w:rsid w:val="00867CD6"/>
    <w:rsid w:val="008700D7"/>
    <w:rsid w:val="00870428"/>
    <w:rsid w:val="0087099D"/>
    <w:rsid w:val="00870C71"/>
    <w:rsid w:val="00870F78"/>
    <w:rsid w:val="008718D8"/>
    <w:rsid w:val="00871B92"/>
    <w:rsid w:val="00872371"/>
    <w:rsid w:val="00872570"/>
    <w:rsid w:val="008728B3"/>
    <w:rsid w:val="00872E67"/>
    <w:rsid w:val="0087350E"/>
    <w:rsid w:val="00873A3D"/>
    <w:rsid w:val="0087453E"/>
    <w:rsid w:val="00874543"/>
    <w:rsid w:val="00875576"/>
    <w:rsid w:val="00876C49"/>
    <w:rsid w:val="00876EE0"/>
    <w:rsid w:val="008771D9"/>
    <w:rsid w:val="00877229"/>
    <w:rsid w:val="0087747F"/>
    <w:rsid w:val="00877623"/>
    <w:rsid w:val="008779F0"/>
    <w:rsid w:val="00877AA5"/>
    <w:rsid w:val="00877C32"/>
    <w:rsid w:val="00880A24"/>
    <w:rsid w:val="00881303"/>
    <w:rsid w:val="008815F7"/>
    <w:rsid w:val="0088180E"/>
    <w:rsid w:val="0088343A"/>
    <w:rsid w:val="008837F7"/>
    <w:rsid w:val="00883E4F"/>
    <w:rsid w:val="008841AF"/>
    <w:rsid w:val="00884A8F"/>
    <w:rsid w:val="00884A98"/>
    <w:rsid w:val="00885744"/>
    <w:rsid w:val="008857B8"/>
    <w:rsid w:val="00885CE5"/>
    <w:rsid w:val="0088637C"/>
    <w:rsid w:val="008864E1"/>
    <w:rsid w:val="00886717"/>
    <w:rsid w:val="00886D4C"/>
    <w:rsid w:val="008904A2"/>
    <w:rsid w:val="008905DD"/>
    <w:rsid w:val="00890641"/>
    <w:rsid w:val="0089071E"/>
    <w:rsid w:val="00890AD7"/>
    <w:rsid w:val="00890CB3"/>
    <w:rsid w:val="00891276"/>
    <w:rsid w:val="008918A9"/>
    <w:rsid w:val="00891D57"/>
    <w:rsid w:val="00891E71"/>
    <w:rsid w:val="00892114"/>
    <w:rsid w:val="00892384"/>
    <w:rsid w:val="008928B0"/>
    <w:rsid w:val="00893164"/>
    <w:rsid w:val="008938AC"/>
    <w:rsid w:val="00893A0D"/>
    <w:rsid w:val="00893B95"/>
    <w:rsid w:val="00893EF7"/>
    <w:rsid w:val="00893F16"/>
    <w:rsid w:val="008940FF"/>
    <w:rsid w:val="00894264"/>
    <w:rsid w:val="008944E1"/>
    <w:rsid w:val="00894F98"/>
    <w:rsid w:val="0089510C"/>
    <w:rsid w:val="0089546F"/>
    <w:rsid w:val="00895A11"/>
    <w:rsid w:val="008960BA"/>
    <w:rsid w:val="0089629D"/>
    <w:rsid w:val="0089681F"/>
    <w:rsid w:val="00896E81"/>
    <w:rsid w:val="00896E8D"/>
    <w:rsid w:val="008978C3"/>
    <w:rsid w:val="00897C18"/>
    <w:rsid w:val="008A09C6"/>
    <w:rsid w:val="008A109B"/>
    <w:rsid w:val="008A112F"/>
    <w:rsid w:val="008A1846"/>
    <w:rsid w:val="008A197A"/>
    <w:rsid w:val="008A1A54"/>
    <w:rsid w:val="008A1F56"/>
    <w:rsid w:val="008A2659"/>
    <w:rsid w:val="008A29ED"/>
    <w:rsid w:val="008A2A2A"/>
    <w:rsid w:val="008A2E1E"/>
    <w:rsid w:val="008A2FFD"/>
    <w:rsid w:val="008A3161"/>
    <w:rsid w:val="008A34C8"/>
    <w:rsid w:val="008A378B"/>
    <w:rsid w:val="008A38C2"/>
    <w:rsid w:val="008A3944"/>
    <w:rsid w:val="008A403F"/>
    <w:rsid w:val="008A4A30"/>
    <w:rsid w:val="008A4E26"/>
    <w:rsid w:val="008A5368"/>
    <w:rsid w:val="008A5563"/>
    <w:rsid w:val="008A586C"/>
    <w:rsid w:val="008A5D98"/>
    <w:rsid w:val="008A7375"/>
    <w:rsid w:val="008A74FC"/>
    <w:rsid w:val="008A7ABC"/>
    <w:rsid w:val="008B06BA"/>
    <w:rsid w:val="008B075A"/>
    <w:rsid w:val="008B0DA0"/>
    <w:rsid w:val="008B139E"/>
    <w:rsid w:val="008B1632"/>
    <w:rsid w:val="008B18BE"/>
    <w:rsid w:val="008B1E3C"/>
    <w:rsid w:val="008B1E5D"/>
    <w:rsid w:val="008B2AA4"/>
    <w:rsid w:val="008B2F58"/>
    <w:rsid w:val="008B3410"/>
    <w:rsid w:val="008B43A9"/>
    <w:rsid w:val="008B4731"/>
    <w:rsid w:val="008B47D1"/>
    <w:rsid w:val="008B5B04"/>
    <w:rsid w:val="008B5FF6"/>
    <w:rsid w:val="008B6127"/>
    <w:rsid w:val="008B6C1D"/>
    <w:rsid w:val="008B6F96"/>
    <w:rsid w:val="008B709B"/>
    <w:rsid w:val="008B72AB"/>
    <w:rsid w:val="008B7452"/>
    <w:rsid w:val="008B7684"/>
    <w:rsid w:val="008C03CB"/>
    <w:rsid w:val="008C0524"/>
    <w:rsid w:val="008C0699"/>
    <w:rsid w:val="008C083C"/>
    <w:rsid w:val="008C0AEE"/>
    <w:rsid w:val="008C133D"/>
    <w:rsid w:val="008C13A9"/>
    <w:rsid w:val="008C21A9"/>
    <w:rsid w:val="008C2DCC"/>
    <w:rsid w:val="008C3261"/>
    <w:rsid w:val="008C33CF"/>
    <w:rsid w:val="008C346D"/>
    <w:rsid w:val="008C3B2D"/>
    <w:rsid w:val="008C3B84"/>
    <w:rsid w:val="008C419A"/>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65B"/>
    <w:rsid w:val="008D2842"/>
    <w:rsid w:val="008D2971"/>
    <w:rsid w:val="008D2ED9"/>
    <w:rsid w:val="008D2EF5"/>
    <w:rsid w:val="008D3072"/>
    <w:rsid w:val="008D4089"/>
    <w:rsid w:val="008D4D00"/>
    <w:rsid w:val="008D5264"/>
    <w:rsid w:val="008D582E"/>
    <w:rsid w:val="008D5A5B"/>
    <w:rsid w:val="008D5F68"/>
    <w:rsid w:val="008D5FEB"/>
    <w:rsid w:val="008D63B6"/>
    <w:rsid w:val="008D66C5"/>
    <w:rsid w:val="008D6859"/>
    <w:rsid w:val="008D6A3B"/>
    <w:rsid w:val="008D6AC0"/>
    <w:rsid w:val="008D6BD8"/>
    <w:rsid w:val="008D6CFA"/>
    <w:rsid w:val="008D6EF7"/>
    <w:rsid w:val="008D6F1A"/>
    <w:rsid w:val="008D6F31"/>
    <w:rsid w:val="008D6F66"/>
    <w:rsid w:val="008D70DB"/>
    <w:rsid w:val="008E014F"/>
    <w:rsid w:val="008E03AC"/>
    <w:rsid w:val="008E161C"/>
    <w:rsid w:val="008E1674"/>
    <w:rsid w:val="008E1801"/>
    <w:rsid w:val="008E232C"/>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EC8"/>
    <w:rsid w:val="008E6F6E"/>
    <w:rsid w:val="008E7308"/>
    <w:rsid w:val="008E7D40"/>
    <w:rsid w:val="008E7E1C"/>
    <w:rsid w:val="008F0147"/>
    <w:rsid w:val="008F0396"/>
    <w:rsid w:val="008F039E"/>
    <w:rsid w:val="008F0566"/>
    <w:rsid w:val="008F152B"/>
    <w:rsid w:val="008F1923"/>
    <w:rsid w:val="008F219D"/>
    <w:rsid w:val="008F2292"/>
    <w:rsid w:val="008F2385"/>
    <w:rsid w:val="008F247B"/>
    <w:rsid w:val="008F2871"/>
    <w:rsid w:val="008F2C53"/>
    <w:rsid w:val="008F3819"/>
    <w:rsid w:val="008F444A"/>
    <w:rsid w:val="008F46DE"/>
    <w:rsid w:val="008F4932"/>
    <w:rsid w:val="008F5241"/>
    <w:rsid w:val="008F6275"/>
    <w:rsid w:val="008F6757"/>
    <w:rsid w:val="008F6BAA"/>
    <w:rsid w:val="008F6C91"/>
    <w:rsid w:val="008F77F6"/>
    <w:rsid w:val="009000EB"/>
    <w:rsid w:val="00901240"/>
    <w:rsid w:val="00902D6C"/>
    <w:rsid w:val="00903136"/>
    <w:rsid w:val="009037EA"/>
    <w:rsid w:val="00903A70"/>
    <w:rsid w:val="00903B33"/>
    <w:rsid w:val="00903C1E"/>
    <w:rsid w:val="0090404D"/>
    <w:rsid w:val="00904133"/>
    <w:rsid w:val="00904AC2"/>
    <w:rsid w:val="00904D3A"/>
    <w:rsid w:val="00905195"/>
    <w:rsid w:val="00905325"/>
    <w:rsid w:val="009059F6"/>
    <w:rsid w:val="00905ADD"/>
    <w:rsid w:val="0090625B"/>
    <w:rsid w:val="009069D9"/>
    <w:rsid w:val="00906A5F"/>
    <w:rsid w:val="00907246"/>
    <w:rsid w:val="0090760D"/>
    <w:rsid w:val="00907D28"/>
    <w:rsid w:val="00907F15"/>
    <w:rsid w:val="009100BC"/>
    <w:rsid w:val="00910364"/>
    <w:rsid w:val="00910445"/>
    <w:rsid w:val="00910DAB"/>
    <w:rsid w:val="00910EB4"/>
    <w:rsid w:val="009112C5"/>
    <w:rsid w:val="009113D2"/>
    <w:rsid w:val="00911862"/>
    <w:rsid w:val="00911FBE"/>
    <w:rsid w:val="0091210F"/>
    <w:rsid w:val="009121A3"/>
    <w:rsid w:val="009124D0"/>
    <w:rsid w:val="00912621"/>
    <w:rsid w:val="0091280E"/>
    <w:rsid w:val="00912C02"/>
    <w:rsid w:val="00912CA0"/>
    <w:rsid w:val="00912DD7"/>
    <w:rsid w:val="009132BC"/>
    <w:rsid w:val="00913595"/>
    <w:rsid w:val="0091367F"/>
    <w:rsid w:val="00913BA1"/>
    <w:rsid w:val="00913F12"/>
    <w:rsid w:val="00913FE6"/>
    <w:rsid w:val="00914C3F"/>
    <w:rsid w:val="009159E2"/>
    <w:rsid w:val="00915AE6"/>
    <w:rsid w:val="00915B35"/>
    <w:rsid w:val="00915DEB"/>
    <w:rsid w:val="00916000"/>
    <w:rsid w:val="00916147"/>
    <w:rsid w:val="009162E4"/>
    <w:rsid w:val="009172BB"/>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F2"/>
    <w:rsid w:val="00924A3A"/>
    <w:rsid w:val="00924AD7"/>
    <w:rsid w:val="00924AF0"/>
    <w:rsid w:val="00924D9F"/>
    <w:rsid w:val="00930C58"/>
    <w:rsid w:val="009310BE"/>
    <w:rsid w:val="009315E0"/>
    <w:rsid w:val="00931AA3"/>
    <w:rsid w:val="009321BC"/>
    <w:rsid w:val="009322AA"/>
    <w:rsid w:val="0093285E"/>
    <w:rsid w:val="0093289C"/>
    <w:rsid w:val="00934059"/>
    <w:rsid w:val="00934BBD"/>
    <w:rsid w:val="00935B4E"/>
    <w:rsid w:val="00936223"/>
    <w:rsid w:val="00936CB3"/>
    <w:rsid w:val="00936FE5"/>
    <w:rsid w:val="00937262"/>
    <w:rsid w:val="009376F7"/>
    <w:rsid w:val="00937A27"/>
    <w:rsid w:val="00940184"/>
    <w:rsid w:val="009406AE"/>
    <w:rsid w:val="00940DCD"/>
    <w:rsid w:val="0094162A"/>
    <w:rsid w:val="009419C0"/>
    <w:rsid w:val="00941B28"/>
    <w:rsid w:val="00941C77"/>
    <w:rsid w:val="00942443"/>
    <w:rsid w:val="009427E6"/>
    <w:rsid w:val="0094350F"/>
    <w:rsid w:val="009435F1"/>
    <w:rsid w:val="00943AAC"/>
    <w:rsid w:val="00943D9D"/>
    <w:rsid w:val="009440D5"/>
    <w:rsid w:val="00944E98"/>
    <w:rsid w:val="0094551A"/>
    <w:rsid w:val="00945559"/>
    <w:rsid w:val="00945BD9"/>
    <w:rsid w:val="00945CC1"/>
    <w:rsid w:val="00946517"/>
    <w:rsid w:val="009465A2"/>
    <w:rsid w:val="00946A19"/>
    <w:rsid w:val="0094784D"/>
    <w:rsid w:val="00947C89"/>
    <w:rsid w:val="0095037B"/>
    <w:rsid w:val="009504BA"/>
    <w:rsid w:val="00950884"/>
    <w:rsid w:val="00950D8B"/>
    <w:rsid w:val="0095100C"/>
    <w:rsid w:val="00951600"/>
    <w:rsid w:val="00951622"/>
    <w:rsid w:val="00951F1E"/>
    <w:rsid w:val="00951FA1"/>
    <w:rsid w:val="00952316"/>
    <w:rsid w:val="00952A9F"/>
    <w:rsid w:val="00952F44"/>
    <w:rsid w:val="00953095"/>
    <w:rsid w:val="00953B8E"/>
    <w:rsid w:val="00953D64"/>
    <w:rsid w:val="00954154"/>
    <w:rsid w:val="009542B2"/>
    <w:rsid w:val="00954818"/>
    <w:rsid w:val="00954B48"/>
    <w:rsid w:val="00954E80"/>
    <w:rsid w:val="009553E1"/>
    <w:rsid w:val="00955614"/>
    <w:rsid w:val="009557B7"/>
    <w:rsid w:val="00956D93"/>
    <w:rsid w:val="00956DDA"/>
    <w:rsid w:val="0095730C"/>
    <w:rsid w:val="00957A68"/>
    <w:rsid w:val="009600A4"/>
    <w:rsid w:val="0096014A"/>
    <w:rsid w:val="0096021D"/>
    <w:rsid w:val="00960D5C"/>
    <w:rsid w:val="00961A67"/>
    <w:rsid w:val="00961F64"/>
    <w:rsid w:val="0096204E"/>
    <w:rsid w:val="00962A95"/>
    <w:rsid w:val="009631B1"/>
    <w:rsid w:val="00963F82"/>
    <w:rsid w:val="00965774"/>
    <w:rsid w:val="0096603A"/>
    <w:rsid w:val="009664A6"/>
    <w:rsid w:val="0096670C"/>
    <w:rsid w:val="00966C2B"/>
    <w:rsid w:val="00967682"/>
    <w:rsid w:val="00967A2E"/>
    <w:rsid w:val="00967B26"/>
    <w:rsid w:val="00970FF2"/>
    <w:rsid w:val="0097122C"/>
    <w:rsid w:val="009712A1"/>
    <w:rsid w:val="0097159D"/>
    <w:rsid w:val="00971631"/>
    <w:rsid w:val="00971A6E"/>
    <w:rsid w:val="00971D6B"/>
    <w:rsid w:val="009722E9"/>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91A"/>
    <w:rsid w:val="00980AC1"/>
    <w:rsid w:val="00980C67"/>
    <w:rsid w:val="00980CE8"/>
    <w:rsid w:val="00981549"/>
    <w:rsid w:val="009815C4"/>
    <w:rsid w:val="009816AB"/>
    <w:rsid w:val="009817A1"/>
    <w:rsid w:val="00981B24"/>
    <w:rsid w:val="00981D26"/>
    <w:rsid w:val="0098264C"/>
    <w:rsid w:val="009828A8"/>
    <w:rsid w:val="00982DAB"/>
    <w:rsid w:val="009832EF"/>
    <w:rsid w:val="009837D3"/>
    <w:rsid w:val="00983911"/>
    <w:rsid w:val="00983C5F"/>
    <w:rsid w:val="00983E6E"/>
    <w:rsid w:val="00983F89"/>
    <w:rsid w:val="00984E26"/>
    <w:rsid w:val="00985695"/>
    <w:rsid w:val="009858C2"/>
    <w:rsid w:val="00985F45"/>
    <w:rsid w:val="009867A3"/>
    <w:rsid w:val="009868C6"/>
    <w:rsid w:val="00986B93"/>
    <w:rsid w:val="00986C98"/>
    <w:rsid w:val="00986CE0"/>
    <w:rsid w:val="00986CFC"/>
    <w:rsid w:val="009870D8"/>
    <w:rsid w:val="00987FB1"/>
    <w:rsid w:val="0099008A"/>
    <w:rsid w:val="00990261"/>
    <w:rsid w:val="00990854"/>
    <w:rsid w:val="00990C1D"/>
    <w:rsid w:val="00990F67"/>
    <w:rsid w:val="00992413"/>
    <w:rsid w:val="0099264E"/>
    <w:rsid w:val="00992EDA"/>
    <w:rsid w:val="00992F5D"/>
    <w:rsid w:val="009930EA"/>
    <w:rsid w:val="009931C0"/>
    <w:rsid w:val="0099330E"/>
    <w:rsid w:val="00993553"/>
    <w:rsid w:val="00993711"/>
    <w:rsid w:val="009938B2"/>
    <w:rsid w:val="00994559"/>
    <w:rsid w:val="009945B7"/>
    <w:rsid w:val="0099494B"/>
    <w:rsid w:val="00994A87"/>
    <w:rsid w:val="009953A0"/>
    <w:rsid w:val="0099572D"/>
    <w:rsid w:val="00996729"/>
    <w:rsid w:val="0099720A"/>
    <w:rsid w:val="0099790E"/>
    <w:rsid w:val="009A0261"/>
    <w:rsid w:val="009A0355"/>
    <w:rsid w:val="009A099B"/>
    <w:rsid w:val="009A0A57"/>
    <w:rsid w:val="009A1138"/>
    <w:rsid w:val="009A1712"/>
    <w:rsid w:val="009A1A77"/>
    <w:rsid w:val="009A1C70"/>
    <w:rsid w:val="009A1F8C"/>
    <w:rsid w:val="009A2199"/>
    <w:rsid w:val="009A29C2"/>
    <w:rsid w:val="009A30C3"/>
    <w:rsid w:val="009A333B"/>
    <w:rsid w:val="009A36C7"/>
    <w:rsid w:val="009A36FB"/>
    <w:rsid w:val="009A39BA"/>
    <w:rsid w:val="009A3D5E"/>
    <w:rsid w:val="009A41D0"/>
    <w:rsid w:val="009A4953"/>
    <w:rsid w:val="009A4A87"/>
    <w:rsid w:val="009A509B"/>
    <w:rsid w:val="009A511D"/>
    <w:rsid w:val="009A51B2"/>
    <w:rsid w:val="009A599C"/>
    <w:rsid w:val="009A599E"/>
    <w:rsid w:val="009A5A71"/>
    <w:rsid w:val="009A5AD0"/>
    <w:rsid w:val="009A6417"/>
    <w:rsid w:val="009A6918"/>
    <w:rsid w:val="009A6EC4"/>
    <w:rsid w:val="009A72A2"/>
    <w:rsid w:val="009A7414"/>
    <w:rsid w:val="009A7766"/>
    <w:rsid w:val="009A7B3B"/>
    <w:rsid w:val="009B00CA"/>
    <w:rsid w:val="009B04C5"/>
    <w:rsid w:val="009B06B8"/>
    <w:rsid w:val="009B0B84"/>
    <w:rsid w:val="009B0BA8"/>
    <w:rsid w:val="009B13F8"/>
    <w:rsid w:val="009B17E7"/>
    <w:rsid w:val="009B20DA"/>
    <w:rsid w:val="009B2700"/>
    <w:rsid w:val="009B2770"/>
    <w:rsid w:val="009B294C"/>
    <w:rsid w:val="009B29DF"/>
    <w:rsid w:val="009B3927"/>
    <w:rsid w:val="009B3A4D"/>
    <w:rsid w:val="009B3B15"/>
    <w:rsid w:val="009B3D8C"/>
    <w:rsid w:val="009B5639"/>
    <w:rsid w:val="009B591E"/>
    <w:rsid w:val="009B5CEE"/>
    <w:rsid w:val="009B5D33"/>
    <w:rsid w:val="009B5D97"/>
    <w:rsid w:val="009B5F5D"/>
    <w:rsid w:val="009B64C3"/>
    <w:rsid w:val="009B6BFF"/>
    <w:rsid w:val="009B70EB"/>
    <w:rsid w:val="009B7188"/>
    <w:rsid w:val="009B71E2"/>
    <w:rsid w:val="009B7269"/>
    <w:rsid w:val="009B758A"/>
    <w:rsid w:val="009B7598"/>
    <w:rsid w:val="009C0046"/>
    <w:rsid w:val="009C0055"/>
    <w:rsid w:val="009C009E"/>
    <w:rsid w:val="009C0442"/>
    <w:rsid w:val="009C069B"/>
    <w:rsid w:val="009C118D"/>
    <w:rsid w:val="009C1882"/>
    <w:rsid w:val="009C1EDF"/>
    <w:rsid w:val="009C2510"/>
    <w:rsid w:val="009C27FA"/>
    <w:rsid w:val="009C2D0E"/>
    <w:rsid w:val="009C2E97"/>
    <w:rsid w:val="009C3629"/>
    <w:rsid w:val="009C4519"/>
    <w:rsid w:val="009C462C"/>
    <w:rsid w:val="009C49C5"/>
    <w:rsid w:val="009C4C0F"/>
    <w:rsid w:val="009C4C6A"/>
    <w:rsid w:val="009C4D38"/>
    <w:rsid w:val="009C4F0E"/>
    <w:rsid w:val="009C56BE"/>
    <w:rsid w:val="009C57E6"/>
    <w:rsid w:val="009C5AF7"/>
    <w:rsid w:val="009C6E76"/>
    <w:rsid w:val="009C715B"/>
    <w:rsid w:val="009C71E9"/>
    <w:rsid w:val="009C76C4"/>
    <w:rsid w:val="009C7772"/>
    <w:rsid w:val="009C778C"/>
    <w:rsid w:val="009C7BE3"/>
    <w:rsid w:val="009D0100"/>
    <w:rsid w:val="009D08E9"/>
    <w:rsid w:val="009D09F4"/>
    <w:rsid w:val="009D0EF9"/>
    <w:rsid w:val="009D1195"/>
    <w:rsid w:val="009D1DA4"/>
    <w:rsid w:val="009D21E1"/>
    <w:rsid w:val="009D26AF"/>
    <w:rsid w:val="009D2B99"/>
    <w:rsid w:val="009D471B"/>
    <w:rsid w:val="009D49AF"/>
    <w:rsid w:val="009D4B72"/>
    <w:rsid w:val="009D52CF"/>
    <w:rsid w:val="009D5CF2"/>
    <w:rsid w:val="009D67E5"/>
    <w:rsid w:val="009D6A46"/>
    <w:rsid w:val="009D6C2D"/>
    <w:rsid w:val="009E0A8D"/>
    <w:rsid w:val="009E117B"/>
    <w:rsid w:val="009E13C0"/>
    <w:rsid w:val="009E145C"/>
    <w:rsid w:val="009E1C62"/>
    <w:rsid w:val="009E1DBF"/>
    <w:rsid w:val="009E22AF"/>
    <w:rsid w:val="009E2459"/>
    <w:rsid w:val="009E2A9A"/>
    <w:rsid w:val="009E2E90"/>
    <w:rsid w:val="009E31C0"/>
    <w:rsid w:val="009E323C"/>
    <w:rsid w:val="009E339F"/>
    <w:rsid w:val="009E3915"/>
    <w:rsid w:val="009E3CDC"/>
    <w:rsid w:val="009E4165"/>
    <w:rsid w:val="009E45BB"/>
    <w:rsid w:val="009E47CD"/>
    <w:rsid w:val="009E5319"/>
    <w:rsid w:val="009E5669"/>
    <w:rsid w:val="009E6080"/>
    <w:rsid w:val="009E64BF"/>
    <w:rsid w:val="009E65CB"/>
    <w:rsid w:val="009E6DDE"/>
    <w:rsid w:val="009E753F"/>
    <w:rsid w:val="009E75EB"/>
    <w:rsid w:val="009E76FE"/>
    <w:rsid w:val="009E7D32"/>
    <w:rsid w:val="009F0304"/>
    <w:rsid w:val="009F043C"/>
    <w:rsid w:val="009F0F49"/>
    <w:rsid w:val="009F0F9A"/>
    <w:rsid w:val="009F14C5"/>
    <w:rsid w:val="009F161C"/>
    <w:rsid w:val="009F1ABA"/>
    <w:rsid w:val="009F229C"/>
    <w:rsid w:val="009F22B9"/>
    <w:rsid w:val="009F230D"/>
    <w:rsid w:val="009F2366"/>
    <w:rsid w:val="009F2639"/>
    <w:rsid w:val="009F2B66"/>
    <w:rsid w:val="009F2C72"/>
    <w:rsid w:val="009F2D3D"/>
    <w:rsid w:val="009F3338"/>
    <w:rsid w:val="009F374E"/>
    <w:rsid w:val="009F38D9"/>
    <w:rsid w:val="009F40B0"/>
    <w:rsid w:val="009F453E"/>
    <w:rsid w:val="009F464A"/>
    <w:rsid w:val="009F47C2"/>
    <w:rsid w:val="009F486A"/>
    <w:rsid w:val="009F4AEA"/>
    <w:rsid w:val="009F5531"/>
    <w:rsid w:val="009F58C4"/>
    <w:rsid w:val="009F59A8"/>
    <w:rsid w:val="009F5B0F"/>
    <w:rsid w:val="009F5D5E"/>
    <w:rsid w:val="009F60D0"/>
    <w:rsid w:val="009F6652"/>
    <w:rsid w:val="009F66B2"/>
    <w:rsid w:val="009F6924"/>
    <w:rsid w:val="009F6A61"/>
    <w:rsid w:val="009F6DCD"/>
    <w:rsid w:val="009F6F37"/>
    <w:rsid w:val="009F6FB0"/>
    <w:rsid w:val="009F756E"/>
    <w:rsid w:val="009F7734"/>
    <w:rsid w:val="00A0046F"/>
    <w:rsid w:val="00A004DB"/>
    <w:rsid w:val="00A00550"/>
    <w:rsid w:val="00A01479"/>
    <w:rsid w:val="00A016AA"/>
    <w:rsid w:val="00A023A7"/>
    <w:rsid w:val="00A027F3"/>
    <w:rsid w:val="00A0378F"/>
    <w:rsid w:val="00A0393A"/>
    <w:rsid w:val="00A03CB4"/>
    <w:rsid w:val="00A03E70"/>
    <w:rsid w:val="00A04318"/>
    <w:rsid w:val="00A0440A"/>
    <w:rsid w:val="00A04961"/>
    <w:rsid w:val="00A050FF"/>
    <w:rsid w:val="00A05303"/>
    <w:rsid w:val="00A05CFF"/>
    <w:rsid w:val="00A05D7D"/>
    <w:rsid w:val="00A05E75"/>
    <w:rsid w:val="00A064E0"/>
    <w:rsid w:val="00A072AA"/>
    <w:rsid w:val="00A07372"/>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20EE"/>
    <w:rsid w:val="00A127E3"/>
    <w:rsid w:val="00A128B3"/>
    <w:rsid w:val="00A129F5"/>
    <w:rsid w:val="00A1332F"/>
    <w:rsid w:val="00A13AB5"/>
    <w:rsid w:val="00A13E13"/>
    <w:rsid w:val="00A14198"/>
    <w:rsid w:val="00A141CF"/>
    <w:rsid w:val="00A141F5"/>
    <w:rsid w:val="00A143C8"/>
    <w:rsid w:val="00A1455F"/>
    <w:rsid w:val="00A14E4F"/>
    <w:rsid w:val="00A15386"/>
    <w:rsid w:val="00A15538"/>
    <w:rsid w:val="00A15614"/>
    <w:rsid w:val="00A15E0A"/>
    <w:rsid w:val="00A169B0"/>
    <w:rsid w:val="00A16D99"/>
    <w:rsid w:val="00A16FB1"/>
    <w:rsid w:val="00A172DD"/>
    <w:rsid w:val="00A17430"/>
    <w:rsid w:val="00A17508"/>
    <w:rsid w:val="00A17A64"/>
    <w:rsid w:val="00A202F3"/>
    <w:rsid w:val="00A20B81"/>
    <w:rsid w:val="00A2133F"/>
    <w:rsid w:val="00A21457"/>
    <w:rsid w:val="00A218DB"/>
    <w:rsid w:val="00A21922"/>
    <w:rsid w:val="00A21B2B"/>
    <w:rsid w:val="00A21FEB"/>
    <w:rsid w:val="00A2232C"/>
    <w:rsid w:val="00A2281E"/>
    <w:rsid w:val="00A228D9"/>
    <w:rsid w:val="00A23040"/>
    <w:rsid w:val="00A23800"/>
    <w:rsid w:val="00A23D3D"/>
    <w:rsid w:val="00A23F12"/>
    <w:rsid w:val="00A24453"/>
    <w:rsid w:val="00A2471B"/>
    <w:rsid w:val="00A25076"/>
    <w:rsid w:val="00A25379"/>
    <w:rsid w:val="00A25AF6"/>
    <w:rsid w:val="00A261D0"/>
    <w:rsid w:val="00A262D1"/>
    <w:rsid w:val="00A262E4"/>
    <w:rsid w:val="00A265B3"/>
    <w:rsid w:val="00A26E1C"/>
    <w:rsid w:val="00A26EC5"/>
    <w:rsid w:val="00A27172"/>
    <w:rsid w:val="00A271DE"/>
    <w:rsid w:val="00A27234"/>
    <w:rsid w:val="00A272EA"/>
    <w:rsid w:val="00A27B9C"/>
    <w:rsid w:val="00A27E85"/>
    <w:rsid w:val="00A30129"/>
    <w:rsid w:val="00A30B7A"/>
    <w:rsid w:val="00A30D0D"/>
    <w:rsid w:val="00A30FED"/>
    <w:rsid w:val="00A31B8A"/>
    <w:rsid w:val="00A31F75"/>
    <w:rsid w:val="00A32273"/>
    <w:rsid w:val="00A324FD"/>
    <w:rsid w:val="00A328E0"/>
    <w:rsid w:val="00A33020"/>
    <w:rsid w:val="00A3370C"/>
    <w:rsid w:val="00A33794"/>
    <w:rsid w:val="00A33E4B"/>
    <w:rsid w:val="00A3420E"/>
    <w:rsid w:val="00A34C85"/>
    <w:rsid w:val="00A35248"/>
    <w:rsid w:val="00A35D70"/>
    <w:rsid w:val="00A363BE"/>
    <w:rsid w:val="00A364C3"/>
    <w:rsid w:val="00A3686C"/>
    <w:rsid w:val="00A36F96"/>
    <w:rsid w:val="00A36F9B"/>
    <w:rsid w:val="00A3760F"/>
    <w:rsid w:val="00A376FA"/>
    <w:rsid w:val="00A37839"/>
    <w:rsid w:val="00A40917"/>
    <w:rsid w:val="00A410C2"/>
    <w:rsid w:val="00A41656"/>
    <w:rsid w:val="00A41CCC"/>
    <w:rsid w:val="00A41DC8"/>
    <w:rsid w:val="00A42D09"/>
    <w:rsid w:val="00A42EC6"/>
    <w:rsid w:val="00A42F30"/>
    <w:rsid w:val="00A436CC"/>
    <w:rsid w:val="00A439D4"/>
    <w:rsid w:val="00A44761"/>
    <w:rsid w:val="00A44908"/>
    <w:rsid w:val="00A44C82"/>
    <w:rsid w:val="00A451A5"/>
    <w:rsid w:val="00A4578E"/>
    <w:rsid w:val="00A458FD"/>
    <w:rsid w:val="00A45CED"/>
    <w:rsid w:val="00A45F36"/>
    <w:rsid w:val="00A4600A"/>
    <w:rsid w:val="00A463AB"/>
    <w:rsid w:val="00A46A55"/>
    <w:rsid w:val="00A47993"/>
    <w:rsid w:val="00A479CC"/>
    <w:rsid w:val="00A47CF7"/>
    <w:rsid w:val="00A47DD9"/>
    <w:rsid w:val="00A50009"/>
    <w:rsid w:val="00A502D6"/>
    <w:rsid w:val="00A50796"/>
    <w:rsid w:val="00A507FC"/>
    <w:rsid w:val="00A5106F"/>
    <w:rsid w:val="00A510FC"/>
    <w:rsid w:val="00A518A5"/>
    <w:rsid w:val="00A51C15"/>
    <w:rsid w:val="00A52433"/>
    <w:rsid w:val="00A525CE"/>
    <w:rsid w:val="00A53200"/>
    <w:rsid w:val="00A54046"/>
    <w:rsid w:val="00A541F4"/>
    <w:rsid w:val="00A54392"/>
    <w:rsid w:val="00A54984"/>
    <w:rsid w:val="00A55033"/>
    <w:rsid w:val="00A55460"/>
    <w:rsid w:val="00A558A9"/>
    <w:rsid w:val="00A55D9B"/>
    <w:rsid w:val="00A563A8"/>
    <w:rsid w:val="00A5644E"/>
    <w:rsid w:val="00A5663C"/>
    <w:rsid w:val="00A56902"/>
    <w:rsid w:val="00A56A4A"/>
    <w:rsid w:val="00A56F07"/>
    <w:rsid w:val="00A5755C"/>
    <w:rsid w:val="00A57853"/>
    <w:rsid w:val="00A57C7E"/>
    <w:rsid w:val="00A60737"/>
    <w:rsid w:val="00A6090F"/>
    <w:rsid w:val="00A6131A"/>
    <w:rsid w:val="00A616ED"/>
    <w:rsid w:val="00A6234A"/>
    <w:rsid w:val="00A623FC"/>
    <w:rsid w:val="00A62438"/>
    <w:rsid w:val="00A62C85"/>
    <w:rsid w:val="00A634E5"/>
    <w:rsid w:val="00A63DD1"/>
    <w:rsid w:val="00A63FB1"/>
    <w:rsid w:val="00A641B0"/>
    <w:rsid w:val="00A642A2"/>
    <w:rsid w:val="00A646F4"/>
    <w:rsid w:val="00A64A82"/>
    <w:rsid w:val="00A65335"/>
    <w:rsid w:val="00A65552"/>
    <w:rsid w:val="00A65620"/>
    <w:rsid w:val="00A6584E"/>
    <w:rsid w:val="00A658DF"/>
    <w:rsid w:val="00A65958"/>
    <w:rsid w:val="00A6612C"/>
    <w:rsid w:val="00A663CB"/>
    <w:rsid w:val="00A666A8"/>
    <w:rsid w:val="00A66759"/>
    <w:rsid w:val="00A668C4"/>
    <w:rsid w:val="00A66AB2"/>
    <w:rsid w:val="00A6716F"/>
    <w:rsid w:val="00A6760F"/>
    <w:rsid w:val="00A7261D"/>
    <w:rsid w:val="00A72757"/>
    <w:rsid w:val="00A727AE"/>
    <w:rsid w:val="00A72953"/>
    <w:rsid w:val="00A72B00"/>
    <w:rsid w:val="00A72CF6"/>
    <w:rsid w:val="00A74B2E"/>
    <w:rsid w:val="00A74BDB"/>
    <w:rsid w:val="00A74C06"/>
    <w:rsid w:val="00A751FF"/>
    <w:rsid w:val="00A753E4"/>
    <w:rsid w:val="00A75768"/>
    <w:rsid w:val="00A76142"/>
    <w:rsid w:val="00A7723A"/>
    <w:rsid w:val="00A7790B"/>
    <w:rsid w:val="00A77A6C"/>
    <w:rsid w:val="00A77B6B"/>
    <w:rsid w:val="00A77DB9"/>
    <w:rsid w:val="00A801C1"/>
    <w:rsid w:val="00A809D0"/>
    <w:rsid w:val="00A814AF"/>
    <w:rsid w:val="00A81BC4"/>
    <w:rsid w:val="00A81C19"/>
    <w:rsid w:val="00A81FC7"/>
    <w:rsid w:val="00A8286E"/>
    <w:rsid w:val="00A8299D"/>
    <w:rsid w:val="00A837B9"/>
    <w:rsid w:val="00A83F0B"/>
    <w:rsid w:val="00A8412F"/>
    <w:rsid w:val="00A845F0"/>
    <w:rsid w:val="00A84AAB"/>
    <w:rsid w:val="00A859DF"/>
    <w:rsid w:val="00A85FF0"/>
    <w:rsid w:val="00A8649C"/>
    <w:rsid w:val="00A87773"/>
    <w:rsid w:val="00A87D08"/>
    <w:rsid w:val="00A87D87"/>
    <w:rsid w:val="00A90589"/>
    <w:rsid w:val="00A90A0C"/>
    <w:rsid w:val="00A9159B"/>
    <w:rsid w:val="00A91994"/>
    <w:rsid w:val="00A91CBC"/>
    <w:rsid w:val="00A91D6E"/>
    <w:rsid w:val="00A927DA"/>
    <w:rsid w:val="00A92838"/>
    <w:rsid w:val="00A92A34"/>
    <w:rsid w:val="00A92AD3"/>
    <w:rsid w:val="00A92B7C"/>
    <w:rsid w:val="00A93183"/>
    <w:rsid w:val="00A93BAE"/>
    <w:rsid w:val="00A94933"/>
    <w:rsid w:val="00A95412"/>
    <w:rsid w:val="00A964E3"/>
    <w:rsid w:val="00A96695"/>
    <w:rsid w:val="00A966CB"/>
    <w:rsid w:val="00A96CF5"/>
    <w:rsid w:val="00A975F3"/>
    <w:rsid w:val="00A97D38"/>
    <w:rsid w:val="00AA0204"/>
    <w:rsid w:val="00AA0823"/>
    <w:rsid w:val="00AA089C"/>
    <w:rsid w:val="00AA0E63"/>
    <w:rsid w:val="00AA117B"/>
    <w:rsid w:val="00AA1597"/>
    <w:rsid w:val="00AA20A0"/>
    <w:rsid w:val="00AA2389"/>
    <w:rsid w:val="00AA2969"/>
    <w:rsid w:val="00AA2F67"/>
    <w:rsid w:val="00AA3144"/>
    <w:rsid w:val="00AA3526"/>
    <w:rsid w:val="00AA37F3"/>
    <w:rsid w:val="00AA39B4"/>
    <w:rsid w:val="00AA3E9E"/>
    <w:rsid w:val="00AA3FD5"/>
    <w:rsid w:val="00AA40BE"/>
    <w:rsid w:val="00AA41D7"/>
    <w:rsid w:val="00AA476F"/>
    <w:rsid w:val="00AA4849"/>
    <w:rsid w:val="00AA4AE9"/>
    <w:rsid w:val="00AA4BD4"/>
    <w:rsid w:val="00AA4D68"/>
    <w:rsid w:val="00AA4FC9"/>
    <w:rsid w:val="00AA6B84"/>
    <w:rsid w:val="00AA6C58"/>
    <w:rsid w:val="00AA6E4C"/>
    <w:rsid w:val="00AA7691"/>
    <w:rsid w:val="00AA769A"/>
    <w:rsid w:val="00AA776C"/>
    <w:rsid w:val="00AA77AD"/>
    <w:rsid w:val="00AA7A7C"/>
    <w:rsid w:val="00AB0B15"/>
    <w:rsid w:val="00AB0B61"/>
    <w:rsid w:val="00AB0E15"/>
    <w:rsid w:val="00AB1044"/>
    <w:rsid w:val="00AB1386"/>
    <w:rsid w:val="00AB1D8D"/>
    <w:rsid w:val="00AB1EE5"/>
    <w:rsid w:val="00AB26FC"/>
    <w:rsid w:val="00AB2BD4"/>
    <w:rsid w:val="00AB2DC4"/>
    <w:rsid w:val="00AB3900"/>
    <w:rsid w:val="00AB3B06"/>
    <w:rsid w:val="00AB4CE8"/>
    <w:rsid w:val="00AB53CE"/>
    <w:rsid w:val="00AB578F"/>
    <w:rsid w:val="00AB5BDA"/>
    <w:rsid w:val="00AB5F6A"/>
    <w:rsid w:val="00AB5FB3"/>
    <w:rsid w:val="00AB7277"/>
    <w:rsid w:val="00AB7E5E"/>
    <w:rsid w:val="00AC0070"/>
    <w:rsid w:val="00AC0542"/>
    <w:rsid w:val="00AC084B"/>
    <w:rsid w:val="00AC0DDF"/>
    <w:rsid w:val="00AC105F"/>
    <w:rsid w:val="00AC1371"/>
    <w:rsid w:val="00AC1613"/>
    <w:rsid w:val="00AC16AB"/>
    <w:rsid w:val="00AC2700"/>
    <w:rsid w:val="00AC2D69"/>
    <w:rsid w:val="00AC33D1"/>
    <w:rsid w:val="00AC3637"/>
    <w:rsid w:val="00AC37BF"/>
    <w:rsid w:val="00AC3898"/>
    <w:rsid w:val="00AC3A00"/>
    <w:rsid w:val="00AC3F23"/>
    <w:rsid w:val="00AC4669"/>
    <w:rsid w:val="00AC4A73"/>
    <w:rsid w:val="00AC4E2C"/>
    <w:rsid w:val="00AC50DA"/>
    <w:rsid w:val="00AC5A4A"/>
    <w:rsid w:val="00AC5ACB"/>
    <w:rsid w:val="00AC5FA4"/>
    <w:rsid w:val="00AC5FB5"/>
    <w:rsid w:val="00AC60A7"/>
    <w:rsid w:val="00AC612E"/>
    <w:rsid w:val="00AC612F"/>
    <w:rsid w:val="00AC64F1"/>
    <w:rsid w:val="00AC7674"/>
    <w:rsid w:val="00AC7684"/>
    <w:rsid w:val="00AC7E24"/>
    <w:rsid w:val="00AD01AC"/>
    <w:rsid w:val="00AD0BA4"/>
    <w:rsid w:val="00AD0C08"/>
    <w:rsid w:val="00AD12C7"/>
    <w:rsid w:val="00AD2408"/>
    <w:rsid w:val="00AD31F9"/>
    <w:rsid w:val="00AD3224"/>
    <w:rsid w:val="00AD3689"/>
    <w:rsid w:val="00AD38B7"/>
    <w:rsid w:val="00AD3901"/>
    <w:rsid w:val="00AD43C9"/>
    <w:rsid w:val="00AD4418"/>
    <w:rsid w:val="00AD442D"/>
    <w:rsid w:val="00AD45CE"/>
    <w:rsid w:val="00AD48AC"/>
    <w:rsid w:val="00AD4A3F"/>
    <w:rsid w:val="00AD4B1A"/>
    <w:rsid w:val="00AD4DC9"/>
    <w:rsid w:val="00AD578E"/>
    <w:rsid w:val="00AD5807"/>
    <w:rsid w:val="00AD5EBF"/>
    <w:rsid w:val="00AD6B39"/>
    <w:rsid w:val="00AD6CE4"/>
    <w:rsid w:val="00AD6E8E"/>
    <w:rsid w:val="00AD7706"/>
    <w:rsid w:val="00AD786D"/>
    <w:rsid w:val="00AE01B4"/>
    <w:rsid w:val="00AE02FB"/>
    <w:rsid w:val="00AE082F"/>
    <w:rsid w:val="00AE0C42"/>
    <w:rsid w:val="00AE0EBC"/>
    <w:rsid w:val="00AE1071"/>
    <w:rsid w:val="00AE183B"/>
    <w:rsid w:val="00AE1AF2"/>
    <w:rsid w:val="00AE1B19"/>
    <w:rsid w:val="00AE1FC2"/>
    <w:rsid w:val="00AE246F"/>
    <w:rsid w:val="00AE25DE"/>
    <w:rsid w:val="00AE2650"/>
    <w:rsid w:val="00AE2AEF"/>
    <w:rsid w:val="00AE2FD3"/>
    <w:rsid w:val="00AE3290"/>
    <w:rsid w:val="00AE3362"/>
    <w:rsid w:val="00AE3B3E"/>
    <w:rsid w:val="00AE3CC6"/>
    <w:rsid w:val="00AE4088"/>
    <w:rsid w:val="00AE4168"/>
    <w:rsid w:val="00AE49DC"/>
    <w:rsid w:val="00AE55EC"/>
    <w:rsid w:val="00AE5886"/>
    <w:rsid w:val="00AE64D2"/>
    <w:rsid w:val="00AE693E"/>
    <w:rsid w:val="00AE6A86"/>
    <w:rsid w:val="00AE6F28"/>
    <w:rsid w:val="00AF0DE8"/>
    <w:rsid w:val="00AF1EAF"/>
    <w:rsid w:val="00AF1FE7"/>
    <w:rsid w:val="00AF2569"/>
    <w:rsid w:val="00AF2E67"/>
    <w:rsid w:val="00AF300D"/>
    <w:rsid w:val="00AF3038"/>
    <w:rsid w:val="00AF3332"/>
    <w:rsid w:val="00AF33C9"/>
    <w:rsid w:val="00AF3E0A"/>
    <w:rsid w:val="00AF4074"/>
    <w:rsid w:val="00AF4419"/>
    <w:rsid w:val="00AF45D2"/>
    <w:rsid w:val="00AF491D"/>
    <w:rsid w:val="00AF4B61"/>
    <w:rsid w:val="00AF4C4E"/>
    <w:rsid w:val="00AF4F33"/>
    <w:rsid w:val="00AF5618"/>
    <w:rsid w:val="00AF57FF"/>
    <w:rsid w:val="00AF5845"/>
    <w:rsid w:val="00AF5B54"/>
    <w:rsid w:val="00AF5C9F"/>
    <w:rsid w:val="00AF630B"/>
    <w:rsid w:val="00AF6488"/>
    <w:rsid w:val="00AF7168"/>
    <w:rsid w:val="00AF7232"/>
    <w:rsid w:val="00AF73B0"/>
    <w:rsid w:val="00AF73EC"/>
    <w:rsid w:val="00AF7401"/>
    <w:rsid w:val="00AF742F"/>
    <w:rsid w:val="00AF74A9"/>
    <w:rsid w:val="00AF77EA"/>
    <w:rsid w:val="00AF78D3"/>
    <w:rsid w:val="00AF78D8"/>
    <w:rsid w:val="00B00C02"/>
    <w:rsid w:val="00B00C33"/>
    <w:rsid w:val="00B0119B"/>
    <w:rsid w:val="00B01494"/>
    <w:rsid w:val="00B02808"/>
    <w:rsid w:val="00B02887"/>
    <w:rsid w:val="00B02F3E"/>
    <w:rsid w:val="00B03BEA"/>
    <w:rsid w:val="00B040ED"/>
    <w:rsid w:val="00B0417C"/>
    <w:rsid w:val="00B04B99"/>
    <w:rsid w:val="00B04FEB"/>
    <w:rsid w:val="00B06280"/>
    <w:rsid w:val="00B06CC6"/>
    <w:rsid w:val="00B06D8B"/>
    <w:rsid w:val="00B07584"/>
    <w:rsid w:val="00B0787F"/>
    <w:rsid w:val="00B07C23"/>
    <w:rsid w:val="00B10011"/>
    <w:rsid w:val="00B10AF9"/>
    <w:rsid w:val="00B10E7A"/>
    <w:rsid w:val="00B1178B"/>
    <w:rsid w:val="00B11BC8"/>
    <w:rsid w:val="00B11F51"/>
    <w:rsid w:val="00B12115"/>
    <w:rsid w:val="00B12215"/>
    <w:rsid w:val="00B123E1"/>
    <w:rsid w:val="00B1254C"/>
    <w:rsid w:val="00B12F0A"/>
    <w:rsid w:val="00B13C76"/>
    <w:rsid w:val="00B13E84"/>
    <w:rsid w:val="00B14322"/>
    <w:rsid w:val="00B14845"/>
    <w:rsid w:val="00B14B51"/>
    <w:rsid w:val="00B14F57"/>
    <w:rsid w:val="00B15A2F"/>
    <w:rsid w:val="00B15E60"/>
    <w:rsid w:val="00B1607D"/>
    <w:rsid w:val="00B16447"/>
    <w:rsid w:val="00B165A4"/>
    <w:rsid w:val="00B16A16"/>
    <w:rsid w:val="00B16C00"/>
    <w:rsid w:val="00B17828"/>
    <w:rsid w:val="00B2050F"/>
    <w:rsid w:val="00B20FEB"/>
    <w:rsid w:val="00B21ED5"/>
    <w:rsid w:val="00B2200F"/>
    <w:rsid w:val="00B22174"/>
    <w:rsid w:val="00B22394"/>
    <w:rsid w:val="00B22BA0"/>
    <w:rsid w:val="00B22E15"/>
    <w:rsid w:val="00B23602"/>
    <w:rsid w:val="00B24475"/>
    <w:rsid w:val="00B2460A"/>
    <w:rsid w:val="00B24D76"/>
    <w:rsid w:val="00B25132"/>
    <w:rsid w:val="00B25167"/>
    <w:rsid w:val="00B25902"/>
    <w:rsid w:val="00B25B2F"/>
    <w:rsid w:val="00B2605E"/>
    <w:rsid w:val="00B265B3"/>
    <w:rsid w:val="00B26C8C"/>
    <w:rsid w:val="00B26E4C"/>
    <w:rsid w:val="00B27AE5"/>
    <w:rsid w:val="00B3031E"/>
    <w:rsid w:val="00B3080B"/>
    <w:rsid w:val="00B30CEC"/>
    <w:rsid w:val="00B30F36"/>
    <w:rsid w:val="00B30FB7"/>
    <w:rsid w:val="00B310DD"/>
    <w:rsid w:val="00B313B5"/>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E5"/>
    <w:rsid w:val="00B356E5"/>
    <w:rsid w:val="00B356ED"/>
    <w:rsid w:val="00B35946"/>
    <w:rsid w:val="00B359CD"/>
    <w:rsid w:val="00B35F14"/>
    <w:rsid w:val="00B370B8"/>
    <w:rsid w:val="00B371F9"/>
    <w:rsid w:val="00B378CD"/>
    <w:rsid w:val="00B37B73"/>
    <w:rsid w:val="00B40853"/>
    <w:rsid w:val="00B40978"/>
    <w:rsid w:val="00B411FE"/>
    <w:rsid w:val="00B41571"/>
    <w:rsid w:val="00B4163D"/>
    <w:rsid w:val="00B41F7F"/>
    <w:rsid w:val="00B43658"/>
    <w:rsid w:val="00B438DA"/>
    <w:rsid w:val="00B43C80"/>
    <w:rsid w:val="00B43E9E"/>
    <w:rsid w:val="00B4426D"/>
    <w:rsid w:val="00B44A06"/>
    <w:rsid w:val="00B44EF3"/>
    <w:rsid w:val="00B45D54"/>
    <w:rsid w:val="00B46FB9"/>
    <w:rsid w:val="00B4708B"/>
    <w:rsid w:val="00B47AD9"/>
    <w:rsid w:val="00B47C0C"/>
    <w:rsid w:val="00B47DB9"/>
    <w:rsid w:val="00B47F77"/>
    <w:rsid w:val="00B50B7D"/>
    <w:rsid w:val="00B5147C"/>
    <w:rsid w:val="00B51E09"/>
    <w:rsid w:val="00B520CA"/>
    <w:rsid w:val="00B52521"/>
    <w:rsid w:val="00B5389D"/>
    <w:rsid w:val="00B53F86"/>
    <w:rsid w:val="00B54322"/>
    <w:rsid w:val="00B54528"/>
    <w:rsid w:val="00B5460E"/>
    <w:rsid w:val="00B54754"/>
    <w:rsid w:val="00B554E5"/>
    <w:rsid w:val="00B5627A"/>
    <w:rsid w:val="00B56D1A"/>
    <w:rsid w:val="00B56D84"/>
    <w:rsid w:val="00B574EC"/>
    <w:rsid w:val="00B6013A"/>
    <w:rsid w:val="00B60A8D"/>
    <w:rsid w:val="00B60E23"/>
    <w:rsid w:val="00B6155C"/>
    <w:rsid w:val="00B61A05"/>
    <w:rsid w:val="00B61F15"/>
    <w:rsid w:val="00B61F72"/>
    <w:rsid w:val="00B61F73"/>
    <w:rsid w:val="00B61FD5"/>
    <w:rsid w:val="00B62200"/>
    <w:rsid w:val="00B623A2"/>
    <w:rsid w:val="00B6250B"/>
    <w:rsid w:val="00B62F5B"/>
    <w:rsid w:val="00B64282"/>
    <w:rsid w:val="00B64620"/>
    <w:rsid w:val="00B648A4"/>
    <w:rsid w:val="00B649DB"/>
    <w:rsid w:val="00B64C82"/>
    <w:rsid w:val="00B651B5"/>
    <w:rsid w:val="00B65235"/>
    <w:rsid w:val="00B65B3B"/>
    <w:rsid w:val="00B66092"/>
    <w:rsid w:val="00B6621D"/>
    <w:rsid w:val="00B66269"/>
    <w:rsid w:val="00B66B55"/>
    <w:rsid w:val="00B66DE2"/>
    <w:rsid w:val="00B679AC"/>
    <w:rsid w:val="00B67F15"/>
    <w:rsid w:val="00B67F3D"/>
    <w:rsid w:val="00B70A84"/>
    <w:rsid w:val="00B70B13"/>
    <w:rsid w:val="00B70D5E"/>
    <w:rsid w:val="00B70D7B"/>
    <w:rsid w:val="00B7132B"/>
    <w:rsid w:val="00B71404"/>
    <w:rsid w:val="00B7186B"/>
    <w:rsid w:val="00B71CA6"/>
    <w:rsid w:val="00B72436"/>
    <w:rsid w:val="00B727EF"/>
    <w:rsid w:val="00B729C7"/>
    <w:rsid w:val="00B72B9B"/>
    <w:rsid w:val="00B72DB8"/>
    <w:rsid w:val="00B72FE4"/>
    <w:rsid w:val="00B73475"/>
    <w:rsid w:val="00B73990"/>
    <w:rsid w:val="00B7428F"/>
    <w:rsid w:val="00B74C0A"/>
    <w:rsid w:val="00B74EE9"/>
    <w:rsid w:val="00B75589"/>
    <w:rsid w:val="00B75EC0"/>
    <w:rsid w:val="00B769AA"/>
    <w:rsid w:val="00B76CF3"/>
    <w:rsid w:val="00B76FD5"/>
    <w:rsid w:val="00B7727A"/>
    <w:rsid w:val="00B77287"/>
    <w:rsid w:val="00B773AD"/>
    <w:rsid w:val="00B77AB1"/>
    <w:rsid w:val="00B80ADF"/>
    <w:rsid w:val="00B80C4E"/>
    <w:rsid w:val="00B80FB0"/>
    <w:rsid w:val="00B8129B"/>
    <w:rsid w:val="00B816AB"/>
    <w:rsid w:val="00B81707"/>
    <w:rsid w:val="00B81D40"/>
    <w:rsid w:val="00B81FAF"/>
    <w:rsid w:val="00B83038"/>
    <w:rsid w:val="00B83328"/>
    <w:rsid w:val="00B83919"/>
    <w:rsid w:val="00B8431C"/>
    <w:rsid w:val="00B8453F"/>
    <w:rsid w:val="00B8493B"/>
    <w:rsid w:val="00B84B2D"/>
    <w:rsid w:val="00B850D3"/>
    <w:rsid w:val="00B8548E"/>
    <w:rsid w:val="00B86248"/>
    <w:rsid w:val="00B86C82"/>
    <w:rsid w:val="00B86CA7"/>
    <w:rsid w:val="00B86D97"/>
    <w:rsid w:val="00B8762D"/>
    <w:rsid w:val="00B87C0B"/>
    <w:rsid w:val="00B90356"/>
    <w:rsid w:val="00B9080F"/>
    <w:rsid w:val="00B90E02"/>
    <w:rsid w:val="00B90E3B"/>
    <w:rsid w:val="00B91055"/>
    <w:rsid w:val="00B913AB"/>
    <w:rsid w:val="00B91AF6"/>
    <w:rsid w:val="00B91BAD"/>
    <w:rsid w:val="00B91EAC"/>
    <w:rsid w:val="00B92EA8"/>
    <w:rsid w:val="00B934F2"/>
    <w:rsid w:val="00B93A16"/>
    <w:rsid w:val="00B93AA9"/>
    <w:rsid w:val="00B93B9F"/>
    <w:rsid w:val="00B93C46"/>
    <w:rsid w:val="00B94F22"/>
    <w:rsid w:val="00B95277"/>
    <w:rsid w:val="00B9531E"/>
    <w:rsid w:val="00B958E2"/>
    <w:rsid w:val="00B961B9"/>
    <w:rsid w:val="00B96261"/>
    <w:rsid w:val="00B96381"/>
    <w:rsid w:val="00B96DAD"/>
    <w:rsid w:val="00B97493"/>
    <w:rsid w:val="00B97AFA"/>
    <w:rsid w:val="00BA016A"/>
    <w:rsid w:val="00BA15A5"/>
    <w:rsid w:val="00BA2375"/>
    <w:rsid w:val="00BA2D29"/>
    <w:rsid w:val="00BA2D77"/>
    <w:rsid w:val="00BA2EF0"/>
    <w:rsid w:val="00BA305E"/>
    <w:rsid w:val="00BA31DD"/>
    <w:rsid w:val="00BA32B5"/>
    <w:rsid w:val="00BA3BDE"/>
    <w:rsid w:val="00BA3F3F"/>
    <w:rsid w:val="00BA3F5A"/>
    <w:rsid w:val="00BA4529"/>
    <w:rsid w:val="00BA54D7"/>
    <w:rsid w:val="00BA663C"/>
    <w:rsid w:val="00BA6725"/>
    <w:rsid w:val="00BA6B33"/>
    <w:rsid w:val="00BA6BCE"/>
    <w:rsid w:val="00BA6F8A"/>
    <w:rsid w:val="00BA777B"/>
    <w:rsid w:val="00BA7B81"/>
    <w:rsid w:val="00BA7C62"/>
    <w:rsid w:val="00BB0BB7"/>
    <w:rsid w:val="00BB10F2"/>
    <w:rsid w:val="00BB122C"/>
    <w:rsid w:val="00BB14BF"/>
    <w:rsid w:val="00BB2C09"/>
    <w:rsid w:val="00BB3429"/>
    <w:rsid w:val="00BB356F"/>
    <w:rsid w:val="00BB3BE7"/>
    <w:rsid w:val="00BB3D3A"/>
    <w:rsid w:val="00BB3F7A"/>
    <w:rsid w:val="00BB4227"/>
    <w:rsid w:val="00BB4879"/>
    <w:rsid w:val="00BB5143"/>
    <w:rsid w:val="00BB562D"/>
    <w:rsid w:val="00BB5797"/>
    <w:rsid w:val="00BB5A0B"/>
    <w:rsid w:val="00BB5F7B"/>
    <w:rsid w:val="00BB6197"/>
    <w:rsid w:val="00BB69F9"/>
    <w:rsid w:val="00BB6A81"/>
    <w:rsid w:val="00BB7BA4"/>
    <w:rsid w:val="00BC1584"/>
    <w:rsid w:val="00BC190A"/>
    <w:rsid w:val="00BC1CC8"/>
    <w:rsid w:val="00BC1DD0"/>
    <w:rsid w:val="00BC2111"/>
    <w:rsid w:val="00BC21DB"/>
    <w:rsid w:val="00BC276A"/>
    <w:rsid w:val="00BC27A8"/>
    <w:rsid w:val="00BC28EF"/>
    <w:rsid w:val="00BC2AB2"/>
    <w:rsid w:val="00BC33CF"/>
    <w:rsid w:val="00BC381E"/>
    <w:rsid w:val="00BC3C42"/>
    <w:rsid w:val="00BC3EB4"/>
    <w:rsid w:val="00BC45C1"/>
    <w:rsid w:val="00BC45FE"/>
    <w:rsid w:val="00BC4648"/>
    <w:rsid w:val="00BC466F"/>
    <w:rsid w:val="00BC4A8F"/>
    <w:rsid w:val="00BC507E"/>
    <w:rsid w:val="00BC517F"/>
    <w:rsid w:val="00BC5863"/>
    <w:rsid w:val="00BC5AEB"/>
    <w:rsid w:val="00BC5DD2"/>
    <w:rsid w:val="00BC6143"/>
    <w:rsid w:val="00BC63FB"/>
    <w:rsid w:val="00BC6ABE"/>
    <w:rsid w:val="00BC6E3E"/>
    <w:rsid w:val="00BC79FF"/>
    <w:rsid w:val="00BC7A26"/>
    <w:rsid w:val="00BC7CF8"/>
    <w:rsid w:val="00BC7F18"/>
    <w:rsid w:val="00BD0220"/>
    <w:rsid w:val="00BD03A0"/>
    <w:rsid w:val="00BD0818"/>
    <w:rsid w:val="00BD0DA9"/>
    <w:rsid w:val="00BD0DF7"/>
    <w:rsid w:val="00BD0E71"/>
    <w:rsid w:val="00BD194D"/>
    <w:rsid w:val="00BD1D62"/>
    <w:rsid w:val="00BD203F"/>
    <w:rsid w:val="00BD29DA"/>
    <w:rsid w:val="00BD3617"/>
    <w:rsid w:val="00BD390D"/>
    <w:rsid w:val="00BD3B46"/>
    <w:rsid w:val="00BD3F02"/>
    <w:rsid w:val="00BD3F6B"/>
    <w:rsid w:val="00BD419A"/>
    <w:rsid w:val="00BD4420"/>
    <w:rsid w:val="00BD463F"/>
    <w:rsid w:val="00BD46C1"/>
    <w:rsid w:val="00BD4A09"/>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FD2"/>
    <w:rsid w:val="00BE103F"/>
    <w:rsid w:val="00BE18FE"/>
    <w:rsid w:val="00BE1ECA"/>
    <w:rsid w:val="00BE20BC"/>
    <w:rsid w:val="00BE23A8"/>
    <w:rsid w:val="00BE2741"/>
    <w:rsid w:val="00BE3090"/>
    <w:rsid w:val="00BE333B"/>
    <w:rsid w:val="00BE3646"/>
    <w:rsid w:val="00BE3960"/>
    <w:rsid w:val="00BE3F1C"/>
    <w:rsid w:val="00BE3F1D"/>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9F3"/>
    <w:rsid w:val="00BF1BB8"/>
    <w:rsid w:val="00BF1D77"/>
    <w:rsid w:val="00BF1F92"/>
    <w:rsid w:val="00BF2289"/>
    <w:rsid w:val="00BF2682"/>
    <w:rsid w:val="00BF2817"/>
    <w:rsid w:val="00BF291D"/>
    <w:rsid w:val="00BF2E9E"/>
    <w:rsid w:val="00BF3034"/>
    <w:rsid w:val="00BF3486"/>
    <w:rsid w:val="00BF3904"/>
    <w:rsid w:val="00BF3B41"/>
    <w:rsid w:val="00BF3DD0"/>
    <w:rsid w:val="00BF3F60"/>
    <w:rsid w:val="00BF3F90"/>
    <w:rsid w:val="00BF4D52"/>
    <w:rsid w:val="00BF550D"/>
    <w:rsid w:val="00BF5601"/>
    <w:rsid w:val="00BF57ED"/>
    <w:rsid w:val="00BF60ED"/>
    <w:rsid w:val="00BF61C7"/>
    <w:rsid w:val="00BF6292"/>
    <w:rsid w:val="00BF674C"/>
    <w:rsid w:val="00BF6773"/>
    <w:rsid w:val="00BF6B33"/>
    <w:rsid w:val="00BF6CAB"/>
    <w:rsid w:val="00BF7563"/>
    <w:rsid w:val="00BF7774"/>
    <w:rsid w:val="00BF7F5D"/>
    <w:rsid w:val="00C004D6"/>
    <w:rsid w:val="00C006DE"/>
    <w:rsid w:val="00C00F20"/>
    <w:rsid w:val="00C00F33"/>
    <w:rsid w:val="00C01050"/>
    <w:rsid w:val="00C010A9"/>
    <w:rsid w:val="00C0124B"/>
    <w:rsid w:val="00C01474"/>
    <w:rsid w:val="00C01618"/>
    <w:rsid w:val="00C0167E"/>
    <w:rsid w:val="00C01C35"/>
    <w:rsid w:val="00C02071"/>
    <w:rsid w:val="00C02271"/>
    <w:rsid w:val="00C02566"/>
    <w:rsid w:val="00C033FC"/>
    <w:rsid w:val="00C0364E"/>
    <w:rsid w:val="00C03F53"/>
    <w:rsid w:val="00C03FEE"/>
    <w:rsid w:val="00C04164"/>
    <w:rsid w:val="00C043E2"/>
    <w:rsid w:val="00C050F5"/>
    <w:rsid w:val="00C05314"/>
    <w:rsid w:val="00C05B8F"/>
    <w:rsid w:val="00C0614D"/>
    <w:rsid w:val="00C0654A"/>
    <w:rsid w:val="00C06583"/>
    <w:rsid w:val="00C06F14"/>
    <w:rsid w:val="00C0712C"/>
    <w:rsid w:val="00C071EF"/>
    <w:rsid w:val="00C072F6"/>
    <w:rsid w:val="00C07C23"/>
    <w:rsid w:val="00C100F8"/>
    <w:rsid w:val="00C10230"/>
    <w:rsid w:val="00C1030F"/>
    <w:rsid w:val="00C104FE"/>
    <w:rsid w:val="00C105DB"/>
    <w:rsid w:val="00C1065E"/>
    <w:rsid w:val="00C114EB"/>
    <w:rsid w:val="00C115AC"/>
    <w:rsid w:val="00C11C79"/>
    <w:rsid w:val="00C11D79"/>
    <w:rsid w:val="00C1211C"/>
    <w:rsid w:val="00C12BBC"/>
    <w:rsid w:val="00C12C5A"/>
    <w:rsid w:val="00C12D74"/>
    <w:rsid w:val="00C1323E"/>
    <w:rsid w:val="00C13476"/>
    <w:rsid w:val="00C13D89"/>
    <w:rsid w:val="00C13F20"/>
    <w:rsid w:val="00C1499B"/>
    <w:rsid w:val="00C14E1B"/>
    <w:rsid w:val="00C155B7"/>
    <w:rsid w:val="00C15B77"/>
    <w:rsid w:val="00C16208"/>
    <w:rsid w:val="00C163A9"/>
    <w:rsid w:val="00C169BF"/>
    <w:rsid w:val="00C17154"/>
    <w:rsid w:val="00C1720D"/>
    <w:rsid w:val="00C178B6"/>
    <w:rsid w:val="00C20714"/>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432C"/>
    <w:rsid w:val="00C243AE"/>
    <w:rsid w:val="00C2456C"/>
    <w:rsid w:val="00C249E3"/>
    <w:rsid w:val="00C24C0B"/>
    <w:rsid w:val="00C24FB5"/>
    <w:rsid w:val="00C259F6"/>
    <w:rsid w:val="00C262B7"/>
    <w:rsid w:val="00C2633B"/>
    <w:rsid w:val="00C2699B"/>
    <w:rsid w:val="00C26A82"/>
    <w:rsid w:val="00C270C0"/>
    <w:rsid w:val="00C2791F"/>
    <w:rsid w:val="00C2793B"/>
    <w:rsid w:val="00C300B6"/>
    <w:rsid w:val="00C304D8"/>
    <w:rsid w:val="00C31096"/>
    <w:rsid w:val="00C311D9"/>
    <w:rsid w:val="00C31E57"/>
    <w:rsid w:val="00C31E88"/>
    <w:rsid w:val="00C31EA4"/>
    <w:rsid w:val="00C3270A"/>
    <w:rsid w:val="00C33195"/>
    <w:rsid w:val="00C33217"/>
    <w:rsid w:val="00C33341"/>
    <w:rsid w:val="00C33E57"/>
    <w:rsid w:val="00C33FC3"/>
    <w:rsid w:val="00C33FF2"/>
    <w:rsid w:val="00C343A9"/>
    <w:rsid w:val="00C348B8"/>
    <w:rsid w:val="00C34A54"/>
    <w:rsid w:val="00C34D4F"/>
    <w:rsid w:val="00C3546F"/>
    <w:rsid w:val="00C3553B"/>
    <w:rsid w:val="00C3574D"/>
    <w:rsid w:val="00C359C1"/>
    <w:rsid w:val="00C35B76"/>
    <w:rsid w:val="00C35EEB"/>
    <w:rsid w:val="00C35F64"/>
    <w:rsid w:val="00C36293"/>
    <w:rsid w:val="00C3668E"/>
    <w:rsid w:val="00C36EC5"/>
    <w:rsid w:val="00C37284"/>
    <w:rsid w:val="00C37CF4"/>
    <w:rsid w:val="00C37D98"/>
    <w:rsid w:val="00C40722"/>
    <w:rsid w:val="00C4188A"/>
    <w:rsid w:val="00C42758"/>
    <w:rsid w:val="00C42824"/>
    <w:rsid w:val="00C42D44"/>
    <w:rsid w:val="00C42D73"/>
    <w:rsid w:val="00C42F94"/>
    <w:rsid w:val="00C4306B"/>
    <w:rsid w:val="00C4363D"/>
    <w:rsid w:val="00C43A09"/>
    <w:rsid w:val="00C43AB2"/>
    <w:rsid w:val="00C43B2D"/>
    <w:rsid w:val="00C43CDE"/>
    <w:rsid w:val="00C43E73"/>
    <w:rsid w:val="00C43EC5"/>
    <w:rsid w:val="00C445D0"/>
    <w:rsid w:val="00C45299"/>
    <w:rsid w:val="00C45599"/>
    <w:rsid w:val="00C455CE"/>
    <w:rsid w:val="00C45DD5"/>
    <w:rsid w:val="00C4611B"/>
    <w:rsid w:val="00C46983"/>
    <w:rsid w:val="00C46A3C"/>
    <w:rsid w:val="00C46F07"/>
    <w:rsid w:val="00C473D5"/>
    <w:rsid w:val="00C47696"/>
    <w:rsid w:val="00C50E96"/>
    <w:rsid w:val="00C50F6C"/>
    <w:rsid w:val="00C51322"/>
    <w:rsid w:val="00C51566"/>
    <w:rsid w:val="00C51806"/>
    <w:rsid w:val="00C52587"/>
    <w:rsid w:val="00C52620"/>
    <w:rsid w:val="00C52D7A"/>
    <w:rsid w:val="00C538E9"/>
    <w:rsid w:val="00C53AE8"/>
    <w:rsid w:val="00C53FDB"/>
    <w:rsid w:val="00C5414C"/>
    <w:rsid w:val="00C544E5"/>
    <w:rsid w:val="00C54B02"/>
    <w:rsid w:val="00C54EBD"/>
    <w:rsid w:val="00C55982"/>
    <w:rsid w:val="00C55A7E"/>
    <w:rsid w:val="00C55C7B"/>
    <w:rsid w:val="00C56571"/>
    <w:rsid w:val="00C566B5"/>
    <w:rsid w:val="00C56751"/>
    <w:rsid w:val="00C57060"/>
    <w:rsid w:val="00C57701"/>
    <w:rsid w:val="00C57A21"/>
    <w:rsid w:val="00C57E5F"/>
    <w:rsid w:val="00C606A2"/>
    <w:rsid w:val="00C6075B"/>
    <w:rsid w:val="00C609D6"/>
    <w:rsid w:val="00C60B30"/>
    <w:rsid w:val="00C60CE1"/>
    <w:rsid w:val="00C613A1"/>
    <w:rsid w:val="00C6191E"/>
    <w:rsid w:val="00C626FB"/>
    <w:rsid w:val="00C62B3B"/>
    <w:rsid w:val="00C631DA"/>
    <w:rsid w:val="00C6324A"/>
    <w:rsid w:val="00C63497"/>
    <w:rsid w:val="00C63E15"/>
    <w:rsid w:val="00C63F9A"/>
    <w:rsid w:val="00C649DE"/>
    <w:rsid w:val="00C65150"/>
    <w:rsid w:val="00C6522A"/>
    <w:rsid w:val="00C655D1"/>
    <w:rsid w:val="00C65E8A"/>
    <w:rsid w:val="00C65EBC"/>
    <w:rsid w:val="00C65F8D"/>
    <w:rsid w:val="00C661A9"/>
    <w:rsid w:val="00C66ABE"/>
    <w:rsid w:val="00C66C88"/>
    <w:rsid w:val="00C675C1"/>
    <w:rsid w:val="00C67FDB"/>
    <w:rsid w:val="00C70024"/>
    <w:rsid w:val="00C703B4"/>
    <w:rsid w:val="00C704BE"/>
    <w:rsid w:val="00C70D5B"/>
    <w:rsid w:val="00C70E8C"/>
    <w:rsid w:val="00C7106E"/>
    <w:rsid w:val="00C71BF8"/>
    <w:rsid w:val="00C723AF"/>
    <w:rsid w:val="00C725C2"/>
    <w:rsid w:val="00C726F3"/>
    <w:rsid w:val="00C72A0B"/>
    <w:rsid w:val="00C72CE9"/>
    <w:rsid w:val="00C72D30"/>
    <w:rsid w:val="00C734F7"/>
    <w:rsid w:val="00C74115"/>
    <w:rsid w:val="00C7474D"/>
    <w:rsid w:val="00C74912"/>
    <w:rsid w:val="00C754B9"/>
    <w:rsid w:val="00C755C6"/>
    <w:rsid w:val="00C756BF"/>
    <w:rsid w:val="00C75E48"/>
    <w:rsid w:val="00C75F70"/>
    <w:rsid w:val="00C763E7"/>
    <w:rsid w:val="00C76BD0"/>
    <w:rsid w:val="00C76C30"/>
    <w:rsid w:val="00C76E79"/>
    <w:rsid w:val="00C77529"/>
    <w:rsid w:val="00C778A3"/>
    <w:rsid w:val="00C77B68"/>
    <w:rsid w:val="00C77C25"/>
    <w:rsid w:val="00C800BA"/>
    <w:rsid w:val="00C80AD4"/>
    <w:rsid w:val="00C80EAE"/>
    <w:rsid w:val="00C80EE0"/>
    <w:rsid w:val="00C80FF7"/>
    <w:rsid w:val="00C8104B"/>
    <w:rsid w:val="00C810CB"/>
    <w:rsid w:val="00C81476"/>
    <w:rsid w:val="00C8154C"/>
    <w:rsid w:val="00C82037"/>
    <w:rsid w:val="00C82081"/>
    <w:rsid w:val="00C82446"/>
    <w:rsid w:val="00C8289E"/>
    <w:rsid w:val="00C82BBE"/>
    <w:rsid w:val="00C836A7"/>
    <w:rsid w:val="00C839C4"/>
    <w:rsid w:val="00C83DDE"/>
    <w:rsid w:val="00C84108"/>
    <w:rsid w:val="00C843FD"/>
    <w:rsid w:val="00C851D7"/>
    <w:rsid w:val="00C856A3"/>
    <w:rsid w:val="00C85D82"/>
    <w:rsid w:val="00C8631C"/>
    <w:rsid w:val="00C86591"/>
    <w:rsid w:val="00C868DF"/>
    <w:rsid w:val="00C875B0"/>
    <w:rsid w:val="00C877E2"/>
    <w:rsid w:val="00C87955"/>
    <w:rsid w:val="00C87B30"/>
    <w:rsid w:val="00C90777"/>
    <w:rsid w:val="00C90AA1"/>
    <w:rsid w:val="00C90CFC"/>
    <w:rsid w:val="00C911E3"/>
    <w:rsid w:val="00C914A9"/>
    <w:rsid w:val="00C9258D"/>
    <w:rsid w:val="00C92930"/>
    <w:rsid w:val="00C92B2B"/>
    <w:rsid w:val="00C9423D"/>
    <w:rsid w:val="00C948EB"/>
    <w:rsid w:val="00C949D0"/>
    <w:rsid w:val="00C94B6F"/>
    <w:rsid w:val="00C94E55"/>
    <w:rsid w:val="00C9556B"/>
    <w:rsid w:val="00C955CE"/>
    <w:rsid w:val="00C957A0"/>
    <w:rsid w:val="00C95E88"/>
    <w:rsid w:val="00C96E1D"/>
    <w:rsid w:val="00C97913"/>
    <w:rsid w:val="00C979AB"/>
    <w:rsid w:val="00CA04C8"/>
    <w:rsid w:val="00CA0717"/>
    <w:rsid w:val="00CA0E55"/>
    <w:rsid w:val="00CA1ABF"/>
    <w:rsid w:val="00CA2138"/>
    <w:rsid w:val="00CA22E9"/>
    <w:rsid w:val="00CA28B4"/>
    <w:rsid w:val="00CA2A78"/>
    <w:rsid w:val="00CA36B3"/>
    <w:rsid w:val="00CA36BA"/>
    <w:rsid w:val="00CA3872"/>
    <w:rsid w:val="00CA4047"/>
    <w:rsid w:val="00CA42E1"/>
    <w:rsid w:val="00CA4377"/>
    <w:rsid w:val="00CA4620"/>
    <w:rsid w:val="00CA4B0C"/>
    <w:rsid w:val="00CA4C1D"/>
    <w:rsid w:val="00CA543F"/>
    <w:rsid w:val="00CA5598"/>
    <w:rsid w:val="00CA56AA"/>
    <w:rsid w:val="00CA5ABC"/>
    <w:rsid w:val="00CA5FEE"/>
    <w:rsid w:val="00CA6714"/>
    <w:rsid w:val="00CA7230"/>
    <w:rsid w:val="00CA7321"/>
    <w:rsid w:val="00CA7797"/>
    <w:rsid w:val="00CA7E07"/>
    <w:rsid w:val="00CA7E35"/>
    <w:rsid w:val="00CB0C2D"/>
    <w:rsid w:val="00CB132F"/>
    <w:rsid w:val="00CB179F"/>
    <w:rsid w:val="00CB208B"/>
    <w:rsid w:val="00CB271B"/>
    <w:rsid w:val="00CB2BF5"/>
    <w:rsid w:val="00CB3109"/>
    <w:rsid w:val="00CB39C1"/>
    <w:rsid w:val="00CB3E64"/>
    <w:rsid w:val="00CB433D"/>
    <w:rsid w:val="00CB44D3"/>
    <w:rsid w:val="00CB4B22"/>
    <w:rsid w:val="00CB500E"/>
    <w:rsid w:val="00CB50DB"/>
    <w:rsid w:val="00CB54DC"/>
    <w:rsid w:val="00CB5D83"/>
    <w:rsid w:val="00CB5E38"/>
    <w:rsid w:val="00CB64C8"/>
    <w:rsid w:val="00CB6C69"/>
    <w:rsid w:val="00CB70FD"/>
    <w:rsid w:val="00CB71CE"/>
    <w:rsid w:val="00CB75F7"/>
    <w:rsid w:val="00CB76E6"/>
    <w:rsid w:val="00CB7902"/>
    <w:rsid w:val="00CB7F2D"/>
    <w:rsid w:val="00CC018B"/>
    <w:rsid w:val="00CC09B8"/>
    <w:rsid w:val="00CC0AAB"/>
    <w:rsid w:val="00CC1A0D"/>
    <w:rsid w:val="00CC1A46"/>
    <w:rsid w:val="00CC1CBA"/>
    <w:rsid w:val="00CC1E37"/>
    <w:rsid w:val="00CC1ECD"/>
    <w:rsid w:val="00CC1FCF"/>
    <w:rsid w:val="00CC25AA"/>
    <w:rsid w:val="00CC2C91"/>
    <w:rsid w:val="00CC2D6D"/>
    <w:rsid w:val="00CC3589"/>
    <w:rsid w:val="00CC3728"/>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772"/>
    <w:rsid w:val="00CC7FFA"/>
    <w:rsid w:val="00CD00B1"/>
    <w:rsid w:val="00CD01B8"/>
    <w:rsid w:val="00CD036C"/>
    <w:rsid w:val="00CD0775"/>
    <w:rsid w:val="00CD0CCB"/>
    <w:rsid w:val="00CD1C2A"/>
    <w:rsid w:val="00CD208D"/>
    <w:rsid w:val="00CD228E"/>
    <w:rsid w:val="00CD26E9"/>
    <w:rsid w:val="00CD26F2"/>
    <w:rsid w:val="00CD300A"/>
    <w:rsid w:val="00CD3148"/>
    <w:rsid w:val="00CD3349"/>
    <w:rsid w:val="00CD3611"/>
    <w:rsid w:val="00CD36AB"/>
    <w:rsid w:val="00CD4CA2"/>
    <w:rsid w:val="00CD4F72"/>
    <w:rsid w:val="00CD51A1"/>
    <w:rsid w:val="00CD52F1"/>
    <w:rsid w:val="00CD5ACE"/>
    <w:rsid w:val="00CD5BC3"/>
    <w:rsid w:val="00CD60C0"/>
    <w:rsid w:val="00CD6589"/>
    <w:rsid w:val="00CD67C6"/>
    <w:rsid w:val="00CD68DA"/>
    <w:rsid w:val="00CD6E47"/>
    <w:rsid w:val="00CD6F81"/>
    <w:rsid w:val="00CD7438"/>
    <w:rsid w:val="00CD7488"/>
    <w:rsid w:val="00CD7531"/>
    <w:rsid w:val="00CD78D4"/>
    <w:rsid w:val="00CD7BE9"/>
    <w:rsid w:val="00CD7C38"/>
    <w:rsid w:val="00CE0214"/>
    <w:rsid w:val="00CE0389"/>
    <w:rsid w:val="00CE0513"/>
    <w:rsid w:val="00CE1076"/>
    <w:rsid w:val="00CE1578"/>
    <w:rsid w:val="00CE1972"/>
    <w:rsid w:val="00CE200B"/>
    <w:rsid w:val="00CE24D5"/>
    <w:rsid w:val="00CE2E20"/>
    <w:rsid w:val="00CE3319"/>
    <w:rsid w:val="00CE38CF"/>
    <w:rsid w:val="00CE3F24"/>
    <w:rsid w:val="00CE42ED"/>
    <w:rsid w:val="00CE45A8"/>
    <w:rsid w:val="00CE46F1"/>
    <w:rsid w:val="00CE481A"/>
    <w:rsid w:val="00CE4A78"/>
    <w:rsid w:val="00CE4B5F"/>
    <w:rsid w:val="00CE4F32"/>
    <w:rsid w:val="00CE4F93"/>
    <w:rsid w:val="00CE55C4"/>
    <w:rsid w:val="00CE5D47"/>
    <w:rsid w:val="00CE606D"/>
    <w:rsid w:val="00CE611E"/>
    <w:rsid w:val="00CE630B"/>
    <w:rsid w:val="00CE6A9D"/>
    <w:rsid w:val="00CE7059"/>
    <w:rsid w:val="00CE78F0"/>
    <w:rsid w:val="00CF07EF"/>
    <w:rsid w:val="00CF0948"/>
    <w:rsid w:val="00CF0C19"/>
    <w:rsid w:val="00CF1D6A"/>
    <w:rsid w:val="00CF2564"/>
    <w:rsid w:val="00CF2851"/>
    <w:rsid w:val="00CF2D6E"/>
    <w:rsid w:val="00CF2EEB"/>
    <w:rsid w:val="00CF3107"/>
    <w:rsid w:val="00CF3676"/>
    <w:rsid w:val="00CF3976"/>
    <w:rsid w:val="00CF3B7D"/>
    <w:rsid w:val="00CF3DC1"/>
    <w:rsid w:val="00CF3F45"/>
    <w:rsid w:val="00CF47A1"/>
    <w:rsid w:val="00CF494C"/>
    <w:rsid w:val="00CF4A48"/>
    <w:rsid w:val="00CF4CAB"/>
    <w:rsid w:val="00CF50FB"/>
    <w:rsid w:val="00CF52A5"/>
    <w:rsid w:val="00CF5425"/>
    <w:rsid w:val="00CF661C"/>
    <w:rsid w:val="00CF6B5C"/>
    <w:rsid w:val="00CF7112"/>
    <w:rsid w:val="00CF72AF"/>
    <w:rsid w:val="00CF7B46"/>
    <w:rsid w:val="00CF7DC7"/>
    <w:rsid w:val="00CF7E12"/>
    <w:rsid w:val="00D00C1F"/>
    <w:rsid w:val="00D01145"/>
    <w:rsid w:val="00D01A3C"/>
    <w:rsid w:val="00D02438"/>
    <w:rsid w:val="00D024A1"/>
    <w:rsid w:val="00D02961"/>
    <w:rsid w:val="00D03023"/>
    <w:rsid w:val="00D0346C"/>
    <w:rsid w:val="00D039ED"/>
    <w:rsid w:val="00D0441E"/>
    <w:rsid w:val="00D047DB"/>
    <w:rsid w:val="00D05144"/>
    <w:rsid w:val="00D05625"/>
    <w:rsid w:val="00D05935"/>
    <w:rsid w:val="00D0597D"/>
    <w:rsid w:val="00D05FF5"/>
    <w:rsid w:val="00D062F2"/>
    <w:rsid w:val="00D06716"/>
    <w:rsid w:val="00D06780"/>
    <w:rsid w:val="00D070A9"/>
    <w:rsid w:val="00D07747"/>
    <w:rsid w:val="00D07FAF"/>
    <w:rsid w:val="00D11064"/>
    <w:rsid w:val="00D110CA"/>
    <w:rsid w:val="00D119D2"/>
    <w:rsid w:val="00D11D2E"/>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C03"/>
    <w:rsid w:val="00D21ECA"/>
    <w:rsid w:val="00D21EF0"/>
    <w:rsid w:val="00D22614"/>
    <w:rsid w:val="00D22788"/>
    <w:rsid w:val="00D22A60"/>
    <w:rsid w:val="00D237D7"/>
    <w:rsid w:val="00D23AB4"/>
    <w:rsid w:val="00D23BBD"/>
    <w:rsid w:val="00D2400B"/>
    <w:rsid w:val="00D24B04"/>
    <w:rsid w:val="00D24DD2"/>
    <w:rsid w:val="00D258EC"/>
    <w:rsid w:val="00D25CAA"/>
    <w:rsid w:val="00D26CAA"/>
    <w:rsid w:val="00D271E3"/>
    <w:rsid w:val="00D276A3"/>
    <w:rsid w:val="00D27C29"/>
    <w:rsid w:val="00D27F58"/>
    <w:rsid w:val="00D30921"/>
    <w:rsid w:val="00D30C6C"/>
    <w:rsid w:val="00D31694"/>
    <w:rsid w:val="00D317D5"/>
    <w:rsid w:val="00D3193B"/>
    <w:rsid w:val="00D31BE3"/>
    <w:rsid w:val="00D325D6"/>
    <w:rsid w:val="00D32DBD"/>
    <w:rsid w:val="00D32F01"/>
    <w:rsid w:val="00D3310B"/>
    <w:rsid w:val="00D335D2"/>
    <w:rsid w:val="00D33742"/>
    <w:rsid w:val="00D34A7A"/>
    <w:rsid w:val="00D34CD5"/>
    <w:rsid w:val="00D358FD"/>
    <w:rsid w:val="00D35A26"/>
    <w:rsid w:val="00D35CD4"/>
    <w:rsid w:val="00D35E5D"/>
    <w:rsid w:val="00D36059"/>
    <w:rsid w:val="00D3646A"/>
    <w:rsid w:val="00D36F4F"/>
    <w:rsid w:val="00D36F56"/>
    <w:rsid w:val="00D374E1"/>
    <w:rsid w:val="00D379EF"/>
    <w:rsid w:val="00D37B3D"/>
    <w:rsid w:val="00D37BE6"/>
    <w:rsid w:val="00D37E00"/>
    <w:rsid w:val="00D401B6"/>
    <w:rsid w:val="00D40300"/>
    <w:rsid w:val="00D403A2"/>
    <w:rsid w:val="00D40780"/>
    <w:rsid w:val="00D40A54"/>
    <w:rsid w:val="00D41030"/>
    <w:rsid w:val="00D41F10"/>
    <w:rsid w:val="00D41F6F"/>
    <w:rsid w:val="00D422D2"/>
    <w:rsid w:val="00D424EC"/>
    <w:rsid w:val="00D42831"/>
    <w:rsid w:val="00D42D60"/>
    <w:rsid w:val="00D42D64"/>
    <w:rsid w:val="00D43500"/>
    <w:rsid w:val="00D436C0"/>
    <w:rsid w:val="00D439CC"/>
    <w:rsid w:val="00D442D9"/>
    <w:rsid w:val="00D4481A"/>
    <w:rsid w:val="00D44FA2"/>
    <w:rsid w:val="00D4519A"/>
    <w:rsid w:val="00D452A9"/>
    <w:rsid w:val="00D45655"/>
    <w:rsid w:val="00D45A1E"/>
    <w:rsid w:val="00D45D43"/>
    <w:rsid w:val="00D45E85"/>
    <w:rsid w:val="00D46331"/>
    <w:rsid w:val="00D463C6"/>
    <w:rsid w:val="00D4674F"/>
    <w:rsid w:val="00D4705F"/>
    <w:rsid w:val="00D47633"/>
    <w:rsid w:val="00D500D5"/>
    <w:rsid w:val="00D5073B"/>
    <w:rsid w:val="00D508BA"/>
    <w:rsid w:val="00D50A16"/>
    <w:rsid w:val="00D50BB0"/>
    <w:rsid w:val="00D510D0"/>
    <w:rsid w:val="00D519CB"/>
    <w:rsid w:val="00D51B1E"/>
    <w:rsid w:val="00D5238E"/>
    <w:rsid w:val="00D52858"/>
    <w:rsid w:val="00D528FB"/>
    <w:rsid w:val="00D52C15"/>
    <w:rsid w:val="00D52D5E"/>
    <w:rsid w:val="00D53703"/>
    <w:rsid w:val="00D53BA5"/>
    <w:rsid w:val="00D53FEA"/>
    <w:rsid w:val="00D541A2"/>
    <w:rsid w:val="00D5424E"/>
    <w:rsid w:val="00D54648"/>
    <w:rsid w:val="00D54A0F"/>
    <w:rsid w:val="00D55103"/>
    <w:rsid w:val="00D55351"/>
    <w:rsid w:val="00D55910"/>
    <w:rsid w:val="00D55D06"/>
    <w:rsid w:val="00D55EDA"/>
    <w:rsid w:val="00D56964"/>
    <w:rsid w:val="00D56DAC"/>
    <w:rsid w:val="00D577BF"/>
    <w:rsid w:val="00D579FB"/>
    <w:rsid w:val="00D57B74"/>
    <w:rsid w:val="00D57FAB"/>
    <w:rsid w:val="00D61945"/>
    <w:rsid w:val="00D61D1F"/>
    <w:rsid w:val="00D62110"/>
    <w:rsid w:val="00D6254A"/>
    <w:rsid w:val="00D625EA"/>
    <w:rsid w:val="00D62936"/>
    <w:rsid w:val="00D62CA7"/>
    <w:rsid w:val="00D62CE0"/>
    <w:rsid w:val="00D63413"/>
    <w:rsid w:val="00D63625"/>
    <w:rsid w:val="00D63A26"/>
    <w:rsid w:val="00D640B8"/>
    <w:rsid w:val="00D64CB7"/>
    <w:rsid w:val="00D652E3"/>
    <w:rsid w:val="00D6567D"/>
    <w:rsid w:val="00D65A3E"/>
    <w:rsid w:val="00D65EEE"/>
    <w:rsid w:val="00D667E3"/>
    <w:rsid w:val="00D66D5B"/>
    <w:rsid w:val="00D676B4"/>
    <w:rsid w:val="00D67E90"/>
    <w:rsid w:val="00D67F95"/>
    <w:rsid w:val="00D7028F"/>
    <w:rsid w:val="00D71F02"/>
    <w:rsid w:val="00D71FC5"/>
    <w:rsid w:val="00D72486"/>
    <w:rsid w:val="00D72770"/>
    <w:rsid w:val="00D72C77"/>
    <w:rsid w:val="00D72F59"/>
    <w:rsid w:val="00D7337A"/>
    <w:rsid w:val="00D73520"/>
    <w:rsid w:val="00D73616"/>
    <w:rsid w:val="00D74290"/>
    <w:rsid w:val="00D748EC"/>
    <w:rsid w:val="00D74D95"/>
    <w:rsid w:val="00D75074"/>
    <w:rsid w:val="00D75106"/>
    <w:rsid w:val="00D75495"/>
    <w:rsid w:val="00D75497"/>
    <w:rsid w:val="00D766CA"/>
    <w:rsid w:val="00D76A3A"/>
    <w:rsid w:val="00D77276"/>
    <w:rsid w:val="00D77439"/>
    <w:rsid w:val="00D77913"/>
    <w:rsid w:val="00D77AAF"/>
    <w:rsid w:val="00D8008E"/>
    <w:rsid w:val="00D802B6"/>
    <w:rsid w:val="00D8084C"/>
    <w:rsid w:val="00D809FE"/>
    <w:rsid w:val="00D80D6A"/>
    <w:rsid w:val="00D813C0"/>
    <w:rsid w:val="00D81596"/>
    <w:rsid w:val="00D81E93"/>
    <w:rsid w:val="00D81EC9"/>
    <w:rsid w:val="00D8361A"/>
    <w:rsid w:val="00D83B5A"/>
    <w:rsid w:val="00D83D9D"/>
    <w:rsid w:val="00D84151"/>
    <w:rsid w:val="00D84566"/>
    <w:rsid w:val="00D84618"/>
    <w:rsid w:val="00D8492B"/>
    <w:rsid w:val="00D84F80"/>
    <w:rsid w:val="00D857C4"/>
    <w:rsid w:val="00D85E56"/>
    <w:rsid w:val="00D863E0"/>
    <w:rsid w:val="00D8662A"/>
    <w:rsid w:val="00D86964"/>
    <w:rsid w:val="00D86C43"/>
    <w:rsid w:val="00D86EE8"/>
    <w:rsid w:val="00D871AB"/>
    <w:rsid w:val="00D8773A"/>
    <w:rsid w:val="00D907CD"/>
    <w:rsid w:val="00D907D4"/>
    <w:rsid w:val="00D90FC4"/>
    <w:rsid w:val="00D910E5"/>
    <w:rsid w:val="00D913E0"/>
    <w:rsid w:val="00D91464"/>
    <w:rsid w:val="00D91674"/>
    <w:rsid w:val="00D91B79"/>
    <w:rsid w:val="00D92002"/>
    <w:rsid w:val="00D92015"/>
    <w:rsid w:val="00D9205F"/>
    <w:rsid w:val="00D92179"/>
    <w:rsid w:val="00D926F0"/>
    <w:rsid w:val="00D928C0"/>
    <w:rsid w:val="00D92E2A"/>
    <w:rsid w:val="00D9329A"/>
    <w:rsid w:val="00D934C9"/>
    <w:rsid w:val="00D93577"/>
    <w:rsid w:val="00D937ED"/>
    <w:rsid w:val="00D93995"/>
    <w:rsid w:val="00D94014"/>
    <w:rsid w:val="00D94055"/>
    <w:rsid w:val="00D9445D"/>
    <w:rsid w:val="00D95015"/>
    <w:rsid w:val="00D95915"/>
    <w:rsid w:val="00D959AE"/>
    <w:rsid w:val="00D95B71"/>
    <w:rsid w:val="00D9624C"/>
    <w:rsid w:val="00D973AE"/>
    <w:rsid w:val="00D97735"/>
    <w:rsid w:val="00D97A0A"/>
    <w:rsid w:val="00D97A9D"/>
    <w:rsid w:val="00D97D0C"/>
    <w:rsid w:val="00DA0785"/>
    <w:rsid w:val="00DA0E2E"/>
    <w:rsid w:val="00DA1529"/>
    <w:rsid w:val="00DA160B"/>
    <w:rsid w:val="00DA22FE"/>
    <w:rsid w:val="00DA25BD"/>
    <w:rsid w:val="00DA2DD9"/>
    <w:rsid w:val="00DA2E64"/>
    <w:rsid w:val="00DA2EDA"/>
    <w:rsid w:val="00DA3339"/>
    <w:rsid w:val="00DA380C"/>
    <w:rsid w:val="00DA4757"/>
    <w:rsid w:val="00DA4DBB"/>
    <w:rsid w:val="00DA518F"/>
    <w:rsid w:val="00DA531D"/>
    <w:rsid w:val="00DA5733"/>
    <w:rsid w:val="00DA5854"/>
    <w:rsid w:val="00DA5E2F"/>
    <w:rsid w:val="00DA6522"/>
    <w:rsid w:val="00DA68BE"/>
    <w:rsid w:val="00DA7017"/>
    <w:rsid w:val="00DA7381"/>
    <w:rsid w:val="00DA79E5"/>
    <w:rsid w:val="00DA7A53"/>
    <w:rsid w:val="00DA7CC4"/>
    <w:rsid w:val="00DA7D64"/>
    <w:rsid w:val="00DB0B11"/>
    <w:rsid w:val="00DB0CCF"/>
    <w:rsid w:val="00DB1055"/>
    <w:rsid w:val="00DB10D2"/>
    <w:rsid w:val="00DB175C"/>
    <w:rsid w:val="00DB1A91"/>
    <w:rsid w:val="00DB2228"/>
    <w:rsid w:val="00DB25AD"/>
    <w:rsid w:val="00DB27BE"/>
    <w:rsid w:val="00DB2EA8"/>
    <w:rsid w:val="00DB359B"/>
    <w:rsid w:val="00DB369C"/>
    <w:rsid w:val="00DB36DC"/>
    <w:rsid w:val="00DB4282"/>
    <w:rsid w:val="00DB4C49"/>
    <w:rsid w:val="00DB5368"/>
    <w:rsid w:val="00DB5BA5"/>
    <w:rsid w:val="00DB5CE5"/>
    <w:rsid w:val="00DB5F01"/>
    <w:rsid w:val="00DB65AA"/>
    <w:rsid w:val="00DB6CA0"/>
    <w:rsid w:val="00DB6D76"/>
    <w:rsid w:val="00DB6FEB"/>
    <w:rsid w:val="00DB7AE9"/>
    <w:rsid w:val="00DB7E0B"/>
    <w:rsid w:val="00DC02C2"/>
    <w:rsid w:val="00DC0687"/>
    <w:rsid w:val="00DC092A"/>
    <w:rsid w:val="00DC0E12"/>
    <w:rsid w:val="00DC17AD"/>
    <w:rsid w:val="00DC187D"/>
    <w:rsid w:val="00DC2754"/>
    <w:rsid w:val="00DC2C3D"/>
    <w:rsid w:val="00DC2DEF"/>
    <w:rsid w:val="00DC3BA1"/>
    <w:rsid w:val="00DC3CB1"/>
    <w:rsid w:val="00DC3E06"/>
    <w:rsid w:val="00DC4395"/>
    <w:rsid w:val="00DC4742"/>
    <w:rsid w:val="00DC49D8"/>
    <w:rsid w:val="00DC4B65"/>
    <w:rsid w:val="00DC4D81"/>
    <w:rsid w:val="00DC6030"/>
    <w:rsid w:val="00DC6B10"/>
    <w:rsid w:val="00DC703C"/>
    <w:rsid w:val="00DC7516"/>
    <w:rsid w:val="00DC751F"/>
    <w:rsid w:val="00DC7BD5"/>
    <w:rsid w:val="00DD01F4"/>
    <w:rsid w:val="00DD0569"/>
    <w:rsid w:val="00DD1CCF"/>
    <w:rsid w:val="00DD1D33"/>
    <w:rsid w:val="00DD2212"/>
    <w:rsid w:val="00DD3069"/>
    <w:rsid w:val="00DD3DFD"/>
    <w:rsid w:val="00DD4123"/>
    <w:rsid w:val="00DD42ED"/>
    <w:rsid w:val="00DD49EE"/>
    <w:rsid w:val="00DD4E5A"/>
    <w:rsid w:val="00DD52BB"/>
    <w:rsid w:val="00DD5406"/>
    <w:rsid w:val="00DD573D"/>
    <w:rsid w:val="00DD634F"/>
    <w:rsid w:val="00DD6BC6"/>
    <w:rsid w:val="00DD7468"/>
    <w:rsid w:val="00DD74E6"/>
    <w:rsid w:val="00DD7902"/>
    <w:rsid w:val="00DE0316"/>
    <w:rsid w:val="00DE04F6"/>
    <w:rsid w:val="00DE0622"/>
    <w:rsid w:val="00DE0977"/>
    <w:rsid w:val="00DE159A"/>
    <w:rsid w:val="00DE17D6"/>
    <w:rsid w:val="00DE1F27"/>
    <w:rsid w:val="00DE1FF3"/>
    <w:rsid w:val="00DE219A"/>
    <w:rsid w:val="00DE22DA"/>
    <w:rsid w:val="00DE274F"/>
    <w:rsid w:val="00DE29EF"/>
    <w:rsid w:val="00DE2D1D"/>
    <w:rsid w:val="00DE329F"/>
    <w:rsid w:val="00DE3426"/>
    <w:rsid w:val="00DE3481"/>
    <w:rsid w:val="00DE3727"/>
    <w:rsid w:val="00DE3BA5"/>
    <w:rsid w:val="00DE4A76"/>
    <w:rsid w:val="00DE4BCB"/>
    <w:rsid w:val="00DE50CF"/>
    <w:rsid w:val="00DE6E46"/>
    <w:rsid w:val="00DE7137"/>
    <w:rsid w:val="00DE7631"/>
    <w:rsid w:val="00DE7ADB"/>
    <w:rsid w:val="00DF033B"/>
    <w:rsid w:val="00DF0604"/>
    <w:rsid w:val="00DF0D47"/>
    <w:rsid w:val="00DF0E52"/>
    <w:rsid w:val="00DF2440"/>
    <w:rsid w:val="00DF380E"/>
    <w:rsid w:val="00DF39F6"/>
    <w:rsid w:val="00DF3C0D"/>
    <w:rsid w:val="00DF405F"/>
    <w:rsid w:val="00DF4BCA"/>
    <w:rsid w:val="00DF566C"/>
    <w:rsid w:val="00DF5B09"/>
    <w:rsid w:val="00DF5B3F"/>
    <w:rsid w:val="00DF6227"/>
    <w:rsid w:val="00DF6425"/>
    <w:rsid w:val="00DF6FB6"/>
    <w:rsid w:val="00DF6FEB"/>
    <w:rsid w:val="00DF75B4"/>
    <w:rsid w:val="00DF7C21"/>
    <w:rsid w:val="00E00159"/>
    <w:rsid w:val="00E0018C"/>
    <w:rsid w:val="00E00C8E"/>
    <w:rsid w:val="00E01B91"/>
    <w:rsid w:val="00E01E46"/>
    <w:rsid w:val="00E021E3"/>
    <w:rsid w:val="00E025CC"/>
    <w:rsid w:val="00E02840"/>
    <w:rsid w:val="00E02DC6"/>
    <w:rsid w:val="00E02ED8"/>
    <w:rsid w:val="00E032B0"/>
    <w:rsid w:val="00E03E36"/>
    <w:rsid w:val="00E043CC"/>
    <w:rsid w:val="00E04407"/>
    <w:rsid w:val="00E05374"/>
    <w:rsid w:val="00E053E5"/>
    <w:rsid w:val="00E056F2"/>
    <w:rsid w:val="00E05BB7"/>
    <w:rsid w:val="00E05D16"/>
    <w:rsid w:val="00E05FC8"/>
    <w:rsid w:val="00E05FEB"/>
    <w:rsid w:val="00E062D8"/>
    <w:rsid w:val="00E066A0"/>
    <w:rsid w:val="00E0671D"/>
    <w:rsid w:val="00E07497"/>
    <w:rsid w:val="00E07991"/>
    <w:rsid w:val="00E07A4D"/>
    <w:rsid w:val="00E10073"/>
    <w:rsid w:val="00E106B6"/>
    <w:rsid w:val="00E11A3C"/>
    <w:rsid w:val="00E11B29"/>
    <w:rsid w:val="00E11BB8"/>
    <w:rsid w:val="00E11EB4"/>
    <w:rsid w:val="00E11FDF"/>
    <w:rsid w:val="00E12595"/>
    <w:rsid w:val="00E12BB4"/>
    <w:rsid w:val="00E1355F"/>
    <w:rsid w:val="00E13936"/>
    <w:rsid w:val="00E14318"/>
    <w:rsid w:val="00E147CA"/>
    <w:rsid w:val="00E14A2D"/>
    <w:rsid w:val="00E15BE0"/>
    <w:rsid w:val="00E15DCC"/>
    <w:rsid w:val="00E165D1"/>
    <w:rsid w:val="00E1693C"/>
    <w:rsid w:val="00E2008E"/>
    <w:rsid w:val="00E211A6"/>
    <w:rsid w:val="00E21234"/>
    <w:rsid w:val="00E21335"/>
    <w:rsid w:val="00E2141A"/>
    <w:rsid w:val="00E21A79"/>
    <w:rsid w:val="00E21BDE"/>
    <w:rsid w:val="00E21E9D"/>
    <w:rsid w:val="00E22440"/>
    <w:rsid w:val="00E22772"/>
    <w:rsid w:val="00E23481"/>
    <w:rsid w:val="00E23E6E"/>
    <w:rsid w:val="00E23FA8"/>
    <w:rsid w:val="00E24C95"/>
    <w:rsid w:val="00E24E05"/>
    <w:rsid w:val="00E2507F"/>
    <w:rsid w:val="00E2599D"/>
    <w:rsid w:val="00E259BC"/>
    <w:rsid w:val="00E259C1"/>
    <w:rsid w:val="00E25A1E"/>
    <w:rsid w:val="00E25A23"/>
    <w:rsid w:val="00E260FC"/>
    <w:rsid w:val="00E26230"/>
    <w:rsid w:val="00E26722"/>
    <w:rsid w:val="00E26CB9"/>
    <w:rsid w:val="00E26CC8"/>
    <w:rsid w:val="00E26FBA"/>
    <w:rsid w:val="00E2738E"/>
    <w:rsid w:val="00E276A3"/>
    <w:rsid w:val="00E27853"/>
    <w:rsid w:val="00E27B0E"/>
    <w:rsid w:val="00E27EC7"/>
    <w:rsid w:val="00E27F95"/>
    <w:rsid w:val="00E301D1"/>
    <w:rsid w:val="00E3032B"/>
    <w:rsid w:val="00E30869"/>
    <w:rsid w:val="00E3131C"/>
    <w:rsid w:val="00E324C6"/>
    <w:rsid w:val="00E327F9"/>
    <w:rsid w:val="00E32A08"/>
    <w:rsid w:val="00E32CE5"/>
    <w:rsid w:val="00E332C4"/>
    <w:rsid w:val="00E33948"/>
    <w:rsid w:val="00E33AB4"/>
    <w:rsid w:val="00E33B49"/>
    <w:rsid w:val="00E33B8A"/>
    <w:rsid w:val="00E33DC3"/>
    <w:rsid w:val="00E34736"/>
    <w:rsid w:val="00E34C79"/>
    <w:rsid w:val="00E34D12"/>
    <w:rsid w:val="00E34FA2"/>
    <w:rsid w:val="00E35B1A"/>
    <w:rsid w:val="00E35DA4"/>
    <w:rsid w:val="00E3658E"/>
    <w:rsid w:val="00E366FD"/>
    <w:rsid w:val="00E37315"/>
    <w:rsid w:val="00E37827"/>
    <w:rsid w:val="00E379D6"/>
    <w:rsid w:val="00E401CC"/>
    <w:rsid w:val="00E40476"/>
    <w:rsid w:val="00E41000"/>
    <w:rsid w:val="00E4140F"/>
    <w:rsid w:val="00E41925"/>
    <w:rsid w:val="00E42614"/>
    <w:rsid w:val="00E42EED"/>
    <w:rsid w:val="00E43B9C"/>
    <w:rsid w:val="00E43CD2"/>
    <w:rsid w:val="00E43FBD"/>
    <w:rsid w:val="00E449D5"/>
    <w:rsid w:val="00E4520B"/>
    <w:rsid w:val="00E4575A"/>
    <w:rsid w:val="00E463BE"/>
    <w:rsid w:val="00E46A7B"/>
    <w:rsid w:val="00E47225"/>
    <w:rsid w:val="00E474FB"/>
    <w:rsid w:val="00E475C3"/>
    <w:rsid w:val="00E477E4"/>
    <w:rsid w:val="00E50206"/>
    <w:rsid w:val="00E502DB"/>
    <w:rsid w:val="00E5093B"/>
    <w:rsid w:val="00E50B7B"/>
    <w:rsid w:val="00E50BEE"/>
    <w:rsid w:val="00E50EB3"/>
    <w:rsid w:val="00E511C7"/>
    <w:rsid w:val="00E51592"/>
    <w:rsid w:val="00E516E6"/>
    <w:rsid w:val="00E51A85"/>
    <w:rsid w:val="00E5262A"/>
    <w:rsid w:val="00E526BF"/>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745A"/>
    <w:rsid w:val="00E578C7"/>
    <w:rsid w:val="00E57D62"/>
    <w:rsid w:val="00E60341"/>
    <w:rsid w:val="00E60445"/>
    <w:rsid w:val="00E60848"/>
    <w:rsid w:val="00E60BB0"/>
    <w:rsid w:val="00E60D95"/>
    <w:rsid w:val="00E6143A"/>
    <w:rsid w:val="00E6176F"/>
    <w:rsid w:val="00E62140"/>
    <w:rsid w:val="00E6214F"/>
    <w:rsid w:val="00E623AA"/>
    <w:rsid w:val="00E6295C"/>
    <w:rsid w:val="00E62A34"/>
    <w:rsid w:val="00E62D2F"/>
    <w:rsid w:val="00E638FC"/>
    <w:rsid w:val="00E6487A"/>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11F1"/>
    <w:rsid w:val="00E71804"/>
    <w:rsid w:val="00E71EA7"/>
    <w:rsid w:val="00E72AED"/>
    <w:rsid w:val="00E72B08"/>
    <w:rsid w:val="00E72BD4"/>
    <w:rsid w:val="00E72C13"/>
    <w:rsid w:val="00E72D56"/>
    <w:rsid w:val="00E72EF2"/>
    <w:rsid w:val="00E736F5"/>
    <w:rsid w:val="00E737E2"/>
    <w:rsid w:val="00E73BE0"/>
    <w:rsid w:val="00E73D56"/>
    <w:rsid w:val="00E742AB"/>
    <w:rsid w:val="00E7538D"/>
    <w:rsid w:val="00E75702"/>
    <w:rsid w:val="00E763CD"/>
    <w:rsid w:val="00E763E8"/>
    <w:rsid w:val="00E76D40"/>
    <w:rsid w:val="00E76F8D"/>
    <w:rsid w:val="00E76FF9"/>
    <w:rsid w:val="00E774D6"/>
    <w:rsid w:val="00E7767A"/>
    <w:rsid w:val="00E7787D"/>
    <w:rsid w:val="00E800A4"/>
    <w:rsid w:val="00E80591"/>
    <w:rsid w:val="00E81028"/>
    <w:rsid w:val="00E810DF"/>
    <w:rsid w:val="00E8110F"/>
    <w:rsid w:val="00E81575"/>
    <w:rsid w:val="00E81CE7"/>
    <w:rsid w:val="00E82C10"/>
    <w:rsid w:val="00E83247"/>
    <w:rsid w:val="00E83734"/>
    <w:rsid w:val="00E837D2"/>
    <w:rsid w:val="00E845ED"/>
    <w:rsid w:val="00E846B1"/>
    <w:rsid w:val="00E84956"/>
    <w:rsid w:val="00E84C07"/>
    <w:rsid w:val="00E84E3A"/>
    <w:rsid w:val="00E84E7D"/>
    <w:rsid w:val="00E85098"/>
    <w:rsid w:val="00E8569A"/>
    <w:rsid w:val="00E856E1"/>
    <w:rsid w:val="00E8595A"/>
    <w:rsid w:val="00E859F8"/>
    <w:rsid w:val="00E85AD4"/>
    <w:rsid w:val="00E85CD4"/>
    <w:rsid w:val="00E871B9"/>
    <w:rsid w:val="00E87783"/>
    <w:rsid w:val="00E87DEE"/>
    <w:rsid w:val="00E902A6"/>
    <w:rsid w:val="00E906D2"/>
    <w:rsid w:val="00E913FB"/>
    <w:rsid w:val="00E91AF9"/>
    <w:rsid w:val="00E92377"/>
    <w:rsid w:val="00E929B6"/>
    <w:rsid w:val="00E92C59"/>
    <w:rsid w:val="00E92CD5"/>
    <w:rsid w:val="00E93207"/>
    <w:rsid w:val="00E9344D"/>
    <w:rsid w:val="00E93C29"/>
    <w:rsid w:val="00E94464"/>
    <w:rsid w:val="00E94581"/>
    <w:rsid w:val="00E94DCB"/>
    <w:rsid w:val="00E94FBE"/>
    <w:rsid w:val="00E9541C"/>
    <w:rsid w:val="00E95E71"/>
    <w:rsid w:val="00E96512"/>
    <w:rsid w:val="00E96567"/>
    <w:rsid w:val="00E973D4"/>
    <w:rsid w:val="00E9755F"/>
    <w:rsid w:val="00E97A8F"/>
    <w:rsid w:val="00E97E98"/>
    <w:rsid w:val="00EA00C9"/>
    <w:rsid w:val="00EA01FC"/>
    <w:rsid w:val="00EA0231"/>
    <w:rsid w:val="00EA0275"/>
    <w:rsid w:val="00EA0CDC"/>
    <w:rsid w:val="00EA0FCD"/>
    <w:rsid w:val="00EA104D"/>
    <w:rsid w:val="00EA1931"/>
    <w:rsid w:val="00EA1AEB"/>
    <w:rsid w:val="00EA1CDE"/>
    <w:rsid w:val="00EA1E41"/>
    <w:rsid w:val="00EA2480"/>
    <w:rsid w:val="00EA2609"/>
    <w:rsid w:val="00EA2871"/>
    <w:rsid w:val="00EA2A6A"/>
    <w:rsid w:val="00EA2CE3"/>
    <w:rsid w:val="00EA2F1E"/>
    <w:rsid w:val="00EA330F"/>
    <w:rsid w:val="00EA3E6C"/>
    <w:rsid w:val="00EA3F27"/>
    <w:rsid w:val="00EA4E62"/>
    <w:rsid w:val="00EA4E72"/>
    <w:rsid w:val="00EA5636"/>
    <w:rsid w:val="00EA571B"/>
    <w:rsid w:val="00EA634C"/>
    <w:rsid w:val="00EA6EC4"/>
    <w:rsid w:val="00EA743A"/>
    <w:rsid w:val="00EA7893"/>
    <w:rsid w:val="00EA7AA4"/>
    <w:rsid w:val="00EA7F25"/>
    <w:rsid w:val="00EB0297"/>
    <w:rsid w:val="00EB077E"/>
    <w:rsid w:val="00EB1C9A"/>
    <w:rsid w:val="00EB2360"/>
    <w:rsid w:val="00EB2851"/>
    <w:rsid w:val="00EB4B44"/>
    <w:rsid w:val="00EB583A"/>
    <w:rsid w:val="00EB5FD2"/>
    <w:rsid w:val="00EB61C4"/>
    <w:rsid w:val="00EB63B4"/>
    <w:rsid w:val="00EB6841"/>
    <w:rsid w:val="00EB6A52"/>
    <w:rsid w:val="00EB6AE1"/>
    <w:rsid w:val="00EB6FC1"/>
    <w:rsid w:val="00EB7978"/>
    <w:rsid w:val="00EB7BFE"/>
    <w:rsid w:val="00EB7E3C"/>
    <w:rsid w:val="00EB7E5A"/>
    <w:rsid w:val="00EB7F3B"/>
    <w:rsid w:val="00EC0058"/>
    <w:rsid w:val="00EC09CB"/>
    <w:rsid w:val="00EC0AD1"/>
    <w:rsid w:val="00EC10CD"/>
    <w:rsid w:val="00EC12AA"/>
    <w:rsid w:val="00EC264B"/>
    <w:rsid w:val="00EC29CD"/>
    <w:rsid w:val="00EC2CA7"/>
    <w:rsid w:val="00EC3159"/>
    <w:rsid w:val="00EC352F"/>
    <w:rsid w:val="00EC364C"/>
    <w:rsid w:val="00EC37D2"/>
    <w:rsid w:val="00EC392C"/>
    <w:rsid w:val="00EC4262"/>
    <w:rsid w:val="00EC453B"/>
    <w:rsid w:val="00EC46E3"/>
    <w:rsid w:val="00EC4A00"/>
    <w:rsid w:val="00EC4A5A"/>
    <w:rsid w:val="00EC4B52"/>
    <w:rsid w:val="00EC4C0F"/>
    <w:rsid w:val="00EC4D93"/>
    <w:rsid w:val="00EC5123"/>
    <w:rsid w:val="00EC5525"/>
    <w:rsid w:val="00EC65DE"/>
    <w:rsid w:val="00EC6955"/>
    <w:rsid w:val="00EC6B63"/>
    <w:rsid w:val="00EC6CCD"/>
    <w:rsid w:val="00EC7229"/>
    <w:rsid w:val="00EC75AE"/>
    <w:rsid w:val="00EC774B"/>
    <w:rsid w:val="00ED035B"/>
    <w:rsid w:val="00ED068B"/>
    <w:rsid w:val="00ED11DA"/>
    <w:rsid w:val="00ED12F6"/>
    <w:rsid w:val="00ED1346"/>
    <w:rsid w:val="00ED142C"/>
    <w:rsid w:val="00ED155B"/>
    <w:rsid w:val="00ED16E5"/>
    <w:rsid w:val="00ED194D"/>
    <w:rsid w:val="00ED19B7"/>
    <w:rsid w:val="00ED1B20"/>
    <w:rsid w:val="00ED1FF2"/>
    <w:rsid w:val="00ED2415"/>
    <w:rsid w:val="00ED2DB4"/>
    <w:rsid w:val="00ED3619"/>
    <w:rsid w:val="00ED3695"/>
    <w:rsid w:val="00ED369D"/>
    <w:rsid w:val="00ED3748"/>
    <w:rsid w:val="00ED3868"/>
    <w:rsid w:val="00ED42CA"/>
    <w:rsid w:val="00ED4453"/>
    <w:rsid w:val="00ED4848"/>
    <w:rsid w:val="00ED4A21"/>
    <w:rsid w:val="00ED4D74"/>
    <w:rsid w:val="00ED4E40"/>
    <w:rsid w:val="00ED51BE"/>
    <w:rsid w:val="00ED51DA"/>
    <w:rsid w:val="00ED52A6"/>
    <w:rsid w:val="00ED57C1"/>
    <w:rsid w:val="00ED5FC1"/>
    <w:rsid w:val="00ED61F4"/>
    <w:rsid w:val="00ED6B04"/>
    <w:rsid w:val="00ED7007"/>
    <w:rsid w:val="00ED7209"/>
    <w:rsid w:val="00ED7F2E"/>
    <w:rsid w:val="00ED7F67"/>
    <w:rsid w:val="00EE0013"/>
    <w:rsid w:val="00EE0113"/>
    <w:rsid w:val="00EE019C"/>
    <w:rsid w:val="00EE01FC"/>
    <w:rsid w:val="00EE0B41"/>
    <w:rsid w:val="00EE0C3F"/>
    <w:rsid w:val="00EE126C"/>
    <w:rsid w:val="00EE1692"/>
    <w:rsid w:val="00EE1841"/>
    <w:rsid w:val="00EE1BBE"/>
    <w:rsid w:val="00EE1C68"/>
    <w:rsid w:val="00EE1F17"/>
    <w:rsid w:val="00EE2043"/>
    <w:rsid w:val="00EE271B"/>
    <w:rsid w:val="00EE28D8"/>
    <w:rsid w:val="00EE4345"/>
    <w:rsid w:val="00EE43B3"/>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B8"/>
    <w:rsid w:val="00EF0292"/>
    <w:rsid w:val="00EF0D0F"/>
    <w:rsid w:val="00EF157E"/>
    <w:rsid w:val="00EF170A"/>
    <w:rsid w:val="00EF1E7D"/>
    <w:rsid w:val="00EF2429"/>
    <w:rsid w:val="00EF319F"/>
    <w:rsid w:val="00EF3841"/>
    <w:rsid w:val="00EF3860"/>
    <w:rsid w:val="00EF38AE"/>
    <w:rsid w:val="00EF3DC3"/>
    <w:rsid w:val="00EF4204"/>
    <w:rsid w:val="00EF452C"/>
    <w:rsid w:val="00EF556F"/>
    <w:rsid w:val="00EF55F1"/>
    <w:rsid w:val="00EF56E7"/>
    <w:rsid w:val="00EF5F93"/>
    <w:rsid w:val="00EF681E"/>
    <w:rsid w:val="00EF6E22"/>
    <w:rsid w:val="00EF6ED3"/>
    <w:rsid w:val="00EF7436"/>
    <w:rsid w:val="00EF7E47"/>
    <w:rsid w:val="00F000F0"/>
    <w:rsid w:val="00F00477"/>
    <w:rsid w:val="00F00FB1"/>
    <w:rsid w:val="00F01299"/>
    <w:rsid w:val="00F01406"/>
    <w:rsid w:val="00F01684"/>
    <w:rsid w:val="00F0177A"/>
    <w:rsid w:val="00F01985"/>
    <w:rsid w:val="00F01CA4"/>
    <w:rsid w:val="00F02112"/>
    <w:rsid w:val="00F02598"/>
    <w:rsid w:val="00F025C8"/>
    <w:rsid w:val="00F03156"/>
    <w:rsid w:val="00F03B53"/>
    <w:rsid w:val="00F04231"/>
    <w:rsid w:val="00F04592"/>
    <w:rsid w:val="00F04A63"/>
    <w:rsid w:val="00F04EC2"/>
    <w:rsid w:val="00F0526E"/>
    <w:rsid w:val="00F056AC"/>
    <w:rsid w:val="00F05740"/>
    <w:rsid w:val="00F0577B"/>
    <w:rsid w:val="00F05A0A"/>
    <w:rsid w:val="00F05EF2"/>
    <w:rsid w:val="00F063B5"/>
    <w:rsid w:val="00F0677F"/>
    <w:rsid w:val="00F06934"/>
    <w:rsid w:val="00F069F8"/>
    <w:rsid w:val="00F06D3A"/>
    <w:rsid w:val="00F07084"/>
    <w:rsid w:val="00F075F7"/>
    <w:rsid w:val="00F07BDB"/>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897"/>
    <w:rsid w:val="00F14F2F"/>
    <w:rsid w:val="00F1505F"/>
    <w:rsid w:val="00F1520D"/>
    <w:rsid w:val="00F1534D"/>
    <w:rsid w:val="00F15AA0"/>
    <w:rsid w:val="00F165A6"/>
    <w:rsid w:val="00F16B64"/>
    <w:rsid w:val="00F17308"/>
    <w:rsid w:val="00F176CE"/>
    <w:rsid w:val="00F17D96"/>
    <w:rsid w:val="00F2060F"/>
    <w:rsid w:val="00F206FA"/>
    <w:rsid w:val="00F20734"/>
    <w:rsid w:val="00F21B4B"/>
    <w:rsid w:val="00F21BE0"/>
    <w:rsid w:val="00F21C31"/>
    <w:rsid w:val="00F2281A"/>
    <w:rsid w:val="00F2311A"/>
    <w:rsid w:val="00F23C96"/>
    <w:rsid w:val="00F24028"/>
    <w:rsid w:val="00F246A7"/>
    <w:rsid w:val="00F24AD0"/>
    <w:rsid w:val="00F24C99"/>
    <w:rsid w:val="00F25890"/>
    <w:rsid w:val="00F258A4"/>
    <w:rsid w:val="00F259AC"/>
    <w:rsid w:val="00F25BD2"/>
    <w:rsid w:val="00F265A6"/>
    <w:rsid w:val="00F26644"/>
    <w:rsid w:val="00F2677A"/>
    <w:rsid w:val="00F273DD"/>
    <w:rsid w:val="00F2773E"/>
    <w:rsid w:val="00F27C51"/>
    <w:rsid w:val="00F30351"/>
    <w:rsid w:val="00F304F7"/>
    <w:rsid w:val="00F30813"/>
    <w:rsid w:val="00F30849"/>
    <w:rsid w:val="00F30EA3"/>
    <w:rsid w:val="00F30F09"/>
    <w:rsid w:val="00F315DB"/>
    <w:rsid w:val="00F31694"/>
    <w:rsid w:val="00F32240"/>
    <w:rsid w:val="00F3275D"/>
    <w:rsid w:val="00F3296F"/>
    <w:rsid w:val="00F3364B"/>
    <w:rsid w:val="00F337C2"/>
    <w:rsid w:val="00F3450F"/>
    <w:rsid w:val="00F345AD"/>
    <w:rsid w:val="00F346F9"/>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415"/>
    <w:rsid w:val="00F37606"/>
    <w:rsid w:val="00F40870"/>
    <w:rsid w:val="00F415CC"/>
    <w:rsid w:val="00F41633"/>
    <w:rsid w:val="00F42183"/>
    <w:rsid w:val="00F42374"/>
    <w:rsid w:val="00F42CE0"/>
    <w:rsid w:val="00F436E7"/>
    <w:rsid w:val="00F43A12"/>
    <w:rsid w:val="00F43EFA"/>
    <w:rsid w:val="00F445C9"/>
    <w:rsid w:val="00F4508F"/>
    <w:rsid w:val="00F45236"/>
    <w:rsid w:val="00F4528D"/>
    <w:rsid w:val="00F463FE"/>
    <w:rsid w:val="00F46AC3"/>
    <w:rsid w:val="00F47371"/>
    <w:rsid w:val="00F50091"/>
    <w:rsid w:val="00F508BC"/>
    <w:rsid w:val="00F50AD9"/>
    <w:rsid w:val="00F511C0"/>
    <w:rsid w:val="00F526D3"/>
    <w:rsid w:val="00F52919"/>
    <w:rsid w:val="00F52B98"/>
    <w:rsid w:val="00F531E7"/>
    <w:rsid w:val="00F53202"/>
    <w:rsid w:val="00F53716"/>
    <w:rsid w:val="00F53891"/>
    <w:rsid w:val="00F53902"/>
    <w:rsid w:val="00F53E62"/>
    <w:rsid w:val="00F5460C"/>
    <w:rsid w:val="00F5473E"/>
    <w:rsid w:val="00F54964"/>
    <w:rsid w:val="00F55397"/>
    <w:rsid w:val="00F557CB"/>
    <w:rsid w:val="00F558C2"/>
    <w:rsid w:val="00F55A1F"/>
    <w:rsid w:val="00F56043"/>
    <w:rsid w:val="00F560E1"/>
    <w:rsid w:val="00F56304"/>
    <w:rsid w:val="00F56534"/>
    <w:rsid w:val="00F566A5"/>
    <w:rsid w:val="00F56B1D"/>
    <w:rsid w:val="00F57F23"/>
    <w:rsid w:val="00F61FE3"/>
    <w:rsid w:val="00F62B39"/>
    <w:rsid w:val="00F62C10"/>
    <w:rsid w:val="00F630AC"/>
    <w:rsid w:val="00F63139"/>
    <w:rsid w:val="00F6318C"/>
    <w:rsid w:val="00F63444"/>
    <w:rsid w:val="00F6390F"/>
    <w:rsid w:val="00F63C78"/>
    <w:rsid w:val="00F63E01"/>
    <w:rsid w:val="00F640EB"/>
    <w:rsid w:val="00F649C3"/>
    <w:rsid w:val="00F65123"/>
    <w:rsid w:val="00F65656"/>
    <w:rsid w:val="00F6579B"/>
    <w:rsid w:val="00F65892"/>
    <w:rsid w:val="00F65CB6"/>
    <w:rsid w:val="00F65E07"/>
    <w:rsid w:val="00F664DA"/>
    <w:rsid w:val="00F66E91"/>
    <w:rsid w:val="00F674B9"/>
    <w:rsid w:val="00F678B7"/>
    <w:rsid w:val="00F67FDF"/>
    <w:rsid w:val="00F70487"/>
    <w:rsid w:val="00F71192"/>
    <w:rsid w:val="00F71774"/>
    <w:rsid w:val="00F71785"/>
    <w:rsid w:val="00F721D9"/>
    <w:rsid w:val="00F72C59"/>
    <w:rsid w:val="00F72FD4"/>
    <w:rsid w:val="00F7349F"/>
    <w:rsid w:val="00F73A1B"/>
    <w:rsid w:val="00F749F1"/>
    <w:rsid w:val="00F74D93"/>
    <w:rsid w:val="00F75421"/>
    <w:rsid w:val="00F75EDD"/>
    <w:rsid w:val="00F7625A"/>
    <w:rsid w:val="00F76396"/>
    <w:rsid w:val="00F76B81"/>
    <w:rsid w:val="00F77D3F"/>
    <w:rsid w:val="00F817E4"/>
    <w:rsid w:val="00F818C3"/>
    <w:rsid w:val="00F81A71"/>
    <w:rsid w:val="00F8285E"/>
    <w:rsid w:val="00F833BA"/>
    <w:rsid w:val="00F84123"/>
    <w:rsid w:val="00F84987"/>
    <w:rsid w:val="00F84B15"/>
    <w:rsid w:val="00F8521F"/>
    <w:rsid w:val="00F85FC5"/>
    <w:rsid w:val="00F86337"/>
    <w:rsid w:val="00F86BD1"/>
    <w:rsid w:val="00F86D30"/>
    <w:rsid w:val="00F8723A"/>
    <w:rsid w:val="00F8753B"/>
    <w:rsid w:val="00F875E3"/>
    <w:rsid w:val="00F87D37"/>
    <w:rsid w:val="00F906FD"/>
    <w:rsid w:val="00F9136D"/>
    <w:rsid w:val="00F91501"/>
    <w:rsid w:val="00F92944"/>
    <w:rsid w:val="00F92D4B"/>
    <w:rsid w:val="00F93C44"/>
    <w:rsid w:val="00F93C5B"/>
    <w:rsid w:val="00F94323"/>
    <w:rsid w:val="00F94448"/>
    <w:rsid w:val="00F9466B"/>
    <w:rsid w:val="00F95157"/>
    <w:rsid w:val="00F954EE"/>
    <w:rsid w:val="00F95F31"/>
    <w:rsid w:val="00F96646"/>
    <w:rsid w:val="00F96942"/>
    <w:rsid w:val="00F96E2D"/>
    <w:rsid w:val="00F97060"/>
    <w:rsid w:val="00F97AC2"/>
    <w:rsid w:val="00F97BD4"/>
    <w:rsid w:val="00F97F72"/>
    <w:rsid w:val="00FA11D6"/>
    <w:rsid w:val="00FA1626"/>
    <w:rsid w:val="00FA229C"/>
    <w:rsid w:val="00FA3732"/>
    <w:rsid w:val="00FA38E8"/>
    <w:rsid w:val="00FA3FEF"/>
    <w:rsid w:val="00FA50D5"/>
    <w:rsid w:val="00FA5141"/>
    <w:rsid w:val="00FA5392"/>
    <w:rsid w:val="00FA5A46"/>
    <w:rsid w:val="00FA5DA2"/>
    <w:rsid w:val="00FA63EF"/>
    <w:rsid w:val="00FA6611"/>
    <w:rsid w:val="00FA6672"/>
    <w:rsid w:val="00FA6A52"/>
    <w:rsid w:val="00FA7EC1"/>
    <w:rsid w:val="00FB160C"/>
    <w:rsid w:val="00FB17F3"/>
    <w:rsid w:val="00FB3288"/>
    <w:rsid w:val="00FB3C8A"/>
    <w:rsid w:val="00FB3CBE"/>
    <w:rsid w:val="00FB407C"/>
    <w:rsid w:val="00FB4401"/>
    <w:rsid w:val="00FB4480"/>
    <w:rsid w:val="00FB5383"/>
    <w:rsid w:val="00FB54B8"/>
    <w:rsid w:val="00FB56BE"/>
    <w:rsid w:val="00FB61D1"/>
    <w:rsid w:val="00FB6267"/>
    <w:rsid w:val="00FB64BA"/>
    <w:rsid w:val="00FB64BD"/>
    <w:rsid w:val="00FB6A3F"/>
    <w:rsid w:val="00FB6D41"/>
    <w:rsid w:val="00FB706D"/>
    <w:rsid w:val="00FB71E8"/>
    <w:rsid w:val="00FB757A"/>
    <w:rsid w:val="00FB7611"/>
    <w:rsid w:val="00FB766C"/>
    <w:rsid w:val="00FC0237"/>
    <w:rsid w:val="00FC058D"/>
    <w:rsid w:val="00FC0826"/>
    <w:rsid w:val="00FC0DF0"/>
    <w:rsid w:val="00FC1277"/>
    <w:rsid w:val="00FC158D"/>
    <w:rsid w:val="00FC1668"/>
    <w:rsid w:val="00FC1B19"/>
    <w:rsid w:val="00FC1B4B"/>
    <w:rsid w:val="00FC2473"/>
    <w:rsid w:val="00FC268E"/>
    <w:rsid w:val="00FC2EB2"/>
    <w:rsid w:val="00FC3278"/>
    <w:rsid w:val="00FC335E"/>
    <w:rsid w:val="00FC3606"/>
    <w:rsid w:val="00FC3C20"/>
    <w:rsid w:val="00FC3FE4"/>
    <w:rsid w:val="00FC4220"/>
    <w:rsid w:val="00FC475A"/>
    <w:rsid w:val="00FC4971"/>
    <w:rsid w:val="00FC540D"/>
    <w:rsid w:val="00FC5ECD"/>
    <w:rsid w:val="00FC6B62"/>
    <w:rsid w:val="00FC6E70"/>
    <w:rsid w:val="00FC6EE5"/>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406C"/>
    <w:rsid w:val="00FD54F1"/>
    <w:rsid w:val="00FD552C"/>
    <w:rsid w:val="00FD57CC"/>
    <w:rsid w:val="00FD5889"/>
    <w:rsid w:val="00FD5A35"/>
    <w:rsid w:val="00FD5ABF"/>
    <w:rsid w:val="00FD608D"/>
    <w:rsid w:val="00FD6235"/>
    <w:rsid w:val="00FD675A"/>
    <w:rsid w:val="00FD6772"/>
    <w:rsid w:val="00FD6B02"/>
    <w:rsid w:val="00FD726B"/>
    <w:rsid w:val="00FD7706"/>
    <w:rsid w:val="00FE02AC"/>
    <w:rsid w:val="00FE041C"/>
    <w:rsid w:val="00FE09A3"/>
    <w:rsid w:val="00FE1260"/>
    <w:rsid w:val="00FE19FB"/>
    <w:rsid w:val="00FE1D4F"/>
    <w:rsid w:val="00FE21CF"/>
    <w:rsid w:val="00FE2436"/>
    <w:rsid w:val="00FE26DE"/>
    <w:rsid w:val="00FE2D8B"/>
    <w:rsid w:val="00FE2E11"/>
    <w:rsid w:val="00FE5BA2"/>
    <w:rsid w:val="00FE6C16"/>
    <w:rsid w:val="00FE6EF4"/>
    <w:rsid w:val="00FE72EF"/>
    <w:rsid w:val="00FE74DD"/>
    <w:rsid w:val="00FE7ACF"/>
    <w:rsid w:val="00FE7D00"/>
    <w:rsid w:val="00FE7E51"/>
    <w:rsid w:val="00FE7E72"/>
    <w:rsid w:val="00FF0280"/>
    <w:rsid w:val="00FF0966"/>
    <w:rsid w:val="00FF0AC1"/>
    <w:rsid w:val="00FF0B32"/>
    <w:rsid w:val="00FF11C4"/>
    <w:rsid w:val="00FF1B50"/>
    <w:rsid w:val="00FF2256"/>
    <w:rsid w:val="00FF2825"/>
    <w:rsid w:val="00FF2871"/>
    <w:rsid w:val="00FF2941"/>
    <w:rsid w:val="00FF2985"/>
    <w:rsid w:val="00FF29F7"/>
    <w:rsid w:val="00FF2BBC"/>
    <w:rsid w:val="00FF2CBB"/>
    <w:rsid w:val="00FF2E43"/>
    <w:rsid w:val="00FF2E64"/>
    <w:rsid w:val="00FF2EA9"/>
    <w:rsid w:val="00FF3044"/>
    <w:rsid w:val="00FF3CB2"/>
    <w:rsid w:val="00FF41E6"/>
    <w:rsid w:val="00FF437D"/>
    <w:rsid w:val="00FF4388"/>
    <w:rsid w:val="00FF4FD2"/>
    <w:rsid w:val="00FF5512"/>
    <w:rsid w:val="00FF6743"/>
    <w:rsid w:val="00FF7656"/>
    <w:rsid w:val="00FF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colormru v:ext="edit" colors="#963,#969696,#77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basedOn w:val="DefaultParagraphFont"/>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basedOn w:val="DefaultParagraphFont"/>
    <w:rsid w:val="008D0486"/>
    <w:rPr>
      <w:color w:val="800080"/>
      <w:u w:val="single"/>
    </w:rPr>
  </w:style>
  <w:style w:type="paragraph" w:styleId="FootnoteText">
    <w:name w:val="footnote text"/>
    <w:basedOn w:val="Normal"/>
    <w:semiHidden/>
    <w:rsid w:val="008D0486"/>
  </w:style>
  <w:style w:type="character" w:styleId="FootnoteReference">
    <w:name w:val="footnote reference"/>
    <w:basedOn w:val="DefaultParagraphFont"/>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basedOn w:val="DefaultParagraphFont"/>
    <w:link w:val="Header"/>
    <w:uiPriority w:val="99"/>
    <w:rsid w:val="004F286B"/>
    <w:rPr>
      <w:lang w:val="en-US" w:eastAsia="en-US" w:bidi="ar-SA"/>
    </w:rPr>
  </w:style>
  <w:style w:type="table" w:styleId="TableGrid">
    <w:name w:val="Table Grid"/>
    <w:basedOn w:val="TableNormal"/>
    <w:rsid w:val="00662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477FFA"/>
    <w:rPr>
      <w:rFonts w:ascii="Consolas" w:eastAsia="Calibri" w:hAnsi="Consolas"/>
      <w:sz w:val="21"/>
      <w:szCs w:val="21"/>
    </w:rPr>
  </w:style>
  <w:style w:type="character" w:customStyle="1" w:styleId="PlainTextChar">
    <w:name w:val="Plain Text Char"/>
    <w:basedOn w:val="DefaultParagraphFont"/>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basedOn w:val="DefaultParagraphFont"/>
    <w:link w:val="Plain"/>
    <w:locked/>
    <w:rsid w:val="002F5E38"/>
    <w:rPr>
      <w:rFonts w:ascii="Consolas" w:hAnsi="Consolas"/>
      <w:sz w:val="21"/>
      <w:szCs w:val="21"/>
      <w:lang w:val="en-US" w:eastAsia="en-US" w:bidi="ar-SA"/>
    </w:rPr>
  </w:style>
  <w:style w:type="character" w:customStyle="1" w:styleId="BodyTextIndent3Char">
    <w:name w:val="Body Text Indent 3 Char"/>
    <w:basedOn w:val="DefaultParagraphFont"/>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basedOn w:val="DefaultParagraphFont"/>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zana.adamovic@rzs.rs.ba" TargetMode="Externa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anja.stojcevic@rzs.rs.b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mailto:mirjana.bandur@rzs.rs.ba" TargetMode="External"/><Relationship Id="rId2" Type="http://schemas.openxmlformats.org/officeDocument/2006/relationships/numbering" Target="numbering.xml"/><Relationship Id="rId16" Type="http://schemas.openxmlformats.org/officeDocument/2006/relationships/hyperlink" Target="mailto:jasminka.milic@rzs.rs.b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Biljana.tesic@rzs.rs.ba"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vanja.vilipic@rzs.rs.ba"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babicda\My%20Documents\BILJA\Plate%202013\Maj%202013\grafikoni%20za%20aprilsku%20plat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KORDUN\Publikovanje\01%20Saopstenja\2013\Industrija\Indeksi%20industrijske%20proizvodnje\&#1043;&#1088;&#1072;&#1092;&#1080;&#1082;&#1086;&#1085;%20&#1079;&#1072;%20&#1089;&#1072;&#1086;&#1087;&#1096;&#1090;&#1077;&#1114;&#1077;%20&#1080;&#1085;&#1076;&#1091;&#1089;&#1090;&#1088;&#1080;&#1112;&#1077;.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tojcevicsa.RZS\Desktop\SANJA\SPOLJNA%20TRGOVINA\za%20medije\Prezentacija,%20od%20avg2011\prezentacija%202013\maj%202013\za%20Graf%20I-V%20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V</c:v>
                  </c:pt>
                  <c:pt idx="1">
                    <c:v>VI</c:v>
                  </c:pt>
                  <c:pt idx="2">
                    <c:v>VII</c:v>
                  </c:pt>
                  <c:pt idx="3">
                    <c:v>VIII</c:v>
                  </c:pt>
                  <c:pt idx="4">
                    <c:v>IX</c:v>
                  </c:pt>
                  <c:pt idx="5">
                    <c:v>X</c:v>
                  </c:pt>
                  <c:pt idx="6">
                    <c:v>XI</c:v>
                  </c:pt>
                  <c:pt idx="7">
                    <c:v>XII</c:v>
                  </c:pt>
                  <c:pt idx="8">
                    <c:v>I</c:v>
                  </c:pt>
                  <c:pt idx="9">
                    <c:v>II</c:v>
                  </c:pt>
                  <c:pt idx="10">
                    <c:v>III</c:v>
                  </c:pt>
                  <c:pt idx="11">
                    <c:v>IV</c:v>
                  </c:pt>
                  <c:pt idx="12">
                    <c:v>V</c:v>
                  </c:pt>
                </c:lvl>
                <c:lvl>
                  <c:pt idx="0">
                    <c:v>2012</c:v>
                  </c:pt>
                  <c:pt idx="8">
                    <c:v>2013</c:v>
                  </c:pt>
                </c:lvl>
              </c:multiLvlStrCache>
            </c:multiLvlStrRef>
          </c:cat>
          <c:val>
            <c:numRef>
              <c:f>'graf 2'!$C$1:$C$13</c:f>
              <c:numCache>
                <c:formatCode>0</c:formatCode>
                <c:ptCount val="13"/>
                <c:pt idx="0">
                  <c:v>826.01067102623165</c:v>
                </c:pt>
                <c:pt idx="1">
                  <c:v>817.55311992919314</c:v>
                </c:pt>
                <c:pt idx="2">
                  <c:v>822.66330318130667</c:v>
                </c:pt>
                <c:pt idx="3">
                  <c:v>817.70989033015599</c:v>
                </c:pt>
                <c:pt idx="4">
                  <c:v>803.63969331740441</c:v>
                </c:pt>
                <c:pt idx="5">
                  <c:v>817.48757270524629</c:v>
                </c:pt>
                <c:pt idx="6">
                  <c:v>818.85451738906727</c:v>
                </c:pt>
                <c:pt idx="7">
                  <c:v>817.89076853246104</c:v>
                </c:pt>
                <c:pt idx="8">
                  <c:v>811</c:v>
                </c:pt>
                <c:pt idx="9">
                  <c:v>811</c:v>
                </c:pt>
                <c:pt idx="10">
                  <c:v>799</c:v>
                </c:pt>
                <c:pt idx="11">
                  <c:v>798</c:v>
                </c:pt>
                <c:pt idx="12">
                  <c:v>796</c:v>
                </c:pt>
              </c:numCache>
            </c:numRef>
          </c:val>
          <c:smooth val="0"/>
        </c:ser>
        <c:dLbls>
          <c:showLegendKey val="0"/>
          <c:showVal val="0"/>
          <c:showCatName val="0"/>
          <c:showSerName val="0"/>
          <c:showPercent val="0"/>
          <c:showBubbleSize val="0"/>
        </c:dLbls>
        <c:marker val="1"/>
        <c:smooth val="0"/>
        <c:axId val="177393024"/>
        <c:axId val="177976448"/>
      </c:lineChart>
      <c:catAx>
        <c:axId val="177393024"/>
        <c:scaling>
          <c:orientation val="minMax"/>
        </c:scaling>
        <c:delete val="0"/>
        <c:axPos val="b"/>
        <c:majorTickMark val="out"/>
        <c:minorTickMark val="none"/>
        <c:tickLblPos val="nextTo"/>
        <c:crossAx val="177976448"/>
        <c:crosses val="autoZero"/>
        <c:auto val="1"/>
        <c:lblAlgn val="ctr"/>
        <c:lblOffset val="100"/>
        <c:noMultiLvlLbl val="0"/>
      </c:catAx>
      <c:valAx>
        <c:axId val="177976448"/>
        <c:scaling>
          <c:orientation val="minMax"/>
          <c:max val="900"/>
          <c:min val="600"/>
        </c:scaling>
        <c:delete val="0"/>
        <c:axPos val="l"/>
        <c:majorGridlines/>
        <c:numFmt formatCode="0" sourceLinked="1"/>
        <c:majorTickMark val="out"/>
        <c:minorTickMark val="none"/>
        <c:tickLblPos val="nextTo"/>
        <c:crossAx val="177393024"/>
        <c:crosses val="autoZero"/>
        <c:crossBetween val="between"/>
      </c:valAx>
    </c:plotArea>
    <c:plotVisOnly val="1"/>
    <c:dispBlanksAs val="gap"/>
    <c:showDLblsOverMax val="0"/>
  </c:chart>
  <c:spPr>
    <a:ln>
      <a:noFill/>
    </a:ln>
  </c:spPr>
  <c:txPr>
    <a:bodyPr/>
    <a:lstStyle/>
    <a:p>
      <a:pPr>
        <a:defRPr baseline="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6129883831365998E-2"/>
          <c:y val="5.8308851308359166E-2"/>
          <c:w val="0.95689365283216665"/>
          <c:h val="0.61437828083989565"/>
        </c:manualLayout>
      </c:layout>
      <c:lineChart>
        <c:grouping val="standard"/>
        <c:varyColors val="0"/>
        <c:ser>
          <c:idx val="0"/>
          <c:order val="0"/>
          <c:tx>
            <c:strRef>
              <c:f>Sheet2!$C$1</c:f>
              <c:strCache>
                <c:ptCount val="1"/>
                <c:pt idx="0">
                  <c:v>Десезонирани индекси/
Seasonally adjusted indices</c:v>
                </c:pt>
              </c:strCache>
            </c:strRef>
          </c:tx>
          <c:marker>
            <c:symbol val="none"/>
          </c:marker>
          <c:cat>
            <c:multiLvlStrRef>
              <c:f>Sheet2!$A$2:$B$54</c:f>
              <c:multiLvlStrCache>
                <c:ptCount val="53"/>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pt idx="42">
                    <c:v>VII</c:v>
                  </c:pt>
                  <c:pt idx="43">
                    <c:v>VIII</c:v>
                  </c:pt>
                  <c:pt idx="44">
                    <c:v>IX</c:v>
                  </c:pt>
                  <c:pt idx="45">
                    <c:v>X</c:v>
                  </c:pt>
                  <c:pt idx="46">
                    <c:v>XI</c:v>
                  </c:pt>
                  <c:pt idx="47">
                    <c:v>XII</c:v>
                  </c:pt>
                  <c:pt idx="48">
                    <c:v>I</c:v>
                  </c:pt>
                  <c:pt idx="49">
                    <c:v>II</c:v>
                  </c:pt>
                  <c:pt idx="50">
                    <c:v>III</c:v>
                  </c:pt>
                  <c:pt idx="51">
                    <c:v>IV</c:v>
                  </c:pt>
                  <c:pt idx="52">
                    <c:v>V</c:v>
                  </c:pt>
                </c:lvl>
                <c:lvl>
                  <c:pt idx="0">
                    <c:v>2009</c:v>
                  </c:pt>
                  <c:pt idx="12">
                    <c:v>2010</c:v>
                  </c:pt>
                  <c:pt idx="24">
                    <c:v>2011</c:v>
                  </c:pt>
                  <c:pt idx="36">
                    <c:v>2012</c:v>
                  </c:pt>
                  <c:pt idx="48">
                    <c:v>2013</c:v>
                  </c:pt>
                </c:lvl>
              </c:multiLvlStrCache>
            </c:multiLvlStrRef>
          </c:cat>
          <c:val>
            <c:numRef>
              <c:f>Sheet2!$C$2:$C$54</c:f>
              <c:numCache>
                <c:formatCode>General</c:formatCode>
                <c:ptCount val="53"/>
                <c:pt idx="0">
                  <c:v>90.128609754117093</c:v>
                </c:pt>
                <c:pt idx="1">
                  <c:v>93.617179645377092</c:v>
                </c:pt>
                <c:pt idx="2">
                  <c:v>100.87457696104806</c:v>
                </c:pt>
                <c:pt idx="3">
                  <c:v>96.505270349489564</c:v>
                </c:pt>
                <c:pt idx="4">
                  <c:v>88.571861193823295</c:v>
                </c:pt>
                <c:pt idx="5">
                  <c:v>91.319447573637419</c:v>
                </c:pt>
                <c:pt idx="6">
                  <c:v>95.436574268839664</c:v>
                </c:pt>
                <c:pt idx="7">
                  <c:v>87.034785228198686</c:v>
                </c:pt>
                <c:pt idx="8">
                  <c:v>93.568087047143251</c:v>
                </c:pt>
                <c:pt idx="9">
                  <c:v>97.380634560203731</c:v>
                </c:pt>
                <c:pt idx="10">
                  <c:v>96.936607121897197</c:v>
                </c:pt>
                <c:pt idx="11">
                  <c:v>97.063419020027794</c:v>
                </c:pt>
                <c:pt idx="12">
                  <c:v>100.05553956259581</c:v>
                </c:pt>
                <c:pt idx="13">
                  <c:v>98.438081029690778</c:v>
                </c:pt>
                <c:pt idx="14">
                  <c:v>97.460676736555058</c:v>
                </c:pt>
                <c:pt idx="15">
                  <c:v>95.923189034793481</c:v>
                </c:pt>
                <c:pt idx="16">
                  <c:v>104.93257419305642</c:v>
                </c:pt>
                <c:pt idx="17">
                  <c:v>97.912958688746016</c:v>
                </c:pt>
                <c:pt idx="18">
                  <c:v>92.066547349072096</c:v>
                </c:pt>
                <c:pt idx="19">
                  <c:v>98.152083796050249</c:v>
                </c:pt>
                <c:pt idx="20">
                  <c:v>98.318710664920332</c:v>
                </c:pt>
                <c:pt idx="21">
                  <c:v>97.760838004462428</c:v>
                </c:pt>
                <c:pt idx="22">
                  <c:v>102.00871380072815</c:v>
                </c:pt>
                <c:pt idx="23">
                  <c:v>104.15902293857043</c:v>
                </c:pt>
                <c:pt idx="24">
                  <c:v>107.17163749469825</c:v>
                </c:pt>
                <c:pt idx="25">
                  <c:v>102.01775888730729</c:v>
                </c:pt>
                <c:pt idx="26">
                  <c:v>103.20187975406951</c:v>
                </c:pt>
                <c:pt idx="27">
                  <c:v>100.36297378737733</c:v>
                </c:pt>
                <c:pt idx="28">
                  <c:v>103.39277087785675</c:v>
                </c:pt>
                <c:pt idx="29">
                  <c:v>106.22247157330615</c:v>
                </c:pt>
                <c:pt idx="30">
                  <c:v>111.82334221833779</c:v>
                </c:pt>
                <c:pt idx="31">
                  <c:v>107.5418030370991</c:v>
                </c:pt>
                <c:pt idx="32">
                  <c:v>98.668055890406023</c:v>
                </c:pt>
                <c:pt idx="33">
                  <c:v>103.70580158585514</c:v>
                </c:pt>
                <c:pt idx="34">
                  <c:v>103.32916269272285</c:v>
                </c:pt>
                <c:pt idx="35">
                  <c:v>99.886319020167122</c:v>
                </c:pt>
                <c:pt idx="36">
                  <c:v>102.31663757487978</c:v>
                </c:pt>
                <c:pt idx="37">
                  <c:v>97.721822209454842</c:v>
                </c:pt>
                <c:pt idx="38">
                  <c:v>100.55059963394146</c:v>
                </c:pt>
                <c:pt idx="39">
                  <c:v>100.43303736466844</c:v>
                </c:pt>
                <c:pt idx="40">
                  <c:v>99.265860997392096</c:v>
                </c:pt>
                <c:pt idx="41">
                  <c:v>100.58690178079698</c:v>
                </c:pt>
                <c:pt idx="42">
                  <c:v>96.114106996461757</c:v>
                </c:pt>
                <c:pt idx="43">
                  <c:v>98.915442971325874</c:v>
                </c:pt>
                <c:pt idx="44">
                  <c:v>104.51691115203795</c:v>
                </c:pt>
                <c:pt idx="45">
                  <c:v>99.87567768013821</c:v>
                </c:pt>
                <c:pt idx="46">
                  <c:v>98.882859342718859</c:v>
                </c:pt>
                <c:pt idx="47">
                  <c:v>101.10269853547123</c:v>
                </c:pt>
                <c:pt idx="48">
                  <c:v>100.81234435710948</c:v>
                </c:pt>
                <c:pt idx="49">
                  <c:v>102.41701705988966</c:v>
                </c:pt>
                <c:pt idx="50">
                  <c:v>99.147555593644284</c:v>
                </c:pt>
                <c:pt idx="51">
                  <c:v>107.70323759149984</c:v>
                </c:pt>
                <c:pt idx="52">
                  <c:v>102.77148281626263</c:v>
                </c:pt>
              </c:numCache>
            </c:numRef>
          </c:val>
          <c:smooth val="0"/>
        </c:ser>
        <c:ser>
          <c:idx val="1"/>
          <c:order val="1"/>
          <c:tx>
            <c:strRef>
              <c:f>Sheet2!$D$1</c:f>
              <c:strCache>
                <c:ptCount val="1"/>
                <c:pt idx="0">
                  <c:v>Тренд индекси/
Trend indices</c:v>
                </c:pt>
              </c:strCache>
            </c:strRef>
          </c:tx>
          <c:marker>
            <c:symbol val="none"/>
          </c:marker>
          <c:cat>
            <c:multiLvlStrRef>
              <c:f>Sheet2!$A$2:$B$54</c:f>
              <c:multiLvlStrCache>
                <c:ptCount val="53"/>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pt idx="42">
                    <c:v>VII</c:v>
                  </c:pt>
                  <c:pt idx="43">
                    <c:v>VIII</c:v>
                  </c:pt>
                  <c:pt idx="44">
                    <c:v>IX</c:v>
                  </c:pt>
                  <c:pt idx="45">
                    <c:v>X</c:v>
                  </c:pt>
                  <c:pt idx="46">
                    <c:v>XI</c:v>
                  </c:pt>
                  <c:pt idx="47">
                    <c:v>XII</c:v>
                  </c:pt>
                  <c:pt idx="48">
                    <c:v>I</c:v>
                  </c:pt>
                  <c:pt idx="49">
                    <c:v>II</c:v>
                  </c:pt>
                  <c:pt idx="50">
                    <c:v>III</c:v>
                  </c:pt>
                  <c:pt idx="51">
                    <c:v>IV</c:v>
                  </c:pt>
                  <c:pt idx="52">
                    <c:v>V</c:v>
                  </c:pt>
                </c:lvl>
                <c:lvl>
                  <c:pt idx="0">
                    <c:v>2009</c:v>
                  </c:pt>
                  <c:pt idx="12">
                    <c:v>2010</c:v>
                  </c:pt>
                  <c:pt idx="24">
                    <c:v>2011</c:v>
                  </c:pt>
                  <c:pt idx="36">
                    <c:v>2012</c:v>
                  </c:pt>
                  <c:pt idx="48">
                    <c:v>2013</c:v>
                  </c:pt>
                </c:lvl>
              </c:multiLvlStrCache>
            </c:multiLvlStrRef>
          </c:cat>
          <c:val>
            <c:numRef>
              <c:f>Sheet2!$D$2:$D$54</c:f>
              <c:numCache>
                <c:formatCode>General</c:formatCode>
                <c:ptCount val="53"/>
                <c:pt idx="0">
                  <c:v>93.741733663702647</c:v>
                </c:pt>
                <c:pt idx="1">
                  <c:v>93.924501207285132</c:v>
                </c:pt>
                <c:pt idx="2">
                  <c:v>94.110351165183388</c:v>
                </c:pt>
                <c:pt idx="3">
                  <c:v>94.097626080929999</c:v>
                </c:pt>
                <c:pt idx="4">
                  <c:v>94.013298995042959</c:v>
                </c:pt>
                <c:pt idx="5">
                  <c:v>94.116716040743569</c:v>
                </c:pt>
                <c:pt idx="6">
                  <c:v>94.313307363915541</c:v>
                </c:pt>
                <c:pt idx="7">
                  <c:v>94.5462842499971</c:v>
                </c:pt>
                <c:pt idx="8">
                  <c:v>94.994984300479942</c:v>
                </c:pt>
                <c:pt idx="9">
                  <c:v>95.543837956405625</c:v>
                </c:pt>
                <c:pt idx="10">
                  <c:v>96.030206846633419</c:v>
                </c:pt>
                <c:pt idx="11">
                  <c:v>96.498254606319534</c:v>
                </c:pt>
                <c:pt idx="12">
                  <c:v>96.932741495052539</c:v>
                </c:pt>
                <c:pt idx="13">
                  <c:v>97.287142095813266</c:v>
                </c:pt>
                <c:pt idx="14">
                  <c:v>97.581654043591968</c:v>
                </c:pt>
                <c:pt idx="15">
                  <c:v>97.916196228608527</c:v>
                </c:pt>
                <c:pt idx="16">
                  <c:v>98.265246739181478</c:v>
                </c:pt>
                <c:pt idx="17">
                  <c:v>98.449783676775326</c:v>
                </c:pt>
                <c:pt idx="18">
                  <c:v>98.644284450118761</c:v>
                </c:pt>
                <c:pt idx="19">
                  <c:v>99.051032064627378</c:v>
                </c:pt>
                <c:pt idx="20">
                  <c:v>99.525469319009048</c:v>
                </c:pt>
                <c:pt idx="21">
                  <c:v>100.04549163450702</c:v>
                </c:pt>
                <c:pt idx="22">
                  <c:v>100.6331347465451</c:v>
                </c:pt>
                <c:pt idx="23">
                  <c:v>101.19556391577213</c:v>
                </c:pt>
                <c:pt idx="24">
                  <c:v>101.62516583099153</c:v>
                </c:pt>
                <c:pt idx="25">
                  <c:v>101.90385267346127</c:v>
                </c:pt>
                <c:pt idx="26">
                  <c:v>102.12839497944157</c:v>
                </c:pt>
                <c:pt idx="27">
                  <c:v>102.35293384508505</c:v>
                </c:pt>
                <c:pt idx="28">
                  <c:v>102.61025676191274</c:v>
                </c:pt>
                <c:pt idx="29">
                  <c:v>102.85942463401332</c:v>
                </c:pt>
                <c:pt idx="30">
                  <c:v>102.96183838400296</c:v>
                </c:pt>
                <c:pt idx="31">
                  <c:v>102.77575537604278</c:v>
                </c:pt>
                <c:pt idx="32">
                  <c:v>102.44297042287171</c:v>
                </c:pt>
                <c:pt idx="33">
                  <c:v>102.19485910615505</c:v>
                </c:pt>
                <c:pt idx="34">
                  <c:v>101.92457334981398</c:v>
                </c:pt>
                <c:pt idx="35">
                  <c:v>101.61673284619478</c:v>
                </c:pt>
                <c:pt idx="36">
                  <c:v>101.34121883679865</c:v>
                </c:pt>
                <c:pt idx="37">
                  <c:v>101.08380718470605</c:v>
                </c:pt>
                <c:pt idx="38">
                  <c:v>100.91302276325442</c:v>
                </c:pt>
                <c:pt idx="39">
                  <c:v>100.78695528852971</c:v>
                </c:pt>
                <c:pt idx="40">
                  <c:v>100.68349559495275</c:v>
                </c:pt>
                <c:pt idx="41">
                  <c:v>100.62355202844387</c:v>
                </c:pt>
                <c:pt idx="42">
                  <c:v>100.60714896398771</c:v>
                </c:pt>
                <c:pt idx="43">
                  <c:v>100.7425338488594</c:v>
                </c:pt>
                <c:pt idx="44">
                  <c:v>100.94644660491502</c:v>
                </c:pt>
                <c:pt idx="45">
                  <c:v>101.07201004380076</c:v>
                </c:pt>
                <c:pt idx="46">
                  <c:v>101.23437794590569</c:v>
                </c:pt>
                <c:pt idx="47">
                  <c:v>101.48778871550857</c:v>
                </c:pt>
                <c:pt idx="48">
                  <c:v>101.78971817777885</c:v>
                </c:pt>
                <c:pt idx="49">
                  <c:v>102.11103003141125</c:v>
                </c:pt>
                <c:pt idx="50">
                  <c:v>102.48669951770802</c:v>
                </c:pt>
                <c:pt idx="51">
                  <c:v>102.92412801413649</c:v>
                </c:pt>
                <c:pt idx="52">
                  <c:v>103.28360154306414</c:v>
                </c:pt>
              </c:numCache>
            </c:numRef>
          </c:val>
          <c:smooth val="0"/>
        </c:ser>
        <c:dLbls>
          <c:showLegendKey val="0"/>
          <c:showVal val="0"/>
          <c:showCatName val="0"/>
          <c:showSerName val="0"/>
          <c:showPercent val="0"/>
          <c:showBubbleSize val="0"/>
        </c:dLbls>
        <c:marker val="1"/>
        <c:smooth val="0"/>
        <c:axId val="180565120"/>
        <c:axId val="180566656"/>
      </c:lineChart>
      <c:catAx>
        <c:axId val="180565120"/>
        <c:scaling>
          <c:orientation val="minMax"/>
        </c:scaling>
        <c:delete val="0"/>
        <c:axPos val="b"/>
        <c:majorGridlines>
          <c:spPr>
            <a:ln w="3175">
              <a:solidFill>
                <a:schemeClr val="bg1">
                  <a:lumMod val="75000"/>
                </a:schemeClr>
              </a:solidFill>
            </a:ln>
          </c:spPr>
        </c:majorGridlines>
        <c:numFmt formatCode="mmm\-yy" sourceLinked="1"/>
        <c:majorTickMark val="out"/>
        <c:minorTickMark val="none"/>
        <c:tickLblPos val="low"/>
        <c:spPr>
          <a:ln>
            <a:solidFill>
              <a:schemeClr val="bg1">
                <a:lumMod val="50000"/>
              </a:schemeClr>
            </a:solidFill>
          </a:ln>
        </c:spPr>
        <c:txPr>
          <a:bodyPr/>
          <a:lstStyle/>
          <a:p>
            <a:pPr>
              <a:defRPr sz="700"/>
            </a:pPr>
            <a:endParaRPr lang="en-US"/>
          </a:p>
        </c:txPr>
        <c:crossAx val="180566656"/>
        <c:crossesAt val="100"/>
        <c:auto val="0"/>
        <c:lblAlgn val="ctr"/>
        <c:lblOffset val="100"/>
        <c:tickMarkSkip val="1"/>
        <c:noMultiLvlLbl val="0"/>
      </c:catAx>
      <c:valAx>
        <c:axId val="180566656"/>
        <c:scaling>
          <c:orientation val="minMax"/>
          <c:min val="80"/>
        </c:scaling>
        <c:delete val="0"/>
        <c:axPos val="l"/>
        <c:majorGridlines>
          <c:spPr>
            <a:ln w="3175">
              <a:solidFill>
                <a:schemeClr val="bg1">
                  <a:lumMod val="75000"/>
                </a:schemeClr>
              </a:solidFill>
            </a:ln>
          </c:spPr>
        </c:majorGridlines>
        <c:title>
          <c:tx>
            <c:rich>
              <a:bodyPr rot="0" vert="horz"/>
              <a:lstStyle/>
              <a:p>
                <a:pPr>
                  <a:defRPr sz="700" b="0">
                    <a:latin typeface="Tahoma" pitchFamily="34" charset="0"/>
                    <a:ea typeface="Tahoma" pitchFamily="34" charset="0"/>
                    <a:cs typeface="Tahoma" pitchFamily="34" charset="0"/>
                  </a:defRPr>
                </a:pPr>
                <a:r>
                  <a:rPr lang="sr-Latn-CS" sz="700" b="0" i="0" u="none" strike="noStrike" baseline="0">
                    <a:latin typeface="Tahoma" pitchFamily="34" charset="0"/>
                    <a:ea typeface="Tahoma" pitchFamily="34" charset="0"/>
                    <a:cs typeface="Tahoma" pitchFamily="34" charset="0"/>
                    <a:sym typeface="Symbol"/>
                  </a:rPr>
                  <a:t></a:t>
                </a:r>
                <a:r>
                  <a:rPr lang="sr-Latn-CS" sz="700" b="0" i="0" u="none" strike="noStrike" baseline="0">
                    <a:latin typeface="Tahoma" pitchFamily="34" charset="0"/>
                    <a:ea typeface="Tahoma" pitchFamily="34" charset="0"/>
                    <a:cs typeface="Tahoma" pitchFamily="34" charset="0"/>
                  </a:rPr>
                  <a:t>2010=100</a:t>
                </a:r>
                <a:endParaRPr lang="en-US" sz="700" b="0">
                  <a:latin typeface="Tahoma" pitchFamily="34" charset="0"/>
                  <a:ea typeface="Tahoma" pitchFamily="34" charset="0"/>
                  <a:cs typeface="Tahoma" pitchFamily="34" charset="0"/>
                </a:endParaRPr>
              </a:p>
            </c:rich>
          </c:tx>
          <c:layout>
            <c:manualLayout>
              <c:xMode val="edge"/>
              <c:yMode val="edge"/>
              <c:x val="0.91354723707664887"/>
              <c:y val="9.0471645589758364E-4"/>
            </c:manualLayout>
          </c:layout>
          <c:overlay val="0"/>
        </c:title>
        <c:numFmt formatCode="General" sourceLinked="1"/>
        <c:majorTickMark val="out"/>
        <c:minorTickMark val="none"/>
        <c:tickLblPos val="nextTo"/>
        <c:spPr>
          <a:ln>
            <a:solidFill>
              <a:schemeClr val="bg1">
                <a:lumMod val="50000"/>
              </a:schemeClr>
            </a:solidFill>
          </a:ln>
        </c:spPr>
        <c:txPr>
          <a:bodyPr/>
          <a:lstStyle/>
          <a:p>
            <a:pPr>
              <a:defRPr sz="700">
                <a:latin typeface="Tahoma" pitchFamily="34" charset="0"/>
                <a:ea typeface="Tahoma" pitchFamily="34" charset="0"/>
                <a:cs typeface="Tahoma" pitchFamily="34" charset="0"/>
              </a:defRPr>
            </a:pPr>
            <a:endParaRPr lang="en-US"/>
          </a:p>
        </c:txPr>
        <c:crossAx val="180565120"/>
        <c:crosses val="autoZero"/>
        <c:crossBetween val="midCat"/>
      </c:valAx>
      <c:spPr>
        <a:noFill/>
        <a:ln w="6350">
          <a:solidFill>
            <a:schemeClr val="bg1">
              <a:lumMod val="50000"/>
            </a:schemeClr>
          </a:solidFill>
        </a:ln>
      </c:spPr>
    </c:plotArea>
    <c:legend>
      <c:legendPos val="r"/>
      <c:layout>
        <c:manualLayout>
          <c:xMode val="edge"/>
          <c:yMode val="edge"/>
          <c:x val="0.18938896842440203"/>
          <c:y val="0.84418185297860715"/>
          <c:w val="0.5938216197839401"/>
          <c:h val="0.10253121768869802"/>
        </c:manualLayout>
      </c:layout>
      <c:overlay val="0"/>
      <c:txPr>
        <a:bodyPr/>
        <a:lstStyle/>
        <a:p>
          <a:pPr>
            <a:defRPr sz="750">
              <a:latin typeface="Tahoma" pitchFamily="34" charset="0"/>
              <a:ea typeface="Tahoma" pitchFamily="34" charset="0"/>
              <a:cs typeface="Tahoma" pitchFamily="34" charset="0"/>
            </a:defRPr>
          </a:pPr>
          <a:endParaRPr lang="en-US"/>
        </a:p>
      </c:txPr>
    </c:legend>
    <c:plotVisOnly val="1"/>
    <c:dispBlanksAs val="gap"/>
    <c:showDLblsOverMax val="0"/>
  </c:chart>
  <c:spPr>
    <a:noFill/>
    <a:ln>
      <a:noFill/>
    </a:ln>
  </c:spPr>
  <c:txPr>
    <a:bodyPr/>
    <a:lstStyle/>
    <a:p>
      <a:pPr>
        <a:defRPr sz="800">
          <a:latin typeface="Arial Narrow" pitchFamily="34" charset="0"/>
          <a:ea typeface="Tahoma" pitchFamily="34" charset="0"/>
          <a:cs typeface="Tahoma"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01509002675174"/>
          <c:y val="5.1400554097404488E-2"/>
          <c:w val="0.71479993256154517"/>
          <c:h val="0.8326195683872849"/>
        </c:manualLayout>
      </c:layout>
      <c:lineChart>
        <c:grouping val="standard"/>
        <c:varyColors val="0"/>
        <c:ser>
          <c:idx val="0"/>
          <c:order val="0"/>
          <c:tx>
            <c:strRef>
              <c:f>zaJan_Maj2013!$A$2</c:f>
              <c:strCache>
                <c:ptCount val="1"/>
                <c:pt idx="0">
                  <c:v>увоз                   </c:v>
                </c:pt>
              </c:strCache>
            </c:strRef>
          </c:tx>
          <c:marker>
            <c:symbol val="none"/>
          </c:marker>
          <c:cat>
            <c:strRef>
              <c:f>zaJan_Maj2013!$B$1:$N$1</c:f>
              <c:strCache>
                <c:ptCount val="13"/>
                <c:pt idx="0">
                  <c:v>V</c:v>
                </c:pt>
                <c:pt idx="1">
                  <c:v>VI</c:v>
                </c:pt>
                <c:pt idx="2">
                  <c:v>VII</c:v>
                </c:pt>
                <c:pt idx="3">
                  <c:v>VIII</c:v>
                </c:pt>
                <c:pt idx="4">
                  <c:v>IX</c:v>
                </c:pt>
                <c:pt idx="5">
                  <c:v>X</c:v>
                </c:pt>
                <c:pt idx="6">
                  <c:v>XI</c:v>
                </c:pt>
                <c:pt idx="7">
                  <c:v>XII</c:v>
                </c:pt>
                <c:pt idx="8">
                  <c:v>I</c:v>
                </c:pt>
                <c:pt idx="9">
                  <c:v>II</c:v>
                </c:pt>
                <c:pt idx="10">
                  <c:v>III</c:v>
                </c:pt>
                <c:pt idx="11">
                  <c:v>IV</c:v>
                </c:pt>
                <c:pt idx="12">
                  <c:v>IV</c:v>
                </c:pt>
              </c:strCache>
            </c:strRef>
          </c:cat>
          <c:val>
            <c:numRef>
              <c:f>zaJan_Maj2013!$B$2:$N$2</c:f>
              <c:numCache>
                <c:formatCode>General</c:formatCode>
                <c:ptCount val="13"/>
                <c:pt idx="0">
                  <c:v>382975</c:v>
                </c:pt>
                <c:pt idx="1">
                  <c:v>381177</c:v>
                </c:pt>
                <c:pt idx="2">
                  <c:v>427969</c:v>
                </c:pt>
                <c:pt idx="3">
                  <c:v>408779</c:v>
                </c:pt>
                <c:pt idx="4">
                  <c:v>419038</c:v>
                </c:pt>
                <c:pt idx="5">
                  <c:v>486155</c:v>
                </c:pt>
                <c:pt idx="6">
                  <c:v>337128</c:v>
                </c:pt>
                <c:pt idx="7">
                  <c:v>264392</c:v>
                </c:pt>
                <c:pt idx="8">
                  <c:v>289214</c:v>
                </c:pt>
                <c:pt idx="9">
                  <c:v>342893</c:v>
                </c:pt>
                <c:pt idx="10">
                  <c:v>393365</c:v>
                </c:pt>
                <c:pt idx="11">
                  <c:v>379748</c:v>
                </c:pt>
                <c:pt idx="12">
                  <c:v>380769</c:v>
                </c:pt>
              </c:numCache>
            </c:numRef>
          </c:val>
          <c:smooth val="0"/>
        </c:ser>
        <c:ser>
          <c:idx val="1"/>
          <c:order val="1"/>
          <c:tx>
            <c:strRef>
              <c:f>zaJan_Maj2013!$A$3</c:f>
              <c:strCache>
                <c:ptCount val="1"/>
                <c:pt idx="0">
                  <c:v>извоз</c:v>
                </c:pt>
              </c:strCache>
            </c:strRef>
          </c:tx>
          <c:marker>
            <c:symbol val="none"/>
          </c:marker>
          <c:cat>
            <c:strRef>
              <c:f>zaJan_Maj2013!$B$1:$N$1</c:f>
              <c:strCache>
                <c:ptCount val="13"/>
                <c:pt idx="0">
                  <c:v>V</c:v>
                </c:pt>
                <c:pt idx="1">
                  <c:v>VI</c:v>
                </c:pt>
                <c:pt idx="2">
                  <c:v>VII</c:v>
                </c:pt>
                <c:pt idx="3">
                  <c:v>VIII</c:v>
                </c:pt>
                <c:pt idx="4">
                  <c:v>IX</c:v>
                </c:pt>
                <c:pt idx="5">
                  <c:v>X</c:v>
                </c:pt>
                <c:pt idx="6">
                  <c:v>XI</c:v>
                </c:pt>
                <c:pt idx="7">
                  <c:v>XII</c:v>
                </c:pt>
                <c:pt idx="8">
                  <c:v>I</c:v>
                </c:pt>
                <c:pt idx="9">
                  <c:v>II</c:v>
                </c:pt>
                <c:pt idx="10">
                  <c:v>III</c:v>
                </c:pt>
                <c:pt idx="11">
                  <c:v>IV</c:v>
                </c:pt>
                <c:pt idx="12">
                  <c:v>IV</c:v>
                </c:pt>
              </c:strCache>
            </c:strRef>
          </c:cat>
          <c:val>
            <c:numRef>
              <c:f>zaJan_Maj2013!$B$3:$N$3</c:f>
              <c:numCache>
                <c:formatCode>General</c:formatCode>
                <c:ptCount val="13"/>
                <c:pt idx="0">
                  <c:v>227243</c:v>
                </c:pt>
                <c:pt idx="1">
                  <c:v>214185</c:v>
                </c:pt>
                <c:pt idx="2">
                  <c:v>218575</c:v>
                </c:pt>
                <c:pt idx="3">
                  <c:v>184558</c:v>
                </c:pt>
                <c:pt idx="4">
                  <c:v>195623</c:v>
                </c:pt>
                <c:pt idx="5">
                  <c:v>213888</c:v>
                </c:pt>
                <c:pt idx="6">
                  <c:v>209165</c:v>
                </c:pt>
                <c:pt idx="7">
                  <c:v>172526</c:v>
                </c:pt>
                <c:pt idx="8">
                  <c:v>168025</c:v>
                </c:pt>
                <c:pt idx="9">
                  <c:v>182220</c:v>
                </c:pt>
                <c:pt idx="10">
                  <c:v>210184</c:v>
                </c:pt>
                <c:pt idx="11">
                  <c:v>238435</c:v>
                </c:pt>
                <c:pt idx="12">
                  <c:v>221243</c:v>
                </c:pt>
              </c:numCache>
            </c:numRef>
          </c:val>
          <c:smooth val="0"/>
        </c:ser>
        <c:dLbls>
          <c:showLegendKey val="0"/>
          <c:showVal val="0"/>
          <c:showCatName val="0"/>
          <c:showSerName val="0"/>
          <c:showPercent val="0"/>
          <c:showBubbleSize val="0"/>
        </c:dLbls>
        <c:marker val="1"/>
        <c:smooth val="0"/>
        <c:axId val="180588544"/>
        <c:axId val="180590080"/>
      </c:lineChart>
      <c:catAx>
        <c:axId val="180588544"/>
        <c:scaling>
          <c:orientation val="minMax"/>
        </c:scaling>
        <c:delete val="0"/>
        <c:axPos val="b"/>
        <c:majorTickMark val="out"/>
        <c:minorTickMark val="none"/>
        <c:tickLblPos val="nextTo"/>
        <c:crossAx val="180590080"/>
        <c:crosses val="autoZero"/>
        <c:auto val="1"/>
        <c:lblAlgn val="ctr"/>
        <c:lblOffset val="100"/>
        <c:noMultiLvlLbl val="0"/>
      </c:catAx>
      <c:valAx>
        <c:axId val="180590080"/>
        <c:scaling>
          <c:orientation val="minMax"/>
        </c:scaling>
        <c:delete val="0"/>
        <c:axPos val="l"/>
        <c:majorGridlines/>
        <c:numFmt formatCode="###,###" sourceLinked="0"/>
        <c:majorTickMark val="out"/>
        <c:minorTickMark val="none"/>
        <c:tickLblPos val="nextTo"/>
        <c:crossAx val="180588544"/>
        <c:crosses val="autoZero"/>
        <c:crossBetween val="between"/>
      </c:valAx>
    </c:plotArea>
    <c:legend>
      <c:legendPos val="r"/>
      <c:layout>
        <c:manualLayout>
          <c:xMode val="edge"/>
          <c:yMode val="edge"/>
          <c:x val="0.85169659917468465"/>
          <c:y val="0.33727035142695316"/>
          <c:w val="0.14691268324796614"/>
          <c:h val="0.2000548264800234"/>
        </c:manualLayout>
      </c:layout>
      <c:overlay val="0"/>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0.89786</cdr:x>
      <cdr:y>0.34365</cdr:y>
    </cdr:from>
    <cdr:to>
      <cdr:x>0.99994</cdr:x>
      <cdr:y>0.42105</cdr:y>
    </cdr:to>
    <cdr:sp macro="" textlink="">
      <cdr:nvSpPr>
        <cdr:cNvPr id="3" name="TextBox 2"/>
        <cdr:cNvSpPr txBox="1"/>
      </cdr:nvSpPr>
      <cdr:spPr>
        <a:xfrm xmlns:a="http://schemas.openxmlformats.org/drawingml/2006/main">
          <a:off x="4473436" y="882595"/>
          <a:ext cx="508579" cy="198783"/>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US" sz="800">
              <a:latin typeface="Tahoma" pitchFamily="34" charset="0"/>
              <a:ea typeface="Tahoma" pitchFamily="34" charset="0"/>
              <a:cs typeface="Tahoma" pitchFamily="34" charset="0"/>
            </a:rPr>
            <a:t>import</a:t>
          </a:r>
        </a:p>
      </cdr:txBody>
    </cdr:sp>
  </cdr:relSizeAnchor>
  <cdr:relSizeAnchor xmlns:cdr="http://schemas.openxmlformats.org/drawingml/2006/chartDrawing">
    <cdr:from>
      <cdr:x>0.89467</cdr:x>
      <cdr:y>0.45201</cdr:y>
    </cdr:from>
    <cdr:to>
      <cdr:x>0.99994</cdr:x>
      <cdr:y>0.52941</cdr:y>
    </cdr:to>
    <cdr:sp macro="" textlink="">
      <cdr:nvSpPr>
        <cdr:cNvPr id="4" name="TextBox 3"/>
        <cdr:cNvSpPr txBox="1"/>
      </cdr:nvSpPr>
      <cdr:spPr>
        <a:xfrm xmlns:a="http://schemas.openxmlformats.org/drawingml/2006/main">
          <a:off x="4457534" y="1160891"/>
          <a:ext cx="524482" cy="198782"/>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US" sz="800">
              <a:latin typeface="Tahoma" pitchFamily="34" charset="0"/>
              <a:ea typeface="Tahoma" pitchFamily="34" charset="0"/>
              <a:cs typeface="Tahoma" pitchFamily="34" charset="0"/>
            </a:rPr>
            <a:t>export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CF28-0E9D-4DE2-94AD-43DD67F7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6</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13785</CharactersWithSpaces>
  <SharedDoc>false</SharedDoc>
  <HLinks>
    <vt:vector size="42" baseType="variant">
      <vt:variant>
        <vt:i4>2621495</vt:i4>
      </vt:variant>
      <vt:variant>
        <vt:i4>24</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7471187</vt:i4>
      </vt:variant>
      <vt:variant>
        <vt:i4>21</vt:i4>
      </vt:variant>
      <vt:variant>
        <vt:i4>0</vt:i4>
      </vt:variant>
      <vt:variant>
        <vt:i4>5</vt:i4>
      </vt:variant>
      <vt:variant>
        <vt:lpwstr>mailto:miroslav.ilic@rzs.rs.ba</vt:lpwstr>
      </vt:variant>
      <vt:variant>
        <vt:lpwstr/>
      </vt:variant>
      <vt:variant>
        <vt:i4>7733327</vt:i4>
      </vt:variant>
      <vt:variant>
        <vt:i4>18</vt:i4>
      </vt:variant>
      <vt:variant>
        <vt:i4>0</vt:i4>
      </vt:variant>
      <vt:variant>
        <vt:i4>5</vt:i4>
      </vt:variant>
      <vt:variant>
        <vt:lpwstr>mailto:sanela.vasiljevic@rzs.rs.ba</vt:lpwstr>
      </vt:variant>
      <vt:variant>
        <vt:lpwstr/>
      </vt:variant>
      <vt:variant>
        <vt:i4>2621495</vt:i4>
      </vt:variant>
      <vt:variant>
        <vt:i4>15</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Files/Content.Outlook/HVIF4827/sanja.stojcevic@rzs.rs.ba</vt:lpwstr>
      </vt:variant>
      <vt:variant>
        <vt:lpwstr/>
      </vt:variant>
      <vt:variant>
        <vt:i4>65571</vt:i4>
      </vt:variant>
      <vt:variant>
        <vt:i4>12</vt:i4>
      </vt:variant>
      <vt:variant>
        <vt:i4>0</vt:i4>
      </vt:variant>
      <vt:variant>
        <vt:i4>5</vt:i4>
      </vt:variant>
      <vt:variant>
        <vt:lpwstr>mailto:mirjana.bandur@rzs.rs.ba</vt:lpwstr>
      </vt:variant>
      <vt:variant>
        <vt:lpwstr/>
      </vt:variant>
      <vt:variant>
        <vt:i4>5374070</vt:i4>
      </vt:variant>
      <vt:variant>
        <vt:i4>9</vt:i4>
      </vt:variant>
      <vt:variant>
        <vt:i4>0</vt:i4>
      </vt:variant>
      <vt:variant>
        <vt:i4>5</vt:i4>
      </vt:variant>
      <vt:variant>
        <vt:lpwstr>mailto:jasminka.milic@rzs.rs.ba</vt:lpwstr>
      </vt:variant>
      <vt:variant>
        <vt:lpwstr/>
      </vt:variant>
      <vt:variant>
        <vt:i4>2621469</vt:i4>
      </vt:variant>
      <vt:variant>
        <vt:i4>6</vt:i4>
      </vt:variant>
      <vt:variant>
        <vt:i4>0</vt:i4>
      </vt:variant>
      <vt:variant>
        <vt:i4>5</vt:i4>
      </vt:variant>
      <vt:variant>
        <vt:lpwstr>mailto:danica.babic@rzs.rs.ba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creator>a</dc:creator>
  <cp:lastModifiedBy>Vladan Sibinovic</cp:lastModifiedBy>
  <cp:revision>356</cp:revision>
  <cp:lastPrinted>2013-06-21T10:41:00Z</cp:lastPrinted>
  <dcterms:created xsi:type="dcterms:W3CDTF">2012-09-20T06:28:00Z</dcterms:created>
  <dcterms:modified xsi:type="dcterms:W3CDTF">2013-06-24T10:03:00Z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