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2367"/>
        <w:gridCol w:w="2964"/>
      </w:tblGrid>
      <w:tr w:rsidR="005D5311" w:rsidRPr="0066522F" w:rsidTr="00297CBC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66522F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66522F">
              <w:rPr>
                <w:rFonts w:ascii="Tahoma" w:hAnsi="Tahoma" w:cs="Tahoma"/>
              </w:rPr>
              <w:br w:type="column"/>
            </w:r>
            <w:r w:rsidRPr="0066522F">
              <w:rPr>
                <w:rFonts w:ascii="Tahoma" w:hAnsi="Tahoma" w:cs="Tahoma"/>
              </w:rPr>
              <w:br w:type="column"/>
            </w:r>
            <w:r w:rsidRPr="0066522F">
              <w:rPr>
                <w:rFonts w:ascii="Tahoma" w:hAnsi="Tahoma" w:cs="Tahoma"/>
              </w:rPr>
              <w:br w:type="page"/>
            </w:r>
            <w:r w:rsidRPr="0066522F">
              <w:rPr>
                <w:rFonts w:ascii="Tahoma" w:hAnsi="Tahoma" w:cs="Tahoma"/>
              </w:rPr>
              <w:br w:type="page"/>
            </w:r>
            <w:r w:rsidR="00B97590" w:rsidRPr="0066522F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66522F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66522F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66522F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E20EC" w:rsidRDefault="005D5311" w:rsidP="00827A92">
            <w:pPr>
              <w:ind w:left="113"/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</w:rPr>
            </w:pPr>
            <w:r w:rsidRPr="00CE20EC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[</w:t>
            </w:r>
            <w:r w:rsidR="009B294C" w:rsidRPr="00CE20EC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</w:t>
            </w:r>
            <w:r w:rsidR="00AA6475" w:rsidRPr="00CE20EC">
              <w:rPr>
                <w:rFonts w:ascii="Tahoma" w:hAnsi="Tahoma" w:cs="Tahoma"/>
                <w:color w:val="1F497D" w:themeColor="text2"/>
                <w:sz w:val="16"/>
              </w:rPr>
              <w:t>2</w:t>
            </w:r>
            <w:r w:rsidRPr="00CE20EC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 w:rsidR="009B569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ma</w:t>
            </w:r>
            <w:r w:rsidR="00827A92" w:rsidRPr="00CE20EC">
              <w:rPr>
                <w:rFonts w:ascii="Tahoma" w:hAnsi="Tahoma" w:cs="Tahoma"/>
                <w:color w:val="1F497D" w:themeColor="text2"/>
                <w:sz w:val="16"/>
              </w:rPr>
              <w:t>j</w:t>
            </w:r>
            <w:r w:rsidR="00AA6475" w:rsidRPr="00CE20EC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1A34F5" w:rsidRPr="00CE20EC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2012</w:t>
            </w:r>
            <w:r w:rsidRPr="00CE20EC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.]  </w:t>
            </w:r>
            <w:r w:rsidR="00827A92" w:rsidRPr="00CE20EC">
              <w:rPr>
                <w:rFonts w:ascii="Tahoma" w:hAnsi="Tahoma" w:cs="Tahoma"/>
                <w:b/>
                <w:color w:val="1F497D" w:themeColor="text2"/>
                <w:sz w:val="32"/>
                <w:szCs w:val="32"/>
              </w:rPr>
              <w:t>5</w:t>
            </w:r>
            <w:r w:rsidRPr="00CE20EC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="00910A31" w:rsidRPr="00CE20EC">
              <w:rPr>
                <w:rFonts w:ascii="Tahoma" w:hAnsi="Tahoma" w:cs="Tahoma"/>
                <w:b/>
                <w:color w:val="1F497D" w:themeColor="text2"/>
                <w:sz w:val="32"/>
                <w:szCs w:val="32"/>
              </w:rPr>
              <w:t>2</w:t>
            </w:r>
          </w:p>
        </w:tc>
      </w:tr>
      <w:tr w:rsidR="005D5311" w:rsidRPr="0066522F" w:rsidTr="00297CBC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66522F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66522F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66522F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624"/>
      </w:tblGrid>
      <w:tr w:rsidR="00193339" w:rsidRPr="0066522F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E20EC" w:rsidRDefault="009B5692" w:rsidP="008B720B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maj</w:t>
            </w:r>
            <w:r w:rsidR="007E158B" w:rsidRPr="00CE20EC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910A31" w:rsidRPr="00CE20EC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CE20EC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godine</w:t>
            </w:r>
          </w:p>
        </w:tc>
      </w:tr>
      <w:tr w:rsidR="00193339" w:rsidRPr="0066522F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CE20EC" w:rsidRDefault="009B5692" w:rsidP="009B5692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SAOPŠTEN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</w:rPr>
              <w:t>J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E</w:t>
            </w:r>
            <w:r w:rsidR="008728B3" w:rsidRPr="00CE20EC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ZA</w:t>
            </w:r>
            <w:r w:rsidR="008728B3" w:rsidRPr="00CE20EC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MEDIJE</w:t>
            </w:r>
          </w:p>
        </w:tc>
      </w:tr>
    </w:tbl>
    <w:p w:rsidR="00B07584" w:rsidRPr="0066522F" w:rsidRDefault="00B07584" w:rsidP="009215D1">
      <w:pPr>
        <w:spacing w:line="360" w:lineRule="auto"/>
        <w:jc w:val="both"/>
        <w:rPr>
          <w:lang w:val="sr-Cyrl-BA"/>
        </w:rPr>
      </w:pPr>
    </w:p>
    <w:p w:rsidR="00CC6C6E" w:rsidRPr="0066522F" w:rsidRDefault="009B5692" w:rsidP="00CC6C6E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Prosječn</w:t>
      </w:r>
      <w:r>
        <w:rPr>
          <w:rFonts w:ascii="Tahoma" w:hAnsi="Tahoma" w:cs="Tahoma"/>
          <w:b/>
          <w:sz w:val="28"/>
          <w:szCs w:val="28"/>
          <w:lang w:val="ru-RU"/>
        </w:rPr>
        <w:t>a</w:t>
      </w:r>
      <w:r w:rsidR="00CC6C6E" w:rsidRPr="0066522F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neto</w:t>
      </w:r>
      <w:r w:rsidR="00CC6C6E" w:rsidRPr="0066522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plata</w:t>
      </w:r>
      <w:r w:rsidR="00CC6C6E" w:rsidRPr="0066522F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</w:t>
      </w:r>
      <w:r w:rsidR="00CC6C6E" w:rsidRPr="0066522F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aprilu</w:t>
      </w:r>
      <w:r w:rsidR="00CC6C6E" w:rsidRPr="0066522F">
        <w:rPr>
          <w:rFonts w:ascii="Tahoma" w:hAnsi="Tahoma" w:cs="Tahoma"/>
          <w:b/>
          <w:sz w:val="28"/>
          <w:szCs w:val="28"/>
          <w:lang w:val="sr-Cyrl-CS"/>
        </w:rPr>
        <w:t xml:space="preserve"> 817</w:t>
      </w:r>
      <w:r w:rsidR="00CC6C6E" w:rsidRPr="0066522F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KM</w:t>
      </w:r>
    </w:p>
    <w:p w:rsidR="00CC6C6E" w:rsidRPr="0066522F" w:rsidRDefault="009B5692" w:rsidP="00CC6C6E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Najviša</w:t>
      </w:r>
      <w:r w:rsidR="00CC6C6E" w:rsidRPr="0066522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prosječna</w:t>
      </w:r>
      <w:r w:rsidR="00CC6C6E" w:rsidRPr="0066522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neto</w:t>
      </w:r>
      <w:r w:rsidR="00CC6C6E" w:rsidRPr="0066522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plata</w:t>
      </w:r>
      <w:r w:rsidR="00CC6C6E" w:rsidRPr="0066522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CC6C6E" w:rsidRPr="0066522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području</w:t>
      </w:r>
      <w:r w:rsidR="00CC6C6E" w:rsidRPr="0066522F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Finansijsko</w:t>
      </w:r>
      <w:r w:rsidR="00CC6C6E" w:rsidRPr="0066522F">
        <w:rPr>
          <w:rFonts w:ascii="Tahoma" w:hAnsi="Tahoma" w:cs="Tahoma"/>
          <w:i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posredovanje</w:t>
      </w:r>
      <w:r w:rsidR="00CC6C6E" w:rsidRPr="0066522F">
        <w:rPr>
          <w:rFonts w:ascii="Tahoma" w:hAnsi="Tahoma" w:cs="Tahoma"/>
          <w:sz w:val="24"/>
          <w:szCs w:val="24"/>
          <w:lang w:val="ru-RU"/>
        </w:rPr>
        <w:t xml:space="preserve"> 1 </w:t>
      </w:r>
      <w:r w:rsidR="00CC6C6E" w:rsidRPr="0066522F">
        <w:rPr>
          <w:rFonts w:ascii="Tahoma" w:hAnsi="Tahoma" w:cs="Tahoma"/>
          <w:sz w:val="24"/>
          <w:szCs w:val="24"/>
          <w:lang w:val="sr-Cyrl-CS"/>
        </w:rPr>
        <w:t>294</w:t>
      </w:r>
      <w:r w:rsidR="00CC6C6E" w:rsidRPr="0066522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KM</w:t>
      </w:r>
      <w:r w:rsidR="00CC6C6E" w:rsidRPr="0066522F">
        <w:rPr>
          <w:rFonts w:ascii="Tahoma" w:hAnsi="Tahoma" w:cs="Tahoma"/>
          <w:sz w:val="24"/>
          <w:szCs w:val="24"/>
          <w:lang w:val="sr-Cyrl-CS"/>
        </w:rPr>
        <w:t xml:space="preserve">, </w:t>
      </w:r>
      <w:r>
        <w:rPr>
          <w:rFonts w:ascii="Tahoma" w:hAnsi="Tahoma" w:cs="Tahoma"/>
          <w:sz w:val="24"/>
          <w:szCs w:val="24"/>
          <w:lang w:val="sr-Cyrl-CS"/>
        </w:rPr>
        <w:t>najniža</w:t>
      </w:r>
      <w:r w:rsidR="00CC6C6E" w:rsidRPr="0066522F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u</w:t>
      </w:r>
      <w:r w:rsidR="00CC6C6E" w:rsidRPr="0066522F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području</w:t>
      </w:r>
      <w:r w:rsidR="00CC6C6E" w:rsidRPr="0066522F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CS"/>
        </w:rPr>
        <w:t>Ugostiteljstvo</w:t>
      </w:r>
      <w:r w:rsidR="00CC6C6E" w:rsidRPr="0066522F">
        <w:rPr>
          <w:rFonts w:ascii="Tahoma" w:hAnsi="Tahoma" w:cs="Tahoma"/>
          <w:sz w:val="24"/>
          <w:szCs w:val="24"/>
          <w:lang w:val="sr-Cyrl-CS"/>
        </w:rPr>
        <w:t xml:space="preserve"> 549 </w:t>
      </w:r>
      <w:r>
        <w:rPr>
          <w:rFonts w:ascii="Tahoma" w:hAnsi="Tahoma" w:cs="Tahoma"/>
          <w:sz w:val="24"/>
          <w:szCs w:val="24"/>
          <w:lang w:val="sr-Cyrl-CS"/>
        </w:rPr>
        <w:t>KM</w:t>
      </w:r>
    </w:p>
    <w:p w:rsidR="00CC6C6E" w:rsidRPr="0066522F" w:rsidRDefault="00CC6C6E" w:rsidP="00CC6C6E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CC6C6E" w:rsidRPr="0066522F" w:rsidRDefault="009B5692" w:rsidP="00CC6C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BA"/>
        </w:rPr>
        <w:t>P</w:t>
      </w:r>
      <w:r>
        <w:rPr>
          <w:rFonts w:ascii="Tahoma" w:hAnsi="Tahoma" w:cs="Tahoma"/>
          <w:b/>
          <w:sz w:val="18"/>
          <w:szCs w:val="18"/>
          <w:lang w:val="sr-Cyrl-CS"/>
        </w:rPr>
        <w:t>rosječna</w:t>
      </w:r>
      <w:r w:rsidR="00CC6C6E" w:rsidRPr="0066522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mjesečna</w:t>
      </w:r>
      <w:r w:rsidR="00CC6C6E" w:rsidRPr="0066522F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neto</w:t>
      </w:r>
      <w:r w:rsidR="00CC6C6E" w:rsidRPr="0066522F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plata</w:t>
      </w:r>
      <w:r w:rsidR="00CC6C6E" w:rsidRPr="0066522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>,</w:t>
      </w:r>
      <w:r w:rsidR="00CC6C6E" w:rsidRPr="0066522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="00CC6C6E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CC6C6E" w:rsidRPr="0066522F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817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CC6C6E" w:rsidRPr="0066522F">
        <w:rPr>
          <w:rFonts w:ascii="Tahoma" w:hAnsi="Tahoma" w:cs="Tahoma"/>
          <w:sz w:val="18"/>
          <w:szCs w:val="18"/>
          <w:lang w:val="hr-HR"/>
        </w:rPr>
        <w:t>,</w:t>
      </w:r>
      <w:r w:rsidR="00CC6C6E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</w:t>
      </w:r>
      <w:r w:rsidR="00CC6C6E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</w:t>
      </w:r>
      <w:r>
        <w:rPr>
          <w:rFonts w:ascii="Tahoma" w:hAnsi="Tahoma" w:cs="Tahoma"/>
          <w:sz w:val="18"/>
          <w:szCs w:val="18"/>
          <w:lang w:val="sr-Cyrl-CS"/>
        </w:rPr>
        <w:t>rosječna</w:t>
      </w:r>
      <w:r w:rsidR="00CC6C6E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C6C6E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1 347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CC6C6E" w:rsidRPr="0066522F" w:rsidRDefault="00CC6C6E" w:rsidP="00CC6C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C6C6E" w:rsidRPr="0066522F" w:rsidRDefault="009B5692" w:rsidP="00CC6C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mart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0,4%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1,3%.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1,0%,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1,1%.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1,7%,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CC6C6E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C6C6E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CC6C6E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C6C6E" w:rsidRPr="0066522F">
        <w:rPr>
          <w:rFonts w:ascii="Tahoma" w:hAnsi="Tahoma" w:cs="Tahoma"/>
          <w:sz w:val="18"/>
          <w:szCs w:val="18"/>
          <w:lang w:val="sr-Cyrl-BA"/>
        </w:rPr>
        <w:t xml:space="preserve"> 0,3%.</w:t>
      </w:r>
    </w:p>
    <w:p w:rsidR="00CC6C6E" w:rsidRPr="0066522F" w:rsidRDefault="00CC6C6E" w:rsidP="00CC6C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C6C6E" w:rsidRPr="0066522F" w:rsidRDefault="009B5692" w:rsidP="00CC6C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Najviša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posmatrano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1 294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najniža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549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>.</w:t>
      </w:r>
    </w:p>
    <w:p w:rsidR="00CC6C6E" w:rsidRPr="0066522F" w:rsidRDefault="00CC6C6E" w:rsidP="00CC6C6E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CC6C6E" w:rsidRPr="0066522F" w:rsidRDefault="009B5692" w:rsidP="00CC6C6E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C6C6E" w:rsidRPr="0066522F">
        <w:rPr>
          <w:rFonts w:ascii="Tahoma" w:hAnsi="Tahoma" w:cs="Tahoma"/>
          <w:sz w:val="18"/>
          <w:szCs w:val="18"/>
          <w:lang w:val="ru-RU"/>
        </w:rPr>
        <w:t xml:space="preserve">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C6C6E" w:rsidRPr="0066522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C6C6E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C6C6E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C6C6E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mart</w:t>
      </w:r>
      <w:r w:rsidR="00CC6C6E" w:rsidRPr="0066522F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C6C6E" w:rsidRPr="0066522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ajveći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nominalni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Poljoprivreda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lov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šumarstvo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3,9%, </w:t>
      </w:r>
      <w:r>
        <w:rPr>
          <w:rFonts w:ascii="Tahoma" w:hAnsi="Tahoma" w:cs="Tahoma"/>
          <w:i/>
          <w:sz w:val="18"/>
          <w:szCs w:val="18"/>
          <w:lang w:val="sr-Cyrl-CS"/>
        </w:rPr>
        <w:t>Građevinarstvo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3,2%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2,6%,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Trgovina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na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veliko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trgovina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na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malo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1,0%, </w:t>
      </w:r>
      <w:r>
        <w:rPr>
          <w:rFonts w:ascii="Tahoma" w:hAnsi="Tahoma" w:cs="Tahoma"/>
          <w:i/>
          <w:sz w:val="18"/>
          <w:szCs w:val="18"/>
          <w:lang w:val="sr-Cyrl-CS"/>
        </w:rPr>
        <w:t>Ostale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uslužne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djelatnosti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0,9%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Državna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uprava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odbrana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C6C6E" w:rsidRPr="0066522F">
        <w:rPr>
          <w:rFonts w:ascii="Tahoma" w:hAnsi="Tahoma" w:cs="Tahoma"/>
          <w:sz w:val="18"/>
          <w:szCs w:val="18"/>
          <w:lang w:val="sr-Cyrl-CS"/>
        </w:rPr>
        <w:t xml:space="preserve"> 0,8%.</w:t>
      </w:r>
      <w:r w:rsidR="00CC6C6E" w:rsidRPr="0066522F">
        <w:rPr>
          <w:rFonts w:ascii="Tahoma" w:hAnsi="Tahoma" w:cs="Tahoma"/>
          <w:i/>
          <w:sz w:val="18"/>
          <w:szCs w:val="18"/>
          <w:lang w:val="sr-Cyrl-CS"/>
        </w:rPr>
        <w:t xml:space="preserve">  </w:t>
      </w:r>
    </w:p>
    <w:p w:rsidR="0076086A" w:rsidRPr="0066522F" w:rsidRDefault="0076086A" w:rsidP="0018579D">
      <w:pPr>
        <w:rPr>
          <w:rFonts w:ascii="Tahoma" w:hAnsi="Tahoma" w:cs="Tahoma"/>
          <w:sz w:val="18"/>
          <w:szCs w:val="18"/>
          <w:lang w:val="sr-Cyrl-CS"/>
        </w:rPr>
      </w:pPr>
    </w:p>
    <w:p w:rsidR="00266E14" w:rsidRPr="0066522F" w:rsidRDefault="00266E14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66522F" w:rsidRDefault="00565FA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66522F" w:rsidRDefault="009B5692" w:rsidP="000267D1">
      <w:pPr>
        <w:jc w:val="center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37.05pt;margin-top:204.55pt;width:195.4pt;height:23.95pt;z-index:251669504;mso-width-relative:margin;mso-height-relative:margin" strokecolor="white [3212]">
            <v:textbox>
              <w:txbxContent>
                <w:p w:rsidR="00654E7C" w:rsidRPr="00297CBC" w:rsidRDefault="00654E7C" w:rsidP="00860DF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2011.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                            2012.</w:t>
                  </w:r>
                </w:p>
              </w:txbxContent>
            </v:textbox>
          </v:shape>
        </w:pict>
      </w:r>
      <w:r w:rsidR="000267D1" w:rsidRPr="0066522F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5211741D" wp14:editId="02A04ECF">
            <wp:extent cx="5308324" cy="3156668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63" type="#_x0000_t202" style="position:absolute;left:0;text-align:left;margin-left:312.65pt;margin-top:9.85pt;width:41.05pt;height:27.75pt;z-index:251659264;mso-position-horizontal-relative:text;mso-position-vertical-relative:text;mso-width-relative:margin;mso-height-relative:margin" stroked="f">
            <v:textbox style="mso-next-textbox:#_x0000_s1063">
              <w:txbxContent>
                <w:p w:rsidR="00654E7C" w:rsidRPr="00B32263" w:rsidRDefault="00654E7C" w:rsidP="0018579D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B32263">
                    <w:rPr>
                      <w:rFonts w:ascii="Tahoma" w:hAnsi="Tahoma" w:cs="Tahoma"/>
                      <w:sz w:val="18"/>
                      <w:szCs w:val="18"/>
                    </w:rPr>
                    <w:t>KM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654E7C" w:rsidRPr="00860DF8" w:rsidRDefault="00654E7C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F1FE7" w:rsidRPr="0066522F" w:rsidRDefault="00AF1FE7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D0CCB" w:rsidRPr="0066522F" w:rsidRDefault="00CD0CCB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5E0301" w:rsidRPr="0066522F" w:rsidRDefault="009B5692" w:rsidP="00B32263">
      <w:pPr>
        <w:jc w:val="center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Grafikon</w:t>
      </w:r>
      <w:r w:rsidR="000328B8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E24D5" w:rsidRPr="0066522F">
        <w:rPr>
          <w:rFonts w:ascii="Tahoma" w:hAnsi="Tahoma" w:cs="Tahoma"/>
          <w:sz w:val="18"/>
          <w:szCs w:val="18"/>
          <w:lang w:val="sr-Cyrl-BA"/>
        </w:rPr>
        <w:t>1</w:t>
      </w:r>
      <w:r w:rsidR="005E0301" w:rsidRPr="0066522F">
        <w:rPr>
          <w:rFonts w:ascii="Tahoma" w:hAnsi="Tahoma" w:cs="Tahoma"/>
          <w:sz w:val="18"/>
          <w:szCs w:val="18"/>
          <w:lang w:val="ru-RU"/>
        </w:rPr>
        <w:t>.</w:t>
      </w:r>
      <w:r w:rsidR="005E030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ru-RU"/>
        </w:rPr>
        <w:t>rosječn</w:t>
      </w:r>
      <w:r w:rsidR="005E0301" w:rsidRPr="0066522F">
        <w:rPr>
          <w:rFonts w:ascii="Tahoma" w:hAnsi="Tahoma" w:cs="Tahoma"/>
          <w:sz w:val="18"/>
          <w:szCs w:val="18"/>
        </w:rPr>
        <w:t>e</w:t>
      </w:r>
      <w:r w:rsidR="005E030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neto</w:t>
      </w:r>
      <w:r w:rsidR="005E030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plat</w:t>
      </w:r>
      <w:r w:rsidR="005E0301" w:rsidRPr="0066522F">
        <w:rPr>
          <w:rFonts w:ascii="Tahoma" w:hAnsi="Tahoma" w:cs="Tahoma"/>
          <w:sz w:val="18"/>
          <w:szCs w:val="18"/>
        </w:rPr>
        <w:t>e</w:t>
      </w:r>
      <w:r w:rsidR="005E030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zaposlenih</w:t>
      </w:r>
      <w:r w:rsidR="005E030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5E030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mjesecima</w:t>
      </w:r>
    </w:p>
    <w:p w:rsidR="0029071F" w:rsidRPr="0066522F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5E0301" w:rsidRPr="0066522F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66522F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B32263" w:rsidRPr="0066522F" w:rsidRDefault="00B32263">
      <w:pPr>
        <w:rPr>
          <w:rFonts w:ascii="Tahoma" w:hAnsi="Tahoma" w:cs="Tahoma"/>
          <w:b/>
          <w:sz w:val="28"/>
          <w:szCs w:val="28"/>
          <w:lang w:val="sr-Cyrl-BA"/>
        </w:rPr>
      </w:pPr>
      <w:r w:rsidRPr="0066522F">
        <w:rPr>
          <w:rFonts w:ascii="Tahoma" w:hAnsi="Tahoma" w:cs="Tahoma"/>
          <w:b/>
          <w:sz w:val="28"/>
          <w:szCs w:val="28"/>
          <w:lang w:val="sr-Cyrl-BA"/>
        </w:rPr>
        <w:br w:type="page"/>
      </w:r>
    </w:p>
    <w:p w:rsidR="00827A92" w:rsidRPr="0066522F" w:rsidRDefault="009B5692" w:rsidP="00827A92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sr-Cyrl-BA"/>
        </w:rPr>
        <w:lastRenderedPageBreak/>
        <w:t>Mjesečna</w:t>
      </w:r>
      <w:r w:rsidR="00827A92" w:rsidRPr="0066522F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827A92" w:rsidRPr="0066522F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827A92" w:rsidRPr="0066522F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aprilu</w:t>
      </w:r>
      <w:r w:rsidR="00827A92" w:rsidRPr="0066522F">
        <w:rPr>
          <w:rFonts w:ascii="Tahoma" w:hAnsi="Tahoma" w:cs="Tahoma"/>
          <w:b/>
          <w:sz w:val="28"/>
          <w:szCs w:val="28"/>
          <w:lang w:val="sr-Cyrl-BA"/>
        </w:rPr>
        <w:t xml:space="preserve"> 2012. </w:t>
      </w:r>
      <w:r>
        <w:rPr>
          <w:rFonts w:ascii="Tahoma" w:hAnsi="Tahoma" w:cs="Tahoma"/>
          <w:b/>
          <w:sz w:val="28"/>
          <w:szCs w:val="28"/>
          <w:lang w:val="sr-Cyrl-BA"/>
        </w:rPr>
        <w:t>godine</w:t>
      </w:r>
      <w:r w:rsidR="00827A92" w:rsidRPr="0066522F">
        <w:rPr>
          <w:rFonts w:ascii="Tahoma" w:hAnsi="Tahoma" w:cs="Tahoma"/>
          <w:b/>
          <w:sz w:val="28"/>
          <w:szCs w:val="28"/>
          <w:lang w:val="sr-Cyrl-BA"/>
        </w:rPr>
        <w:t xml:space="preserve"> -0,9%</w:t>
      </w:r>
    </w:p>
    <w:p w:rsidR="00827A92" w:rsidRPr="0066522F" w:rsidRDefault="009B5692" w:rsidP="00827A92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>
        <w:rPr>
          <w:rFonts w:ascii="Tahoma" w:hAnsi="Tahoma" w:cs="Tahoma"/>
          <w:b/>
          <w:sz w:val="28"/>
          <w:szCs w:val="28"/>
          <w:lang w:val="sr-Cyrl-BA"/>
        </w:rPr>
        <w:t>Godišnja</w:t>
      </w:r>
      <w:r w:rsidR="00D14AA4" w:rsidRPr="0066522F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D14AA4" w:rsidRPr="0066522F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april</w:t>
      </w:r>
      <w:r w:rsidR="00D14AA4" w:rsidRPr="0066522F">
        <w:rPr>
          <w:rFonts w:ascii="Tahoma" w:hAnsi="Tahoma" w:cs="Tahoma"/>
          <w:b/>
          <w:sz w:val="28"/>
          <w:szCs w:val="28"/>
          <w:lang w:val="sr-Cyrl-BA"/>
        </w:rPr>
        <w:t xml:space="preserve"> 2012/</w:t>
      </w:r>
      <w:r>
        <w:rPr>
          <w:rFonts w:ascii="Tahoma" w:hAnsi="Tahoma" w:cs="Tahoma"/>
          <w:b/>
          <w:sz w:val="28"/>
          <w:szCs w:val="28"/>
          <w:lang w:val="sr-Cyrl-BA"/>
        </w:rPr>
        <w:t>april</w:t>
      </w:r>
      <w:r w:rsidR="00827A92" w:rsidRPr="0066522F">
        <w:rPr>
          <w:rFonts w:ascii="Tahoma" w:hAnsi="Tahoma" w:cs="Tahoma"/>
          <w:b/>
          <w:sz w:val="28"/>
          <w:szCs w:val="28"/>
          <w:lang w:val="sr-Cyrl-BA"/>
        </w:rPr>
        <w:t xml:space="preserve"> 2011) 2,0%</w:t>
      </w:r>
    </w:p>
    <w:p w:rsidR="00827A92" w:rsidRPr="0066522F" w:rsidRDefault="00827A92" w:rsidP="00827A92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827A92" w:rsidRPr="0066522F" w:rsidRDefault="009B5692" w:rsidP="00827A92">
      <w:pPr>
        <w:pStyle w:val="Body2"/>
        <w:tabs>
          <w:tab w:val="left" w:pos="720"/>
        </w:tabs>
        <w:ind w:firstLine="0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Cijene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proizvoda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i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usluga</w:t>
      </w:r>
      <w:r w:rsidR="00827A92" w:rsidRPr="0066522F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koje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se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koriste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za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ličnu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potrošnju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Republici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Srpskoj</w:t>
      </w:r>
      <w:r w:rsidR="00827A92" w:rsidRPr="0066522F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mjerene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indeksom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potrošačkih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cijena</w:t>
      </w:r>
      <w:r w:rsidR="00827A92" w:rsidRPr="0066522F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u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aprilu</w:t>
      </w:r>
      <w:r w:rsidR="00827A92" w:rsidRPr="0066522F">
        <w:rPr>
          <w:rFonts w:ascii="Tahoma" w:hAnsi="Tahoma" w:cs="Tahoma"/>
          <w:lang w:val="sr-Cyrl-BA"/>
        </w:rPr>
        <w:t xml:space="preserve"> 2012. </w:t>
      </w:r>
      <w:r>
        <w:rPr>
          <w:rFonts w:ascii="Tahoma" w:hAnsi="Tahoma" w:cs="Tahoma"/>
          <w:lang w:val="sr-Cyrl-BA"/>
        </w:rPr>
        <w:t>godine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odnosu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na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mart</w:t>
      </w:r>
      <w:r w:rsidR="00827A92" w:rsidRPr="0066522F">
        <w:rPr>
          <w:rFonts w:ascii="Tahoma" w:hAnsi="Tahoma" w:cs="Tahoma"/>
          <w:lang w:val="sr-Cyrl-BA"/>
        </w:rPr>
        <w:t xml:space="preserve"> 2012. </w:t>
      </w:r>
      <w:r>
        <w:rPr>
          <w:rFonts w:ascii="Tahoma" w:hAnsi="Tahoma" w:cs="Tahoma"/>
          <w:lang w:val="sr-Cyrl-BA"/>
        </w:rPr>
        <w:t>godine</w:t>
      </w:r>
      <w:r w:rsidR="00827A92" w:rsidRPr="0066522F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niže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su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prosjeku</w:t>
      </w:r>
      <w:r w:rsidR="00827A92" w:rsidRPr="0066522F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za</w:t>
      </w:r>
      <w:r w:rsidR="00827A92" w:rsidRPr="0066522F">
        <w:rPr>
          <w:rFonts w:ascii="Tahoma" w:hAnsi="Tahoma" w:cs="Tahoma"/>
          <w:lang w:val="sr-Cyrl-BA"/>
        </w:rPr>
        <w:t xml:space="preserve"> 0,9%.</w:t>
      </w:r>
    </w:p>
    <w:p w:rsidR="00827A92" w:rsidRPr="0066522F" w:rsidRDefault="009B5692" w:rsidP="00827A92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Ovakavo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kretanje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rezultiralo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prelaskom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obračuna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električne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energije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zimske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ljetnu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tarifu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>,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uzrokovalo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9,8%.</w:t>
      </w:r>
    </w:p>
    <w:p w:rsidR="00827A92" w:rsidRPr="0066522F" w:rsidRDefault="00827A92" w:rsidP="00827A92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</w:rPr>
      </w:pPr>
    </w:p>
    <w:p w:rsidR="00827A92" w:rsidRPr="0066522F" w:rsidRDefault="009B5692" w:rsidP="00827A92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4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12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Najveći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aprilu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827A92" w:rsidRPr="0066522F" w:rsidRDefault="00827A92" w:rsidP="00827A92">
      <w:pPr>
        <w:jc w:val="both"/>
        <w:rPr>
          <w:rFonts w:ascii="Tahoma" w:hAnsi="Tahoma" w:cs="Tahoma"/>
          <w:i/>
          <w:sz w:val="18"/>
          <w:szCs w:val="18"/>
        </w:rPr>
      </w:pPr>
    </w:p>
    <w:p w:rsidR="00827A92" w:rsidRPr="0066522F" w:rsidRDefault="009B5692" w:rsidP="00827A92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gdje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aprilu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najveći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0,9% </w:t>
      </w:r>
      <w:r>
        <w:rPr>
          <w:rFonts w:ascii="Tahoma" w:hAnsi="Tahoma" w:cs="Tahoma"/>
          <w:sz w:val="18"/>
          <w:szCs w:val="18"/>
          <w:lang w:val="sr-Cyrl-BA"/>
        </w:rPr>
        <w:t>najveći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uticaj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imalo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Goriva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maziva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1,5%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pojedinih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vrsta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goriva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sr-Cyrl-BA"/>
        </w:rPr>
        <w:t>ovaj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dizela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bio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bezolovnog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benzina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98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95 </w:t>
      </w:r>
      <w:r>
        <w:rPr>
          <w:rFonts w:ascii="Tahoma" w:hAnsi="Tahoma" w:cs="Tahoma"/>
          <w:sz w:val="18"/>
          <w:szCs w:val="18"/>
          <w:lang w:val="sr-Cyrl-BA"/>
        </w:rPr>
        <w:t>oktana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).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Prevoz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uticalo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karte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prevoza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međugradskim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linijama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nekim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gradovima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>.</w:t>
      </w:r>
    </w:p>
    <w:p w:rsidR="00827A92" w:rsidRPr="0066522F" w:rsidRDefault="00827A92" w:rsidP="00827A92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827A92" w:rsidRPr="0066522F" w:rsidRDefault="009B5692" w:rsidP="00827A92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0,7%,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to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bilježi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0,9%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poskupljenja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pojedinih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vrsta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cigara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Alkoholna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pića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bilježi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0,2%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piva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0,8%. </w:t>
      </w:r>
    </w:p>
    <w:p w:rsidR="00827A92" w:rsidRPr="0066522F" w:rsidRDefault="00827A92" w:rsidP="00827A92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827A92" w:rsidRPr="0066522F" w:rsidRDefault="009B5692" w:rsidP="00827A92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827A92" w:rsidRPr="0066522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827A92" w:rsidRPr="0066522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bezalkoholna</w:t>
      </w:r>
      <w:r w:rsidR="00827A92" w:rsidRPr="0066522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zabilježen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0,1%,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to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0,1%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podgrupama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Voće</w:t>
      </w:r>
      <w:r w:rsidR="00827A92" w:rsidRPr="0066522F">
        <w:rPr>
          <w:rFonts w:ascii="Tahoma" w:eastAsia="Calibri" w:hAnsi="Tahoma" w:cs="Tahoma"/>
          <w:i/>
          <w:sz w:val="18"/>
          <w:szCs w:val="18"/>
          <w:lang w:val="sr-Cyrl-BA"/>
        </w:rPr>
        <w:t xml:space="preserve"> 1,6%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Povrće</w:t>
      </w:r>
      <w:r w:rsidR="00827A92" w:rsidRPr="0066522F">
        <w:rPr>
          <w:rFonts w:ascii="Tahoma" w:eastAsia="Calibri" w:hAnsi="Tahoma" w:cs="Tahoma"/>
          <w:i/>
          <w:sz w:val="18"/>
          <w:szCs w:val="18"/>
          <w:lang w:val="sr-Cyrl-BA"/>
        </w:rPr>
        <w:t xml:space="preserve"> 0,4%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827A92" w:rsidRPr="0066522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Ostali</w:t>
      </w:r>
      <w:r w:rsidR="00827A92" w:rsidRPr="0066522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prehrambeni</w:t>
      </w:r>
      <w:r w:rsidR="00827A92" w:rsidRPr="0066522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proizvodi</w:t>
      </w:r>
      <w:r w:rsidR="00827A92" w:rsidRPr="0066522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0,2%.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Voće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došlo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citrusnog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voća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(</w:t>
      </w:r>
      <w:r>
        <w:rPr>
          <w:rFonts w:ascii="Tahoma" w:eastAsia="Calibri" w:hAnsi="Tahoma" w:cs="Tahoma"/>
          <w:sz w:val="18"/>
          <w:szCs w:val="18"/>
          <w:lang w:val="sr-Cyrl-BA"/>
        </w:rPr>
        <w:t>narandža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limun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grejpfurt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mandarina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limun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kivi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),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banana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jabuka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krušaka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.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Povrće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veće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kupusa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paprike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graška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boranije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graha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Ostali</w:t>
      </w:r>
      <w:r w:rsidR="00827A92" w:rsidRPr="0066522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prehrambeni</w:t>
      </w:r>
      <w:r w:rsidR="00827A92" w:rsidRPr="0066522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proizvodi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uticalo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kuhinjske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soli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.  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827A92" w:rsidRPr="0066522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0,1% </w:t>
      </w:r>
      <w:r>
        <w:rPr>
          <w:rFonts w:ascii="Tahoma" w:eastAsia="Calibri" w:hAnsi="Tahoma" w:cs="Tahoma"/>
          <w:sz w:val="18"/>
          <w:szCs w:val="18"/>
          <w:lang w:val="sr-Cyrl-BA"/>
        </w:rPr>
        <w:t>najviše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uticalo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čaja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0,3%, </w:t>
      </w:r>
      <w:r>
        <w:rPr>
          <w:rFonts w:ascii="Tahoma" w:eastAsia="Calibri" w:hAnsi="Tahoma" w:cs="Tahoma"/>
          <w:sz w:val="18"/>
          <w:szCs w:val="18"/>
          <w:lang w:val="sr-Cyrl-BA"/>
        </w:rPr>
        <w:t>kafe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0,2%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kakaa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0,1%.</w:t>
      </w:r>
    </w:p>
    <w:p w:rsidR="00827A92" w:rsidRPr="0066522F" w:rsidRDefault="00827A92" w:rsidP="00827A92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827A92" w:rsidRPr="0066522F" w:rsidRDefault="009B5692" w:rsidP="00827A92">
      <w:pPr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Zdravstvo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koji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0,1% </w:t>
      </w:r>
      <w:r>
        <w:rPr>
          <w:rFonts w:ascii="Tahoma" w:eastAsia="Calibri" w:hAnsi="Tahoma" w:cs="Tahoma"/>
          <w:sz w:val="18"/>
          <w:szCs w:val="18"/>
          <w:lang w:val="sr-Cyrl-BA"/>
        </w:rPr>
        <w:t>došlo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farmaceutskih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proizvoda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827A92"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0,2%.</w:t>
      </w:r>
    </w:p>
    <w:p w:rsidR="00827A92" w:rsidRPr="0066522F" w:rsidRDefault="00827A92" w:rsidP="00827A92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827A92" w:rsidRPr="0066522F" w:rsidRDefault="009B5692" w:rsidP="00827A92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827A92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827A92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>,</w:t>
      </w:r>
      <w:r w:rsidR="00827A92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aprilu</w:t>
      </w:r>
      <w:r w:rsidR="00827A92" w:rsidRPr="0066522F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827A92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827A92" w:rsidRPr="0066522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>,</w:t>
      </w:r>
      <w:r w:rsidR="00827A92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827A92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27A92" w:rsidRPr="0066522F">
        <w:rPr>
          <w:rFonts w:ascii="Tahoma" w:hAnsi="Tahoma" w:cs="Tahoma"/>
          <w:sz w:val="18"/>
          <w:szCs w:val="18"/>
          <w:lang w:val="sr-Cyrl-CS"/>
        </w:rPr>
        <w:t xml:space="preserve"> 2,0%.</w:t>
      </w:r>
    </w:p>
    <w:p w:rsidR="00827A92" w:rsidRPr="0066522F" w:rsidRDefault="009B5692" w:rsidP="00827A92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Posmatrano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namjene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aprilu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april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najviši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9,1%,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slijede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>: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7,6%,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4,3%,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2,0%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>,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1,6%,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0,5%,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0,4%,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0,3%,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0,1%.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Rekracija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prosjeku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ostao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isti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>.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0,3%,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4,1%.</w:t>
      </w:r>
    </w:p>
    <w:p w:rsidR="00F04921" w:rsidRPr="0066522F" w:rsidRDefault="00F04921" w:rsidP="00860DF8">
      <w:pPr>
        <w:jc w:val="both"/>
        <w:rPr>
          <w:rFonts w:ascii="Tahoma" w:hAnsi="Tahoma" w:cs="Tahoma"/>
          <w:b/>
          <w:sz w:val="28"/>
          <w:szCs w:val="28"/>
        </w:rPr>
      </w:pPr>
    </w:p>
    <w:p w:rsidR="00F04921" w:rsidRPr="0066522F" w:rsidRDefault="00F04921" w:rsidP="00860DF8">
      <w:pPr>
        <w:jc w:val="both"/>
        <w:rPr>
          <w:rFonts w:ascii="Tahoma" w:hAnsi="Tahoma" w:cs="Tahoma"/>
          <w:b/>
          <w:sz w:val="28"/>
          <w:szCs w:val="28"/>
        </w:rPr>
      </w:pPr>
    </w:p>
    <w:p w:rsidR="00A27956" w:rsidRPr="0066522F" w:rsidRDefault="009B5692" w:rsidP="00A27956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Cijene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proizvođača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industrijskih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proizvoda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 xml:space="preserve"> (</w:t>
      </w:r>
      <w:r w:rsidR="00A27956" w:rsidRPr="0066522F">
        <w:rPr>
          <w:rFonts w:ascii="Tahoma" w:hAnsi="Tahoma" w:cs="Tahoma"/>
          <w:b/>
          <w:sz w:val="28"/>
          <w:szCs w:val="28"/>
        </w:rPr>
        <w:t>IV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A27956" w:rsidRPr="0066522F">
        <w:rPr>
          <w:rFonts w:ascii="Tahoma" w:hAnsi="Tahoma" w:cs="Tahoma"/>
          <w:b/>
          <w:sz w:val="28"/>
          <w:szCs w:val="28"/>
          <w:lang w:val="sr-Latn-CS"/>
        </w:rPr>
        <w:t>2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>/</w:t>
      </w:r>
      <w:r w:rsidR="00A27956" w:rsidRPr="0066522F">
        <w:rPr>
          <w:rFonts w:ascii="Tahoma" w:hAnsi="Tahoma" w:cs="Tahoma"/>
          <w:b/>
          <w:sz w:val="28"/>
          <w:szCs w:val="28"/>
          <w:lang w:val="sr-Latn-CS"/>
        </w:rPr>
        <w:t>III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D14AA4" w:rsidRPr="0066522F">
        <w:rPr>
          <w:rFonts w:ascii="Tahoma" w:hAnsi="Tahoma" w:cs="Tahoma"/>
          <w:b/>
          <w:sz w:val="28"/>
          <w:szCs w:val="28"/>
          <w:lang w:val="sr-Latn-CS"/>
        </w:rPr>
        <w:t>2</w:t>
      </w:r>
      <w:r w:rsidR="00D14AA4" w:rsidRPr="0066522F">
        <w:rPr>
          <w:rFonts w:ascii="Tahoma" w:hAnsi="Tahoma" w:cs="Tahoma"/>
          <w:b/>
          <w:sz w:val="28"/>
          <w:szCs w:val="28"/>
          <w:lang w:val="sr-Cyrl-CS"/>
        </w:rPr>
        <w:t>.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>)</w:t>
      </w:r>
      <w:r w:rsidR="00A27956" w:rsidRPr="0066522F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prosjeku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niže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A27956" w:rsidRPr="0066522F">
        <w:rPr>
          <w:rFonts w:ascii="Tahoma" w:hAnsi="Tahoma" w:cs="Tahoma"/>
          <w:b/>
          <w:sz w:val="28"/>
          <w:szCs w:val="28"/>
          <w:lang w:val="sr-Latn-CS"/>
        </w:rPr>
        <w:t>1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A27956" w:rsidRPr="0066522F" w:rsidRDefault="00A27956" w:rsidP="00A27956">
      <w:pPr>
        <w:jc w:val="both"/>
        <w:rPr>
          <w:rFonts w:ascii="Tahoma" w:hAnsi="Tahoma" w:cs="Tahoma"/>
          <w:lang w:val="sr-Cyrl-CS"/>
        </w:rPr>
      </w:pPr>
    </w:p>
    <w:p w:rsidR="00A27956" w:rsidRPr="0066522F" w:rsidRDefault="009B5692" w:rsidP="00A27956">
      <w:pPr>
        <w:jc w:val="both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sz w:val="18"/>
          <w:szCs w:val="18"/>
          <w:lang w:val="sr-Cyrl-CS"/>
        </w:rPr>
        <w:t>Cijen</w:t>
      </w:r>
      <w:r w:rsidR="00A27956" w:rsidRPr="0066522F">
        <w:rPr>
          <w:rFonts w:ascii="Tahoma" w:hAnsi="Tahoma" w:cs="Tahoma"/>
          <w:sz w:val="18"/>
          <w:szCs w:val="18"/>
        </w:rPr>
        <w:t>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proizvođač</w:t>
      </w:r>
      <w:r w:rsidR="00A27956" w:rsidRPr="0066522F"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z w:val="18"/>
          <w:szCs w:val="18"/>
          <w:lang w:val="sr-Cyrl-CS"/>
        </w:rPr>
        <w:t>industrijskih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>20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12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mart</w:t>
      </w:r>
      <w:r w:rsidR="00A27956" w:rsidRPr="0066522F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>201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2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>.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0,</w:t>
      </w:r>
      <w:r w:rsidR="00A27956" w:rsidRPr="0066522F">
        <w:rPr>
          <w:rFonts w:ascii="Tahoma" w:hAnsi="Tahoma" w:cs="Tahoma"/>
          <w:sz w:val="18"/>
          <w:szCs w:val="18"/>
          <w:lang w:val="sr-Latn-CS"/>
        </w:rPr>
        <w:t>1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%</w:t>
      </w:r>
      <w:r w:rsidR="00A27956" w:rsidRPr="0066522F">
        <w:rPr>
          <w:rFonts w:ascii="Tahoma" w:hAnsi="Tahoma" w:cs="Tahoma"/>
          <w:sz w:val="18"/>
          <w:szCs w:val="18"/>
          <w:lang w:val="sr-Latn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27956" w:rsidRPr="0066522F">
        <w:rPr>
          <w:rFonts w:ascii="Tahoma" w:hAnsi="Tahoma" w:cs="Tahoma"/>
          <w:sz w:val="18"/>
          <w:szCs w:val="18"/>
          <w:lang w:val="sr-Latn-CS"/>
        </w:rPr>
        <w:t>0,5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decembar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27956" w:rsidRPr="0066522F">
        <w:rPr>
          <w:rFonts w:ascii="Tahoma" w:hAnsi="Tahoma" w:cs="Tahoma"/>
          <w:sz w:val="18"/>
          <w:szCs w:val="18"/>
          <w:lang w:val="sr-Latn-CS"/>
        </w:rPr>
        <w:t>0,1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%</w:t>
      </w:r>
      <w:r w:rsidR="00A27956" w:rsidRPr="0066522F">
        <w:rPr>
          <w:rFonts w:ascii="Tahoma" w:hAnsi="Tahoma" w:cs="Tahoma"/>
          <w:sz w:val="18"/>
          <w:szCs w:val="18"/>
          <w:lang w:val="sr-Latn-CS"/>
        </w:rPr>
        <w:t>.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>20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12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mart</w:t>
      </w:r>
      <w:r w:rsidR="00A27956" w:rsidRPr="0066522F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>201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27956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A27956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Latn-CS"/>
        </w:rPr>
        <w:t xml:space="preserve"> 0,4%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A27956" w:rsidRPr="0066522F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0,2%;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A27956" w:rsidRPr="0066522F" w:rsidRDefault="009B5692" w:rsidP="00A27956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osmatrano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,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aprilu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20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12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27956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A27956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1,3%,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1,0%,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0,2%,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27956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3,5%,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po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industrijske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(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PRODCOM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>)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,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A27956" w:rsidRPr="0066522F">
        <w:rPr>
          <w:rFonts w:ascii="Tahoma" w:hAnsi="Tahoma" w:cs="Tahoma"/>
          <w:sz w:val="18"/>
          <w:szCs w:val="18"/>
        </w:rPr>
        <w:t xml:space="preserve"> 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(</w:t>
      </w:r>
      <w:r>
        <w:rPr>
          <w:rFonts w:ascii="Tahoma" w:hAnsi="Tahoma" w:cs="Tahoma"/>
          <w:sz w:val="18"/>
          <w:szCs w:val="18"/>
          <w:lang w:val="sr-Cyrl-CS"/>
        </w:rPr>
        <w:t>C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)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vađenje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ruda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kamena</w:t>
      </w:r>
      <w:r w:rsidR="00A27956" w:rsidRPr="0066522F">
        <w:rPr>
          <w:rFonts w:ascii="Tahoma" w:hAnsi="Tahoma" w:cs="Tahoma"/>
          <w:sz w:val="18"/>
          <w:szCs w:val="18"/>
        </w:rPr>
        <w:t>,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>20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12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mart</w:t>
      </w:r>
      <w:r w:rsidR="00A27956" w:rsidRPr="0066522F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>201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2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>.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A27956" w:rsidRPr="0066522F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1,6%,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)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0,1%,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) 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snabdijevanje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9B5692" w:rsidP="00A27956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bs-Cyrl-BA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>20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12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>20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11</w:t>
      </w:r>
      <w:r w:rsidR="00A27956" w:rsidRPr="0066522F">
        <w:rPr>
          <w:rFonts w:ascii="Tahoma" w:hAnsi="Tahoma" w:cs="Tahoma"/>
          <w:sz w:val="18"/>
          <w:szCs w:val="18"/>
          <w:lang w:val="hr-HR"/>
        </w:rPr>
        <w:t>.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,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</w:t>
      </w:r>
      <w:r w:rsidR="00A27956" w:rsidRPr="0066522F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A27956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A27956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A27956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2,5%, </w:t>
      </w:r>
      <w:r>
        <w:rPr>
          <w:rFonts w:ascii="Tahoma" w:hAnsi="Tahoma" w:cs="Tahoma"/>
          <w:bCs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područja</w:t>
      </w:r>
      <w:r w:rsidR="00A27956" w:rsidRPr="0066522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Proizvodnja</w:t>
      </w:r>
      <w:r w:rsidR="00A27956" w:rsidRPr="0066522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A27956" w:rsidRPr="0066522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snabdijevanje</w:t>
      </w:r>
      <w:r w:rsidR="00A27956" w:rsidRPr="0066522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električnom</w:t>
      </w:r>
      <w:r w:rsidR="00A27956" w:rsidRPr="0066522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energijom</w:t>
      </w:r>
      <w:r w:rsidR="00A27956" w:rsidRPr="0066522F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gasom</w:t>
      </w:r>
      <w:r w:rsidR="00A27956" w:rsidRPr="0066522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A27956" w:rsidRPr="0066522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vodom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0,5%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Prerađivačka</w:t>
      </w:r>
      <w:r w:rsidR="00A27956" w:rsidRPr="0066522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industrija</w:t>
      </w:r>
      <w:r w:rsidR="00A27956" w:rsidRPr="0066522F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prosjeku</w:t>
      </w:r>
      <w:r w:rsidR="00A27956" w:rsidRPr="0066522F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niže</w:t>
      </w:r>
      <w:r w:rsidR="00A27956" w:rsidRPr="0066522F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bCs/>
          <w:sz w:val="18"/>
          <w:szCs w:val="18"/>
          <w:lang w:val="sr-Cyrl-CS"/>
        </w:rPr>
        <w:t xml:space="preserve"> 1,7%. 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32263" w:rsidRDefault="00B32263" w:rsidP="00B32263">
      <w:pPr>
        <w:rPr>
          <w:rFonts w:ascii="Tahoma" w:hAnsi="Tahoma" w:cs="Tahoma"/>
          <w:b/>
          <w:spacing w:val="-4"/>
          <w:sz w:val="28"/>
          <w:szCs w:val="28"/>
        </w:rPr>
      </w:pPr>
    </w:p>
    <w:p w:rsidR="009B5692" w:rsidRDefault="009B5692" w:rsidP="00B32263">
      <w:pPr>
        <w:rPr>
          <w:rFonts w:ascii="Tahoma" w:hAnsi="Tahoma" w:cs="Tahoma"/>
          <w:b/>
          <w:spacing w:val="-4"/>
          <w:sz w:val="28"/>
          <w:szCs w:val="28"/>
        </w:rPr>
      </w:pPr>
    </w:p>
    <w:p w:rsidR="009B5692" w:rsidRPr="0066522F" w:rsidRDefault="009B5692" w:rsidP="00B32263">
      <w:pPr>
        <w:rPr>
          <w:rFonts w:ascii="Tahoma" w:hAnsi="Tahoma" w:cs="Tahoma"/>
          <w:b/>
          <w:spacing w:val="-4"/>
          <w:sz w:val="28"/>
          <w:szCs w:val="28"/>
        </w:rPr>
      </w:pPr>
    </w:p>
    <w:p w:rsidR="000267D1" w:rsidRPr="0066522F" w:rsidRDefault="009B5692" w:rsidP="000267D1">
      <w:pPr>
        <w:tabs>
          <w:tab w:val="left" w:pos="0"/>
          <w:tab w:val="left" w:pos="1100"/>
        </w:tabs>
        <w:jc w:val="both"/>
        <w:rPr>
          <w:lang w:val="sr-Cyrl-CS"/>
        </w:rPr>
      </w:pPr>
      <w:r>
        <w:rPr>
          <w:rFonts w:ascii="Tahoma" w:hAnsi="Tahoma" w:cs="Tahoma"/>
          <w:b/>
          <w:spacing w:val="-4"/>
          <w:sz w:val="28"/>
          <w:szCs w:val="28"/>
          <w:lang w:val="sr-Cyrl-CS"/>
        </w:rPr>
        <w:t>Indeks</w:t>
      </w:r>
      <w:r w:rsidR="000267D1" w:rsidRPr="0066522F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industrijske</w:t>
      </w:r>
      <w:r w:rsidR="000267D1" w:rsidRPr="0066522F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proizvodnje</w:t>
      </w:r>
      <w:r w:rsidR="000267D1" w:rsidRPr="0066522F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0267D1" w:rsidRPr="0066522F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0267D1" w:rsidRPr="0066522F">
        <w:rPr>
          <w:rFonts w:ascii="Tahoma" w:hAnsi="Tahoma" w:cs="Tahoma"/>
          <w:b/>
          <w:spacing w:val="-4"/>
          <w:sz w:val="28"/>
          <w:szCs w:val="28"/>
        </w:rPr>
        <w:t>IV</w:t>
      </w:r>
      <w:r w:rsidR="000267D1" w:rsidRPr="0066522F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="000267D1" w:rsidRPr="0066522F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="000267D1" w:rsidRPr="0066522F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0267D1" w:rsidRPr="0066522F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0267D1" w:rsidRPr="0066522F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</w:t>
      </w:r>
      <w:r w:rsidR="000267D1" w:rsidRPr="0066522F">
        <w:rPr>
          <w:rFonts w:ascii="Tahoma" w:hAnsi="Tahoma" w:cs="Tahoma"/>
          <w:b/>
          <w:bCs/>
          <w:spacing w:val="-4"/>
          <w:sz w:val="28"/>
          <w:szCs w:val="28"/>
        </w:rPr>
        <w:t>1</w:t>
      </w:r>
      <w:r w:rsidR="000267D1" w:rsidRPr="0066522F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="000267D1" w:rsidRPr="0066522F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manji</w:t>
      </w:r>
      <w:r w:rsidR="000267D1" w:rsidRPr="0066522F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0267D1" w:rsidRPr="0066522F">
        <w:rPr>
          <w:rFonts w:ascii="Tahoma" w:hAnsi="Tahoma" w:cs="Tahoma"/>
          <w:b/>
          <w:bCs/>
          <w:spacing w:val="-4"/>
          <w:sz w:val="28"/>
          <w:szCs w:val="28"/>
        </w:rPr>
        <w:t>8</w:t>
      </w:r>
      <w:r w:rsidR="000267D1" w:rsidRPr="0066522F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0267D1" w:rsidRPr="0066522F">
        <w:rPr>
          <w:rFonts w:ascii="Tahoma" w:hAnsi="Tahoma" w:cs="Tahoma"/>
          <w:b/>
          <w:bCs/>
          <w:spacing w:val="-4"/>
          <w:sz w:val="28"/>
          <w:szCs w:val="28"/>
        </w:rPr>
        <w:t>1</w:t>
      </w:r>
      <w:r w:rsidR="000267D1" w:rsidRPr="0066522F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654E7C" w:rsidRPr="0066522F" w:rsidRDefault="009B5692" w:rsidP="00654E7C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ru-RU"/>
        </w:rPr>
        <w:t>Indeks</w:t>
      </w:r>
      <w:r w:rsidR="00654E7C" w:rsidRPr="0066522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zaposlenih</w:t>
      </w:r>
      <w:r w:rsidR="00654E7C" w:rsidRPr="0066522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654E7C" w:rsidRPr="0066522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industriji</w:t>
      </w:r>
      <w:r w:rsidR="00654E7C" w:rsidRPr="0066522F">
        <w:rPr>
          <w:rFonts w:ascii="Tahoma" w:hAnsi="Tahoma" w:cs="Tahoma"/>
          <w:sz w:val="24"/>
          <w:szCs w:val="24"/>
          <w:lang w:val="sr-Latn-BA"/>
        </w:rPr>
        <w:t xml:space="preserve"> (</w:t>
      </w:r>
      <w:r w:rsidR="00654E7C" w:rsidRPr="0066522F">
        <w:rPr>
          <w:rFonts w:ascii="Tahoma" w:hAnsi="Tahoma" w:cs="Tahoma"/>
          <w:sz w:val="24"/>
          <w:szCs w:val="24"/>
        </w:rPr>
        <w:t>I</w:t>
      </w:r>
      <w:r w:rsidR="00654E7C" w:rsidRPr="0066522F">
        <w:rPr>
          <w:rFonts w:ascii="Tahoma" w:hAnsi="Tahoma" w:cs="Tahoma"/>
          <w:sz w:val="24"/>
          <w:szCs w:val="24"/>
          <w:lang w:val="sr-Cyrl-CS"/>
        </w:rPr>
        <w:t>V</w:t>
      </w:r>
      <w:r w:rsidR="00654E7C" w:rsidRPr="0066522F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="00654E7C" w:rsidRPr="0066522F">
        <w:rPr>
          <w:rFonts w:ascii="Tahoma" w:hAnsi="Tahoma" w:cs="Tahoma"/>
          <w:sz w:val="24"/>
          <w:szCs w:val="24"/>
          <w:lang w:val="sr-Cyrl-CS"/>
        </w:rPr>
        <w:t>12</w:t>
      </w:r>
      <w:r w:rsidR="00654E7C" w:rsidRPr="0066522F">
        <w:rPr>
          <w:rFonts w:ascii="Tahoma" w:hAnsi="Tahoma" w:cs="Tahoma"/>
          <w:sz w:val="24"/>
          <w:szCs w:val="24"/>
          <w:lang w:val="sr-Latn-BA"/>
        </w:rPr>
        <w:t>/</w:t>
      </w:r>
      <w:r w:rsidR="00654E7C" w:rsidRPr="0066522F">
        <w:rPr>
          <w:rFonts w:ascii="Tahoma" w:hAnsi="Tahoma" w:cs="Tahoma"/>
          <w:bCs/>
          <w:sz w:val="24"/>
          <w:szCs w:val="24"/>
        </w:rPr>
        <w:sym w:font="Symbol" w:char="F0C6"/>
      </w:r>
      <w:r w:rsidR="00654E7C" w:rsidRPr="0066522F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="00654E7C" w:rsidRPr="0066522F">
        <w:rPr>
          <w:rFonts w:ascii="Tahoma" w:hAnsi="Tahoma" w:cs="Tahoma"/>
          <w:bCs/>
          <w:sz w:val="24"/>
          <w:szCs w:val="24"/>
          <w:lang w:val="ru-RU"/>
        </w:rPr>
        <w:t>2011.</w:t>
      </w:r>
      <w:r w:rsidR="00654E7C" w:rsidRPr="0066522F">
        <w:rPr>
          <w:rFonts w:ascii="Tahoma" w:hAnsi="Tahoma" w:cs="Tahoma"/>
          <w:bCs/>
          <w:sz w:val="24"/>
          <w:szCs w:val="24"/>
          <w:lang w:val="hr-HR"/>
        </w:rPr>
        <w:t>)</w:t>
      </w:r>
      <w:r w:rsidR="00654E7C" w:rsidRPr="0066522F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manji</w:t>
      </w:r>
      <w:r w:rsidR="00654E7C" w:rsidRPr="0066522F">
        <w:rPr>
          <w:rFonts w:ascii="Tahoma" w:hAnsi="Tahoma" w:cs="Tahoma"/>
          <w:sz w:val="24"/>
          <w:szCs w:val="24"/>
          <w:lang w:val="ru-RU"/>
        </w:rPr>
        <w:t xml:space="preserve"> </w:t>
      </w:r>
      <w:r w:rsidR="00654E7C" w:rsidRPr="0066522F">
        <w:rPr>
          <w:rFonts w:ascii="Tahoma" w:hAnsi="Tahoma" w:cs="Tahoma"/>
          <w:sz w:val="24"/>
          <w:szCs w:val="24"/>
        </w:rPr>
        <w:t>1</w:t>
      </w:r>
      <w:r w:rsidR="00654E7C" w:rsidRPr="0066522F">
        <w:rPr>
          <w:rFonts w:ascii="Tahoma" w:hAnsi="Tahoma" w:cs="Tahoma"/>
          <w:sz w:val="24"/>
          <w:szCs w:val="24"/>
          <w:lang w:val="sr-Cyrl-BA"/>
        </w:rPr>
        <w:t>,</w:t>
      </w:r>
      <w:r w:rsidR="00654E7C" w:rsidRPr="0066522F">
        <w:rPr>
          <w:rFonts w:ascii="Tahoma" w:hAnsi="Tahoma" w:cs="Tahoma"/>
          <w:sz w:val="24"/>
          <w:szCs w:val="24"/>
        </w:rPr>
        <w:t>2</w:t>
      </w:r>
      <w:r w:rsidR="00654E7C" w:rsidRPr="0066522F">
        <w:rPr>
          <w:rFonts w:ascii="Tahoma" w:hAnsi="Tahoma" w:cs="Tahoma"/>
          <w:sz w:val="24"/>
          <w:szCs w:val="24"/>
          <w:lang w:val="ru-RU"/>
        </w:rPr>
        <w:t>%</w:t>
      </w:r>
    </w:p>
    <w:p w:rsidR="00B32263" w:rsidRPr="0066522F" w:rsidRDefault="00B32263" w:rsidP="00B32263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0267D1" w:rsidRPr="0066522F" w:rsidRDefault="009B5692" w:rsidP="000267D1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I</w:t>
      </w:r>
      <w:r>
        <w:rPr>
          <w:rFonts w:ascii="Tahoma" w:hAnsi="Tahoma" w:cs="Tahoma"/>
          <w:b/>
          <w:sz w:val="18"/>
          <w:szCs w:val="18"/>
          <w:lang w:val="ru-RU"/>
        </w:rPr>
        <w:t>ndustrijska</w:t>
      </w:r>
      <w:r w:rsidR="000267D1" w:rsidRPr="0066522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proizvodnja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prethodni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5,2%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prosječnu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mjesečnu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proizvodnju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8,1%,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veća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0,8%.</w:t>
      </w:r>
    </w:p>
    <w:p w:rsidR="000267D1" w:rsidRPr="0066522F" w:rsidRDefault="000267D1" w:rsidP="000267D1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0267D1" w:rsidRPr="0066522F" w:rsidRDefault="009B5692" w:rsidP="000267D1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Industrijska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proizvodnja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ostvarena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- </w:t>
      </w:r>
      <w:r>
        <w:rPr>
          <w:rFonts w:ascii="Tahoma" w:hAnsi="Tahoma" w:cs="Tahoma"/>
          <w:sz w:val="18"/>
          <w:szCs w:val="18"/>
          <w:lang w:val="sr-Cyrl-BA"/>
        </w:rPr>
        <w:t>april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3,7%.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istom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0267D1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0267D1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0267D1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0267D1" w:rsidRPr="0066522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6,0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0267D1" w:rsidRPr="0066522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7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,4%,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0267D1" w:rsidRPr="0066522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0267D1" w:rsidRPr="0066522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0267D1" w:rsidRPr="0066522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0267D1" w:rsidRPr="0066522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0267D1" w:rsidRPr="0066522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pozitivna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1,6%</w:t>
      </w:r>
    </w:p>
    <w:p w:rsidR="000267D1" w:rsidRPr="0066522F" w:rsidRDefault="000267D1" w:rsidP="000267D1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0267D1" w:rsidRPr="0066522F" w:rsidRDefault="009B5692" w:rsidP="000267D1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ekonomskoj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namjeni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industrijskih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>–</w:t>
      </w:r>
      <w:r>
        <w:rPr>
          <w:rFonts w:ascii="Tahoma" w:hAnsi="Tahoma" w:cs="Tahoma"/>
          <w:sz w:val="18"/>
          <w:szCs w:val="18"/>
          <w:lang w:val="ru-RU"/>
        </w:rPr>
        <w:t>april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kapitalnih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 xml:space="preserve"> 2,8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netrajnih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8,5%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intermedijarnih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9,3%,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trajnih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pozitivna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2</w:t>
      </w:r>
      <w:r w:rsidR="000267D1" w:rsidRPr="0066522F">
        <w:rPr>
          <w:rFonts w:ascii="Tahoma" w:hAnsi="Tahoma" w:cs="Tahoma"/>
          <w:sz w:val="18"/>
          <w:szCs w:val="18"/>
          <w:lang w:val="sr-Cyrl-CS"/>
        </w:rPr>
        <w:t>,4</w:t>
      </w:r>
      <w:r w:rsidR="000A4A3A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0A4A3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kod</w:t>
      </w:r>
      <w:r w:rsidR="000A4A3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energije</w:t>
      </w:r>
      <w:r w:rsidR="000267D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0267D1" w:rsidRPr="0066522F">
        <w:rPr>
          <w:rFonts w:ascii="Tahoma" w:hAnsi="Tahoma" w:cs="Tahoma"/>
          <w:sz w:val="18"/>
          <w:szCs w:val="18"/>
          <w:lang w:val="ru-RU"/>
        </w:rPr>
        <w:t xml:space="preserve"> 0,6%.</w:t>
      </w:r>
    </w:p>
    <w:p w:rsidR="00B32263" w:rsidRPr="0066522F" w:rsidRDefault="00B32263" w:rsidP="00B32263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32263" w:rsidRPr="0066522F" w:rsidRDefault="00B32263" w:rsidP="00B32263">
      <w:pPr>
        <w:jc w:val="both"/>
        <w:rPr>
          <w:rFonts w:ascii="Tahoma" w:hAnsi="Tahoma" w:cs="Tahoma"/>
          <w:b/>
          <w:sz w:val="18"/>
          <w:szCs w:val="18"/>
        </w:rPr>
      </w:pPr>
    </w:p>
    <w:p w:rsidR="00654E7C" w:rsidRPr="0066522F" w:rsidRDefault="009B5692" w:rsidP="00654E7C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Broj</w:t>
      </w:r>
      <w:r w:rsidR="00654E7C" w:rsidRPr="0066522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zaposlenih</w:t>
      </w:r>
      <w:r w:rsidR="00654E7C" w:rsidRPr="0066522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u</w:t>
      </w:r>
      <w:r w:rsidR="00654E7C" w:rsidRPr="0066522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industriji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aprilu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mart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veći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1,1%.</w:t>
      </w:r>
    </w:p>
    <w:p w:rsidR="00654E7C" w:rsidRPr="0066522F" w:rsidRDefault="00654E7C" w:rsidP="00654E7C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654E7C" w:rsidRPr="0066522F" w:rsidRDefault="009B5692" w:rsidP="00654E7C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industriji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april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poređenju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istim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periodom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2,3%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pri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čemu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654E7C" w:rsidRPr="0066522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654E7C" w:rsidRPr="0066522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654E7C" w:rsidRPr="0066522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654E7C" w:rsidRPr="0066522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pad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broja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0,7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654E7C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654E7C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654E7C" w:rsidRPr="0066522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pad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654E7C" w:rsidRPr="0066522F">
        <w:rPr>
          <w:rFonts w:ascii="Tahoma" w:hAnsi="Tahoma" w:cs="Tahoma"/>
          <w:sz w:val="18"/>
          <w:szCs w:val="18"/>
          <w:lang w:val="sr-Cyrl-CS"/>
        </w:rPr>
        <w:t xml:space="preserve"> 0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,9%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654E7C" w:rsidRPr="0066522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pad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654E7C" w:rsidRPr="0066522F">
        <w:rPr>
          <w:rFonts w:ascii="Tahoma" w:hAnsi="Tahoma" w:cs="Tahoma"/>
          <w:sz w:val="18"/>
          <w:szCs w:val="18"/>
          <w:lang w:val="ru-RU"/>
        </w:rPr>
        <w:t xml:space="preserve"> 2,7%. </w:t>
      </w:r>
    </w:p>
    <w:p w:rsidR="00B32263" w:rsidRPr="0066522F" w:rsidRDefault="00B32263" w:rsidP="00B32263">
      <w:pPr>
        <w:rPr>
          <w:rFonts w:ascii="Tahoma" w:hAnsi="Tahoma" w:cs="Tahoma"/>
          <w:sz w:val="18"/>
          <w:szCs w:val="18"/>
        </w:rPr>
      </w:pPr>
    </w:p>
    <w:p w:rsidR="00B32263" w:rsidRPr="0066522F" w:rsidRDefault="00B32263" w:rsidP="00B32263">
      <w:pPr>
        <w:rPr>
          <w:rFonts w:ascii="Tahoma" w:hAnsi="Tahoma" w:cs="Tahoma"/>
          <w:sz w:val="18"/>
          <w:szCs w:val="18"/>
        </w:rPr>
      </w:pPr>
    </w:p>
    <w:p w:rsidR="00A27956" w:rsidRPr="0066522F" w:rsidRDefault="009B5692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bs-Cyrl-BA"/>
        </w:rPr>
        <w:t>P</w:t>
      </w:r>
      <w:r>
        <w:rPr>
          <w:rFonts w:ascii="Tahoma" w:hAnsi="Tahoma" w:cs="Tahoma"/>
          <w:b/>
          <w:sz w:val="28"/>
          <w:szCs w:val="28"/>
          <w:lang w:val="ru-RU"/>
        </w:rPr>
        <w:t>okrivenost</w:t>
      </w:r>
      <w:r w:rsidR="00A27956" w:rsidRPr="0066522F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uvoza</w:t>
      </w:r>
      <w:r w:rsidR="00A27956" w:rsidRPr="0066522F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izvozom</w:t>
      </w:r>
      <w:r w:rsidR="00A27956" w:rsidRPr="0066522F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A27956" w:rsidRPr="0066522F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periodu</w:t>
      </w:r>
      <w:r w:rsidR="00A27956" w:rsidRPr="0066522F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A27956" w:rsidRPr="0066522F">
        <w:rPr>
          <w:rFonts w:ascii="Tahoma" w:hAnsi="Tahoma" w:cs="Tahoma"/>
          <w:b/>
          <w:sz w:val="28"/>
          <w:szCs w:val="28"/>
        </w:rPr>
        <w:t>I</w:t>
      </w:r>
      <w:r w:rsidR="00A27956" w:rsidRPr="0066522F">
        <w:rPr>
          <w:rFonts w:ascii="Tahoma" w:hAnsi="Tahoma" w:cs="Tahoma"/>
          <w:b/>
          <w:sz w:val="28"/>
          <w:szCs w:val="28"/>
          <w:lang w:val="ru-RU"/>
        </w:rPr>
        <w:t>–</w:t>
      </w:r>
      <w:r w:rsidR="00A27956" w:rsidRPr="0066522F">
        <w:rPr>
          <w:rFonts w:ascii="Tahoma" w:hAnsi="Tahoma" w:cs="Tahoma"/>
          <w:b/>
          <w:sz w:val="28"/>
          <w:szCs w:val="28"/>
        </w:rPr>
        <w:t xml:space="preserve">IV </w:t>
      </w:r>
      <w:r w:rsidR="00A27956" w:rsidRPr="0066522F">
        <w:rPr>
          <w:rFonts w:ascii="Tahoma" w:hAnsi="Tahoma" w:cs="Tahoma"/>
          <w:b/>
          <w:sz w:val="28"/>
          <w:szCs w:val="28"/>
          <w:lang w:val="ru-RU"/>
        </w:rPr>
        <w:t>201</w:t>
      </w:r>
      <w:r w:rsidR="00A27956" w:rsidRPr="0066522F">
        <w:rPr>
          <w:rFonts w:ascii="Tahoma" w:hAnsi="Tahoma" w:cs="Tahoma"/>
          <w:b/>
          <w:sz w:val="28"/>
          <w:szCs w:val="28"/>
        </w:rPr>
        <w:t>2</w:t>
      </w:r>
      <w:r w:rsidR="00A27956" w:rsidRPr="0066522F">
        <w:rPr>
          <w:rFonts w:ascii="Tahoma" w:hAnsi="Tahoma" w:cs="Tahoma"/>
          <w:b/>
          <w:sz w:val="28"/>
          <w:szCs w:val="28"/>
          <w:lang w:val="ru-RU"/>
        </w:rPr>
        <w:t>.</w:t>
      </w:r>
      <w:r w:rsidR="00A27956" w:rsidRPr="0066522F">
        <w:rPr>
          <w:rFonts w:ascii="Tahoma" w:hAnsi="Tahoma" w:cs="Tahoma"/>
          <w:b/>
          <w:sz w:val="28"/>
          <w:szCs w:val="28"/>
          <w:lang w:val="sr-Cyrl-BA"/>
        </w:rPr>
        <w:t>)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A27956" w:rsidRPr="0066522F">
        <w:rPr>
          <w:rFonts w:ascii="Tahoma" w:hAnsi="Tahoma" w:cs="Tahoma"/>
          <w:b/>
          <w:sz w:val="28"/>
          <w:szCs w:val="28"/>
          <w:lang w:val="hr-HR"/>
        </w:rPr>
        <w:t>53</w:t>
      </w:r>
      <w:r w:rsidR="00A27956" w:rsidRPr="0066522F">
        <w:rPr>
          <w:rFonts w:ascii="Tahoma" w:hAnsi="Tahoma" w:cs="Tahoma"/>
          <w:b/>
          <w:sz w:val="28"/>
          <w:szCs w:val="28"/>
          <w:lang w:val="ru-RU"/>
        </w:rPr>
        <w:t>,</w:t>
      </w:r>
      <w:r w:rsidR="00A27956" w:rsidRPr="0066522F">
        <w:rPr>
          <w:rFonts w:ascii="Tahoma" w:hAnsi="Tahoma" w:cs="Tahoma"/>
          <w:b/>
          <w:sz w:val="28"/>
          <w:szCs w:val="28"/>
        </w:rPr>
        <w:t>5</w:t>
      </w:r>
      <w:r w:rsidR="00A27956" w:rsidRPr="0066522F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A27956" w:rsidRPr="0066522F" w:rsidRDefault="009B5692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sr-Cyrl-CS"/>
        </w:rPr>
        <w:t>Izvoz</w:t>
      </w:r>
      <w:r w:rsidR="00A27956" w:rsidRPr="0066522F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A27956" w:rsidRPr="0066522F">
        <w:rPr>
          <w:rFonts w:ascii="Tahoma" w:hAnsi="Tahoma" w:cs="Tahoma"/>
          <w:sz w:val="24"/>
          <w:szCs w:val="24"/>
          <w:lang w:val="hr-HR"/>
        </w:rPr>
        <w:t>(I-IV 2012/I-IV 2011</w:t>
      </w:r>
      <w:r w:rsidR="00A27956" w:rsidRPr="0066522F">
        <w:rPr>
          <w:rFonts w:ascii="Tahoma" w:hAnsi="Tahoma" w:cs="Tahoma"/>
          <w:sz w:val="24"/>
          <w:szCs w:val="24"/>
          <w:lang w:val="sr-Cyrl-CS"/>
        </w:rPr>
        <w:t>.</w:t>
      </w:r>
      <w:r w:rsidR="00A27956" w:rsidRPr="0066522F">
        <w:rPr>
          <w:rFonts w:ascii="Tahoma" w:hAnsi="Tahoma" w:cs="Tahoma"/>
          <w:sz w:val="24"/>
          <w:szCs w:val="24"/>
          <w:lang w:val="hr-HR"/>
        </w:rPr>
        <w:t xml:space="preserve">) </w:t>
      </w:r>
      <w:r>
        <w:rPr>
          <w:rFonts w:ascii="Tahoma" w:hAnsi="Tahoma" w:cs="Tahoma"/>
          <w:sz w:val="24"/>
          <w:szCs w:val="24"/>
          <w:lang w:val="sr-Cyrl-BA"/>
        </w:rPr>
        <w:t>smanjen</w:t>
      </w:r>
      <w:r w:rsidR="00A27956" w:rsidRPr="0066522F">
        <w:rPr>
          <w:rFonts w:ascii="Tahoma" w:hAnsi="Tahoma" w:cs="Tahoma"/>
          <w:sz w:val="24"/>
          <w:szCs w:val="24"/>
          <w:lang w:val="sr-Cyrl-BA"/>
        </w:rPr>
        <w:t xml:space="preserve"> </w:t>
      </w:r>
      <w:r w:rsidR="00A27956" w:rsidRPr="0066522F">
        <w:rPr>
          <w:rFonts w:ascii="Tahoma" w:hAnsi="Tahoma" w:cs="Tahoma"/>
          <w:sz w:val="24"/>
          <w:szCs w:val="24"/>
        </w:rPr>
        <w:t>6</w:t>
      </w:r>
      <w:r w:rsidR="00A27956" w:rsidRPr="0066522F">
        <w:rPr>
          <w:rFonts w:ascii="Tahoma" w:hAnsi="Tahoma" w:cs="Tahoma"/>
          <w:sz w:val="24"/>
          <w:szCs w:val="24"/>
          <w:lang w:val="ru-RU"/>
        </w:rPr>
        <w:t>,9%</w:t>
      </w:r>
    </w:p>
    <w:p w:rsidR="00A27956" w:rsidRPr="0066522F" w:rsidRDefault="00A27956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A27956" w:rsidRPr="0066522F" w:rsidRDefault="009B5692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mjesecu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aprilu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205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372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>.</w:t>
      </w:r>
    </w:p>
    <w:p w:rsidR="00A27956" w:rsidRPr="0066522F" w:rsidRDefault="00A27956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A27956" w:rsidRPr="0066522F" w:rsidRDefault="009B5692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okviru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>
        <w:rPr>
          <w:rFonts w:ascii="Tahoma" w:hAnsi="Tahoma" w:cs="Tahoma"/>
          <w:sz w:val="18"/>
          <w:szCs w:val="18"/>
          <w:lang w:val="bs-Cyrl-BA"/>
        </w:rPr>
        <w:t>e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robne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razmjene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</w:t>
      </w:r>
      <w:r>
        <w:rPr>
          <w:rFonts w:ascii="Tahoma" w:hAnsi="Tahoma" w:cs="Tahoma"/>
          <w:sz w:val="18"/>
          <w:szCs w:val="18"/>
          <w:lang w:val="bs-Cyrl-BA"/>
        </w:rPr>
        <w:t>epublike</w:t>
      </w:r>
      <w:r w:rsidR="00A27956" w:rsidRPr="0066522F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inostranstvom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aprilu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ove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procenat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pokrivenosti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izvozom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iznosio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55,0%. </w:t>
      </w:r>
    </w:p>
    <w:p w:rsidR="00A27956" w:rsidRPr="0066522F" w:rsidRDefault="00A27956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A27956" w:rsidRPr="0066522F" w:rsidRDefault="009B5692" w:rsidP="00A27956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– </w:t>
      </w:r>
      <w:r>
        <w:rPr>
          <w:rFonts w:ascii="Tahoma" w:hAnsi="Tahoma" w:cs="Tahoma"/>
          <w:sz w:val="18"/>
          <w:szCs w:val="18"/>
          <w:lang w:val="ru-RU"/>
        </w:rPr>
        <w:t>april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vrijednosti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739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6,9%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Uvoz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istom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milijardu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380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4,8%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>.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A27956" w:rsidRPr="0066522F" w:rsidRDefault="009B5692" w:rsidP="00A27956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Procenat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pokrivenosti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uvoza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izvozom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prva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četiri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53,5%,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spoljnotrgovinski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robni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deficit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641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>.</w:t>
      </w:r>
    </w:p>
    <w:p w:rsidR="00A27956" w:rsidRPr="0066522F" w:rsidRDefault="00A27956" w:rsidP="00A27956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A27956" w:rsidRPr="0066522F" w:rsidRDefault="009B5692" w:rsidP="00A27956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>
        <w:rPr>
          <w:rFonts w:ascii="Tahoma" w:hAnsi="Tahoma" w:cs="Tahoma"/>
          <w:szCs w:val="18"/>
          <w:lang w:val="ru-RU"/>
        </w:rPr>
        <w:t>U</w:t>
      </w:r>
      <w:r w:rsidR="00A27956" w:rsidRPr="0066522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pogledu</w:t>
      </w:r>
      <w:r w:rsidR="00A27956" w:rsidRPr="0066522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geografske</w:t>
      </w:r>
      <w:r w:rsidR="00A27956" w:rsidRPr="0066522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distribucije</w:t>
      </w:r>
      <w:r w:rsidR="00A27956" w:rsidRPr="0066522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robne</w:t>
      </w:r>
      <w:r w:rsidR="00A27956" w:rsidRPr="0066522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razmjene</w:t>
      </w:r>
      <w:r w:rsidR="00A27956" w:rsidRPr="0066522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Republik</w:t>
      </w:r>
      <w:r w:rsidR="00A27956" w:rsidRPr="0066522F">
        <w:rPr>
          <w:rFonts w:ascii="Tahoma" w:hAnsi="Tahoma" w:cs="Tahoma"/>
          <w:szCs w:val="18"/>
        </w:rPr>
        <w:t>e</w:t>
      </w:r>
      <w:r w:rsidR="00A27956" w:rsidRPr="0066522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Srpsk</w:t>
      </w:r>
      <w:r w:rsidR="00A27956" w:rsidRPr="0066522F">
        <w:rPr>
          <w:rFonts w:ascii="Tahoma" w:hAnsi="Tahoma" w:cs="Tahoma"/>
          <w:szCs w:val="18"/>
        </w:rPr>
        <w:t>e</w:t>
      </w:r>
      <w:r w:rsidR="00A27956" w:rsidRPr="0066522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sa</w:t>
      </w:r>
      <w:r w:rsidR="00A27956" w:rsidRPr="0066522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inostranstvom</w:t>
      </w:r>
      <w:r w:rsidR="00A27956" w:rsidRPr="0066522F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ru-RU"/>
        </w:rPr>
        <w:t>u</w:t>
      </w:r>
      <w:r w:rsidR="00A27956" w:rsidRPr="0066522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periodu</w:t>
      </w:r>
      <w:r w:rsidR="00A27956" w:rsidRPr="0066522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januar</w:t>
      </w:r>
      <w:r w:rsidR="00A27956" w:rsidRPr="0066522F">
        <w:rPr>
          <w:rFonts w:ascii="Tahoma" w:hAnsi="Tahoma" w:cs="Tahoma"/>
          <w:szCs w:val="18"/>
          <w:lang w:val="ru-RU"/>
        </w:rPr>
        <w:t xml:space="preserve"> - </w:t>
      </w:r>
      <w:r>
        <w:rPr>
          <w:rFonts w:ascii="Tahoma" w:hAnsi="Tahoma" w:cs="Tahoma"/>
          <w:szCs w:val="18"/>
          <w:lang w:val="ru-RU"/>
        </w:rPr>
        <w:t>april</w:t>
      </w:r>
      <w:r w:rsidR="00A27956" w:rsidRPr="0066522F">
        <w:rPr>
          <w:rFonts w:ascii="Tahoma" w:hAnsi="Tahoma" w:cs="Tahoma"/>
          <w:szCs w:val="18"/>
          <w:lang w:val="ru-RU"/>
        </w:rPr>
        <w:t xml:space="preserve"> </w:t>
      </w:r>
      <w:r w:rsidR="00A27956" w:rsidRPr="0066522F">
        <w:rPr>
          <w:rFonts w:ascii="Tahoma" w:hAnsi="Tahoma" w:cs="Tahoma"/>
          <w:szCs w:val="18"/>
          <w:lang w:val="sr-Cyrl-CS"/>
        </w:rPr>
        <w:t xml:space="preserve">2012. </w:t>
      </w:r>
      <w:r>
        <w:rPr>
          <w:rFonts w:ascii="Tahoma" w:hAnsi="Tahoma" w:cs="Tahoma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najviše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se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izvozilo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Italiju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to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120 </w:t>
      </w:r>
      <w:r>
        <w:rPr>
          <w:rFonts w:ascii="Tahoma" w:hAnsi="Tahoma" w:cs="Tahoma"/>
          <w:szCs w:val="18"/>
          <w:lang w:val="sr-Cyrl-CS"/>
        </w:rPr>
        <w:t>miliona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A27956" w:rsidRPr="0066522F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16,3%</w:t>
      </w:r>
      <w:r w:rsidR="00A27956" w:rsidRPr="0066522F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sr-Cyrl-CS"/>
        </w:rPr>
        <w:t>te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Srbiju</w:t>
      </w:r>
      <w:r w:rsidR="00A27956" w:rsidRPr="0066522F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u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119 </w:t>
      </w:r>
      <w:r>
        <w:rPr>
          <w:rFonts w:ascii="Tahoma" w:hAnsi="Tahoma" w:cs="Tahoma"/>
          <w:szCs w:val="18"/>
          <w:lang w:val="sr-Cyrl-CS"/>
        </w:rPr>
        <w:t>miliona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A27956" w:rsidRPr="0066522F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16,1% </w:t>
      </w:r>
      <w:r>
        <w:rPr>
          <w:rFonts w:ascii="Tahoma" w:hAnsi="Tahoma" w:cs="Tahoma"/>
          <w:szCs w:val="18"/>
          <w:lang w:val="sr-Cyrl-CS"/>
        </w:rPr>
        <w:t>od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ukupnog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ostvarenog</w:t>
      </w:r>
      <w:r w:rsidR="00A27956" w:rsidRPr="0066522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izvoza</w:t>
      </w:r>
      <w:r w:rsidR="00A27956" w:rsidRPr="0066522F">
        <w:rPr>
          <w:rFonts w:ascii="Tahoma" w:hAnsi="Tahoma" w:cs="Tahoma"/>
          <w:szCs w:val="18"/>
          <w:lang w:val="sr-Cyrl-CS"/>
        </w:rPr>
        <w:t>.</w:t>
      </w:r>
    </w:p>
    <w:p w:rsidR="00A27956" w:rsidRPr="0066522F" w:rsidRDefault="00A27956" w:rsidP="00A27956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A27956" w:rsidRPr="0066522F" w:rsidRDefault="009B5692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ajviše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uvozilo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Rusije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319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23,1%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Srbije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234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17,0%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ostvarenog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</w:p>
    <w:p w:rsidR="00A27956" w:rsidRPr="0066522F" w:rsidRDefault="00A27956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9B5692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  <w:lang w:val="ru-RU"/>
        </w:rPr>
        <w:t>Posmatrano</w:t>
      </w:r>
      <w:r w:rsidR="00A27956" w:rsidRPr="0066522F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po</w:t>
      </w:r>
      <w:r w:rsidR="00A27956" w:rsidRPr="0066522F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grupama</w:t>
      </w:r>
      <w:r w:rsidR="00A27956" w:rsidRPr="0066522F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proizvoda</w:t>
      </w:r>
      <w:r w:rsidR="00A27956" w:rsidRPr="0066522F">
        <w:rPr>
          <w:rFonts w:ascii="Tahoma" w:hAnsi="Tahoma" w:cs="Tahoma"/>
          <w:bCs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bCs/>
          <w:sz w:val="18"/>
          <w:szCs w:val="18"/>
          <w:lang w:val="ru-RU"/>
        </w:rPr>
        <w:t>u</w:t>
      </w:r>
      <w:r w:rsidR="00A27956" w:rsidRPr="0066522F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periodu</w:t>
      </w:r>
      <w:r w:rsidR="00A27956" w:rsidRPr="0066522F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 - </w:t>
      </w:r>
      <w:r>
        <w:rPr>
          <w:rFonts w:ascii="Tahoma" w:hAnsi="Tahoma" w:cs="Tahoma"/>
          <w:sz w:val="18"/>
          <w:szCs w:val="18"/>
          <w:lang w:val="ru-RU"/>
        </w:rPr>
        <w:t>april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naftna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osim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sirovih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)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vrijednošću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111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15,0%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ru-RU"/>
        </w:rPr>
        <w:t>aft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A27956"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sirov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),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ukupnom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vrijednošću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364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26,4%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A27956" w:rsidRPr="0066522F">
        <w:rPr>
          <w:rFonts w:ascii="Tahoma" w:hAnsi="Tahoma" w:cs="Tahoma"/>
          <w:sz w:val="18"/>
          <w:szCs w:val="18"/>
          <w:lang w:val="sr-Cyrl-BA"/>
        </w:rPr>
        <w:t>.</w:t>
      </w:r>
    </w:p>
    <w:p w:rsidR="00B97590" w:rsidRPr="0066522F" w:rsidRDefault="00B9759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F04921" w:rsidRPr="0066522F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F04921" w:rsidRPr="0066522F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DB6D76" w:rsidRPr="0066522F" w:rsidRDefault="00A27956" w:rsidP="00B97590">
      <w:pPr>
        <w:jc w:val="center"/>
        <w:rPr>
          <w:rFonts w:ascii="Tahoma" w:hAnsi="Tahoma" w:cs="Tahoma"/>
          <w:sz w:val="18"/>
          <w:szCs w:val="18"/>
        </w:rPr>
      </w:pPr>
      <w:r w:rsidRPr="0066522F"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 wp14:anchorId="55A40C16" wp14:editId="117093F8">
            <wp:extent cx="4975645" cy="2743200"/>
            <wp:effectExtent l="1905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B5692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185.35pt;margin-top:213.85pt;width:188.35pt;height:22.2pt;z-index:251657216;mso-position-horizontal-relative:text;mso-position-vertical-relative:text;mso-width-relative:margin;mso-height-relative:margin" stroked="f">
            <v:textbox style="mso-next-textbox:#_x0000_s1061">
              <w:txbxContent>
                <w:p w:rsidR="00654E7C" w:rsidRPr="0095396E" w:rsidRDefault="00654E7C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2011.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>2012.</w:t>
                  </w:r>
                </w:p>
              </w:txbxContent>
            </v:textbox>
          </v:shape>
        </w:pict>
      </w:r>
      <w:r w:rsidR="009B5692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17.1pt;margin-top:217.35pt;width:36.15pt;height:16.8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654E7C" w:rsidRPr="00860DF8" w:rsidRDefault="00654E7C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97590" w:rsidRPr="0066522F" w:rsidRDefault="00B97590" w:rsidP="00B97590">
      <w:pPr>
        <w:jc w:val="center"/>
        <w:rPr>
          <w:rFonts w:ascii="Tahoma" w:hAnsi="Tahoma" w:cs="Tahoma"/>
          <w:sz w:val="18"/>
          <w:szCs w:val="18"/>
        </w:rPr>
      </w:pPr>
    </w:p>
    <w:p w:rsidR="00DB6D76" w:rsidRPr="0066522F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7590" w:rsidRPr="0066522F" w:rsidRDefault="009B5692" w:rsidP="00B97590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sz w:val="18"/>
          <w:szCs w:val="18"/>
          <w:lang w:val="ru-RU"/>
        </w:rPr>
        <w:t>Grafikon</w:t>
      </w:r>
      <w:r w:rsidR="00B97590" w:rsidRPr="0066522F">
        <w:rPr>
          <w:rFonts w:ascii="Tahoma" w:hAnsi="Tahoma" w:cs="Tahoma"/>
          <w:sz w:val="18"/>
          <w:szCs w:val="18"/>
          <w:lang w:val="ru-RU"/>
        </w:rPr>
        <w:t xml:space="preserve"> 2. </w:t>
      </w:r>
      <w:r>
        <w:rPr>
          <w:rFonts w:ascii="Tahoma" w:hAnsi="Tahoma" w:cs="Tahoma"/>
          <w:iCs/>
          <w:sz w:val="18"/>
          <w:szCs w:val="18"/>
          <w:lang w:val="sr-Cyrl-CS"/>
        </w:rPr>
        <w:t>Iz</w:t>
      </w:r>
      <w:r>
        <w:rPr>
          <w:rFonts w:ascii="Tahoma" w:hAnsi="Tahoma" w:cs="Tahoma"/>
          <w:iCs/>
          <w:sz w:val="18"/>
          <w:szCs w:val="18"/>
          <w:lang w:val="ru-RU"/>
        </w:rPr>
        <w:t>voz</w:t>
      </w:r>
      <w:r w:rsidR="00B97590" w:rsidRPr="0066522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i</w:t>
      </w:r>
      <w:r w:rsidR="00B97590" w:rsidRPr="0066522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sr-Cyrl-CS"/>
        </w:rPr>
        <w:t>u</w:t>
      </w:r>
      <w:r>
        <w:rPr>
          <w:rFonts w:ascii="Tahoma" w:hAnsi="Tahoma" w:cs="Tahoma"/>
          <w:iCs/>
          <w:sz w:val="18"/>
          <w:szCs w:val="18"/>
          <w:lang w:val="ru-RU"/>
        </w:rPr>
        <w:t>voz</w:t>
      </w:r>
      <w:r w:rsidR="00B97590" w:rsidRPr="0066522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po</w:t>
      </w:r>
      <w:r w:rsidR="00B97590" w:rsidRPr="0066522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mjesecima</w:t>
      </w:r>
      <w:r w:rsidR="00B97590" w:rsidRPr="0066522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u</w:t>
      </w:r>
      <w:r w:rsidR="00B97590" w:rsidRPr="0066522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hilj</w:t>
      </w:r>
      <w:r>
        <w:rPr>
          <w:rFonts w:ascii="Tahoma" w:hAnsi="Tahoma" w:cs="Tahoma"/>
          <w:iCs/>
          <w:sz w:val="18"/>
          <w:szCs w:val="18"/>
          <w:lang w:val="sr-Cyrl-CS"/>
        </w:rPr>
        <w:t>adama</w:t>
      </w:r>
      <w:r w:rsidR="00B97590" w:rsidRPr="0066522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sr-Cyrl-CS"/>
        </w:rPr>
        <w:t>KM</w:t>
      </w:r>
    </w:p>
    <w:p w:rsidR="0078288A" w:rsidRPr="0066522F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66522F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A27956" w:rsidRPr="0066522F" w:rsidRDefault="009B5692" w:rsidP="009B5692">
      <w:pPr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</w:rPr>
        <w:t>B</w:t>
      </w:r>
      <w:r>
        <w:rPr>
          <w:rFonts w:ascii="Tahoma" w:hAnsi="Tahoma" w:cs="Tahoma"/>
          <w:b/>
          <w:sz w:val="28"/>
          <w:szCs w:val="28"/>
          <w:lang w:val="sr-Cyrl-CS"/>
        </w:rPr>
        <w:t>roj</w:t>
      </w:r>
      <w:r w:rsidR="00372FAD" w:rsidRPr="0066522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živorođenih</w:t>
      </w:r>
      <w:r w:rsidR="00372FAD" w:rsidRPr="0066522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m</w:t>
      </w:r>
      <w:r>
        <w:rPr>
          <w:rFonts w:ascii="Tahoma" w:hAnsi="Tahoma" w:cs="Tahoma"/>
          <w:b/>
          <w:sz w:val="28"/>
          <w:szCs w:val="28"/>
        </w:rPr>
        <w:t>anji</w:t>
      </w:r>
      <w:r w:rsidR="00372FAD" w:rsidRPr="0066522F">
        <w:rPr>
          <w:rFonts w:ascii="Tahoma" w:hAnsi="Tahoma" w:cs="Tahoma"/>
          <w:b/>
          <w:sz w:val="28"/>
          <w:szCs w:val="28"/>
        </w:rPr>
        <w:t xml:space="preserve"> </w:t>
      </w:r>
      <w:r w:rsidR="00372FAD" w:rsidRPr="0066522F">
        <w:rPr>
          <w:rFonts w:ascii="Tahoma" w:hAnsi="Tahoma" w:cs="Tahoma"/>
          <w:b/>
          <w:sz w:val="28"/>
          <w:szCs w:val="28"/>
          <w:lang w:val="sr-Cyrl-CS"/>
        </w:rPr>
        <w:t>5</w:t>
      </w:r>
      <w:proofErr w:type="gramStart"/>
      <w:r w:rsidR="00372FAD" w:rsidRPr="0066522F">
        <w:rPr>
          <w:rFonts w:ascii="Tahoma" w:hAnsi="Tahoma" w:cs="Tahoma"/>
          <w:b/>
          <w:sz w:val="28"/>
          <w:szCs w:val="28"/>
        </w:rPr>
        <w:t>,</w:t>
      </w:r>
      <w:r w:rsidR="00372FAD" w:rsidRPr="0066522F">
        <w:rPr>
          <w:rFonts w:ascii="Tahoma" w:hAnsi="Tahoma" w:cs="Tahoma"/>
          <w:b/>
          <w:sz w:val="28"/>
          <w:szCs w:val="28"/>
          <w:lang w:val="sr-Cyrl-CS"/>
        </w:rPr>
        <w:t>8</w:t>
      </w:r>
      <w:proofErr w:type="gramEnd"/>
      <w:r w:rsidR="00372FAD" w:rsidRPr="0066522F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372FAD" w:rsidRPr="009B5692" w:rsidRDefault="009B5692" w:rsidP="00372FAD">
      <w:pPr>
        <w:jc w:val="both"/>
        <w:rPr>
          <w:rFonts w:ascii="Tahoma" w:hAnsi="Tahoma" w:cs="Tahoma"/>
          <w:sz w:val="24"/>
          <w:szCs w:val="24"/>
        </w:rPr>
      </w:pPr>
      <w:r w:rsidRPr="009B5692">
        <w:rPr>
          <w:rFonts w:ascii="Tahoma" w:hAnsi="Tahoma" w:cs="Tahoma"/>
          <w:sz w:val="24"/>
          <w:szCs w:val="24"/>
          <w:lang w:val="sr-Cyrl-CS"/>
        </w:rPr>
        <w:t>Broj</w:t>
      </w:r>
      <w:r w:rsidR="00372FAD" w:rsidRPr="009B5692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9B5692">
        <w:rPr>
          <w:rFonts w:ascii="Tahoma" w:hAnsi="Tahoma" w:cs="Tahoma"/>
          <w:sz w:val="24"/>
          <w:szCs w:val="24"/>
          <w:lang w:val="sr-Cyrl-CS"/>
        </w:rPr>
        <w:t>umrlih</w:t>
      </w:r>
      <w:r w:rsidR="00372FAD" w:rsidRPr="009B5692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9B5692">
        <w:rPr>
          <w:rFonts w:ascii="Tahoma" w:hAnsi="Tahoma" w:cs="Tahoma"/>
          <w:sz w:val="24"/>
          <w:szCs w:val="24"/>
          <w:lang w:val="sr-Cyrl-CS"/>
        </w:rPr>
        <w:t>u</w:t>
      </w:r>
      <w:r w:rsidR="00372FAD" w:rsidRPr="009B5692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9B5692">
        <w:rPr>
          <w:rFonts w:ascii="Tahoma" w:hAnsi="Tahoma" w:cs="Tahoma"/>
          <w:sz w:val="24"/>
          <w:szCs w:val="24"/>
          <w:lang w:val="sr-Cyrl-CS"/>
        </w:rPr>
        <w:t>porastu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živorođene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</w:t>
      </w:r>
      <w:r w:rsidR="00A27956" w:rsidRPr="0066522F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  <w:lang w:val="sr-Cyrl-CS"/>
        </w:rPr>
        <w:t>ece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</w:t>
      </w:r>
      <w:r>
        <w:rPr>
          <w:rFonts w:ascii="Tahoma" w:hAnsi="Tahoma" w:cs="Tahoma"/>
          <w:sz w:val="18"/>
          <w:szCs w:val="18"/>
        </w:rPr>
        <w:t>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9 5</w:t>
      </w:r>
      <w:r w:rsidR="00A27956" w:rsidRPr="0066522F">
        <w:rPr>
          <w:rFonts w:ascii="Tahoma" w:hAnsi="Tahoma" w:cs="Tahoma"/>
          <w:sz w:val="18"/>
          <w:szCs w:val="18"/>
        </w:rPr>
        <w:t xml:space="preserve">61.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2002.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Republika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bilježi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konstantno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smanjenje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živorođene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djece</w:t>
      </w:r>
      <w:r w:rsidR="00A27956" w:rsidRPr="0066522F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pa</w:t>
      </w:r>
      <w:r w:rsidR="00A27956" w:rsidRPr="0066522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svake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Republika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ima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308</w:t>
      </w:r>
      <w:r w:rsidR="00A27956" w:rsidRPr="0066522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</w:t>
      </w:r>
      <w:r>
        <w:rPr>
          <w:rFonts w:ascii="Tahoma" w:hAnsi="Tahoma" w:cs="Tahoma"/>
          <w:sz w:val="18"/>
          <w:szCs w:val="18"/>
        </w:rPr>
        <w:t>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živorođene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djece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A27956" w:rsidRPr="0066522F" w:rsidRDefault="009B5692" w:rsidP="00A2795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starost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majke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rođenju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prvog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djeteta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26,3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skoro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pola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</w:p>
    <w:p w:rsidR="00A27956" w:rsidRPr="0066522F" w:rsidRDefault="009B5692" w:rsidP="00A27956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ukupan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mrtvorođene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djece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bilježi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pad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29</w:t>
      </w:r>
      <w:r w:rsidR="00A27956" w:rsidRPr="0066522F">
        <w:rPr>
          <w:rFonts w:ascii="Tahoma" w:hAnsi="Tahoma" w:cs="Tahoma"/>
          <w:sz w:val="18"/>
          <w:szCs w:val="18"/>
        </w:rPr>
        <w:t>,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3%.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9B5692" w:rsidP="00372FAD">
      <w:pPr>
        <w:rPr>
          <w:rFonts w:ascii="Tahoma" w:hAnsi="Tahoma" w:cs="Tahoma"/>
          <w:b/>
          <w:sz w:val="18"/>
          <w:szCs w:val="18"/>
          <w:lang w:val="sr-Cyrl-CS"/>
        </w:rPr>
      </w:pPr>
      <w:proofErr w:type="gramStart"/>
      <w:r>
        <w:rPr>
          <w:rFonts w:ascii="Tahoma" w:hAnsi="Tahoma" w:cs="Tahoma"/>
          <w:sz w:val="18"/>
          <w:szCs w:val="18"/>
        </w:rPr>
        <w:t>U</w:t>
      </w:r>
      <w:r w:rsidR="00A27956" w:rsidRPr="0066522F">
        <w:rPr>
          <w:rFonts w:ascii="Tahoma" w:hAnsi="Tahoma" w:cs="Tahoma"/>
          <w:sz w:val="18"/>
          <w:szCs w:val="18"/>
        </w:rPr>
        <w:t xml:space="preserve"> 2011.</w:t>
      </w:r>
      <w:proofErr w:type="gramEnd"/>
      <w:r w:rsidR="00A27956" w:rsidRPr="0066522F"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godini</w:t>
      </w:r>
      <w:proofErr w:type="gramEnd"/>
      <w:r w:rsidR="00A27956" w:rsidRPr="0066522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umrlo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13 658 </w:t>
      </w:r>
      <w:r>
        <w:rPr>
          <w:rFonts w:ascii="Tahoma" w:hAnsi="Tahoma" w:cs="Tahoma"/>
          <w:sz w:val="18"/>
          <w:szCs w:val="18"/>
          <w:lang w:val="sr-Cyrl-CS"/>
        </w:rPr>
        <w:t>lica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umrlo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141 </w:t>
      </w:r>
      <w:r>
        <w:rPr>
          <w:rFonts w:ascii="Tahoma" w:hAnsi="Tahoma" w:cs="Tahoma"/>
          <w:sz w:val="18"/>
          <w:szCs w:val="18"/>
          <w:lang w:val="sr-Cyrl-CS"/>
        </w:rPr>
        <w:t>lice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Muškarci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danas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žive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5,8 </w:t>
      </w:r>
      <w:r>
        <w:rPr>
          <w:rFonts w:ascii="Tahoma" w:hAnsi="Tahoma" w:cs="Tahoma"/>
          <w:sz w:val="18"/>
          <w:szCs w:val="18"/>
          <w:lang w:val="sr-Cyrl-CS"/>
        </w:rPr>
        <w:t>godina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kraće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žena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  <w:r w:rsidR="00A27956" w:rsidRPr="0066522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starost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prilikom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umiranja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muškarce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69,7 </w:t>
      </w:r>
      <w:r>
        <w:rPr>
          <w:rFonts w:ascii="Tahoma" w:hAnsi="Tahoma" w:cs="Tahoma"/>
          <w:sz w:val="18"/>
          <w:szCs w:val="18"/>
          <w:lang w:val="sr-Cyrl-CS"/>
        </w:rPr>
        <w:t>godina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žene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75,5 </w:t>
      </w:r>
      <w:r>
        <w:rPr>
          <w:rFonts w:ascii="Tahoma" w:hAnsi="Tahoma" w:cs="Tahoma"/>
          <w:sz w:val="18"/>
          <w:szCs w:val="18"/>
          <w:lang w:val="sr-Cyrl-CS"/>
        </w:rPr>
        <w:t>godina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  <w:r w:rsidR="00A27956" w:rsidRPr="0066522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umrlih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svako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četvrto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lice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umre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ispod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65 </w:t>
      </w:r>
      <w:r>
        <w:rPr>
          <w:rFonts w:ascii="Tahoma" w:hAnsi="Tahoma" w:cs="Tahoma"/>
          <w:sz w:val="18"/>
          <w:szCs w:val="18"/>
          <w:lang w:val="sr-Cyrl-CS"/>
        </w:rPr>
        <w:t>godina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starosti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Stopa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umrle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odojčadi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okviru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-27.</w:t>
      </w:r>
      <w:r w:rsidR="00A27956" w:rsidRPr="0066522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iznosila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4</w:t>
      </w:r>
      <w:r w:rsidR="00A27956" w:rsidRPr="0066522F">
        <w:rPr>
          <w:rFonts w:ascii="Tahoma" w:hAnsi="Tahoma" w:cs="Tahoma"/>
          <w:sz w:val="18"/>
          <w:szCs w:val="18"/>
        </w:rPr>
        <w:t>,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5‰.</w:t>
      </w: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noProof/>
          <w:sz w:val="18"/>
          <w:szCs w:val="18"/>
          <w:lang w:eastAsia="sr-Latn-BA"/>
        </w:rPr>
      </w:pPr>
      <w:r>
        <w:rPr>
          <w:rFonts w:ascii="Tahoma" w:hAnsi="Tahoma" w:cs="Tahoma"/>
          <w:noProof/>
          <w:sz w:val="18"/>
          <w:szCs w:val="18"/>
          <w:lang w:val="sr-Cyrl-CS" w:eastAsia="sr-Latn-BA"/>
        </w:rPr>
        <w:t>Vodeći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uzrok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smrti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u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Republicu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Srpskoj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bile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su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bolesti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krvotoka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.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Od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ukupnog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broja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umrlih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oko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53,7%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umre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od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pomenutih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CS" w:eastAsia="sr-Latn-BA"/>
        </w:rPr>
        <w:t>bolesti</w:t>
      </w:r>
      <w:r w:rsidR="00A27956"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>.</w:t>
      </w: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2002.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prirodni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priraštaj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Republike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negativan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2,9‰.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</w:rPr>
        <w:t>prethodnu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prirodnog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priraštaja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opala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0,5‰.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Neznatan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rast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sklopljenih</w:t>
      </w:r>
      <w:r w:rsidR="00A27956" w:rsidRPr="0066522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brakova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b/>
          <w:sz w:val="18"/>
          <w:szCs w:val="18"/>
        </w:rPr>
      </w:pP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sklopljeno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35 </w:t>
      </w:r>
      <w:r>
        <w:rPr>
          <w:rFonts w:ascii="Tahoma" w:hAnsi="Tahoma" w:cs="Tahoma"/>
          <w:sz w:val="18"/>
          <w:szCs w:val="18"/>
          <w:lang w:val="sr-Cyrl-CS"/>
        </w:rPr>
        <w:t>brakova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5 802 </w:t>
      </w:r>
      <w:r>
        <w:rPr>
          <w:rFonts w:ascii="Tahoma" w:hAnsi="Tahoma" w:cs="Tahoma"/>
          <w:sz w:val="18"/>
          <w:szCs w:val="18"/>
          <w:lang w:val="sr-Cyrl-CS"/>
        </w:rPr>
        <w:t>sklopljena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braka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starost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sklapanju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prvog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braka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mladoženju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29,5 </w:t>
      </w:r>
      <w:r>
        <w:rPr>
          <w:rFonts w:ascii="Tahoma" w:hAnsi="Tahoma" w:cs="Tahoma"/>
          <w:sz w:val="18"/>
          <w:szCs w:val="18"/>
          <w:lang w:val="sr-Cyrl-CS"/>
        </w:rPr>
        <w:t>godina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nevjestu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 26,1 </w:t>
      </w:r>
      <w:r>
        <w:rPr>
          <w:rFonts w:ascii="Tahoma" w:hAnsi="Tahoma" w:cs="Tahoma"/>
          <w:sz w:val="18"/>
          <w:szCs w:val="18"/>
          <w:lang w:val="sr-Cyrl-CS"/>
        </w:rPr>
        <w:t>godina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Nevjeste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ranije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sklapaju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brak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mladoženja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starosnoj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grupi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15−19 </w:t>
      </w:r>
      <w:r>
        <w:rPr>
          <w:rFonts w:ascii="Tahoma" w:hAnsi="Tahoma" w:cs="Tahoma"/>
          <w:sz w:val="18"/>
          <w:szCs w:val="18"/>
          <w:lang w:val="sr-Cyrl-CS"/>
        </w:rPr>
        <w:t>godina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nevjeste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deset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puta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sklapaju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brak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mladoženja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b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Razvedeni</w:t>
      </w:r>
      <w:r w:rsidR="00A27956" w:rsidRPr="0066522F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brakovi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886 </w:t>
      </w:r>
      <w:r>
        <w:rPr>
          <w:rFonts w:ascii="Tahoma" w:hAnsi="Tahoma" w:cs="Tahoma"/>
          <w:sz w:val="18"/>
          <w:szCs w:val="18"/>
          <w:lang w:val="sr-Cyrl-CS"/>
        </w:rPr>
        <w:t>razvedenih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brakova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1 000 </w:t>
      </w:r>
      <w:r>
        <w:rPr>
          <w:rFonts w:ascii="Tahoma" w:hAnsi="Tahoma" w:cs="Tahoma"/>
          <w:sz w:val="18"/>
          <w:szCs w:val="18"/>
          <w:lang w:val="sr-Cyrl-CS"/>
        </w:rPr>
        <w:t>sklopljenih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brakova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152,7 </w:t>
      </w:r>
      <w:r>
        <w:rPr>
          <w:rFonts w:ascii="Tahoma" w:hAnsi="Tahoma" w:cs="Tahoma"/>
          <w:sz w:val="18"/>
          <w:szCs w:val="18"/>
          <w:lang w:val="sr-Cyrl-CS"/>
        </w:rPr>
        <w:t>razvedenih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brakova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Skoro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svaki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šesti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sklopljeni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brak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razveden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Prosječno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trajanje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braka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razvoda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11,4 </w:t>
      </w:r>
      <w:r>
        <w:rPr>
          <w:rFonts w:ascii="Tahoma" w:hAnsi="Tahoma" w:cs="Tahoma"/>
          <w:sz w:val="18"/>
          <w:szCs w:val="18"/>
          <w:lang w:val="sr-Cyrl-CS"/>
        </w:rPr>
        <w:t>godina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starost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muža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razvodu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braka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40,6 </w:t>
      </w:r>
      <w:r>
        <w:rPr>
          <w:rFonts w:ascii="Tahoma" w:hAnsi="Tahoma" w:cs="Tahoma"/>
          <w:sz w:val="18"/>
          <w:szCs w:val="18"/>
          <w:lang w:val="sr-Cyrl-CS"/>
        </w:rPr>
        <w:t>godina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žene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36,6 </w:t>
      </w:r>
      <w:r>
        <w:rPr>
          <w:rFonts w:ascii="Tahoma" w:hAnsi="Tahoma" w:cs="Tahoma"/>
          <w:sz w:val="18"/>
          <w:szCs w:val="18"/>
          <w:lang w:val="sr-Cyrl-CS"/>
        </w:rPr>
        <w:t>godina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. </w:t>
      </w:r>
      <w:r w:rsidR="00A27956" w:rsidRPr="0066522F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</w:p>
    <w:p w:rsidR="00A27956" w:rsidRPr="0066522F" w:rsidRDefault="009B5692" w:rsidP="00A27956">
      <w:pPr>
        <w:ind w:right="68"/>
        <w:jc w:val="both"/>
        <w:rPr>
          <w:rFonts w:ascii="Tahoma" w:hAnsi="Tahoma" w:cs="Tahoma"/>
          <w:b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Oko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32% </w:t>
      </w:r>
      <w:r>
        <w:rPr>
          <w:rFonts w:ascii="Tahoma" w:hAnsi="Tahoma" w:cs="Tahoma"/>
          <w:sz w:val="18"/>
          <w:szCs w:val="18"/>
          <w:lang w:val="sr-Cyrl-CS"/>
        </w:rPr>
        <w:t>razvedenih</w:t>
      </w:r>
      <w:r w:rsidR="00A27956" w:rsidRPr="0066522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brakova</w:t>
      </w:r>
      <w:r w:rsidR="00A27956" w:rsidRPr="0066522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brakovi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bez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djece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oko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22%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jednim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djetetom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oko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29%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dva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djeteta</w:t>
      </w:r>
      <w:r w:rsidR="00A27956" w:rsidRPr="0066522F">
        <w:rPr>
          <w:rFonts w:ascii="Tahoma" w:hAnsi="Tahoma" w:cs="Tahoma"/>
          <w:sz w:val="18"/>
          <w:szCs w:val="18"/>
          <w:lang w:val="sr-Cyrl-CS"/>
        </w:rPr>
        <w:t>.</w:t>
      </w:r>
    </w:p>
    <w:p w:rsidR="005E0301" w:rsidRPr="0066522F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</w:rPr>
      </w:pPr>
    </w:p>
    <w:p w:rsidR="009B5692" w:rsidRDefault="009B5692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</w:rPr>
      </w:pPr>
    </w:p>
    <w:p w:rsidR="009B5692" w:rsidRDefault="009B5692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</w:rPr>
      </w:pPr>
    </w:p>
    <w:p w:rsidR="009B5692" w:rsidRDefault="009B5692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</w:rPr>
      </w:pPr>
    </w:p>
    <w:p w:rsidR="009B5692" w:rsidRDefault="009B5692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</w:rPr>
      </w:pPr>
    </w:p>
    <w:p w:rsidR="009B5692" w:rsidRPr="009B5692" w:rsidRDefault="009B5692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</w:rPr>
      </w:pPr>
    </w:p>
    <w:p w:rsidR="00D11D2E" w:rsidRPr="0066522F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sz w:val="16"/>
          <w:szCs w:val="16"/>
        </w:rPr>
      </w:pPr>
    </w:p>
    <w:p w:rsidR="009B5692" w:rsidRDefault="009B5692" w:rsidP="009B5692">
      <w:pPr>
        <w:jc w:val="both"/>
        <w:rPr>
          <w:rFonts w:ascii="Tahoma" w:hAnsi="Tahoma" w:cs="Tahoma"/>
          <w:b/>
          <w:sz w:val="28"/>
          <w:szCs w:val="28"/>
          <w:lang w:val="sr-Latn-BA"/>
        </w:rPr>
      </w:pPr>
    </w:p>
    <w:p w:rsidR="00827A92" w:rsidRPr="009B5692" w:rsidRDefault="009B5692" w:rsidP="009B5692">
      <w:pPr>
        <w:jc w:val="both"/>
        <w:rPr>
          <w:rFonts w:ascii="Tahoma" w:hAnsi="Tahoma" w:cs="Tahoma"/>
          <w:b/>
          <w:sz w:val="28"/>
          <w:szCs w:val="28"/>
          <w:lang w:val="sr-Latn-BA"/>
        </w:rPr>
      </w:pPr>
      <w:r w:rsidRPr="009B5692">
        <w:rPr>
          <w:rFonts w:ascii="Tahoma" w:hAnsi="Tahoma" w:cs="Tahoma"/>
          <w:b/>
          <w:sz w:val="28"/>
          <w:szCs w:val="28"/>
          <w:lang w:val="sr-Latn-BA"/>
        </w:rPr>
        <w:t>Na</w:t>
      </w:r>
      <w:r w:rsidR="00827A92" w:rsidRPr="009B5692">
        <w:rPr>
          <w:rFonts w:ascii="Tahoma" w:hAnsi="Tahoma" w:cs="Tahoma"/>
          <w:b/>
          <w:sz w:val="28"/>
          <w:szCs w:val="28"/>
          <w:lang w:val="sr-Latn-BA"/>
        </w:rPr>
        <w:t xml:space="preserve"> </w:t>
      </w:r>
      <w:r w:rsidRPr="009B5692">
        <w:rPr>
          <w:rFonts w:ascii="Tahoma" w:hAnsi="Tahoma" w:cs="Tahoma"/>
          <w:b/>
          <w:sz w:val="28"/>
          <w:szCs w:val="28"/>
          <w:lang w:val="sr-Latn-BA"/>
        </w:rPr>
        <w:t>visokoškolskim</w:t>
      </w:r>
      <w:r w:rsidR="00827A92" w:rsidRPr="009B5692">
        <w:rPr>
          <w:rFonts w:ascii="Tahoma" w:hAnsi="Tahoma" w:cs="Tahoma"/>
          <w:b/>
          <w:sz w:val="28"/>
          <w:szCs w:val="28"/>
          <w:lang w:val="sr-Latn-BA"/>
        </w:rPr>
        <w:t xml:space="preserve"> </w:t>
      </w:r>
      <w:r w:rsidRPr="009B5692">
        <w:rPr>
          <w:rFonts w:ascii="Tahoma" w:hAnsi="Tahoma" w:cs="Tahoma"/>
          <w:b/>
          <w:sz w:val="28"/>
          <w:szCs w:val="28"/>
          <w:lang w:val="sr-Latn-BA"/>
        </w:rPr>
        <w:t>ustanovama</w:t>
      </w:r>
      <w:r w:rsidR="00827A92" w:rsidRPr="009B5692">
        <w:rPr>
          <w:rFonts w:ascii="Tahoma" w:hAnsi="Tahoma" w:cs="Tahoma"/>
          <w:b/>
          <w:sz w:val="28"/>
          <w:szCs w:val="28"/>
          <w:lang w:val="sr-Latn-BA"/>
        </w:rPr>
        <w:t xml:space="preserve"> </w:t>
      </w:r>
      <w:r w:rsidRPr="009B5692">
        <w:rPr>
          <w:rFonts w:ascii="Tahoma" w:hAnsi="Tahoma" w:cs="Tahoma"/>
          <w:b/>
          <w:sz w:val="28"/>
          <w:szCs w:val="28"/>
          <w:lang w:val="sr-Latn-BA"/>
        </w:rPr>
        <w:t>studira</w:t>
      </w:r>
      <w:r w:rsidR="00827A92" w:rsidRPr="009B5692">
        <w:rPr>
          <w:rFonts w:ascii="Tahoma" w:hAnsi="Tahoma" w:cs="Tahoma"/>
          <w:b/>
          <w:sz w:val="28"/>
          <w:szCs w:val="28"/>
          <w:lang w:val="sr-Latn-BA"/>
        </w:rPr>
        <w:t xml:space="preserve"> </w:t>
      </w:r>
      <w:r w:rsidR="00827A92" w:rsidRPr="009B5692">
        <w:rPr>
          <w:rFonts w:ascii="Tahoma" w:hAnsi="Tahoma" w:cs="Tahoma"/>
          <w:b/>
          <w:sz w:val="28"/>
          <w:szCs w:val="28"/>
          <w:lang w:val="sr-Cyrl-BA"/>
        </w:rPr>
        <w:t xml:space="preserve">48 401 </w:t>
      </w:r>
      <w:r w:rsidRPr="009B5692">
        <w:rPr>
          <w:rFonts w:ascii="Tahoma" w:hAnsi="Tahoma" w:cs="Tahoma"/>
          <w:b/>
          <w:sz w:val="28"/>
          <w:szCs w:val="28"/>
          <w:lang w:val="sr-Latn-BA"/>
        </w:rPr>
        <w:t>student</w:t>
      </w:r>
    </w:p>
    <w:p w:rsidR="00827A92" w:rsidRPr="009B5692" w:rsidRDefault="009B5692" w:rsidP="009B5692">
      <w:pPr>
        <w:spacing w:line="276" w:lineRule="auto"/>
        <w:jc w:val="both"/>
        <w:rPr>
          <w:rFonts w:ascii="Tahoma" w:hAnsi="Tahoma" w:cs="Tahoma"/>
          <w:sz w:val="24"/>
          <w:szCs w:val="24"/>
          <w:lang w:val="sr-Latn-BA"/>
        </w:rPr>
      </w:pPr>
      <w:r w:rsidRPr="009B5692">
        <w:rPr>
          <w:rFonts w:ascii="Tahoma" w:hAnsi="Tahoma" w:cs="Tahoma"/>
          <w:sz w:val="24"/>
          <w:szCs w:val="24"/>
          <w:lang w:val="sr-Latn-BA"/>
        </w:rPr>
        <w:t>U</w:t>
      </w:r>
      <w:r w:rsidR="00827A92" w:rsidRPr="009B5692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9B5692">
        <w:rPr>
          <w:rFonts w:ascii="Tahoma" w:hAnsi="Tahoma" w:cs="Tahoma"/>
          <w:sz w:val="24"/>
          <w:szCs w:val="24"/>
          <w:lang w:val="sr-Latn-BA"/>
        </w:rPr>
        <w:t>školskoj</w:t>
      </w:r>
      <w:r w:rsidR="00827A92" w:rsidRPr="009B5692">
        <w:rPr>
          <w:rFonts w:ascii="Tahoma" w:hAnsi="Tahoma" w:cs="Tahoma"/>
          <w:sz w:val="24"/>
          <w:szCs w:val="24"/>
          <w:lang w:val="sr-Latn-BA"/>
        </w:rPr>
        <w:t xml:space="preserve"> 2011/2012. </w:t>
      </w:r>
      <w:r w:rsidRPr="009B5692">
        <w:rPr>
          <w:rFonts w:ascii="Tahoma" w:hAnsi="Tahoma" w:cs="Tahoma"/>
          <w:sz w:val="24"/>
          <w:szCs w:val="24"/>
          <w:lang w:val="sr-Latn-BA"/>
        </w:rPr>
        <w:t>godini</w:t>
      </w:r>
      <w:r w:rsidR="00827A92" w:rsidRPr="009B5692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9B5692">
        <w:rPr>
          <w:rFonts w:ascii="Tahoma" w:hAnsi="Tahoma" w:cs="Tahoma"/>
          <w:sz w:val="24"/>
          <w:szCs w:val="24"/>
          <w:lang w:val="sr-Latn-BA"/>
        </w:rPr>
        <w:t>na</w:t>
      </w:r>
      <w:r w:rsidR="00827A92" w:rsidRPr="009B5692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9B5692">
        <w:rPr>
          <w:rFonts w:ascii="Tahoma" w:hAnsi="Tahoma" w:cs="Tahoma"/>
          <w:sz w:val="24"/>
          <w:szCs w:val="24"/>
          <w:lang w:val="sr-Latn-BA"/>
        </w:rPr>
        <w:t>prvi</w:t>
      </w:r>
      <w:r w:rsidR="00827A92" w:rsidRPr="009B5692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9B5692">
        <w:rPr>
          <w:rFonts w:ascii="Tahoma" w:hAnsi="Tahoma" w:cs="Tahoma"/>
          <w:sz w:val="24"/>
          <w:szCs w:val="24"/>
          <w:lang w:val="sr-Latn-BA"/>
        </w:rPr>
        <w:t>ciklus</w:t>
      </w:r>
      <w:r w:rsidR="00827A92" w:rsidRPr="009B5692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9B5692">
        <w:rPr>
          <w:rFonts w:ascii="Tahoma" w:hAnsi="Tahoma" w:cs="Tahoma"/>
          <w:sz w:val="24"/>
          <w:szCs w:val="24"/>
          <w:lang w:val="sr-Latn-BA"/>
        </w:rPr>
        <w:t>studija</w:t>
      </w:r>
      <w:r w:rsidR="00827A92" w:rsidRPr="009B5692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9B5692">
        <w:rPr>
          <w:rFonts w:ascii="Tahoma" w:hAnsi="Tahoma" w:cs="Tahoma"/>
          <w:sz w:val="24"/>
          <w:szCs w:val="24"/>
          <w:lang w:val="sr-Latn-BA"/>
        </w:rPr>
        <w:t>visokog</w:t>
      </w:r>
      <w:r w:rsidR="00827A92" w:rsidRPr="009B5692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9B5692">
        <w:rPr>
          <w:rFonts w:ascii="Tahoma" w:hAnsi="Tahoma" w:cs="Tahoma"/>
          <w:sz w:val="24"/>
          <w:szCs w:val="24"/>
          <w:lang w:val="sr-Latn-BA"/>
        </w:rPr>
        <w:t>obrazovanja</w:t>
      </w:r>
      <w:r w:rsidR="00827A92" w:rsidRPr="009B5692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9B5692">
        <w:rPr>
          <w:rFonts w:ascii="Tahoma" w:hAnsi="Tahoma" w:cs="Tahoma"/>
          <w:sz w:val="24"/>
          <w:szCs w:val="24"/>
          <w:lang w:val="sr-Latn-BA"/>
        </w:rPr>
        <w:t>upisano</w:t>
      </w:r>
      <w:r w:rsidR="00827A92" w:rsidRPr="009B5692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9B5692">
        <w:rPr>
          <w:rFonts w:ascii="Tahoma" w:hAnsi="Tahoma" w:cs="Tahoma"/>
          <w:sz w:val="24"/>
          <w:szCs w:val="24"/>
          <w:lang w:val="sr-Latn-BA"/>
        </w:rPr>
        <w:t>je</w:t>
      </w:r>
      <w:r w:rsidR="00827A92" w:rsidRPr="009B5692"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827A92" w:rsidRPr="009B5692">
        <w:rPr>
          <w:rFonts w:ascii="Tahoma" w:hAnsi="Tahoma" w:cs="Tahoma"/>
          <w:b/>
          <w:sz w:val="24"/>
          <w:szCs w:val="24"/>
          <w:lang w:val="sr-Latn-BA"/>
        </w:rPr>
        <w:t>46 567</w:t>
      </w:r>
      <w:r w:rsidR="00827A92" w:rsidRPr="009B5692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9B5692">
        <w:rPr>
          <w:rFonts w:ascii="Tahoma" w:hAnsi="Tahoma" w:cs="Tahoma"/>
          <w:sz w:val="24"/>
          <w:szCs w:val="24"/>
          <w:lang w:val="sr-Latn-BA"/>
        </w:rPr>
        <w:t>studenata</w:t>
      </w:r>
    </w:p>
    <w:p w:rsidR="00827A92" w:rsidRPr="0066522F" w:rsidRDefault="00827A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Latn-BA"/>
        </w:rPr>
      </w:pP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Latn-BA"/>
        </w:rPr>
        <w:t>Iako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broj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upisanih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studenata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stalnom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porastu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školskoj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2011/2012.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godini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bilježimo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nešto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manji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procenat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povećanja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odnosu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prethodne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godine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.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školskoj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2011/2012. </w:t>
      </w:r>
      <w:r>
        <w:rPr>
          <w:rFonts w:ascii="Tahoma" w:hAnsi="Tahoma" w:cs="Tahoma"/>
          <w:sz w:val="18"/>
          <w:szCs w:val="18"/>
          <w:lang w:val="sr-Latn-BA"/>
        </w:rPr>
        <w:t>godini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ukupan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broj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upisanih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studenata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odnosu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prethodnu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školsku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godinu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veći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za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1,3%. 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Latn-BA"/>
        </w:rPr>
        <w:t>Prema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„</w:t>
      </w:r>
      <w:r>
        <w:rPr>
          <w:rFonts w:ascii="Tahoma" w:hAnsi="Tahoma" w:cs="Tahoma"/>
          <w:sz w:val="18"/>
          <w:szCs w:val="18"/>
          <w:lang w:val="sr-Latn-BA"/>
        </w:rPr>
        <w:t>starom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>“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programu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obrazovanja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studira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12,7%</w:t>
      </w:r>
      <w:r w:rsidR="00765364"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studenata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ostali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studiraju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prema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programu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prilagođenom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Bolonjskoj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deklaraciji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sz w:val="18"/>
          <w:szCs w:val="18"/>
          <w:lang w:val="sr-Latn-BA"/>
        </w:rPr>
        <w:t>Redovno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studira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86,3% </w:t>
      </w:r>
      <w:r>
        <w:rPr>
          <w:rFonts w:ascii="Tahoma" w:hAnsi="Tahoma" w:cs="Tahoma"/>
          <w:sz w:val="18"/>
          <w:szCs w:val="18"/>
          <w:lang w:val="sr-Latn-BA"/>
        </w:rPr>
        <w:t>studenata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>.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2011. </w:t>
      </w:r>
      <w:r>
        <w:rPr>
          <w:rFonts w:ascii="Tahoma" w:hAnsi="Tahoma" w:cs="Tahoma"/>
          <w:sz w:val="18"/>
          <w:szCs w:val="18"/>
          <w:lang w:val="sr-Latn-BA"/>
        </w:rPr>
        <w:t>godini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diplomiral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7 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>72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2 </w:t>
      </w:r>
      <w:r>
        <w:rPr>
          <w:rFonts w:ascii="Tahoma" w:hAnsi="Tahoma" w:cs="Tahoma"/>
          <w:sz w:val="18"/>
          <w:szCs w:val="18"/>
          <w:lang w:val="sr-Latn-BA"/>
        </w:rPr>
        <w:t>studenta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što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za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>5,4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% </w:t>
      </w:r>
      <w:r>
        <w:rPr>
          <w:rFonts w:ascii="Tahoma" w:hAnsi="Tahoma" w:cs="Tahoma"/>
          <w:sz w:val="18"/>
          <w:szCs w:val="18"/>
          <w:lang w:val="sr-Latn-BA"/>
        </w:rPr>
        <w:t>više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odnosu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20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>10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. </w:t>
      </w:r>
      <w:r>
        <w:rPr>
          <w:rFonts w:ascii="Tahoma" w:hAnsi="Tahoma" w:cs="Tahoma"/>
          <w:sz w:val="18"/>
          <w:szCs w:val="18"/>
          <w:lang w:val="sr-Latn-BA"/>
        </w:rPr>
        <w:t>godinu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broja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diplomiranih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studenata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59,9%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studentice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>.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Skoro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polovina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dip</w:t>
      </w:r>
      <w:r>
        <w:rPr>
          <w:rFonts w:ascii="Tahoma" w:hAnsi="Tahoma" w:cs="Tahoma"/>
          <w:sz w:val="18"/>
          <w:szCs w:val="18"/>
          <w:lang w:val="sr-Latn-CS"/>
        </w:rPr>
        <w:t>l</w:t>
      </w:r>
      <w:r>
        <w:rPr>
          <w:rFonts w:ascii="Tahoma" w:hAnsi="Tahoma" w:cs="Tahoma"/>
          <w:sz w:val="18"/>
          <w:szCs w:val="18"/>
          <w:lang w:val="sr-Cyrl-BA"/>
        </w:rPr>
        <w:t>omiranih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studenata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stekla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zvanje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obrazovne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oblasti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Društvene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nauke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poslovanje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pravo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(49,8%).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Latn-BA"/>
        </w:rPr>
        <w:t>Najveći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broj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diplomiranih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studenata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star</w:t>
      </w:r>
      <w:r>
        <w:rPr>
          <w:rFonts w:ascii="Tahoma" w:hAnsi="Tahoma" w:cs="Tahoma"/>
          <w:sz w:val="18"/>
          <w:szCs w:val="18"/>
          <w:lang w:val="sr-Cyrl-BA"/>
        </w:rPr>
        <w:t>osti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>30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godina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njih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3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>5,5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>%.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školskoj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2011/2012. </w:t>
      </w:r>
      <w:r>
        <w:rPr>
          <w:rFonts w:ascii="Tahoma" w:hAnsi="Tahoma" w:cs="Tahoma"/>
          <w:sz w:val="18"/>
          <w:szCs w:val="18"/>
          <w:lang w:val="sr-Latn-BA"/>
        </w:rPr>
        <w:t>godini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visokoškolskim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ustanovama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Republici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Srpskoj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postdiplomsk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e </w:t>
      </w:r>
      <w:r>
        <w:rPr>
          <w:rFonts w:ascii="Tahoma" w:hAnsi="Tahoma" w:cs="Tahoma"/>
          <w:sz w:val="18"/>
          <w:szCs w:val="18"/>
          <w:lang w:val="sr-Latn-BA"/>
        </w:rPr>
        <w:t>magistarsk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e </w:t>
      </w:r>
      <w:r>
        <w:rPr>
          <w:rFonts w:ascii="Tahoma" w:hAnsi="Tahoma" w:cs="Tahoma"/>
          <w:sz w:val="18"/>
          <w:szCs w:val="18"/>
          <w:lang w:val="sr-Latn-BA"/>
        </w:rPr>
        <w:t>studij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e </w:t>
      </w:r>
      <w:r>
        <w:rPr>
          <w:rFonts w:ascii="Tahoma" w:hAnsi="Tahoma" w:cs="Tahoma"/>
          <w:sz w:val="18"/>
          <w:szCs w:val="18"/>
          <w:lang w:val="sr-Latn-BA"/>
        </w:rPr>
        <w:t>upisano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1 713 </w:t>
      </w:r>
      <w:r>
        <w:rPr>
          <w:rFonts w:ascii="Tahoma" w:hAnsi="Tahoma" w:cs="Tahoma"/>
          <w:sz w:val="18"/>
          <w:szCs w:val="18"/>
          <w:lang w:val="sr-Latn-BA"/>
        </w:rPr>
        <w:t>studenata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specijalističk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e </w:t>
      </w:r>
      <w:r>
        <w:rPr>
          <w:rFonts w:ascii="Tahoma" w:hAnsi="Tahoma" w:cs="Tahoma"/>
          <w:sz w:val="18"/>
          <w:szCs w:val="18"/>
          <w:lang w:val="sr-Latn-BA"/>
        </w:rPr>
        <w:t>studij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e 78 </w:t>
      </w:r>
      <w:r>
        <w:rPr>
          <w:rFonts w:ascii="Tahoma" w:hAnsi="Tahoma" w:cs="Tahoma"/>
          <w:sz w:val="18"/>
          <w:szCs w:val="18"/>
          <w:lang w:val="sr-Latn-BA"/>
        </w:rPr>
        <w:t>studenata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>.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Latn-BA"/>
        </w:rPr>
        <w:t>Prema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polnoj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strukturi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magistarsk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e </w:t>
      </w:r>
      <w:r>
        <w:rPr>
          <w:rFonts w:ascii="Tahoma" w:hAnsi="Tahoma" w:cs="Tahoma"/>
          <w:sz w:val="18"/>
          <w:szCs w:val="18"/>
          <w:lang w:val="sr-Latn-BA"/>
        </w:rPr>
        <w:t>studij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e </w:t>
      </w:r>
      <w:r>
        <w:rPr>
          <w:rFonts w:ascii="Tahoma" w:hAnsi="Tahoma" w:cs="Tahoma"/>
          <w:sz w:val="18"/>
          <w:szCs w:val="18"/>
          <w:lang w:val="sr-Latn-BA"/>
        </w:rPr>
        <w:t>upisano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48,3% </w:t>
      </w:r>
      <w:r>
        <w:rPr>
          <w:rFonts w:ascii="Tahoma" w:hAnsi="Tahoma" w:cs="Tahoma"/>
          <w:sz w:val="18"/>
          <w:szCs w:val="18"/>
          <w:lang w:val="sr-Latn-BA"/>
        </w:rPr>
        <w:t>žena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specijalističk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e </w:t>
      </w:r>
      <w:r>
        <w:rPr>
          <w:rFonts w:ascii="Tahoma" w:hAnsi="Tahoma" w:cs="Tahoma"/>
          <w:sz w:val="18"/>
          <w:szCs w:val="18"/>
          <w:lang w:val="sr-Latn-BA"/>
        </w:rPr>
        <w:t>studij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e 71,8% </w:t>
      </w:r>
      <w:r>
        <w:rPr>
          <w:rFonts w:ascii="Tahoma" w:hAnsi="Tahoma" w:cs="Tahoma"/>
          <w:sz w:val="18"/>
          <w:szCs w:val="18"/>
          <w:lang w:val="sr-Latn-BA"/>
        </w:rPr>
        <w:t>žena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. 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školskoj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2011/2012. </w:t>
      </w:r>
      <w:r>
        <w:rPr>
          <w:rFonts w:ascii="Tahoma" w:hAnsi="Tahoma" w:cs="Tahoma"/>
          <w:sz w:val="18"/>
          <w:szCs w:val="18"/>
          <w:lang w:val="sr-Latn-BA"/>
        </w:rPr>
        <w:t>godini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visokoškolskim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ustanovama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Republici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Srpskoj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evidentirano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ukupno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43 </w:t>
      </w:r>
      <w:r>
        <w:rPr>
          <w:rFonts w:ascii="Tahoma" w:hAnsi="Tahoma" w:cs="Tahoma"/>
          <w:sz w:val="18"/>
          <w:szCs w:val="18"/>
          <w:lang w:val="sr-Latn-BA"/>
        </w:rPr>
        <w:t>doktoranta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svi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prijavili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doktorat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>.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Latn-BA"/>
        </w:rPr>
        <w:t>Prema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polnoj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strukturi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79,1% </w:t>
      </w:r>
      <w:r>
        <w:rPr>
          <w:rFonts w:ascii="Tahoma" w:hAnsi="Tahoma" w:cs="Tahoma"/>
          <w:sz w:val="18"/>
          <w:szCs w:val="18"/>
          <w:lang w:val="sr-Latn-BA"/>
        </w:rPr>
        <w:t>su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muškarci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20,9% </w:t>
      </w:r>
      <w:r>
        <w:rPr>
          <w:rFonts w:ascii="Tahoma" w:hAnsi="Tahoma" w:cs="Tahoma"/>
          <w:sz w:val="18"/>
          <w:szCs w:val="18"/>
          <w:lang w:val="sr-Latn-BA"/>
        </w:rPr>
        <w:t>su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žene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>.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Latn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javnim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visokoškolskim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ustanovama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prijavljeno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95,3% </w:t>
      </w:r>
      <w:r>
        <w:rPr>
          <w:rFonts w:ascii="Tahoma" w:hAnsi="Tahoma" w:cs="Tahoma"/>
          <w:sz w:val="18"/>
          <w:szCs w:val="18"/>
          <w:lang w:val="sr-Latn-BA"/>
        </w:rPr>
        <w:t>doktorata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privatnim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visokoškolskim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ustanovama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prijavljeno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4,7% </w:t>
      </w:r>
      <w:r>
        <w:rPr>
          <w:rFonts w:ascii="Tahoma" w:hAnsi="Tahoma" w:cs="Tahoma"/>
          <w:sz w:val="18"/>
          <w:szCs w:val="18"/>
          <w:lang w:val="sr-Latn-BA"/>
        </w:rPr>
        <w:t>doktorata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>.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2011. </w:t>
      </w:r>
      <w:r>
        <w:rPr>
          <w:rFonts w:ascii="Tahoma" w:hAnsi="Tahoma" w:cs="Tahoma"/>
          <w:sz w:val="18"/>
          <w:szCs w:val="18"/>
          <w:lang w:val="sr-Latn-BA"/>
        </w:rPr>
        <w:t>godini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visokoškolskim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ustanovama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Republici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Srpskoj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183 </w:t>
      </w:r>
      <w:r>
        <w:rPr>
          <w:rFonts w:ascii="Tahoma" w:hAnsi="Tahoma" w:cs="Tahoma"/>
          <w:sz w:val="18"/>
          <w:szCs w:val="18"/>
          <w:lang w:val="sr-Latn-BA"/>
        </w:rPr>
        <w:t>kandidat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a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steklo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naučni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stepen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 </w:t>
      </w:r>
      <w:r>
        <w:rPr>
          <w:rFonts w:ascii="Tahoma" w:hAnsi="Tahoma" w:cs="Tahoma"/>
          <w:sz w:val="18"/>
          <w:szCs w:val="18"/>
          <w:lang w:val="sr-Latn-BA"/>
        </w:rPr>
        <w:t>magistra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nauka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44 </w:t>
      </w:r>
      <w:r>
        <w:rPr>
          <w:rFonts w:ascii="Tahoma" w:hAnsi="Tahoma" w:cs="Tahoma"/>
          <w:sz w:val="18"/>
          <w:szCs w:val="18"/>
          <w:lang w:val="sr-Latn-BA"/>
        </w:rPr>
        <w:t>kandidata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steklo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stručni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stepen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specijaliste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>.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Latn-BA"/>
        </w:rPr>
        <w:t>Prema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polnoj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strukturi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59,0% </w:t>
      </w:r>
      <w:r>
        <w:rPr>
          <w:rFonts w:ascii="Tahoma" w:hAnsi="Tahoma" w:cs="Tahoma"/>
          <w:sz w:val="18"/>
          <w:szCs w:val="18"/>
          <w:lang w:val="sr-Latn-BA"/>
        </w:rPr>
        <w:t>magistara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mušk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>a</w:t>
      </w:r>
      <w:r>
        <w:rPr>
          <w:rFonts w:ascii="Tahoma" w:hAnsi="Tahoma" w:cs="Tahoma"/>
          <w:sz w:val="18"/>
          <w:szCs w:val="18"/>
          <w:lang w:val="sr-Latn-BA"/>
        </w:rPr>
        <w:t>rci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41,0% </w:t>
      </w:r>
      <w:r>
        <w:rPr>
          <w:rFonts w:ascii="Tahoma" w:hAnsi="Tahoma" w:cs="Tahoma"/>
          <w:sz w:val="18"/>
          <w:szCs w:val="18"/>
          <w:lang w:val="sr-Latn-BA"/>
        </w:rPr>
        <w:t>su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žene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. </w:t>
      </w:r>
      <w:r>
        <w:rPr>
          <w:rFonts w:ascii="Tahoma" w:hAnsi="Tahoma" w:cs="Tahoma"/>
          <w:sz w:val="18"/>
          <w:szCs w:val="18"/>
          <w:lang w:val="sr-Latn-BA"/>
        </w:rPr>
        <w:t>Ako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posmatramo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polnu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strukturu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specijalista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20,45% </w:t>
      </w:r>
      <w:r>
        <w:rPr>
          <w:rFonts w:ascii="Tahoma" w:hAnsi="Tahoma" w:cs="Tahoma"/>
          <w:sz w:val="18"/>
          <w:szCs w:val="18"/>
          <w:lang w:val="sr-Latn-BA"/>
        </w:rPr>
        <w:t>su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muškarci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79,55% </w:t>
      </w:r>
      <w:r>
        <w:rPr>
          <w:rFonts w:ascii="Tahoma" w:hAnsi="Tahoma" w:cs="Tahoma"/>
          <w:sz w:val="18"/>
          <w:szCs w:val="18"/>
          <w:lang w:val="sr-Latn-BA"/>
        </w:rPr>
        <w:t>su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žene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>.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Latn-BA"/>
        </w:rPr>
        <w:t>Najveći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broj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magistarskih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specijalističkih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radova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iz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oblasti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društvenih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nauka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(37,9%),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najmanji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iz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Latn-BA"/>
        </w:rPr>
        <w:t>oblasti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poljoprivrednih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nauka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(2,2%).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2011. </w:t>
      </w:r>
      <w:r>
        <w:rPr>
          <w:rFonts w:ascii="Tahoma" w:hAnsi="Tahoma" w:cs="Tahoma"/>
          <w:sz w:val="18"/>
          <w:szCs w:val="18"/>
          <w:lang w:val="sr-Latn-BA"/>
        </w:rPr>
        <w:t>godini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visokoškolskim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ustanovama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Republici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Srpskoj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naučni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stepen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doktora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nauka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steklo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49 </w:t>
      </w:r>
      <w:r>
        <w:rPr>
          <w:rFonts w:ascii="Tahoma" w:hAnsi="Tahoma" w:cs="Tahoma"/>
          <w:sz w:val="18"/>
          <w:szCs w:val="18"/>
          <w:lang w:val="sr-Latn-BA"/>
        </w:rPr>
        <w:t>kandidata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>.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Latn-BA"/>
        </w:rPr>
        <w:t>Prema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polnoj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strukturi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53,1% </w:t>
      </w:r>
      <w:r>
        <w:rPr>
          <w:rFonts w:ascii="Tahoma" w:hAnsi="Tahoma" w:cs="Tahoma"/>
          <w:sz w:val="18"/>
          <w:szCs w:val="18"/>
          <w:lang w:val="sr-Latn-BA"/>
        </w:rPr>
        <w:t>doktora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nauka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muškarci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46,9% </w:t>
      </w:r>
      <w:r>
        <w:rPr>
          <w:rFonts w:ascii="Tahoma" w:hAnsi="Tahoma" w:cs="Tahoma"/>
          <w:sz w:val="18"/>
          <w:szCs w:val="18"/>
          <w:lang w:val="sr-Latn-BA"/>
        </w:rPr>
        <w:t>su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žene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>.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Latn-BA"/>
        </w:rPr>
        <w:t>Najveći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broj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doktorskih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disertacija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iz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oblasti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društvenih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nauka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(40,8%),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najmanji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iz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oblasti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inž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>e</w:t>
      </w:r>
      <w:r>
        <w:rPr>
          <w:rFonts w:ascii="Tahoma" w:hAnsi="Tahoma" w:cs="Tahoma"/>
          <w:sz w:val="18"/>
          <w:szCs w:val="18"/>
          <w:lang w:val="sr-Latn-BA"/>
        </w:rPr>
        <w:t>njerstva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tehnologije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(10,2%) </w:t>
      </w:r>
      <w:r>
        <w:rPr>
          <w:rFonts w:ascii="Tahoma" w:hAnsi="Tahoma" w:cs="Tahoma"/>
          <w:sz w:val="18"/>
          <w:szCs w:val="18"/>
          <w:lang w:val="sr-Latn-BA"/>
        </w:rPr>
        <w:t>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humanističkih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nauka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 (10,2%).</w:t>
      </w:r>
    </w:p>
    <w:p w:rsidR="00827A92" w:rsidRPr="0066522F" w:rsidRDefault="009B5692" w:rsidP="009B5692">
      <w:pPr>
        <w:spacing w:line="276" w:lineRule="auto"/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Latn-BA"/>
        </w:rPr>
        <w:t>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školskoj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2011/2012. </w:t>
      </w:r>
      <w:r>
        <w:rPr>
          <w:rFonts w:ascii="Tahoma" w:hAnsi="Tahoma" w:cs="Tahoma"/>
          <w:sz w:val="18"/>
          <w:szCs w:val="18"/>
          <w:lang w:val="sr-Latn-BA"/>
        </w:rPr>
        <w:t>godini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visokoškolskim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ustanovama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zaposleno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2</w:t>
      </w:r>
      <w:r w:rsidR="00827A92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789 </w:t>
      </w:r>
      <w:r>
        <w:rPr>
          <w:rFonts w:ascii="Tahoma" w:hAnsi="Tahoma" w:cs="Tahoma"/>
          <w:sz w:val="18"/>
          <w:szCs w:val="18"/>
          <w:lang w:val="sr-Latn-BA"/>
        </w:rPr>
        <w:t>nastavnika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saradnika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. </w:t>
      </w:r>
      <w:r>
        <w:rPr>
          <w:rFonts w:ascii="Tahoma" w:hAnsi="Tahoma" w:cs="Tahoma"/>
          <w:sz w:val="18"/>
          <w:szCs w:val="18"/>
          <w:lang w:val="sr-Latn-BA"/>
        </w:rPr>
        <w:t>Izraženo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ekvivalentom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pune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zaposlenosti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ukupan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broj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nastavnika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saradnika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2 173,7. </w:t>
      </w:r>
      <w:r>
        <w:rPr>
          <w:rFonts w:ascii="Tahoma" w:hAnsi="Tahoma" w:cs="Tahoma"/>
          <w:sz w:val="18"/>
          <w:szCs w:val="18"/>
          <w:lang w:val="sr-Latn-BA"/>
        </w:rPr>
        <w:t>Naučno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zvanje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doktora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nauka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ima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51,1% </w:t>
      </w:r>
      <w:r>
        <w:rPr>
          <w:rFonts w:ascii="Tahoma" w:hAnsi="Tahoma" w:cs="Tahoma"/>
          <w:sz w:val="18"/>
          <w:szCs w:val="18"/>
          <w:lang w:val="sr-Latn-BA"/>
        </w:rPr>
        <w:t>nastavnika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saradnika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zvanje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magistra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nauka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24,9%, </w:t>
      </w:r>
      <w:r>
        <w:rPr>
          <w:rFonts w:ascii="Tahoma" w:hAnsi="Tahoma" w:cs="Tahoma"/>
          <w:sz w:val="18"/>
          <w:szCs w:val="18"/>
          <w:lang w:val="sr-Latn-BA"/>
        </w:rPr>
        <w:t>specijalista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3,4%,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 20,7% </w:t>
      </w:r>
      <w:r>
        <w:rPr>
          <w:rFonts w:ascii="Tahoma" w:hAnsi="Tahoma" w:cs="Tahoma"/>
          <w:sz w:val="18"/>
          <w:szCs w:val="18"/>
          <w:lang w:val="sr-Latn-BA"/>
        </w:rPr>
        <w:t>su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lica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sa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univerzitetskim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obrazovanjem</w:t>
      </w:r>
      <w:r w:rsidR="00827A92" w:rsidRPr="0066522F">
        <w:rPr>
          <w:rFonts w:ascii="Tahoma" w:hAnsi="Tahoma" w:cs="Tahoma"/>
          <w:sz w:val="18"/>
          <w:szCs w:val="18"/>
          <w:lang w:val="sr-Latn-BA"/>
        </w:rPr>
        <w:t>.</w:t>
      </w:r>
    </w:p>
    <w:p w:rsidR="009F6652" w:rsidRPr="0066522F" w:rsidRDefault="009F6652" w:rsidP="009B5692">
      <w:pPr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205D07" w:rsidRPr="0066522F" w:rsidRDefault="00205D07" w:rsidP="00B32263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66522F">
        <w:rPr>
          <w:rFonts w:ascii="Tahoma" w:hAnsi="Tahoma" w:cs="Tahoma"/>
          <w:sz w:val="18"/>
          <w:szCs w:val="18"/>
        </w:rPr>
        <w:br w:type="page"/>
      </w:r>
    </w:p>
    <w:p w:rsidR="009F6652" w:rsidRPr="0066522F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DB6D76" w:rsidRPr="0066522F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8C3261" w:rsidRPr="0066522F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66522F" w:rsidRDefault="009B5692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MATERIJAL</w:t>
            </w:r>
            <w:r w:rsidR="008C3261" w:rsidRPr="0066522F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PRIPREMILI</w:t>
            </w:r>
            <w:r w:rsidR="008C3261" w:rsidRPr="0066522F">
              <w:rPr>
                <w:rFonts w:ascii="Tahoma" w:hAnsi="Tahoma" w:cs="Tahoma"/>
                <w:b/>
                <w:lang w:val="sr-Cyrl-CS"/>
              </w:rPr>
              <w:t xml:space="preserve">: </w:t>
            </w:r>
          </w:p>
        </w:tc>
      </w:tr>
      <w:tr w:rsidR="008C3261" w:rsidRPr="0066522F" w:rsidTr="00205D07">
        <w:trPr>
          <w:trHeight w:hRule="exact" w:val="695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66522F" w:rsidRDefault="009B5692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0F0E43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rada</w:t>
            </w:r>
            <w:r w:rsidR="000F0E43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A23F12" w:rsidRPr="0066522F" w:rsidRDefault="009B5692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Biljana</w:t>
            </w:r>
            <w:r w:rsidR="00205D07" w:rsidRPr="0066522F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Glušac</w:t>
            </w:r>
          </w:p>
          <w:p w:rsidR="008C3261" w:rsidRPr="0066522F" w:rsidRDefault="009B5692" w:rsidP="00542A21">
            <w:pPr>
              <w:rPr>
                <w:rFonts w:ascii="Tahoma" w:hAnsi="Tahoma" w:cs="Tahoma"/>
                <w:sz w:val="16"/>
              </w:rPr>
            </w:pPr>
            <w:hyperlink r:id="rId12" w:history="1">
              <w:r w:rsidR="00205D07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biljana.glisic@rzs.rs.ba</w:t>
              </w:r>
            </w:hyperlink>
            <w:r w:rsidR="00205D07" w:rsidRPr="0066522F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66522F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66522F" w:rsidTr="00205D07">
        <w:trPr>
          <w:trHeight w:hRule="exact" w:val="113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66522F" w:rsidRDefault="009B5692" w:rsidP="00542A21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cijena</w:t>
            </w:r>
            <w:r w:rsidR="008C3261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205D07" w:rsidRPr="0066522F" w:rsidRDefault="009B5692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Biljana</w:t>
            </w:r>
            <w:r w:rsidR="00205D07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Tešić</w:t>
            </w:r>
          </w:p>
          <w:p w:rsidR="00205D07" w:rsidRPr="0066522F" w:rsidRDefault="009B5692" w:rsidP="00542A21">
            <w:pPr>
              <w:rPr>
                <w:rFonts w:ascii="Tahoma" w:hAnsi="Tahoma" w:cs="Tahoma"/>
                <w:sz w:val="16"/>
              </w:rPr>
            </w:pPr>
            <w:hyperlink r:id="rId13" w:history="1">
              <w:r w:rsidR="00205D07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biljana.tesic@rzs.rs.ba</w:t>
              </w:r>
            </w:hyperlink>
            <w:r w:rsidR="00205D07" w:rsidRPr="0066522F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66522F" w:rsidRDefault="009B5692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Jasminka</w:t>
            </w:r>
            <w:r w:rsidR="008C3261" w:rsidRPr="0066522F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Milić</w:t>
            </w:r>
          </w:p>
          <w:p w:rsidR="008C3261" w:rsidRPr="0066522F" w:rsidRDefault="009B5692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4" w:history="1"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66522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66522F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66522F" w:rsidRDefault="009B5692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industrije</w:t>
            </w:r>
            <w:r w:rsidR="008C3261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</w:t>
            </w:r>
            <w:r w:rsidR="008C3261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rudarstva</w:t>
            </w:r>
            <w:r w:rsidR="008C3261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66522F" w:rsidRDefault="009B5692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Mirjana</w:t>
            </w:r>
            <w:r w:rsidR="008D6CFA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Bandur</w:t>
            </w:r>
          </w:p>
          <w:p w:rsidR="008C3261" w:rsidRPr="0066522F" w:rsidRDefault="009B5692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5" w:history="1"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  <w:r w:rsidR="008C3261" w:rsidRPr="0066522F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66522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66522F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66522F" w:rsidRDefault="009B5692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spoljne</w:t>
            </w:r>
            <w:r w:rsidR="008C3261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C3261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66522F" w:rsidRDefault="009B5692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Stojčević</w:t>
            </w:r>
          </w:p>
          <w:p w:rsidR="008C3261" w:rsidRPr="0066522F" w:rsidRDefault="009B5692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6" w:history="1"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66522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372FAD" w:rsidRPr="0066522F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372FAD" w:rsidRPr="0066522F" w:rsidRDefault="009B5692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372FAD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stanovništva</w:t>
            </w:r>
          </w:p>
          <w:p w:rsidR="00372FAD" w:rsidRPr="0066522F" w:rsidRDefault="009B5692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Milka</w:t>
            </w:r>
            <w:r w:rsidR="00372FAD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Miholjčić</w:t>
            </w:r>
          </w:p>
          <w:p w:rsidR="00372FAD" w:rsidRPr="0066522F" w:rsidRDefault="009B5692" w:rsidP="00372FAD">
            <w:pPr>
              <w:rPr>
                <w:lang w:val="sr-Cyrl-CS"/>
              </w:rPr>
            </w:pPr>
            <w:hyperlink r:id="rId17" w:history="1"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milka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miholjcic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372FAD" w:rsidRPr="0066522F" w:rsidRDefault="00372FAD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27310B" w:rsidRPr="0066522F" w:rsidTr="0027310B">
        <w:trPr>
          <w:trHeight w:hRule="exact" w:val="1134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7310B" w:rsidRPr="0066522F" w:rsidRDefault="009B5692" w:rsidP="0027310B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27310B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visokog</w:t>
            </w:r>
            <w:r w:rsidR="0027310B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obrazovanja</w:t>
            </w:r>
            <w:r w:rsidR="0027310B"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27310B" w:rsidRPr="0066522F" w:rsidRDefault="009B5692" w:rsidP="0027310B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Dolores</w:t>
            </w:r>
            <w:r w:rsidR="0027310B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Peulić</w:t>
            </w:r>
          </w:p>
          <w:p w:rsidR="0027310B" w:rsidRPr="0066522F" w:rsidRDefault="009B5692" w:rsidP="0027310B">
            <w:pPr>
              <w:rPr>
                <w:lang w:val="sr-Cyrl-CS"/>
              </w:rPr>
            </w:pPr>
            <w:hyperlink r:id="rId18" w:history="1"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dolores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peulic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27310B" w:rsidRPr="0066522F" w:rsidRDefault="009B5692" w:rsidP="0027310B">
            <w:pPr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  <w:szCs w:val="16"/>
                <w:lang w:val="sr-Cyrl-CS"/>
              </w:rPr>
              <w:t>Dean</w:t>
            </w:r>
            <w:r w:rsidR="0027310B" w:rsidRPr="0066522F">
              <w:rPr>
                <w:rFonts w:ascii="Tahoma" w:hAnsi="Tahoma" w:cs="Tahoma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sr-Cyrl-CS"/>
              </w:rPr>
              <w:t>Arežina</w:t>
            </w:r>
            <w:r w:rsidR="0027310B" w:rsidRPr="0066522F">
              <w:rPr>
                <w:rFonts w:ascii="Tahoma" w:hAnsi="Tahoma" w:cs="Tahoma"/>
                <w:sz w:val="16"/>
                <w:szCs w:val="16"/>
                <w:lang w:val="sr-Cyrl-CS"/>
              </w:rPr>
              <w:t xml:space="preserve"> </w:t>
            </w:r>
          </w:p>
          <w:p w:rsidR="0027310B" w:rsidRPr="0066522F" w:rsidRDefault="009B5692" w:rsidP="0027310B">
            <w:pPr>
              <w:rPr>
                <w:lang w:val="sr-Cyrl-CS"/>
              </w:rPr>
            </w:pPr>
            <w:hyperlink r:id="rId19" w:history="1"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dean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arezina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27310B" w:rsidRPr="0066522F" w:rsidRDefault="0027310B" w:rsidP="0027310B">
            <w:pPr>
              <w:rPr>
                <w:rFonts w:ascii="Tahoma" w:hAnsi="Tahoma" w:cs="Tahoma"/>
                <w:sz w:val="16"/>
                <w:lang w:val="sr-Cyrl-CS"/>
              </w:rPr>
            </w:pPr>
          </w:p>
          <w:p w:rsidR="0027310B" w:rsidRPr="0066522F" w:rsidRDefault="0027310B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</w:tbl>
    <w:p w:rsidR="00C14E1B" w:rsidRPr="0066522F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C3261" w:rsidRPr="0066522F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66522F" w:rsidRDefault="009B5692" w:rsidP="009B5692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OBJAŠN</w:t>
            </w:r>
            <w:r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  <w:lang w:val="sr-Cyrl-CS"/>
              </w:rPr>
              <w:t>EN</w:t>
            </w:r>
            <w:r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  <w:lang w:val="sr-Cyrl-CS"/>
              </w:rPr>
              <w:t>A</w:t>
            </w:r>
            <w:r w:rsidR="008C3261" w:rsidRPr="0066522F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POJMOVA</w:t>
            </w:r>
          </w:p>
        </w:tc>
      </w:tr>
      <w:tr w:rsidR="008C3261" w:rsidRPr="0066522F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66522F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66522F">
              <w:rPr>
                <w:rFonts w:ascii="Tahoma" w:hAnsi="Tahoma" w:cs="Tahoma"/>
                <w:b/>
                <w:bCs/>
              </w:rPr>
              <w:sym w:font="Symbol" w:char="00C6"/>
            </w:r>
            <w:r w:rsidRPr="0066522F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66522F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9B5692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prosjek</w:t>
            </w:r>
          </w:p>
        </w:tc>
      </w:tr>
    </w:tbl>
    <w:p w:rsidR="00A115B5" w:rsidRPr="0066522F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66522F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66522F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66522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66522F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66522F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66522F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66522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66522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66522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66522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66522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  <w:bookmarkStart w:id="0" w:name="_GoBack"/>
      <w:bookmarkEnd w:id="0"/>
    </w:p>
    <w:p w:rsidR="00330DBE" w:rsidRPr="0066522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66522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66522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66522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66522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66522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Latn-CS"/>
        </w:rPr>
      </w:pPr>
    </w:p>
    <w:p w:rsidR="00205D07" w:rsidRPr="0066522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A72953" w:rsidRPr="0066522F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66522F" w:rsidRDefault="009B5692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8C3261" w:rsidRPr="0066522F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66522F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66522F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66522F" w:rsidRDefault="009B5692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</w:t>
            </w:r>
            <w:r>
              <w:rPr>
                <w:rFonts w:ascii="Tahoma" w:hAnsi="Tahoma" w:cs="Tahoma"/>
                <w:sz w:val="16"/>
              </w:rPr>
              <w:t>te</w:t>
            </w:r>
            <w:r>
              <w:rPr>
                <w:rFonts w:ascii="Tahoma" w:hAnsi="Tahoma" w:cs="Tahoma"/>
                <w:sz w:val="16"/>
                <w:lang w:val="sr-Cyrl-CS"/>
              </w:rPr>
              <w:t>nj</w:t>
            </w:r>
            <w:r>
              <w:rPr>
                <w:rFonts w:ascii="Tahoma" w:hAnsi="Tahoma" w:cs="Tahoma"/>
                <w:sz w:val="16"/>
              </w:rPr>
              <w:t>e</w:t>
            </w:r>
            <w:r w:rsidR="008C3261" w:rsidRPr="0066522F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pripremilo</w:t>
            </w:r>
            <w:r w:rsidR="008C3261" w:rsidRPr="0066522F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odjeljenje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publikacija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</w:p>
        </w:tc>
      </w:tr>
      <w:tr w:rsidR="008C3261" w:rsidRPr="0066522F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66522F" w:rsidRDefault="009B5692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Vladan</w:t>
            </w:r>
            <w:r w:rsidR="008C3261" w:rsidRPr="0066522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Sibinović</w:t>
            </w:r>
            <w:r w:rsidR="008C3261" w:rsidRPr="0066522F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načelnik</w:t>
            </w:r>
            <w:r w:rsidR="008C3261" w:rsidRPr="0066522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odjeljenja</w:t>
            </w:r>
            <w:r w:rsidR="008C3261" w:rsidRPr="0066522F">
              <w:rPr>
                <w:rFonts w:ascii="Tahoma" w:hAnsi="Tahoma" w:cs="Tahoma"/>
                <w:sz w:val="16"/>
                <w:lang w:val="ru-RU"/>
              </w:rPr>
              <w:t xml:space="preserve"> </w:t>
            </w:r>
          </w:p>
          <w:p w:rsidR="008C3261" w:rsidRPr="0066522F" w:rsidRDefault="009B5692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Izdaje</w:t>
            </w:r>
            <w:r w:rsidR="008C3261" w:rsidRPr="0066522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Republički</w:t>
            </w:r>
            <w:r w:rsidR="008C3261" w:rsidRPr="0066522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zavod</w:t>
            </w:r>
            <w:r w:rsidR="008C3261" w:rsidRPr="0066522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</w:t>
            </w:r>
            <w:r w:rsidR="008C3261" w:rsidRPr="0066522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statistiku</w:t>
            </w:r>
            <w:r w:rsidR="008C3261" w:rsidRPr="0066522F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8C3261" w:rsidRPr="0066522F" w:rsidRDefault="009B5692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Republika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Srpska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Banja</w:t>
            </w:r>
            <w:r w:rsidR="008C3261" w:rsidRPr="0066522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Luka</w:t>
            </w:r>
            <w:r w:rsidR="008C3261" w:rsidRPr="0066522F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Veljka</w:t>
            </w:r>
            <w:r w:rsidR="008C3261" w:rsidRPr="0066522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Mlađenovića</w:t>
            </w:r>
            <w:r w:rsidR="008C3261" w:rsidRPr="0066522F"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  <w:lang w:val="ru-RU"/>
              </w:rPr>
              <w:t>d</w:t>
            </w:r>
          </w:p>
          <w:p w:rsidR="008C3261" w:rsidRPr="0066522F" w:rsidRDefault="009B5692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Dr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Radmila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Čičković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d</w:t>
            </w:r>
            <w:r>
              <w:rPr>
                <w:rFonts w:ascii="Tahoma" w:hAnsi="Tahoma" w:cs="Tahoma"/>
                <w:sz w:val="16"/>
                <w:lang w:val="ru-RU"/>
              </w:rPr>
              <w:t>irektor</w:t>
            </w:r>
            <w:r w:rsidR="008C3261" w:rsidRPr="0066522F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Zavoda</w:t>
            </w:r>
          </w:p>
          <w:p w:rsidR="008C3261" w:rsidRPr="0066522F" w:rsidRDefault="009B5692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Saopštenje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je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objavljeno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Internetu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adresi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="008C3261" w:rsidRPr="0066522F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="008C3261" w:rsidRPr="0066522F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66522F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r w:rsidR="008C3261" w:rsidRPr="0066522F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66522F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r w:rsidR="008C3261" w:rsidRPr="0066522F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66522F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</w:p>
          <w:p w:rsidR="008C3261" w:rsidRPr="0066522F" w:rsidRDefault="009B5692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tel</w:t>
            </w:r>
            <w:r w:rsidR="008C3261" w:rsidRPr="0066522F">
              <w:rPr>
                <w:rFonts w:ascii="Tahoma" w:hAnsi="Tahoma" w:cs="Tahoma"/>
                <w:sz w:val="16"/>
                <w:lang w:val="ru-RU"/>
              </w:rPr>
              <w:t>. +387 51 </w:t>
            </w:r>
            <w:r w:rsidR="008C3261" w:rsidRPr="0066522F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="008C3261" w:rsidRPr="0066522F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="008C3261" w:rsidRPr="0066522F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="008C3261" w:rsidRPr="0066522F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="008C3261" w:rsidRPr="0066522F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="008C3261" w:rsidRPr="0066522F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20" w:history="1"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66522F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66522F" w:rsidRDefault="009B5692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Prilikom</w:t>
            </w:r>
            <w:r w:rsidR="008C3261" w:rsidRPr="0066522F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koriš</w:t>
            </w:r>
            <w:r>
              <w:rPr>
                <w:rFonts w:ascii="Tahoma" w:hAnsi="Tahoma" w:cs="Tahoma"/>
                <w:b/>
                <w:bCs/>
                <w:sz w:val="16"/>
                <w:lang w:val="sr-Cyrl-CS"/>
              </w:rPr>
              <w:t>ć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enja</w:t>
            </w:r>
            <w:r w:rsidR="008C3261" w:rsidRPr="0066522F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podataka</w:t>
            </w:r>
            <w:r w:rsidR="008C3261" w:rsidRPr="0066522F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obavezno</w:t>
            </w:r>
            <w:r w:rsidR="008C3261" w:rsidRPr="0066522F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navesti</w:t>
            </w:r>
            <w:r w:rsidR="008C3261" w:rsidRPr="0066522F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izvor</w:t>
            </w:r>
          </w:p>
        </w:tc>
      </w:tr>
    </w:tbl>
    <w:p w:rsidR="008C3261" w:rsidRPr="0066522F" w:rsidRDefault="009B5692" w:rsidP="008C3261">
      <w:pPr>
        <w:rPr>
          <w:lang w:val="sr-Cyrl-BA"/>
        </w:rPr>
      </w:pPr>
      <w:r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66522F" w:rsidRDefault="00657939" w:rsidP="008C3261">
      <w:pPr>
        <w:rPr>
          <w:lang w:val="sr-Cyrl-BA"/>
        </w:rPr>
      </w:pPr>
    </w:p>
    <w:sectPr w:rsidR="00657939" w:rsidRPr="0066522F" w:rsidSect="005D5311">
      <w:headerReference w:type="default" r:id="rId21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7C" w:rsidRDefault="00654E7C">
      <w:r>
        <w:separator/>
      </w:r>
    </w:p>
  </w:endnote>
  <w:endnote w:type="continuationSeparator" w:id="0">
    <w:p w:rsidR="00654E7C" w:rsidRDefault="0065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7C" w:rsidRDefault="00654E7C">
      <w:r>
        <w:separator/>
      </w:r>
    </w:p>
  </w:footnote>
  <w:footnote w:type="continuationSeparator" w:id="0">
    <w:p w:rsidR="00654E7C" w:rsidRDefault="0065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654E7C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654E7C" w:rsidRDefault="009B5692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Republički</w:t>
          </w:r>
          <w:r w:rsidR="00654E7C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zavod</w:t>
          </w:r>
          <w:r w:rsidR="00654E7C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za</w:t>
          </w:r>
          <w:r w:rsidR="00654E7C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statistiku</w:t>
          </w:r>
        </w:p>
        <w:p w:rsidR="00654E7C" w:rsidRPr="00460A5B" w:rsidRDefault="009B5692" w:rsidP="009B5692">
          <w:pPr>
            <w:pStyle w:val="Header"/>
            <w:rPr>
              <w:color w:val="FFFFFF"/>
              <w:lang w:val="ru-RU"/>
            </w:rPr>
          </w:pPr>
          <w:r>
            <w:rPr>
              <w:rFonts w:ascii="Tahoma" w:hAnsi="Tahoma" w:cs="Tahoma"/>
              <w:b/>
              <w:color w:val="FFFFFF"/>
              <w:lang w:val="sr-Cyrl-BA"/>
            </w:rPr>
            <w:t>SAOPŠTEN</w:t>
          </w:r>
          <w:r>
            <w:rPr>
              <w:rFonts w:ascii="Tahoma" w:hAnsi="Tahoma" w:cs="Tahoma"/>
              <w:b/>
              <w:color w:val="FFFFFF"/>
            </w:rPr>
            <w:t>J</w:t>
          </w:r>
          <w:r>
            <w:rPr>
              <w:rFonts w:ascii="Tahoma" w:hAnsi="Tahoma" w:cs="Tahoma"/>
              <w:b/>
              <w:color w:val="FFFFFF"/>
              <w:lang w:val="sr-Cyrl-BA"/>
            </w:rPr>
            <w:t>E</w:t>
          </w:r>
          <w:r w:rsidR="00654E7C" w:rsidRPr="002B0900">
            <w:rPr>
              <w:rFonts w:ascii="Tahoma" w:hAnsi="Tahoma" w:cs="Tahoma"/>
              <w:b/>
              <w:color w:val="FFFFFF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lang w:val="sr-Cyrl-BA"/>
            </w:rPr>
            <w:t>ZA</w:t>
          </w:r>
          <w:r w:rsidR="00654E7C" w:rsidRPr="002B0900">
            <w:rPr>
              <w:rFonts w:ascii="Tahoma" w:hAnsi="Tahoma" w:cs="Tahoma"/>
              <w:b/>
              <w:color w:val="FFFFFF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lang w:val="sr-Cyrl-BA"/>
            </w:rPr>
            <w:t>MEDIJE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654E7C" w:rsidRPr="005D5311" w:rsidRDefault="00654E7C" w:rsidP="00827A9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r w:rsidR="009B5692">
            <w:rPr>
              <w:rFonts w:ascii="Tahoma" w:hAnsi="Tahoma" w:cs="Tahoma"/>
              <w:color w:val="0070C0"/>
              <w:sz w:val="16"/>
              <w:lang w:val="bs-Cyrl-BA"/>
            </w:rPr>
            <w:t>ma</w:t>
          </w:r>
          <w:r w:rsidR="009B5692">
            <w:rPr>
              <w:rFonts w:ascii="Tahoma" w:hAnsi="Tahoma" w:cs="Tahoma"/>
              <w:color w:val="0070C0"/>
              <w:sz w:val="16"/>
            </w:rPr>
            <w:t>j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</w:t>
          </w:r>
          <w:r w:rsidR="00E0406B"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</w:t>
          </w:r>
          <w:r w:rsidR="003E5FB2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3E5FB2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9B5692">
            <w:rPr>
              <w:rStyle w:val="PageNumber"/>
              <w:rFonts w:ascii="Tahoma" w:hAnsi="Tahoma"/>
              <w:b/>
              <w:noProof/>
              <w:color w:val="0070C0"/>
            </w:rPr>
            <w:t>7</w:t>
          </w:r>
          <w:r w:rsidR="003E5FB2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654E7C" w:rsidRDefault="009B5692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7D1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5CAF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4A3A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5A3B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3E57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5A0D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5840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4CB0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709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5CC5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0D93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019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310B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70A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5C6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2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276B"/>
    <w:rsid w:val="00372FAD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A46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5FB2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613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6322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0E89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11E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0CD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9FD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B67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8AD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4E7C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F86"/>
    <w:rsid w:val="00664BB8"/>
    <w:rsid w:val="00664CCF"/>
    <w:rsid w:val="0066513E"/>
    <w:rsid w:val="0066522F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21F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032"/>
    <w:rsid w:val="0069331D"/>
    <w:rsid w:val="00693412"/>
    <w:rsid w:val="006935B5"/>
    <w:rsid w:val="00693F16"/>
    <w:rsid w:val="006950C8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AEE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364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57D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371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4DE9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0BF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8EB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A92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70D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DF8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0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0D74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AE3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2B"/>
    <w:rsid w:val="00950884"/>
    <w:rsid w:val="00950D8B"/>
    <w:rsid w:val="0095100C"/>
    <w:rsid w:val="0095120D"/>
    <w:rsid w:val="00951600"/>
    <w:rsid w:val="00951F1E"/>
    <w:rsid w:val="00952316"/>
    <w:rsid w:val="00952A9F"/>
    <w:rsid w:val="00952F44"/>
    <w:rsid w:val="00953095"/>
    <w:rsid w:val="0095396E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07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286"/>
    <w:rsid w:val="009B3927"/>
    <w:rsid w:val="009B3B15"/>
    <w:rsid w:val="009B3D8C"/>
    <w:rsid w:val="009B5639"/>
    <w:rsid w:val="009B5692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1FCD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956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60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475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5F0D"/>
    <w:rsid w:val="00B06CC6"/>
    <w:rsid w:val="00B06D8B"/>
    <w:rsid w:val="00B07584"/>
    <w:rsid w:val="00B0787F"/>
    <w:rsid w:val="00B07A65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63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BC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81E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4A3"/>
    <w:rsid w:val="00BE6563"/>
    <w:rsid w:val="00BE6727"/>
    <w:rsid w:val="00BE6E85"/>
    <w:rsid w:val="00BE7239"/>
    <w:rsid w:val="00BE7313"/>
    <w:rsid w:val="00BE794D"/>
    <w:rsid w:val="00BF01FE"/>
    <w:rsid w:val="00BF06FD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0A2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0EB2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6C6E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0EC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1FE5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A4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441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041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06B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0C3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2B1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16D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6B1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6B3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594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921"/>
    <w:rsid w:val="00F04A63"/>
    <w:rsid w:val="00F04EC2"/>
    <w:rsid w:val="00F0526E"/>
    <w:rsid w:val="00F056AC"/>
    <w:rsid w:val="00F05740"/>
    <w:rsid w:val="00F0577B"/>
    <w:rsid w:val="00F05870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8D6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0629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33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3422"/>
    <w:rsid w:val="00FE5BA2"/>
    <w:rsid w:val="00FE5BF0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ljana.tesic@rzs.rs.ba" TargetMode="External"/><Relationship Id="rId18" Type="http://schemas.openxmlformats.org/officeDocument/2006/relationships/hyperlink" Target="mailto:dolores.peulic@rzs.rs.b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biljana.glisic@rzs.rs.ba" TargetMode="External"/><Relationship Id="rId17" Type="http://schemas.openxmlformats.org/officeDocument/2006/relationships/hyperlink" Target="mailto:milka.miholjc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mailto:mirjana.bandur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mailto:dean.arezina@rzs.rs.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jasminka.mil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2012\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april2012\zaGraf%20I-IV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29"/>
          <c:w val="0.65206660337670563"/>
          <c:h val="0.56589036642323054"/>
        </c:manualLayout>
      </c:layout>
      <c:lineChart>
        <c:grouping val="standard"/>
        <c:varyColors val="0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lll</c:v>
                </c:pt>
                <c:pt idx="12">
                  <c:v>IV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803</c:v>
                </c:pt>
                <c:pt idx="1">
                  <c:v>816</c:v>
                </c:pt>
                <c:pt idx="2">
                  <c:v>817</c:v>
                </c:pt>
                <c:pt idx="3">
                  <c:v>811</c:v>
                </c:pt>
                <c:pt idx="4">
                  <c:v>813</c:v>
                </c:pt>
                <c:pt idx="5">
                  <c:v>807</c:v>
                </c:pt>
                <c:pt idx="6">
                  <c:v>802</c:v>
                </c:pt>
                <c:pt idx="7">
                  <c:v>813</c:v>
                </c:pt>
                <c:pt idx="8">
                  <c:v>815</c:v>
                </c:pt>
                <c:pt idx="9">
                  <c:v>819</c:v>
                </c:pt>
                <c:pt idx="10">
                  <c:v>821</c:v>
                </c:pt>
                <c:pt idx="11">
                  <c:v>814</c:v>
                </c:pt>
                <c:pt idx="12">
                  <c:v>817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287424"/>
        <c:axId val="37996800"/>
      </c:lineChart>
      <c:catAx>
        <c:axId val="37287424"/>
        <c:scaling>
          <c:orientation val="minMax"/>
        </c:scaling>
        <c:delete val="0"/>
        <c:axPos val="b"/>
        <c:majorTickMark val="out"/>
        <c:minorTickMark val="none"/>
        <c:tickLblPos val="nextTo"/>
        <c:crossAx val="37996800"/>
        <c:crosses val="autoZero"/>
        <c:auto val="0"/>
        <c:lblAlgn val="ctr"/>
        <c:lblOffset val="100"/>
        <c:noMultiLvlLbl val="0"/>
      </c:catAx>
      <c:valAx>
        <c:axId val="37996800"/>
        <c:scaling>
          <c:orientation val="minMax"/>
          <c:max val="850"/>
          <c:min val="6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287424"/>
        <c:crosses val="autoZero"/>
        <c:crossBetween val="between"/>
        <c:majorUnit val="40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73856345292334968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zaMart2012!$A$2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zaMart2012!$B$1:$N$1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zaMart2012!$B$2:$N$2</c:f>
              <c:numCache>
                <c:formatCode>General</c:formatCode>
                <c:ptCount val="13"/>
                <c:pt idx="0">
                  <c:v>344250</c:v>
                </c:pt>
                <c:pt idx="1">
                  <c:v>344720</c:v>
                </c:pt>
                <c:pt idx="2">
                  <c:v>467781</c:v>
                </c:pt>
                <c:pt idx="3">
                  <c:v>408777</c:v>
                </c:pt>
                <c:pt idx="4">
                  <c:v>375448</c:v>
                </c:pt>
                <c:pt idx="5">
                  <c:v>423860</c:v>
                </c:pt>
                <c:pt idx="6">
                  <c:v>396712</c:v>
                </c:pt>
                <c:pt idx="7">
                  <c:v>393737</c:v>
                </c:pt>
                <c:pt idx="8">
                  <c:v>456851</c:v>
                </c:pt>
                <c:pt idx="9">
                  <c:v>290628</c:v>
                </c:pt>
                <c:pt idx="10">
                  <c:v>242647</c:v>
                </c:pt>
                <c:pt idx="11">
                  <c:v>474050</c:v>
                </c:pt>
                <c:pt idx="12">
                  <c:v>372397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zaMart2012!$A$3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zaMart2012!$B$1:$N$1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zaMart2012!$B$3:$N$3</c:f>
              <c:numCache>
                <c:formatCode>General</c:formatCode>
                <c:ptCount val="13"/>
                <c:pt idx="0">
                  <c:v>213851</c:v>
                </c:pt>
                <c:pt idx="1">
                  <c:v>207617</c:v>
                </c:pt>
                <c:pt idx="2">
                  <c:v>228912</c:v>
                </c:pt>
                <c:pt idx="3">
                  <c:v>214293</c:v>
                </c:pt>
                <c:pt idx="4">
                  <c:v>218373</c:v>
                </c:pt>
                <c:pt idx="5">
                  <c:v>248961</c:v>
                </c:pt>
                <c:pt idx="6">
                  <c:v>220859</c:v>
                </c:pt>
                <c:pt idx="7">
                  <c:v>225703</c:v>
                </c:pt>
                <c:pt idx="8">
                  <c:v>203743</c:v>
                </c:pt>
                <c:pt idx="9">
                  <c:v>158330</c:v>
                </c:pt>
                <c:pt idx="10">
                  <c:v>161327</c:v>
                </c:pt>
                <c:pt idx="11">
                  <c:v>214153</c:v>
                </c:pt>
                <c:pt idx="12">
                  <c:v>204813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288960"/>
        <c:axId val="37997952"/>
      </c:lineChart>
      <c:catAx>
        <c:axId val="37288960"/>
        <c:scaling>
          <c:orientation val="minMax"/>
        </c:scaling>
        <c:delete val="0"/>
        <c:axPos val="b"/>
        <c:majorTickMark val="out"/>
        <c:minorTickMark val="none"/>
        <c:tickLblPos val="nextTo"/>
        <c:crossAx val="37997952"/>
        <c:crosses val="autoZero"/>
        <c:auto val="1"/>
        <c:lblAlgn val="ctr"/>
        <c:lblOffset val="100"/>
        <c:noMultiLvlLbl val="0"/>
      </c:catAx>
      <c:valAx>
        <c:axId val="37997952"/>
        <c:scaling>
          <c:orientation val="minMax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crossAx val="37288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28765937151263"/>
          <c:y val="0.41628280839895254"/>
          <c:w val="0.13669099874979726"/>
          <c:h val="0.16743438320210094"/>
        </c:manualLayout>
      </c:layout>
      <c:overlay val="0"/>
      <c:txPr>
        <a:bodyPr/>
        <a:lstStyle/>
        <a:p>
          <a:pPr>
            <a:defRPr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B5F4-DA33-4FBF-9A9C-6A0E37CE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6</Pages>
  <Words>2308</Words>
  <Characters>14190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16466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dc:description/>
  <cp:lastModifiedBy>Vladan Sibinovic</cp:lastModifiedBy>
  <cp:revision>11</cp:revision>
  <cp:lastPrinted>2012-05-18T12:20:00Z</cp:lastPrinted>
  <dcterms:created xsi:type="dcterms:W3CDTF">2012-03-21T08:18:00Z</dcterms:created>
  <dcterms:modified xsi:type="dcterms:W3CDTF">2012-05-22T10:31:00Z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