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DB54DA" w:rsidTr="00EB450E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DB54DA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DB54DA">
              <w:rPr>
                <w:rFonts w:ascii="Tahoma" w:hAnsi="Tahoma" w:cs="Tahoma"/>
              </w:rPr>
              <w:br w:type="column"/>
            </w:r>
            <w:r w:rsidRPr="00DB54DA">
              <w:rPr>
                <w:rFonts w:ascii="Tahoma" w:hAnsi="Tahoma" w:cs="Tahoma"/>
              </w:rPr>
              <w:br w:type="column"/>
            </w:r>
            <w:r w:rsidRPr="00DB54DA">
              <w:rPr>
                <w:rFonts w:ascii="Tahoma" w:hAnsi="Tahoma" w:cs="Tahoma"/>
              </w:rPr>
              <w:br w:type="page"/>
            </w:r>
            <w:r w:rsidRPr="00DB54DA">
              <w:rPr>
                <w:rFonts w:ascii="Tahoma" w:hAnsi="Tahoma" w:cs="Tahoma"/>
              </w:rPr>
              <w:br w:type="page"/>
            </w:r>
            <w:r w:rsidR="00B97590" w:rsidRPr="00DB54DA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DB54DA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DB54DA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DB54DA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DB54DA" w:rsidRDefault="005D5311" w:rsidP="00DB54DA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</w:rPr>
            </w:pPr>
            <w:r w:rsidRPr="00DB54DA">
              <w:rPr>
                <w:rFonts w:ascii="Tahoma" w:hAnsi="Tahoma" w:cs="Tahoma"/>
                <w:sz w:val="16"/>
                <w:lang w:val="sr-Cyrl-BA"/>
              </w:rPr>
              <w:t>[</w:t>
            </w:r>
            <w:r w:rsidR="009B294C" w:rsidRPr="00DB54DA">
              <w:rPr>
                <w:rFonts w:ascii="Tahoma" w:hAnsi="Tahoma" w:cs="Tahoma"/>
                <w:sz w:val="16"/>
                <w:lang w:val="sr-Cyrl-BA"/>
              </w:rPr>
              <w:t>2</w:t>
            </w:r>
            <w:r w:rsidR="00AA6475" w:rsidRPr="00DB54DA">
              <w:rPr>
                <w:rFonts w:ascii="Tahoma" w:hAnsi="Tahoma" w:cs="Tahoma"/>
                <w:sz w:val="16"/>
              </w:rPr>
              <w:t>2</w:t>
            </w:r>
            <w:r w:rsidRPr="00DB54DA">
              <w:rPr>
                <w:rFonts w:ascii="Tahoma" w:hAnsi="Tahoma" w:cs="Tahoma"/>
                <w:sz w:val="16"/>
                <w:lang w:val="bs-Cyrl-BA"/>
              </w:rPr>
              <w:t xml:space="preserve">. </w:t>
            </w:r>
            <w:r w:rsidR="00DB54DA" w:rsidRPr="00DB54DA">
              <w:rPr>
                <w:rFonts w:ascii="Tahoma" w:hAnsi="Tahoma" w:cs="Tahoma"/>
                <w:sz w:val="16"/>
                <w:lang w:val="sr-Cyrl-CS"/>
              </w:rPr>
              <w:t>јун</w:t>
            </w:r>
            <w:r w:rsidR="00AA6475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1A34F5" w:rsidRPr="00DB54DA">
              <w:rPr>
                <w:rFonts w:ascii="Tahoma" w:hAnsi="Tahoma" w:cs="Tahoma"/>
                <w:sz w:val="16"/>
                <w:lang w:val="sr-Cyrl-BA"/>
              </w:rPr>
              <w:t>2012</w:t>
            </w:r>
            <w:r w:rsidRPr="00DB54DA">
              <w:rPr>
                <w:rFonts w:ascii="Tahoma" w:hAnsi="Tahoma" w:cs="Tahoma"/>
                <w:sz w:val="16"/>
                <w:lang w:val="sr-Cyrl-BA"/>
              </w:rPr>
              <w:t xml:space="preserve">.]  </w:t>
            </w:r>
            <w:r w:rsidR="00DB54DA" w:rsidRPr="00DB54DA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6</w:t>
            </w:r>
            <w:r w:rsidRPr="00DB54DA">
              <w:rPr>
                <w:rFonts w:ascii="Tahoma" w:hAnsi="Tahoma" w:cs="Tahoma"/>
                <w:b/>
                <w:sz w:val="32"/>
                <w:szCs w:val="32"/>
                <w:lang w:val="sr-Cyrl-BA"/>
              </w:rPr>
              <w:t>/1</w:t>
            </w:r>
            <w:r w:rsidR="00910A31" w:rsidRPr="00DB54DA">
              <w:rPr>
                <w:rFonts w:ascii="Tahoma" w:hAnsi="Tahoma" w:cs="Tahoma"/>
                <w:b/>
                <w:sz w:val="32"/>
                <w:szCs w:val="32"/>
              </w:rPr>
              <w:t>2</w:t>
            </w:r>
          </w:p>
        </w:tc>
      </w:tr>
      <w:tr w:rsidR="005D5311" w:rsidRPr="00DB54DA" w:rsidTr="00EB450E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DB54DA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DB54DA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DB54DA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DB54DA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4DA" w:rsidRDefault="007E158B" w:rsidP="008B720B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DB54DA"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јун </w:t>
            </w:r>
            <w:r w:rsidR="00910A31"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 w:rsidR="00910A31"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г</w:t>
            </w:r>
            <w:r w:rsidR="002F5E38"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одине</w:t>
            </w:r>
          </w:p>
        </w:tc>
      </w:tr>
      <w:tr w:rsidR="00193339" w:rsidRPr="00DB54DA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4DA" w:rsidRDefault="008728B3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 w:rsidRPr="00DB54D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07584" w:rsidRPr="00DB54DA" w:rsidRDefault="00B07584" w:rsidP="009215D1">
      <w:pPr>
        <w:spacing w:line="360" w:lineRule="auto"/>
        <w:jc w:val="both"/>
        <w:rPr>
          <w:lang w:val="sr-Cyrl-BA"/>
        </w:rPr>
      </w:pPr>
    </w:p>
    <w:p w:rsidR="00E16510" w:rsidRPr="00DB54DA" w:rsidRDefault="00E16510" w:rsidP="00E16510">
      <w:pPr>
        <w:jc w:val="both"/>
        <w:rPr>
          <w:rFonts w:ascii="Tahoma" w:hAnsi="Tahoma" w:cs="Tahoma"/>
          <w:lang w:val="sr-Cyrl-CS"/>
        </w:rPr>
      </w:pPr>
      <w:r w:rsidRPr="00DB54DA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DB54DA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DB54DA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DB54DA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DB54DA">
        <w:rPr>
          <w:rFonts w:ascii="Tahoma" w:hAnsi="Tahoma" w:cs="Tahoma"/>
          <w:b/>
          <w:sz w:val="28"/>
          <w:szCs w:val="28"/>
          <w:lang w:val="sr-Cyrl-CS"/>
        </w:rPr>
        <w:t>мају 826</w:t>
      </w:r>
      <w:r w:rsidRPr="00DB54DA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E16510" w:rsidRPr="00DB54DA" w:rsidRDefault="00E16510" w:rsidP="00E16510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DB54DA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DB54DA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DB54DA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Pr="00DB54DA">
        <w:rPr>
          <w:rFonts w:ascii="Tahoma" w:hAnsi="Tahoma" w:cs="Tahoma"/>
          <w:sz w:val="24"/>
          <w:szCs w:val="24"/>
          <w:lang w:val="ru-RU"/>
        </w:rPr>
        <w:t xml:space="preserve"> 1 </w:t>
      </w:r>
      <w:r w:rsidRPr="00DB54DA">
        <w:rPr>
          <w:rFonts w:ascii="Tahoma" w:hAnsi="Tahoma" w:cs="Tahoma"/>
          <w:sz w:val="24"/>
          <w:szCs w:val="24"/>
          <w:lang w:val="sr-Cyrl-CS"/>
        </w:rPr>
        <w:t>344</w:t>
      </w:r>
      <w:r w:rsidRPr="00DB54DA">
        <w:rPr>
          <w:rFonts w:ascii="Tahoma" w:hAnsi="Tahoma" w:cs="Tahoma"/>
          <w:sz w:val="24"/>
          <w:szCs w:val="24"/>
          <w:lang w:val="ru-RU"/>
        </w:rPr>
        <w:t xml:space="preserve"> КМ</w:t>
      </w:r>
      <w:r w:rsidRPr="00DB54DA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Pr="00DB54DA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Pr="00DB54DA">
        <w:rPr>
          <w:rFonts w:ascii="Tahoma" w:hAnsi="Tahoma" w:cs="Tahoma"/>
          <w:sz w:val="24"/>
          <w:szCs w:val="24"/>
          <w:lang w:val="sr-Cyrl-CS"/>
        </w:rPr>
        <w:t xml:space="preserve"> 562 КМ</w:t>
      </w:r>
    </w:p>
    <w:p w:rsidR="00E16510" w:rsidRPr="00DB54DA" w:rsidRDefault="00E16510" w:rsidP="00E16510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E16510" w:rsidRPr="00DB54DA" w:rsidRDefault="00E16510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DB54DA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исплаћена у мају 2012.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DB54DA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826 КМ</w:t>
      </w:r>
      <w:r w:rsidRPr="00DB54DA">
        <w:rPr>
          <w:rFonts w:ascii="Tahoma" w:hAnsi="Tahoma" w:cs="Tahoma"/>
          <w:sz w:val="18"/>
          <w:szCs w:val="18"/>
          <w:lang w:val="hr-HR"/>
        </w:rPr>
        <w:t>,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DB54DA">
        <w:rPr>
          <w:rFonts w:ascii="Tahoma" w:hAnsi="Tahoma" w:cs="Tahoma"/>
          <w:sz w:val="18"/>
          <w:szCs w:val="18"/>
          <w:lang w:val="sr-Cyrl-CS"/>
        </w:rPr>
        <w:t>росјечна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1 364 КМ. </w:t>
      </w:r>
    </w:p>
    <w:p w:rsidR="00E16510" w:rsidRPr="00DB54DA" w:rsidRDefault="00E16510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E16510" w:rsidRPr="00DB54DA" w:rsidRDefault="00E16510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 xml:space="preserve">Просјечна нето плата исплаћена у мају 2012. године у односу на април 2012. године већа је номинално за 1,1% а реално за 1,2%. У односу на просјечну нето плату у 2011. години, просјечна нето плата у мају 2012. године већа је номинално за 2,1%, а реално за 0,2%. У мају 2012. године у односу на исти мјесец прошле године просјечна нето плата номинално је већа за 1,3%, а </w:t>
      </w:r>
      <w:r w:rsidRPr="00DB54DA">
        <w:rPr>
          <w:rFonts w:ascii="Tahoma" w:hAnsi="Tahoma" w:cs="Tahoma"/>
          <w:sz w:val="18"/>
          <w:szCs w:val="18"/>
          <w:lang w:val="sr-Cyrl-BA"/>
        </w:rPr>
        <w:t>реално је мања за 0,3%.</w:t>
      </w:r>
    </w:p>
    <w:p w:rsidR="00E16510" w:rsidRPr="00DB54DA" w:rsidRDefault="00E16510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16510" w:rsidRPr="00DB54DA" w:rsidRDefault="00E16510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 xml:space="preserve">Највиша просјечна нето плата у мају 2012. године, посматрано по подручјима дјелатности, исплаћена је у подручју 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и износи 1 344 КМ, а најнижа у подручју 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562 КМ.</w:t>
      </w:r>
    </w:p>
    <w:p w:rsidR="00E16510" w:rsidRPr="00DB54DA" w:rsidRDefault="00E16510" w:rsidP="00E16510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E16510" w:rsidRPr="00DB54DA" w:rsidRDefault="00E16510" w:rsidP="00E16510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 xml:space="preserve">У мају 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2012. године, у односу на </w:t>
      </w:r>
      <w:r w:rsidRPr="00DB54DA">
        <w:rPr>
          <w:rFonts w:ascii="Tahoma" w:hAnsi="Tahoma" w:cs="Tahoma"/>
          <w:sz w:val="18"/>
          <w:szCs w:val="18"/>
          <w:lang w:val="sr-Cyrl-CS"/>
        </w:rPr>
        <w:t>април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2012. године, н</w:t>
      </w:r>
      <w:r w:rsidRPr="00DB54DA">
        <w:rPr>
          <w:rFonts w:ascii="Tahoma" w:hAnsi="Tahoma" w:cs="Tahoma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 xml:space="preserve"> Вађење руда и камена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за 6,3%, 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за 3,9% и Угоститељство за 2,5% </w:t>
      </w:r>
      <w:r w:rsidRPr="00DB54DA">
        <w:rPr>
          <w:rFonts w:ascii="Tahoma" w:hAnsi="Tahoma" w:cs="Tahoma"/>
          <w:sz w:val="18"/>
          <w:szCs w:val="18"/>
          <w:lang w:val="sr-Cyrl-CS"/>
        </w:rPr>
        <w:t>док је номинално нижа плата у подручјима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 xml:space="preserve"> Трговина на велико и трговина на мало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за 1,3%, 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 xml:space="preserve">Грађевинарство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за 1,2% и 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>Пољопривреда, лов и шумарство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за 0,8%.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E16510" w:rsidRPr="00DB54DA" w:rsidRDefault="00E16510" w:rsidP="00E16510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76086A" w:rsidRPr="00DB54DA" w:rsidRDefault="0076086A" w:rsidP="00E16510">
      <w:pPr>
        <w:jc w:val="center"/>
        <w:rPr>
          <w:rFonts w:ascii="Tahoma" w:hAnsi="Tahoma" w:cs="Tahoma"/>
          <w:sz w:val="18"/>
          <w:szCs w:val="18"/>
        </w:rPr>
      </w:pPr>
    </w:p>
    <w:p w:rsidR="00AF1FE7" w:rsidRPr="00DB54DA" w:rsidRDefault="005D43A2" w:rsidP="00E16510">
      <w:pPr>
        <w:jc w:val="center"/>
        <w:rPr>
          <w:rFonts w:ascii="Tahoma" w:hAnsi="Tahoma" w:cs="Tahoma"/>
          <w:sz w:val="18"/>
          <w:szCs w:val="18"/>
        </w:rPr>
      </w:pPr>
      <w:r w:rsidRPr="005D43A2">
        <w:rPr>
          <w:rFonts w:ascii="Tahoma" w:hAnsi="Tahoma" w:cs="Tahoma"/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29.5pt;margin-top:212.35pt;width:195.4pt;height:23.95pt;z-index:251669504;mso-width-relative:margin;mso-height-relative:margin" strokecolor="white [3212]">
            <v:textbox>
              <w:txbxContent>
                <w:p w:rsidR="00EB450E" w:rsidRPr="00297CBC" w:rsidRDefault="00EB450E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  2012.</w:t>
                  </w:r>
                </w:p>
              </w:txbxContent>
            </v:textbox>
          </v:shape>
        </w:pict>
      </w:r>
      <w:r w:rsidRPr="005D43A2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63" type="#_x0000_t202" style="position:absolute;left:0;text-align:left;margin-left:305.75pt;margin-top:11.25pt;width:41.05pt;height:27.7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EB450E" w:rsidRPr="00B32263" w:rsidRDefault="00EB450E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 w:rsidR="00E16510" w:rsidRPr="00DB54DA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451448" cy="315666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D43A2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EB450E" w:rsidRPr="00860DF8" w:rsidRDefault="00EB450E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D0CCB" w:rsidRPr="00DB54DA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DB54DA" w:rsidRDefault="000328B8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 xml:space="preserve">Графикон </w:t>
      </w:r>
      <w:r w:rsidR="00CE24D5" w:rsidRPr="00DB54DA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>.</w:t>
      </w:r>
      <w:r w:rsidR="005E0301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E0301" w:rsidRPr="00DB54DA">
        <w:rPr>
          <w:rFonts w:ascii="Tahoma" w:hAnsi="Tahoma" w:cs="Tahoma"/>
          <w:sz w:val="18"/>
          <w:szCs w:val="18"/>
          <w:lang w:val="sr-Cyrl-CS"/>
        </w:rPr>
        <w:t>П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>росјечн</w:t>
      </w:r>
      <w:r w:rsidR="005E0301" w:rsidRPr="00DB54DA">
        <w:rPr>
          <w:rFonts w:ascii="Tahoma" w:hAnsi="Tahoma" w:cs="Tahoma"/>
          <w:sz w:val="18"/>
          <w:szCs w:val="18"/>
        </w:rPr>
        <w:t>e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 xml:space="preserve"> нето плат</w:t>
      </w:r>
      <w:r w:rsidR="005E0301" w:rsidRPr="00DB54DA">
        <w:rPr>
          <w:rFonts w:ascii="Tahoma" w:hAnsi="Tahoma" w:cs="Tahoma"/>
          <w:sz w:val="18"/>
          <w:szCs w:val="18"/>
        </w:rPr>
        <w:t>e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 xml:space="preserve"> запослених по мјесецима</w:t>
      </w:r>
    </w:p>
    <w:p w:rsidR="0029071F" w:rsidRPr="00DB54DA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DB54DA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DB54DA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B32263" w:rsidRPr="00DB54DA" w:rsidRDefault="00B32263">
      <w:pPr>
        <w:rPr>
          <w:rFonts w:ascii="Tahoma" w:hAnsi="Tahoma" w:cs="Tahoma"/>
          <w:b/>
          <w:sz w:val="28"/>
          <w:szCs w:val="28"/>
          <w:lang w:val="sr-Cyrl-BA"/>
        </w:rPr>
      </w:pPr>
      <w:r w:rsidRPr="00DB54DA">
        <w:rPr>
          <w:rFonts w:ascii="Tahoma" w:hAnsi="Tahoma" w:cs="Tahoma"/>
          <w:b/>
          <w:sz w:val="28"/>
          <w:szCs w:val="28"/>
          <w:lang w:val="sr-Cyrl-BA"/>
        </w:rPr>
        <w:br w:type="page"/>
      </w:r>
    </w:p>
    <w:p w:rsidR="00270368" w:rsidRPr="00DB54DA" w:rsidRDefault="00270368" w:rsidP="00270368">
      <w:pPr>
        <w:jc w:val="both"/>
        <w:rPr>
          <w:rFonts w:ascii="Tahoma" w:hAnsi="Tahoma" w:cs="Tahoma"/>
          <w:b/>
          <w:sz w:val="28"/>
          <w:szCs w:val="28"/>
        </w:rPr>
      </w:pPr>
      <w:r w:rsidRPr="00DB54DA">
        <w:rPr>
          <w:rFonts w:ascii="Tahoma" w:hAnsi="Tahoma" w:cs="Tahoma"/>
          <w:b/>
          <w:sz w:val="28"/>
          <w:szCs w:val="28"/>
          <w:lang w:val="sr-Cyrl-BA"/>
        </w:rPr>
        <w:lastRenderedPageBreak/>
        <w:t>Мјесечна инфлација у мају 2012. године -0,1%</w:t>
      </w:r>
    </w:p>
    <w:p w:rsidR="00270368" w:rsidRPr="00DB54DA" w:rsidRDefault="009B43E9" w:rsidP="00270368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Годишња инфлација (мај 2012/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>мај 2011) 1,6%</w:t>
      </w:r>
    </w:p>
    <w:p w:rsidR="00270368" w:rsidRPr="00DB54DA" w:rsidRDefault="00270368" w:rsidP="00270368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мају 2012. године у односу на април 2012. године, у просјеку су ниже за 0,1%.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 xml:space="preserve">Овакво кретање цијена резултирало је појефтињењем свих врста горива, што је узроковало пад цијена у одјељку 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Превоз  </w:t>
      </w:r>
      <w:r w:rsidRPr="00DB54DA">
        <w:rPr>
          <w:rFonts w:ascii="Tahoma" w:hAnsi="Tahoma" w:cs="Tahoma"/>
          <w:sz w:val="18"/>
          <w:szCs w:val="18"/>
          <w:lang w:val="sr-Cyrl-BA"/>
        </w:rPr>
        <w:t>1,0%.</w:t>
      </w:r>
    </w:p>
    <w:p w:rsidR="00270368" w:rsidRPr="00DB54DA" w:rsidRDefault="00270368" w:rsidP="00270368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270368" w:rsidRPr="00DB54DA" w:rsidRDefault="00270368" w:rsidP="00270368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 xml:space="preserve">Забиљежен је раст код 2 од укупно 12 одјељака. Раст цијена у мају забиљежен је једино у одјељцима 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Здравство и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Храна и безалкохолна пића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270368" w:rsidRPr="00DB54DA" w:rsidRDefault="00270368" w:rsidP="00270368">
      <w:pPr>
        <w:jc w:val="both"/>
        <w:rPr>
          <w:rFonts w:ascii="Tahoma" w:hAnsi="Tahoma" w:cs="Tahoma"/>
          <w:i/>
          <w:sz w:val="18"/>
          <w:szCs w:val="18"/>
        </w:rPr>
      </w:pPr>
    </w:p>
    <w:p w:rsidR="00270368" w:rsidRPr="00DB54DA" w:rsidRDefault="00270368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У одјељку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Здравство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који биљежи раст 0,2% дошло је до повећања цијена фармацеутских производа за 0,3% и осталих медицинских производа (завоји, шприце, топломјери) 0,7%.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270368" w:rsidRPr="00DB54DA" w:rsidRDefault="00270368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И у одјељку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Храна и безалкохолна пића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забиљежен је раст 0,1%, и то група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биљежи раст 0,1% због повећања цијена у подгрупама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Воће 4,0%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Риба 1,7%, Месо 0,3%  и Уља и масноће 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0,2%. У подгрупи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Воће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је и овај мјесец дошло до повећања цијена цитрусног воћа (наранџа, лимун, грејпфурт, мандарина, лимун, киви), као и повећања цијене јабука и крушака. У подгрупи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Риба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на повећање цијена су утицале веће цијене свјеже и смрзнуте рибе за 2,1%, као и конзервисане рибе за 0,4%. Иако је цијена телетине овај мјесец у просјеку била нижа за 1,2%, на повећање цијена у подгрупи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Месо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је утицало повећање цијена јунетине и јагњетине за 1,8%, као и свињетине за 0,8%. На повећање цијена у подгрупи Уља и масноће су  утицале веће цијене маслиновог уља за 1,9%, маслаца за 1,0%, као и јестивог уља за 0,1%. На повећање цијена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Безалкохолних пића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за 0,1% највише је утицало повећање цијена минералне воде и газираних безалкохолних пића за 0,1%.</w:t>
      </w:r>
    </w:p>
    <w:p w:rsidR="00270368" w:rsidRPr="00DB54DA" w:rsidRDefault="00270368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270368" w:rsidRPr="00DB54DA" w:rsidRDefault="00270368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У одјељцима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Становање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Комуникације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Рекреација и култура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Образовање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Ресторани и хотели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и </w:t>
      </w:r>
      <w:r w:rsidRPr="00DB54DA">
        <w:rPr>
          <w:rFonts w:ascii="Tahoma" w:eastAsia="Calibri" w:hAnsi="Tahoma" w:cs="Tahoma"/>
          <w:i/>
          <w:sz w:val="18"/>
          <w:szCs w:val="18"/>
          <w:lang w:val="sr-Cyrl-BA"/>
        </w:rPr>
        <w:t>Остала добра и услуге</w:t>
      </w:r>
      <w:r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цијене се у просјеку нису мијењале. </w:t>
      </w:r>
    </w:p>
    <w:p w:rsidR="00270368" w:rsidRPr="00DB54DA" w:rsidRDefault="00270368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>Алкохолна пића и дуван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забиљежен је пад цијена 0,1%, усљед смањења цијене пива 0,8%. 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 xml:space="preserve">Пад цијена за 0,1% забиљежен је и у одјељку 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>Намјештај и покућство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због нижих цијена производа за чишћење и одржавање куће за 0,6%.</w:t>
      </w:r>
    </w:p>
    <w:p w:rsidR="00270368" w:rsidRPr="00DB54DA" w:rsidRDefault="00270368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270368" w:rsidRPr="00DB54DA" w:rsidRDefault="00270368" w:rsidP="00270368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DB54DA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BA"/>
        </w:rPr>
        <w:t>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BA"/>
        </w:rPr>
        <w:t>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BA"/>
        </w:rPr>
        <w:t>мају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2012. </w:t>
      </w:r>
      <w:r w:rsidRPr="00DB54DA">
        <w:rPr>
          <w:rFonts w:ascii="Tahoma" w:hAnsi="Tahoma" w:cs="Tahoma"/>
          <w:sz w:val="18"/>
          <w:szCs w:val="18"/>
          <w:lang w:val="sr-Cyrl-BA"/>
        </w:rPr>
        <w:t>године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DB54DA">
        <w:rPr>
          <w:rFonts w:ascii="Tahoma" w:hAnsi="Tahoma" w:cs="Tahoma"/>
          <w:sz w:val="18"/>
          <w:szCs w:val="18"/>
          <w:lang w:val="sr-Cyrl-BA"/>
        </w:rPr>
        <w:t>године,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BA"/>
        </w:rPr>
        <w:t>за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1,6%.</w:t>
      </w:r>
    </w:p>
    <w:p w:rsidR="00270368" w:rsidRPr="00DB54DA" w:rsidRDefault="00270368" w:rsidP="00270368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>Посматрано по одјељцима намјене потрошње, у мају 2012. године у односу на мај 2011. године, највиши раст забиљежен је  код одјељка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за 8,4%,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за 5,1%,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Комуникације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за 4,2%,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Становање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за 2,1%,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1,8%</w:t>
      </w:r>
      <w:r w:rsidRPr="00DB54DA">
        <w:rPr>
          <w:rFonts w:ascii="Tahoma" w:hAnsi="Tahoma" w:cs="Tahoma"/>
          <w:sz w:val="18"/>
          <w:szCs w:val="18"/>
          <w:lang w:val="sr-Cyrl-BA"/>
        </w:rPr>
        <w:t>,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</w:t>
      </w:r>
      <w:r w:rsidRPr="00DB54DA">
        <w:rPr>
          <w:rFonts w:ascii="Tahoma" w:hAnsi="Tahoma" w:cs="Tahoma"/>
          <w:sz w:val="18"/>
          <w:szCs w:val="18"/>
          <w:lang w:val="sr-Cyrl-BA"/>
        </w:rPr>
        <w:t>и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услуге за 0,5%,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за 0,2%, 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>Ресторани и хотели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за 0,2%,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Образовање </w:t>
      </w:r>
      <w:r w:rsidRPr="00DB54DA">
        <w:rPr>
          <w:rFonts w:ascii="Tahoma" w:hAnsi="Tahoma" w:cs="Tahoma"/>
          <w:sz w:val="18"/>
          <w:szCs w:val="18"/>
          <w:lang w:val="sr-Cyrl-BA"/>
        </w:rPr>
        <w:t>за 0,1%. Индекс одјељка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Здравство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>у просјеку је остао исти.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Индекс одјељка 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Рекрација и култура </w:t>
      </w:r>
      <w:r w:rsidRPr="00DB54DA">
        <w:rPr>
          <w:rFonts w:ascii="Tahoma" w:hAnsi="Tahoma" w:cs="Tahoma"/>
          <w:sz w:val="18"/>
          <w:szCs w:val="18"/>
          <w:lang w:val="sr-Cyrl-BA"/>
        </w:rPr>
        <w:t>нижи је за 0,3%,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DB54DA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нижи за 3,7%.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270368" w:rsidRPr="00DB54DA" w:rsidRDefault="00270368" w:rsidP="00270368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DB54DA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(</w:t>
      </w:r>
      <w:r w:rsidRPr="00DB54DA">
        <w:rPr>
          <w:rFonts w:ascii="Tahoma" w:hAnsi="Tahoma" w:cs="Tahoma"/>
          <w:b/>
          <w:sz w:val="28"/>
          <w:szCs w:val="28"/>
        </w:rPr>
        <w:t>V</w:t>
      </w:r>
      <w:r w:rsidRPr="00DB54DA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DB54DA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DB54DA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DB54DA">
        <w:rPr>
          <w:rFonts w:ascii="Tahoma" w:hAnsi="Tahoma" w:cs="Tahoma"/>
          <w:b/>
          <w:sz w:val="28"/>
          <w:szCs w:val="28"/>
          <w:lang w:val="sr-Latn-CS"/>
        </w:rPr>
        <w:t>IV</w:t>
      </w:r>
      <w:r w:rsidRPr="00DB54DA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DB54DA">
        <w:rPr>
          <w:rFonts w:ascii="Tahoma" w:hAnsi="Tahoma" w:cs="Tahoma"/>
          <w:b/>
          <w:sz w:val="28"/>
          <w:szCs w:val="28"/>
          <w:lang w:val="sr-Latn-CS"/>
        </w:rPr>
        <w:t>2.</w:t>
      </w:r>
      <w:r w:rsidRPr="00DB54DA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DB54DA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DB54DA">
        <w:rPr>
          <w:rFonts w:ascii="Tahoma" w:hAnsi="Tahoma" w:cs="Tahoma"/>
          <w:b/>
          <w:sz w:val="28"/>
          <w:szCs w:val="28"/>
          <w:lang w:val="sr-Cyrl-CS"/>
        </w:rPr>
        <w:t>у просјеку више 0,</w:t>
      </w:r>
      <w:r w:rsidRPr="00DB54DA">
        <w:rPr>
          <w:rFonts w:ascii="Tahoma" w:hAnsi="Tahoma" w:cs="Tahoma"/>
          <w:b/>
          <w:sz w:val="28"/>
          <w:szCs w:val="28"/>
          <w:lang w:val="sr-Latn-CS"/>
        </w:rPr>
        <w:t>1</w:t>
      </w:r>
      <w:r w:rsidRPr="00DB54DA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270368" w:rsidRPr="00DB54DA" w:rsidRDefault="00270368" w:rsidP="00270368">
      <w:pPr>
        <w:jc w:val="both"/>
        <w:rPr>
          <w:rFonts w:ascii="Tahoma" w:hAnsi="Tahoma" w:cs="Tahoma"/>
          <w:lang w:val="sr-Cyrl-CS"/>
        </w:rPr>
      </w:pPr>
    </w:p>
    <w:p w:rsidR="00270368" w:rsidRPr="00DB54DA" w:rsidRDefault="00270368" w:rsidP="00270368">
      <w:pPr>
        <w:ind w:right="68"/>
        <w:jc w:val="both"/>
        <w:rPr>
          <w:rFonts w:ascii="Tahoma" w:hAnsi="Tahoma" w:cs="Tahoma"/>
          <w:sz w:val="16"/>
          <w:szCs w:val="16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>Цијен</w:t>
      </w:r>
      <w:r w:rsidRPr="00DB54DA">
        <w:rPr>
          <w:rFonts w:ascii="Tahoma" w:hAnsi="Tahoma" w:cs="Tahoma"/>
          <w:sz w:val="18"/>
          <w:szCs w:val="18"/>
        </w:rPr>
        <w:t>e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DB54DA">
        <w:rPr>
          <w:rFonts w:ascii="Tahoma" w:hAnsi="Tahoma" w:cs="Tahoma"/>
          <w:sz w:val="18"/>
          <w:szCs w:val="18"/>
        </w:rPr>
        <w:t xml:space="preserve">a </w:t>
      </w:r>
      <w:r w:rsidRPr="00DB54DA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мају </w:t>
      </w:r>
      <w:r w:rsidRPr="00DB54DA">
        <w:rPr>
          <w:rFonts w:ascii="Tahoma" w:hAnsi="Tahoma" w:cs="Tahoma"/>
          <w:sz w:val="18"/>
          <w:szCs w:val="18"/>
          <w:lang w:val="hr-HR"/>
        </w:rPr>
        <w:t>20</w:t>
      </w:r>
      <w:r w:rsidRPr="00DB54DA">
        <w:rPr>
          <w:rFonts w:ascii="Tahoma" w:hAnsi="Tahoma" w:cs="Tahoma"/>
          <w:sz w:val="18"/>
          <w:szCs w:val="18"/>
          <w:lang w:val="sr-Cyrl-CS"/>
        </w:rPr>
        <w:t>12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DB54DA">
        <w:rPr>
          <w:rFonts w:ascii="Tahoma" w:hAnsi="Tahoma" w:cs="Tahoma"/>
          <w:sz w:val="18"/>
          <w:szCs w:val="18"/>
          <w:lang w:val="hr-HR"/>
        </w:rPr>
        <w:t>у односу на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април</w:t>
      </w:r>
      <w:r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hr-HR"/>
        </w:rPr>
        <w:t>201</w:t>
      </w:r>
      <w:r w:rsidRPr="00DB54DA">
        <w:rPr>
          <w:rFonts w:ascii="Tahoma" w:hAnsi="Tahoma" w:cs="Tahoma"/>
          <w:sz w:val="18"/>
          <w:szCs w:val="18"/>
          <w:lang w:val="sr-Cyrl-CS"/>
        </w:rPr>
        <w:t>2</w:t>
      </w:r>
      <w:r w:rsidRPr="00DB54DA">
        <w:rPr>
          <w:rFonts w:ascii="Tahoma" w:hAnsi="Tahoma" w:cs="Tahoma"/>
          <w:sz w:val="18"/>
          <w:szCs w:val="18"/>
          <w:lang w:val="hr-HR"/>
        </w:rPr>
        <w:t>.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</w:t>
      </w:r>
      <w:r w:rsidRPr="00DB54DA">
        <w:rPr>
          <w:rFonts w:ascii="Tahoma" w:hAnsi="Tahoma" w:cs="Tahoma"/>
          <w:sz w:val="18"/>
          <w:szCs w:val="18"/>
          <w:lang w:val="sr-Latn-CS"/>
        </w:rPr>
        <w:t>1</w:t>
      </w:r>
      <w:r w:rsidRPr="00DB54DA">
        <w:rPr>
          <w:rFonts w:ascii="Tahoma" w:hAnsi="Tahoma" w:cs="Tahoma"/>
          <w:sz w:val="18"/>
          <w:szCs w:val="18"/>
          <w:lang w:val="sr-Cyrl-CS"/>
        </w:rPr>
        <w:t>%</w:t>
      </w:r>
      <w:r w:rsidRPr="00DB54DA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у односу на мај 2011. године више су за </w:t>
      </w:r>
      <w:r w:rsidRPr="00DB54DA">
        <w:rPr>
          <w:rFonts w:ascii="Tahoma" w:hAnsi="Tahoma" w:cs="Tahoma"/>
          <w:sz w:val="18"/>
          <w:szCs w:val="18"/>
          <w:lang w:val="sr-Latn-CS"/>
        </w:rPr>
        <w:t>0,</w:t>
      </w:r>
      <w:r w:rsidRPr="00DB54DA">
        <w:rPr>
          <w:rFonts w:ascii="Tahoma" w:hAnsi="Tahoma" w:cs="Tahoma"/>
          <w:sz w:val="18"/>
          <w:szCs w:val="18"/>
          <w:lang w:val="sr-Cyrl-CS"/>
        </w:rPr>
        <w:t>3% и у односу на децембар 2011. године у просјеку су остале на истом нивоу</w:t>
      </w:r>
      <w:r w:rsidRPr="00DB54DA">
        <w:rPr>
          <w:rFonts w:ascii="Tahoma" w:hAnsi="Tahoma" w:cs="Tahoma"/>
          <w:sz w:val="16"/>
          <w:szCs w:val="16"/>
          <w:lang w:val="sr-Cyrl-CS"/>
        </w:rPr>
        <w:t>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70368" w:rsidRPr="00DB54DA" w:rsidRDefault="00270368" w:rsidP="00270368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hr-HR"/>
        </w:rPr>
        <w:t>Посматрано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DB54DA">
        <w:rPr>
          <w:rFonts w:ascii="Tahoma" w:hAnsi="Tahoma" w:cs="Tahoma"/>
          <w:sz w:val="18"/>
          <w:szCs w:val="18"/>
          <w:lang w:val="hr-HR"/>
        </w:rPr>
        <w:t>о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DB54DA">
        <w:rPr>
          <w:rFonts w:ascii="Tahoma" w:hAnsi="Tahoma" w:cs="Tahoma"/>
          <w:sz w:val="18"/>
          <w:szCs w:val="18"/>
          <w:lang w:val="hr-HR"/>
        </w:rPr>
        <w:t>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мају </w:t>
      </w:r>
      <w:r w:rsidRPr="00DB54DA">
        <w:rPr>
          <w:rFonts w:ascii="Tahoma" w:hAnsi="Tahoma" w:cs="Tahoma"/>
          <w:sz w:val="18"/>
          <w:szCs w:val="18"/>
          <w:lang w:val="hr-HR"/>
        </w:rPr>
        <w:t>20</w:t>
      </w:r>
      <w:r w:rsidRPr="00DB54DA">
        <w:rPr>
          <w:rFonts w:ascii="Tahoma" w:hAnsi="Tahoma" w:cs="Tahoma"/>
          <w:sz w:val="18"/>
          <w:szCs w:val="18"/>
          <w:lang w:val="sr-Cyrl-CS"/>
        </w:rPr>
        <w:t>12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DB54DA">
        <w:rPr>
          <w:rFonts w:ascii="Tahoma" w:hAnsi="Tahoma" w:cs="Tahoma"/>
          <w:sz w:val="18"/>
          <w:szCs w:val="18"/>
          <w:lang w:val="hr-HR"/>
        </w:rPr>
        <w:t>у односу на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април</w:t>
      </w:r>
      <w:r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hr-HR"/>
        </w:rPr>
        <w:t>201</w:t>
      </w:r>
      <w:r w:rsidRPr="00DB54DA">
        <w:rPr>
          <w:rFonts w:ascii="Tahoma" w:hAnsi="Tahoma" w:cs="Tahoma"/>
          <w:sz w:val="18"/>
          <w:szCs w:val="18"/>
          <w:lang w:val="sr-Cyrl-CS"/>
        </w:rPr>
        <w:t>2. године цијене интермедијарних производа као и цијене трајних производа за широку потрошњу у просјеку</w:t>
      </w:r>
      <w:r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су више</w:t>
      </w:r>
      <w:r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за</w:t>
      </w:r>
      <w:r w:rsidRPr="00DB54DA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Pr="00DB54DA">
        <w:rPr>
          <w:rFonts w:ascii="Tahoma" w:hAnsi="Tahoma" w:cs="Tahoma"/>
          <w:sz w:val="18"/>
          <w:szCs w:val="18"/>
          <w:lang w:val="sr-Cyrl-CS"/>
        </w:rPr>
        <w:t>3</w:t>
      </w:r>
      <w:r w:rsidRPr="00DB54DA">
        <w:rPr>
          <w:rFonts w:ascii="Tahoma" w:hAnsi="Tahoma" w:cs="Tahoma"/>
          <w:sz w:val="18"/>
          <w:szCs w:val="18"/>
          <w:lang w:val="sr-Latn-CS"/>
        </w:rPr>
        <w:t>%</w:t>
      </w:r>
      <w:r w:rsidRPr="00DB54DA">
        <w:rPr>
          <w:rFonts w:ascii="Tahoma" w:hAnsi="Tahoma" w:cs="Tahoma"/>
          <w:sz w:val="18"/>
          <w:szCs w:val="18"/>
          <w:lang w:val="sr-Cyrl-CS"/>
        </w:rPr>
        <w:t>,  цијене енергије у просјеку</w:t>
      </w:r>
      <w:r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су више</w:t>
      </w:r>
      <w:r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за</w:t>
      </w:r>
      <w:r w:rsidRPr="00DB54DA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Pr="00DB54DA">
        <w:rPr>
          <w:rFonts w:ascii="Tahoma" w:hAnsi="Tahoma" w:cs="Tahoma"/>
          <w:sz w:val="18"/>
          <w:szCs w:val="18"/>
          <w:lang w:val="sr-Cyrl-CS"/>
        </w:rPr>
        <w:t>1</w:t>
      </w:r>
      <w:r w:rsidRPr="00DB54DA">
        <w:rPr>
          <w:rFonts w:ascii="Tahoma" w:hAnsi="Tahoma" w:cs="Tahoma"/>
          <w:sz w:val="18"/>
          <w:szCs w:val="18"/>
          <w:lang w:val="sr-Latn-CS"/>
        </w:rPr>
        <w:t>%</w:t>
      </w:r>
      <w:r w:rsidRPr="00DB54DA">
        <w:rPr>
          <w:rFonts w:ascii="Tahoma" w:hAnsi="Tahoma" w:cs="Tahoma"/>
          <w:sz w:val="18"/>
          <w:szCs w:val="18"/>
          <w:lang w:val="sr-Cyrl-CS"/>
        </w:rPr>
        <w:t>, цијене нетрајних производа за широку потрошњу</w:t>
      </w:r>
      <w:r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у просјеку су ниже за 0,2%; док су цијене капиталних прозвода у просјеку остале на истом нивоу.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>Цијене енергије, п</w:t>
      </w:r>
      <w:r w:rsidRPr="00DB54DA">
        <w:rPr>
          <w:rFonts w:ascii="Tahoma" w:hAnsi="Tahoma" w:cs="Tahoma"/>
          <w:sz w:val="18"/>
          <w:szCs w:val="18"/>
          <w:lang w:val="hr-HR"/>
        </w:rPr>
        <w:t>осматрано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DB54DA">
        <w:rPr>
          <w:rFonts w:ascii="Tahoma" w:hAnsi="Tahoma" w:cs="Tahoma"/>
          <w:sz w:val="18"/>
          <w:szCs w:val="18"/>
          <w:lang w:val="hr-HR"/>
        </w:rPr>
        <w:t>о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мају </w:t>
      </w:r>
      <w:r w:rsidRPr="00DB54DA">
        <w:rPr>
          <w:rFonts w:ascii="Tahoma" w:hAnsi="Tahoma" w:cs="Tahoma"/>
          <w:sz w:val="18"/>
          <w:szCs w:val="18"/>
          <w:lang w:val="hr-HR"/>
        </w:rPr>
        <w:t>20</w:t>
      </w:r>
      <w:r w:rsidRPr="00DB54DA">
        <w:rPr>
          <w:rFonts w:ascii="Tahoma" w:hAnsi="Tahoma" w:cs="Tahoma"/>
          <w:sz w:val="18"/>
          <w:szCs w:val="18"/>
          <w:lang w:val="sr-Cyrl-CS"/>
        </w:rPr>
        <w:t>12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DB54DA">
        <w:rPr>
          <w:rFonts w:ascii="Tahoma" w:hAnsi="Tahoma" w:cs="Tahoma"/>
          <w:sz w:val="18"/>
          <w:szCs w:val="18"/>
          <w:lang w:val="hr-HR"/>
        </w:rPr>
        <w:t>у односу на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мај 2011. године, у просјеку</w:t>
      </w:r>
      <w:r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су више</w:t>
      </w:r>
      <w:r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за 1,5%, цијене нетрајних производа за широку потрошњу за 0,6%, цијене трајних производа за широку потрошњу за 0,3%, цијене капиталних прозвода за 0,1%, док су цијене интермедијарних производа у просјеку</w:t>
      </w:r>
      <w:r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су ниже за 1,3%. 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70368" w:rsidRPr="00DB54DA" w:rsidRDefault="00270368" w:rsidP="00270368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DB54DA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DB54DA">
        <w:rPr>
          <w:rFonts w:ascii="Tahoma" w:hAnsi="Tahoma" w:cs="Tahoma"/>
          <w:sz w:val="18"/>
          <w:szCs w:val="18"/>
          <w:lang w:val="sr-Cyrl-CS"/>
        </w:rPr>
        <w:t>PRODCOM</w:t>
      </w:r>
      <w:r w:rsidRPr="00DB54DA">
        <w:rPr>
          <w:rFonts w:ascii="Tahoma" w:hAnsi="Tahoma" w:cs="Tahoma"/>
          <w:sz w:val="18"/>
          <w:szCs w:val="18"/>
          <w:lang w:val="hr-HR"/>
        </w:rPr>
        <w:t>)</w:t>
      </w:r>
      <w:r w:rsidRPr="00DB54DA">
        <w:rPr>
          <w:rFonts w:ascii="Tahoma" w:hAnsi="Tahoma" w:cs="Tahoma"/>
          <w:sz w:val="18"/>
          <w:szCs w:val="18"/>
          <w:lang w:val="sr-Cyrl-CS"/>
        </w:rPr>
        <w:t>,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DB54DA">
        <w:rPr>
          <w:rFonts w:ascii="Tahoma" w:hAnsi="Tahoma" w:cs="Tahoma"/>
          <w:sz w:val="18"/>
          <w:szCs w:val="18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подручја (Д) прерађивачка индустрија </w:t>
      </w:r>
      <w:r w:rsidRPr="00DB54DA">
        <w:rPr>
          <w:rFonts w:ascii="Tahoma" w:hAnsi="Tahoma" w:cs="Tahoma"/>
          <w:sz w:val="18"/>
          <w:szCs w:val="18"/>
          <w:lang w:val="hr-HR"/>
        </w:rPr>
        <w:t>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мају </w:t>
      </w:r>
      <w:r w:rsidRPr="00DB54DA">
        <w:rPr>
          <w:rFonts w:ascii="Tahoma" w:hAnsi="Tahoma" w:cs="Tahoma"/>
          <w:sz w:val="18"/>
          <w:szCs w:val="18"/>
          <w:lang w:val="hr-HR"/>
        </w:rPr>
        <w:t>20</w:t>
      </w:r>
      <w:r w:rsidRPr="00DB54DA">
        <w:rPr>
          <w:rFonts w:ascii="Tahoma" w:hAnsi="Tahoma" w:cs="Tahoma"/>
          <w:sz w:val="18"/>
          <w:szCs w:val="18"/>
          <w:lang w:val="sr-Cyrl-CS"/>
        </w:rPr>
        <w:t>12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B54DA">
        <w:rPr>
          <w:rFonts w:ascii="Tahoma" w:hAnsi="Tahoma" w:cs="Tahoma"/>
          <w:sz w:val="18"/>
          <w:szCs w:val="18"/>
          <w:lang w:val="sr-Cyrl-CS"/>
        </w:rPr>
        <w:t>године у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април</w:t>
      </w:r>
      <w:r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hr-HR"/>
        </w:rPr>
        <w:t>201</w:t>
      </w:r>
      <w:r w:rsidRPr="00DB54DA">
        <w:rPr>
          <w:rFonts w:ascii="Tahoma" w:hAnsi="Tahoma" w:cs="Tahoma"/>
          <w:sz w:val="18"/>
          <w:szCs w:val="18"/>
          <w:lang w:val="sr-Cyrl-CS"/>
        </w:rPr>
        <w:t>2</w:t>
      </w:r>
      <w:r w:rsidRPr="00DB54DA">
        <w:rPr>
          <w:rFonts w:ascii="Tahoma" w:hAnsi="Tahoma" w:cs="Tahoma"/>
          <w:sz w:val="18"/>
          <w:szCs w:val="18"/>
          <w:lang w:val="hr-HR"/>
        </w:rPr>
        <w:t>.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0,4%, цијене подручја (Ц)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вађење руда и камена</w:t>
      </w:r>
      <w:r w:rsidRPr="00DB54DA">
        <w:rPr>
          <w:rFonts w:ascii="Tahoma" w:hAnsi="Tahoma" w:cs="Tahoma"/>
          <w:sz w:val="18"/>
          <w:szCs w:val="18"/>
        </w:rPr>
        <w:t>,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у просјеку су ниже</w:t>
      </w:r>
      <w:r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за 0,6%, док су цијене подручја (Е)  производња и снабдијевање електричном енергијом, гасом и водом у просјеку остале на истом нивоу.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32263" w:rsidRPr="00DB54DA" w:rsidRDefault="00270368" w:rsidP="00E16510">
      <w:pPr>
        <w:jc w:val="both"/>
        <w:rPr>
          <w:rFonts w:ascii="Tahoma" w:hAnsi="Tahoma" w:cs="Tahoma"/>
          <w:sz w:val="18"/>
          <w:szCs w:val="18"/>
        </w:rPr>
      </w:pPr>
      <w:r w:rsidRPr="00DB54DA">
        <w:rPr>
          <w:rFonts w:ascii="Tahoma" w:hAnsi="Tahoma" w:cs="Tahoma"/>
          <w:sz w:val="18"/>
          <w:szCs w:val="18"/>
          <w:lang w:val="bs-Cyrl-BA"/>
        </w:rPr>
        <w:t>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мају </w:t>
      </w:r>
      <w:r w:rsidRPr="00DB54DA">
        <w:rPr>
          <w:rFonts w:ascii="Tahoma" w:hAnsi="Tahoma" w:cs="Tahoma"/>
          <w:sz w:val="18"/>
          <w:szCs w:val="18"/>
          <w:lang w:val="hr-HR"/>
        </w:rPr>
        <w:t>20</w:t>
      </w:r>
      <w:r w:rsidRPr="00DB54DA">
        <w:rPr>
          <w:rFonts w:ascii="Tahoma" w:hAnsi="Tahoma" w:cs="Tahoma"/>
          <w:sz w:val="18"/>
          <w:szCs w:val="18"/>
          <w:lang w:val="sr-Cyrl-CS"/>
        </w:rPr>
        <w:t>12</w:t>
      </w:r>
      <w:r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године, </w:t>
      </w:r>
      <w:r w:rsidRPr="00DB54DA">
        <w:rPr>
          <w:rFonts w:ascii="Tahoma" w:hAnsi="Tahoma" w:cs="Tahoma"/>
          <w:sz w:val="18"/>
          <w:szCs w:val="18"/>
          <w:lang w:val="hr-HR"/>
        </w:rPr>
        <w:t>у односу на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мај </w:t>
      </w:r>
      <w:r w:rsidRPr="00DB54DA">
        <w:rPr>
          <w:rFonts w:ascii="Tahoma" w:hAnsi="Tahoma" w:cs="Tahoma"/>
          <w:sz w:val="18"/>
          <w:szCs w:val="18"/>
          <w:lang w:val="hr-HR"/>
        </w:rPr>
        <w:t>20</w:t>
      </w:r>
      <w:r w:rsidRPr="00DB54DA">
        <w:rPr>
          <w:rFonts w:ascii="Tahoma" w:hAnsi="Tahoma" w:cs="Tahoma"/>
          <w:sz w:val="18"/>
          <w:szCs w:val="18"/>
          <w:lang w:val="sr-Cyrl-CS"/>
        </w:rPr>
        <w:t>11</w:t>
      </w:r>
      <w:r w:rsidRPr="00DB54DA">
        <w:rPr>
          <w:rFonts w:ascii="Tahoma" w:hAnsi="Tahoma" w:cs="Tahoma"/>
          <w:sz w:val="18"/>
          <w:szCs w:val="18"/>
          <w:lang w:val="hr-HR"/>
        </w:rPr>
        <w:t>.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DB54DA">
        <w:rPr>
          <w:rFonts w:ascii="Tahoma" w:hAnsi="Tahoma" w:cs="Tahoma"/>
          <w:sz w:val="18"/>
          <w:szCs w:val="18"/>
        </w:rPr>
        <w:t>j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 у просјеку су више за 2,1%, </w:t>
      </w:r>
      <w:r w:rsidRPr="00DB54DA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Pr="00DB54DA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DB54DA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DB54DA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за 0,5% док су цијене подручја </w:t>
      </w:r>
      <w:r w:rsidRPr="00DB54DA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Pr="00DB54DA">
        <w:rPr>
          <w:rFonts w:ascii="Tahoma" w:hAnsi="Tahoma" w:cs="Tahoma"/>
          <w:bCs/>
          <w:sz w:val="18"/>
          <w:szCs w:val="18"/>
          <w:lang w:val="sr-Cyrl-CS"/>
        </w:rPr>
        <w:t xml:space="preserve"> у просјеку ниже за 0,1%. </w:t>
      </w:r>
    </w:p>
    <w:p w:rsidR="00DA1109" w:rsidRPr="00DB54DA" w:rsidRDefault="00DA1109" w:rsidP="00DA1109">
      <w:pPr>
        <w:tabs>
          <w:tab w:val="left" w:pos="0"/>
          <w:tab w:val="left" w:pos="1100"/>
        </w:tabs>
        <w:jc w:val="both"/>
        <w:rPr>
          <w:lang w:val="sr-Cyrl-CS"/>
        </w:rPr>
      </w:pPr>
      <w:r w:rsidRPr="00DB54DA">
        <w:rPr>
          <w:rFonts w:ascii="Tahoma" w:hAnsi="Tahoma" w:cs="Tahoma"/>
          <w:b/>
          <w:spacing w:val="-4"/>
          <w:sz w:val="28"/>
          <w:szCs w:val="28"/>
          <w:lang w:val="sr-Cyrl-CS"/>
        </w:rPr>
        <w:lastRenderedPageBreak/>
        <w:t xml:space="preserve">Индекс </w:t>
      </w:r>
      <w:r w:rsidRPr="00DB54DA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DB54DA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Pr="00DB54DA">
        <w:rPr>
          <w:rFonts w:ascii="Tahoma" w:hAnsi="Tahoma" w:cs="Tahoma"/>
          <w:b/>
          <w:spacing w:val="-4"/>
          <w:sz w:val="28"/>
          <w:szCs w:val="28"/>
        </w:rPr>
        <w:t>V</w:t>
      </w:r>
      <w:r w:rsidRPr="00DB54DA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Pr="00DB54DA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Pr="00DB54D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DB54DA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DB54D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Pr="00DB54DA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Pr="00DB54D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Pr="00DB54DA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DB54D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мањи</w:t>
      </w:r>
      <w:r w:rsidRPr="00DB54D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Pr="00DB54D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5</w:t>
      </w:r>
      <w:r w:rsidRPr="00DB54D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,6</w:t>
      </w:r>
      <w:r w:rsidRPr="00DB54DA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DA1109" w:rsidRPr="00DB54DA" w:rsidRDefault="00DA1109" w:rsidP="00DA1109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DB54DA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DB54DA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DB54DA">
        <w:rPr>
          <w:rFonts w:ascii="Tahoma" w:hAnsi="Tahoma" w:cs="Tahoma"/>
          <w:sz w:val="24"/>
          <w:szCs w:val="24"/>
          <w:lang w:val="sr-Cyrl-CS"/>
        </w:rPr>
        <w:t>V</w:t>
      </w:r>
      <w:r w:rsidRPr="00DB54DA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DB54DA">
        <w:rPr>
          <w:rFonts w:ascii="Tahoma" w:hAnsi="Tahoma" w:cs="Tahoma"/>
          <w:sz w:val="24"/>
          <w:szCs w:val="24"/>
          <w:lang w:val="sr-Cyrl-CS"/>
        </w:rPr>
        <w:t>12</w:t>
      </w:r>
      <w:r w:rsidRPr="00DB54DA">
        <w:rPr>
          <w:rFonts w:ascii="Tahoma" w:hAnsi="Tahoma" w:cs="Tahoma"/>
          <w:sz w:val="24"/>
          <w:szCs w:val="24"/>
          <w:lang w:val="sr-Latn-BA"/>
        </w:rPr>
        <w:t>/</w:t>
      </w:r>
      <w:r w:rsidRPr="00DB54DA">
        <w:rPr>
          <w:rFonts w:ascii="Tahoma" w:hAnsi="Tahoma" w:cs="Tahoma"/>
          <w:bCs/>
          <w:sz w:val="24"/>
          <w:szCs w:val="24"/>
        </w:rPr>
        <w:sym w:font="Symbol" w:char="F0C6"/>
      </w:r>
      <w:r w:rsidRPr="00DB54DA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DB54DA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DB54DA">
        <w:rPr>
          <w:rFonts w:ascii="Tahoma" w:hAnsi="Tahoma" w:cs="Tahoma"/>
          <w:bCs/>
          <w:sz w:val="24"/>
          <w:szCs w:val="24"/>
          <w:lang w:val="hr-HR"/>
        </w:rPr>
        <w:t>)</w:t>
      </w:r>
      <w:r w:rsidRPr="00DB54DA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DB54DA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DB54DA">
        <w:rPr>
          <w:rFonts w:ascii="Tahoma" w:hAnsi="Tahoma" w:cs="Tahoma"/>
          <w:sz w:val="24"/>
          <w:szCs w:val="24"/>
          <w:lang w:val="sr-Cyrl-CS"/>
        </w:rPr>
        <w:t>0</w:t>
      </w:r>
      <w:r w:rsidRPr="00DB54DA">
        <w:rPr>
          <w:rFonts w:ascii="Tahoma" w:hAnsi="Tahoma" w:cs="Tahoma"/>
          <w:sz w:val="24"/>
          <w:szCs w:val="24"/>
          <w:lang w:val="sr-Cyrl-BA"/>
        </w:rPr>
        <w:t>,8</w:t>
      </w:r>
      <w:r w:rsidRPr="00DB54DA">
        <w:rPr>
          <w:rFonts w:ascii="Tahoma" w:hAnsi="Tahoma" w:cs="Tahoma"/>
          <w:sz w:val="24"/>
          <w:szCs w:val="24"/>
          <w:lang w:val="ru-RU"/>
        </w:rPr>
        <w:t>%</w:t>
      </w:r>
    </w:p>
    <w:p w:rsidR="00DA1109" w:rsidRPr="00DB54DA" w:rsidRDefault="00DA1109" w:rsidP="00DA1109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DA1109" w:rsidRPr="00DB54DA" w:rsidRDefault="00DA1109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B54DA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DB54DA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DB54DA">
        <w:rPr>
          <w:rFonts w:ascii="Tahoma" w:hAnsi="Tahoma" w:cs="Tahoma"/>
          <w:sz w:val="18"/>
          <w:szCs w:val="18"/>
          <w:lang w:val="sr-Cyrl-CS"/>
        </w:rPr>
        <w:t>мају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2012. године у односу на исти мјесец прошле године мања је за 4,6%, у односу на просјечну мјесечну производњу из 2011. године </w:t>
      </w:r>
      <w:r w:rsidRPr="00DB54DA">
        <w:rPr>
          <w:rFonts w:ascii="Tahoma" w:hAnsi="Tahoma" w:cs="Tahoma"/>
          <w:sz w:val="18"/>
          <w:szCs w:val="18"/>
          <w:lang w:val="sr-Cyrl-BA"/>
        </w:rPr>
        <w:t>мања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је за 5,6%, док је у односу на претходни мјесец текуће године 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већа </w:t>
      </w:r>
      <w:r w:rsidRPr="00DB54DA">
        <w:rPr>
          <w:rFonts w:ascii="Tahoma" w:hAnsi="Tahoma" w:cs="Tahoma"/>
          <w:sz w:val="18"/>
          <w:szCs w:val="18"/>
          <w:lang w:val="ru-RU"/>
        </w:rPr>
        <w:t>за 2,8%.</w:t>
      </w:r>
    </w:p>
    <w:p w:rsidR="00DA1109" w:rsidRPr="00DB54DA" w:rsidRDefault="00DA1109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A1109" w:rsidRPr="00DB54DA" w:rsidRDefault="00DA1109" w:rsidP="00DA110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 xml:space="preserve">Индустријска производња остварена у периоду јануар - мај 2012. године у односу на исти период </w:t>
      </w:r>
      <w:r w:rsidRPr="00DB54DA">
        <w:rPr>
          <w:rFonts w:ascii="Tahoma" w:hAnsi="Tahoma" w:cs="Tahoma"/>
          <w:sz w:val="18"/>
          <w:szCs w:val="18"/>
          <w:lang w:val="ru-RU"/>
        </w:rPr>
        <w:t>прошле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године мања је за 3,9%. У истом периоду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DB54DA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забиљежена је негативна стопа промјене 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од 0,4%,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DB54DA">
        <w:rPr>
          <w:rFonts w:ascii="Tahoma" w:hAnsi="Tahoma" w:cs="Tahoma"/>
          <w:sz w:val="18"/>
          <w:szCs w:val="18"/>
          <w:lang w:val="ru-RU"/>
        </w:rPr>
        <w:t>подручју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негативна стопа промјене од 3,7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% и у подручју </w:t>
      </w:r>
      <w:r w:rsidRPr="00DB54DA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DB54DA">
        <w:rPr>
          <w:rFonts w:ascii="Tahoma" w:hAnsi="Tahoma" w:cs="Tahoma"/>
          <w:sz w:val="18"/>
          <w:szCs w:val="18"/>
          <w:lang w:val="sr-Cyrl-BA"/>
        </w:rPr>
        <w:t>стопа промјене од 6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,7%. </w:t>
      </w:r>
    </w:p>
    <w:p w:rsidR="00DA1109" w:rsidRPr="00DB54DA" w:rsidRDefault="00DA1109" w:rsidP="00DA110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DA1109" w:rsidRPr="00DB54DA" w:rsidRDefault="00DA1109" w:rsidP="00DA1109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DB54DA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– мај 2012. године у односу на исти период прошле године забиљежена је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DB54DA">
        <w:rPr>
          <w:rFonts w:ascii="Tahoma" w:hAnsi="Tahoma" w:cs="Tahoma"/>
          <w:sz w:val="18"/>
          <w:szCs w:val="18"/>
          <w:lang w:val="ru-RU"/>
        </w:rPr>
        <w:t>енергије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ru-RU"/>
        </w:rPr>
        <w:t>од 0,8%, трајних производа од 1,8%, нетрајних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од 8,0% и </w:t>
      </w:r>
      <w:r w:rsidRPr="00DB54DA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од 8,2%,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док је код капиталних производа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забиљежена позитивна 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DB54DA">
        <w:rPr>
          <w:rFonts w:ascii="Tahoma" w:hAnsi="Tahoma" w:cs="Tahoma"/>
          <w:sz w:val="18"/>
          <w:szCs w:val="18"/>
          <w:lang w:val="ru-RU"/>
        </w:rPr>
        <w:t>од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3,1</w:t>
      </w:r>
      <w:r w:rsidRPr="00DB54DA">
        <w:rPr>
          <w:rFonts w:ascii="Tahoma" w:hAnsi="Tahoma" w:cs="Tahoma"/>
          <w:sz w:val="18"/>
          <w:szCs w:val="18"/>
          <w:lang w:val="sr-Cyrl-BA"/>
        </w:rPr>
        <w:t>%.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DA1109" w:rsidRPr="00DB54DA" w:rsidRDefault="00DA1109" w:rsidP="00DA1109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DA1109" w:rsidRPr="00DB54DA" w:rsidRDefault="00DA1109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B54DA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DB54DA">
        <w:rPr>
          <w:rFonts w:ascii="Tahoma" w:hAnsi="Tahoma" w:cs="Tahoma"/>
          <w:sz w:val="18"/>
          <w:szCs w:val="18"/>
          <w:lang w:val="sr-Cyrl-CS"/>
        </w:rPr>
        <w:t>мају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DB54DA">
        <w:rPr>
          <w:rFonts w:ascii="Tahoma" w:hAnsi="Tahoma" w:cs="Tahoma"/>
          <w:sz w:val="18"/>
          <w:szCs w:val="18"/>
          <w:lang w:val="ru-RU"/>
        </w:rPr>
        <w:t>односу на април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године већи је за 0,5%.</w:t>
      </w:r>
    </w:p>
    <w:p w:rsidR="00DA1109" w:rsidRPr="00DB54DA" w:rsidRDefault="00DA1109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A1109" w:rsidRPr="00DB54DA" w:rsidRDefault="00DA1109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DB54DA">
        <w:rPr>
          <w:rFonts w:ascii="Tahoma" w:hAnsi="Tahoma" w:cs="Tahoma"/>
          <w:sz w:val="18"/>
          <w:szCs w:val="18"/>
          <w:lang w:val="ru-RU"/>
        </w:rPr>
        <w:t>периоду јануар - мај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2,0%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DB54DA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забиљежен пад броја запослених од 0,5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%, у подручју </w:t>
      </w:r>
      <w:r w:rsidRPr="00DB54DA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пад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од 0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,9% и у подручју </w:t>
      </w:r>
      <w:r w:rsidRPr="00DB54DA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пад од 2,3%. </w:t>
      </w:r>
    </w:p>
    <w:p w:rsidR="00B32263" w:rsidRPr="00DB54DA" w:rsidRDefault="00B32263" w:rsidP="00B32263">
      <w:pPr>
        <w:rPr>
          <w:rFonts w:ascii="Tahoma" w:hAnsi="Tahoma" w:cs="Tahoma"/>
          <w:sz w:val="18"/>
          <w:szCs w:val="18"/>
        </w:rPr>
      </w:pPr>
    </w:p>
    <w:p w:rsidR="00B32263" w:rsidRPr="00DB54DA" w:rsidRDefault="00B32263" w:rsidP="00B32263">
      <w:pPr>
        <w:rPr>
          <w:rFonts w:ascii="Tahoma" w:hAnsi="Tahoma" w:cs="Tahoma"/>
          <w:sz w:val="18"/>
          <w:szCs w:val="18"/>
        </w:rPr>
      </w:pPr>
    </w:p>
    <w:p w:rsidR="00DB54DA" w:rsidRPr="00DB54DA" w:rsidRDefault="00DB54DA" w:rsidP="00EB450E">
      <w:pPr>
        <w:rPr>
          <w:rFonts w:ascii="Tahoma" w:hAnsi="Tahoma" w:cs="Tahoma"/>
          <w:b/>
          <w:sz w:val="28"/>
          <w:szCs w:val="28"/>
          <w:lang w:val="bs-Cyrl-BA"/>
        </w:rPr>
      </w:pPr>
    </w:p>
    <w:p w:rsidR="00270368" w:rsidRPr="00DB54DA" w:rsidRDefault="00270368" w:rsidP="00EB450E">
      <w:pPr>
        <w:rPr>
          <w:rFonts w:ascii="Tahoma" w:hAnsi="Tahoma" w:cs="Tahoma"/>
          <w:b/>
          <w:sz w:val="28"/>
          <w:szCs w:val="28"/>
          <w:lang w:val="bs-Cyrl-BA"/>
        </w:rPr>
      </w:pPr>
      <w:r w:rsidRPr="00DB54DA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DB54DA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DB54DA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DB54DA">
        <w:rPr>
          <w:rFonts w:ascii="Tahoma" w:hAnsi="Tahoma" w:cs="Tahoma"/>
          <w:b/>
          <w:sz w:val="28"/>
          <w:szCs w:val="28"/>
        </w:rPr>
        <w:t>I</w:t>
      </w:r>
      <w:r w:rsidRPr="00DB54DA">
        <w:rPr>
          <w:rFonts w:ascii="Tahoma" w:hAnsi="Tahoma" w:cs="Tahoma"/>
          <w:b/>
          <w:sz w:val="28"/>
          <w:szCs w:val="28"/>
          <w:lang w:val="ru-RU"/>
        </w:rPr>
        <w:t>–</w:t>
      </w:r>
      <w:r w:rsidRPr="00DB54DA">
        <w:rPr>
          <w:rFonts w:ascii="Tahoma" w:hAnsi="Tahoma" w:cs="Tahoma"/>
          <w:b/>
          <w:sz w:val="28"/>
          <w:szCs w:val="28"/>
        </w:rPr>
        <w:t xml:space="preserve">V </w:t>
      </w:r>
      <w:r w:rsidRPr="00DB54DA">
        <w:rPr>
          <w:rFonts w:ascii="Tahoma" w:hAnsi="Tahoma" w:cs="Tahoma"/>
          <w:b/>
          <w:sz w:val="28"/>
          <w:szCs w:val="28"/>
          <w:lang w:val="ru-RU"/>
        </w:rPr>
        <w:t>201</w:t>
      </w:r>
      <w:r w:rsidRPr="00DB54DA">
        <w:rPr>
          <w:rFonts w:ascii="Tahoma" w:hAnsi="Tahoma" w:cs="Tahoma"/>
          <w:b/>
          <w:sz w:val="28"/>
          <w:szCs w:val="28"/>
        </w:rPr>
        <w:t>2</w:t>
      </w:r>
      <w:r w:rsidRPr="00DB54DA">
        <w:rPr>
          <w:rFonts w:ascii="Tahoma" w:hAnsi="Tahoma" w:cs="Tahoma"/>
          <w:b/>
          <w:sz w:val="28"/>
          <w:szCs w:val="28"/>
          <w:lang w:val="ru-RU"/>
        </w:rPr>
        <w:t>.</w:t>
      </w:r>
      <w:r w:rsidRPr="00DB54DA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DB54D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DB54DA">
        <w:rPr>
          <w:rFonts w:ascii="Tahoma" w:hAnsi="Tahoma" w:cs="Tahoma"/>
          <w:b/>
          <w:sz w:val="28"/>
          <w:szCs w:val="28"/>
          <w:lang w:val="hr-HR"/>
        </w:rPr>
        <w:t>54</w:t>
      </w:r>
      <w:r w:rsidRPr="00DB54DA">
        <w:rPr>
          <w:rFonts w:ascii="Tahoma" w:hAnsi="Tahoma" w:cs="Tahoma"/>
          <w:b/>
          <w:sz w:val="28"/>
          <w:szCs w:val="28"/>
          <w:lang w:val="ru-RU"/>
        </w:rPr>
        <w:t>,</w:t>
      </w:r>
      <w:r w:rsidRPr="00DB54DA">
        <w:rPr>
          <w:rFonts w:ascii="Tahoma" w:hAnsi="Tahoma" w:cs="Tahoma"/>
          <w:b/>
          <w:sz w:val="28"/>
          <w:szCs w:val="28"/>
        </w:rPr>
        <w:t>8</w:t>
      </w:r>
      <w:r w:rsidRPr="00DB54DA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DB54DA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DB54DA">
        <w:rPr>
          <w:rFonts w:ascii="Tahoma" w:hAnsi="Tahoma" w:cs="Tahoma"/>
          <w:sz w:val="24"/>
          <w:szCs w:val="24"/>
          <w:lang w:val="hr-HR"/>
        </w:rPr>
        <w:t>(I-V 2012/I-V 2011</w:t>
      </w:r>
      <w:r w:rsidRPr="00DB54DA">
        <w:rPr>
          <w:rFonts w:ascii="Tahoma" w:hAnsi="Tahoma" w:cs="Tahoma"/>
          <w:sz w:val="24"/>
          <w:szCs w:val="24"/>
          <w:lang w:val="sr-Cyrl-CS"/>
        </w:rPr>
        <w:t>.</w:t>
      </w:r>
      <w:r w:rsidRPr="00DB54DA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DB54DA">
        <w:rPr>
          <w:rFonts w:ascii="Tahoma" w:hAnsi="Tahoma" w:cs="Tahoma"/>
          <w:sz w:val="24"/>
          <w:szCs w:val="24"/>
          <w:lang w:val="sr-Cyrl-BA"/>
        </w:rPr>
        <w:t xml:space="preserve">смањен </w:t>
      </w:r>
      <w:r w:rsidRPr="00DB54DA">
        <w:rPr>
          <w:rFonts w:ascii="Tahoma" w:hAnsi="Tahoma" w:cs="Tahoma"/>
          <w:sz w:val="24"/>
          <w:szCs w:val="24"/>
        </w:rPr>
        <w:t>3</w:t>
      </w:r>
      <w:r w:rsidRPr="00DB54DA">
        <w:rPr>
          <w:rFonts w:ascii="Tahoma" w:hAnsi="Tahoma" w:cs="Tahoma"/>
          <w:sz w:val="24"/>
          <w:szCs w:val="24"/>
          <w:lang w:val="ru-RU"/>
        </w:rPr>
        <w:t>,</w:t>
      </w:r>
      <w:r w:rsidRPr="00DB54DA">
        <w:rPr>
          <w:rFonts w:ascii="Tahoma" w:hAnsi="Tahoma" w:cs="Tahoma"/>
          <w:sz w:val="24"/>
          <w:szCs w:val="24"/>
        </w:rPr>
        <w:t>5</w:t>
      </w:r>
      <w:r w:rsidRPr="00DB54DA">
        <w:rPr>
          <w:rFonts w:ascii="Tahoma" w:hAnsi="Tahoma" w:cs="Tahoma"/>
          <w:sz w:val="24"/>
          <w:szCs w:val="24"/>
          <w:lang w:val="ru-RU"/>
        </w:rPr>
        <w:t>%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>У мјесецу мају 2012. године, остварен је извоз у вриједности 227 милиона КМ и увоз у вриједности од 383 милиона КМ.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DB54DA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DB54DA">
        <w:rPr>
          <w:rFonts w:ascii="Tahoma" w:hAnsi="Tahoma" w:cs="Tahoma"/>
          <w:sz w:val="18"/>
          <w:szCs w:val="18"/>
          <w:lang w:val="bs-Cyrl-BA"/>
        </w:rPr>
        <w:t>е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DB54DA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Српске са иностранством у мају ове године, проценат покривености увоза извозом износио је 59,4%. 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B54DA">
        <w:rPr>
          <w:rFonts w:ascii="Tahoma" w:hAnsi="Tahoma" w:cs="Tahoma"/>
          <w:sz w:val="18"/>
          <w:szCs w:val="18"/>
          <w:lang w:val="ru-RU"/>
        </w:rPr>
        <w:t>У периоду јануар - мај 2012. године остварен је извоз у вриједности од 966 милиона КМ, што је за 3,5% мање у односу на исти период претходне године. Увоз је, у истом периоду, износио милијарду и 763 милиона КМ, што је за 6,1% више у односу на исти период претходне године.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B54DA">
        <w:rPr>
          <w:rFonts w:ascii="Tahoma" w:hAnsi="Tahoma" w:cs="Tahoma"/>
          <w:sz w:val="18"/>
          <w:szCs w:val="18"/>
          <w:lang w:val="ru-RU"/>
        </w:rPr>
        <w:t>Проценат покривености увоза извозом за првих пет мјесеци текуће године износио је 54,8%, док је спољнотрговински робни дефицит износио 797 милиона КМ.</w:t>
      </w:r>
    </w:p>
    <w:p w:rsidR="00270368" w:rsidRPr="00DB54DA" w:rsidRDefault="00270368" w:rsidP="00270368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270368" w:rsidRPr="00DB54DA" w:rsidRDefault="00270368" w:rsidP="00270368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DB54DA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DB54DA">
        <w:rPr>
          <w:rFonts w:ascii="Tahoma" w:hAnsi="Tahoma" w:cs="Tahoma"/>
          <w:szCs w:val="18"/>
        </w:rPr>
        <w:t>e</w:t>
      </w:r>
      <w:r w:rsidRPr="00DB54DA">
        <w:rPr>
          <w:rFonts w:ascii="Tahoma" w:hAnsi="Tahoma" w:cs="Tahoma"/>
          <w:szCs w:val="18"/>
          <w:lang w:val="ru-RU"/>
        </w:rPr>
        <w:t xml:space="preserve"> Српск</w:t>
      </w:r>
      <w:r w:rsidRPr="00DB54DA">
        <w:rPr>
          <w:rFonts w:ascii="Tahoma" w:hAnsi="Tahoma" w:cs="Tahoma"/>
          <w:szCs w:val="18"/>
        </w:rPr>
        <w:t>e</w:t>
      </w:r>
      <w:r w:rsidRPr="00DB54DA">
        <w:rPr>
          <w:rFonts w:ascii="Tahoma" w:hAnsi="Tahoma" w:cs="Tahoma"/>
          <w:szCs w:val="18"/>
          <w:lang w:val="ru-RU"/>
        </w:rPr>
        <w:t xml:space="preserve"> са иностранством, у периоду јануар - мај </w:t>
      </w:r>
      <w:r w:rsidRPr="00DB54DA">
        <w:rPr>
          <w:rFonts w:ascii="Tahoma" w:hAnsi="Tahoma" w:cs="Tahoma"/>
          <w:szCs w:val="18"/>
          <w:lang w:val="sr-Cyrl-CS"/>
        </w:rPr>
        <w:t>2012. године, највише се извозило у Србију и то у вриједности од 155 милиона КМ, односно 16,0%</w:t>
      </w:r>
      <w:r w:rsidRPr="00DB54DA">
        <w:rPr>
          <w:rFonts w:ascii="Tahoma" w:hAnsi="Tahoma" w:cs="Tahoma"/>
          <w:szCs w:val="18"/>
          <w:lang w:val="ru-RU"/>
        </w:rPr>
        <w:t xml:space="preserve">, </w:t>
      </w:r>
      <w:r w:rsidRPr="00DB54DA">
        <w:rPr>
          <w:rFonts w:ascii="Tahoma" w:hAnsi="Tahoma" w:cs="Tahoma"/>
          <w:szCs w:val="18"/>
          <w:lang w:val="sr-Cyrl-CS"/>
        </w:rPr>
        <w:t>те у Италију, у вриједности од 153 милиона КМ, односно 15,9% од укупног оствареног извоза.</w:t>
      </w:r>
    </w:p>
    <w:p w:rsidR="00270368" w:rsidRPr="00DB54DA" w:rsidRDefault="00270368" w:rsidP="00270368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DB54DA">
        <w:rPr>
          <w:rFonts w:ascii="Tahoma" w:hAnsi="Tahoma" w:cs="Tahoma"/>
          <w:sz w:val="18"/>
          <w:szCs w:val="18"/>
          <w:lang w:val="sr-Cyrl-BA"/>
        </w:rPr>
        <w:t>н</w:t>
      </w:r>
      <w:r w:rsidRPr="00DB54DA">
        <w:rPr>
          <w:rFonts w:ascii="Tahoma" w:hAnsi="Tahoma" w:cs="Tahoma"/>
          <w:sz w:val="18"/>
          <w:szCs w:val="18"/>
          <w:lang w:val="sr-Cyrl-CS"/>
        </w:rPr>
        <w:t>ајвише се увозило из Русије и то у вриједности од 428 милиона КМ, односно 24,3% и из Србије, у вриједности од 297 милиона КМ, односно 16,9% од укупно оствареног увоза.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 w:rsidRPr="00DB54DA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периоду </w:t>
      </w:r>
      <w:r w:rsidR="00444C56" w:rsidRPr="00DB54DA">
        <w:rPr>
          <w:rFonts w:ascii="Tahoma" w:hAnsi="Tahoma" w:cs="Tahoma"/>
          <w:sz w:val="18"/>
          <w:szCs w:val="18"/>
          <w:lang w:val="ru-RU"/>
        </w:rPr>
        <w:t xml:space="preserve">јануар - 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мај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2012. године, највеће учешће у извозу остварују </w:t>
      </w:r>
      <w:r w:rsidRPr="00DB54DA">
        <w:rPr>
          <w:rFonts w:ascii="Tahoma" w:hAnsi="Tahoma" w:cs="Tahoma"/>
          <w:sz w:val="18"/>
          <w:szCs w:val="18"/>
          <w:lang w:val="ru-RU"/>
        </w:rPr>
        <w:t>нафтна уља и уља добијена од битуменозних минерала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DB54DA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DB54DA">
        <w:rPr>
          <w:rFonts w:ascii="Tahoma" w:hAnsi="Tahoma" w:cs="Tahoma"/>
          <w:sz w:val="18"/>
          <w:szCs w:val="18"/>
          <w:lang w:val="sr-Cyrl-CS"/>
        </w:rPr>
        <w:t>)</w:t>
      </w:r>
      <w:r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147 милиона КМ, што износи 15,2% од укупног извоза, док највеће учешће у увозу остварује </w:t>
      </w:r>
      <w:r w:rsidRPr="00DB54DA">
        <w:rPr>
          <w:rFonts w:ascii="Tahoma" w:hAnsi="Tahoma" w:cs="Tahoma"/>
          <w:sz w:val="18"/>
          <w:szCs w:val="18"/>
          <w:lang w:val="sr-Cyrl-BA"/>
        </w:rPr>
        <w:t>н</w:t>
      </w:r>
      <w:r w:rsidRPr="00DB54DA">
        <w:rPr>
          <w:rFonts w:ascii="Tahoma" w:hAnsi="Tahoma" w:cs="Tahoma"/>
          <w:sz w:val="18"/>
          <w:szCs w:val="18"/>
          <w:lang w:val="ru-RU"/>
        </w:rPr>
        <w:t>афт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DB54DA">
        <w:rPr>
          <w:rFonts w:ascii="Tahoma" w:hAnsi="Tahoma" w:cs="Tahoma"/>
          <w:sz w:val="18"/>
          <w:szCs w:val="18"/>
          <w:lang w:val="ru-RU"/>
        </w:rPr>
        <w:t>уља добијена од битуменозних минерала</w:t>
      </w:r>
      <w:r w:rsidRPr="00DB54DA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DB54DA">
        <w:rPr>
          <w:rFonts w:ascii="Tahoma" w:hAnsi="Tahoma" w:cs="Tahoma"/>
          <w:sz w:val="18"/>
          <w:szCs w:val="18"/>
          <w:lang w:val="ru-RU"/>
        </w:rPr>
        <w:t>сиров</w:t>
      </w:r>
      <w:r w:rsidRPr="00DB54DA">
        <w:rPr>
          <w:rFonts w:ascii="Tahoma" w:hAnsi="Tahoma" w:cs="Tahoma"/>
          <w:sz w:val="18"/>
          <w:szCs w:val="18"/>
          <w:lang w:val="sr-Cyrl-BA"/>
        </w:rPr>
        <w:t>а), са укупном вриједношћу од 468 милиона КМ, што износи 26,6% од укупног увоза.</w:t>
      </w:r>
    </w:p>
    <w:p w:rsidR="00B97590" w:rsidRPr="00DB54DA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DB54DA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DB54DA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Pr="00DB54DA" w:rsidRDefault="005D43A2" w:rsidP="00B97590">
      <w:pPr>
        <w:jc w:val="center"/>
        <w:rPr>
          <w:rFonts w:ascii="Tahoma" w:hAnsi="Tahoma" w:cs="Tahoma"/>
          <w:sz w:val="18"/>
          <w:szCs w:val="18"/>
        </w:rPr>
      </w:pPr>
      <w:r w:rsidRPr="005D43A2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78.5pt;margin-top:182.65pt;width:188.35pt;height:22.2pt;z-index:251657216;mso-position-horizontal-relative:text;mso-position-vertical-relative:text;mso-width-relative:margin;mso-height-relative:margin" stroked="f">
            <v:textbox style="mso-next-textbox:#_x0000_s1061">
              <w:txbxContent>
                <w:p w:rsidR="00EB450E" w:rsidRPr="0095396E" w:rsidRDefault="00EB450E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270368" w:rsidRPr="00DB54DA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061833" cy="2456953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7590" w:rsidRPr="00DB54DA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DB54DA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DB54DA" w:rsidRDefault="00DB54DA" w:rsidP="00DB54D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DB54DA">
        <w:rPr>
          <w:rFonts w:ascii="Tahoma" w:hAnsi="Tahoma" w:cs="Tahoma"/>
          <w:sz w:val="18"/>
          <w:szCs w:val="18"/>
          <w:lang w:val="ru-RU"/>
        </w:rPr>
        <w:t>Гр</w:t>
      </w:r>
      <w:r w:rsidR="00B97590" w:rsidRPr="00DB54DA">
        <w:rPr>
          <w:rFonts w:ascii="Tahoma" w:hAnsi="Tahoma" w:cs="Tahoma"/>
          <w:sz w:val="18"/>
          <w:szCs w:val="18"/>
          <w:lang w:val="ru-RU"/>
        </w:rPr>
        <w:t xml:space="preserve">фикон 2. </w:t>
      </w:r>
      <w:r w:rsidR="00B97590" w:rsidRPr="00DB54DA">
        <w:rPr>
          <w:rFonts w:ascii="Tahoma" w:hAnsi="Tahoma" w:cs="Tahoma"/>
          <w:iCs/>
          <w:sz w:val="18"/>
          <w:szCs w:val="18"/>
          <w:lang w:val="sr-Cyrl-CS"/>
        </w:rPr>
        <w:t>Из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 xml:space="preserve">воз и </w:t>
      </w:r>
      <w:r w:rsidR="00B97590" w:rsidRPr="00DB54DA">
        <w:rPr>
          <w:rFonts w:ascii="Tahoma" w:hAnsi="Tahoma" w:cs="Tahoma"/>
          <w:iCs/>
          <w:sz w:val="18"/>
          <w:szCs w:val="18"/>
          <w:lang w:val="sr-Cyrl-CS"/>
        </w:rPr>
        <w:t>у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>воз по мјесецима у хиљ</w:t>
      </w:r>
      <w:r w:rsidR="00B97590" w:rsidRPr="00DB54DA">
        <w:rPr>
          <w:rFonts w:ascii="Tahoma" w:hAnsi="Tahoma" w:cs="Tahoma"/>
          <w:iCs/>
          <w:sz w:val="18"/>
          <w:szCs w:val="18"/>
          <w:lang w:val="sr-Cyrl-CS"/>
        </w:rPr>
        <w:t>адама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 w:rsidR="00B97590" w:rsidRPr="00DB54DA">
        <w:rPr>
          <w:rFonts w:ascii="Tahoma" w:hAnsi="Tahoma" w:cs="Tahoma"/>
          <w:iCs/>
          <w:sz w:val="18"/>
          <w:szCs w:val="18"/>
          <w:lang w:val="sr-Cyrl-CS"/>
        </w:rPr>
        <w:t>КМ</w:t>
      </w:r>
    </w:p>
    <w:p w:rsidR="0078288A" w:rsidRPr="00DB54DA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DB54DA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DB54DA" w:rsidRPr="00DB54DA" w:rsidRDefault="00DB54DA" w:rsidP="00EB450E">
      <w:pPr>
        <w:rPr>
          <w:rFonts w:ascii="Tahoma" w:hAnsi="Tahoma" w:cs="Tahoma"/>
          <w:b/>
          <w:sz w:val="28"/>
          <w:szCs w:val="28"/>
          <w:lang w:val="sr-Cyrl-CS"/>
        </w:rPr>
      </w:pPr>
    </w:p>
    <w:p w:rsidR="00EB450E" w:rsidRPr="00DB54DA" w:rsidRDefault="00EB450E" w:rsidP="00EB450E">
      <w:pPr>
        <w:rPr>
          <w:rFonts w:ascii="Tahoma" w:hAnsi="Tahoma" w:cs="Tahoma"/>
          <w:b/>
          <w:sz w:val="28"/>
          <w:szCs w:val="28"/>
          <w:lang w:val="sr-Cyrl-CS"/>
        </w:rPr>
      </w:pPr>
      <w:r w:rsidRPr="00DB54DA">
        <w:rPr>
          <w:rFonts w:ascii="Tahoma" w:hAnsi="Tahoma" w:cs="Tahoma"/>
          <w:b/>
          <w:sz w:val="28"/>
          <w:szCs w:val="28"/>
          <w:lang w:val="sr-Cyrl-CS"/>
        </w:rPr>
        <w:t>Социјална заштита</w:t>
      </w:r>
    </w:p>
    <w:p w:rsidR="00EB450E" w:rsidRPr="00DB54DA" w:rsidRDefault="00EB450E" w:rsidP="00EB450E">
      <w:pPr>
        <w:rPr>
          <w:rFonts w:ascii="Tahoma" w:hAnsi="Tahoma" w:cs="Tahoma"/>
          <w:b/>
          <w:sz w:val="28"/>
          <w:szCs w:val="28"/>
          <w:lang w:val="sr-Cyrl-CS"/>
        </w:rPr>
      </w:pPr>
    </w:p>
    <w:p w:rsidR="00EB450E" w:rsidRPr="00DB54DA" w:rsidRDefault="00EB450E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 xml:space="preserve">Укупан број корисника социјалне заштите у 2011. години износи 350 300 и мањи је за око 2% у односу на 2010. годину. Међутим, евидентно је повећање малољетних корисника за око 5%. </w:t>
      </w:r>
    </w:p>
    <w:p w:rsidR="00EB450E" w:rsidRPr="00DB54DA" w:rsidRDefault="00EB450E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>Највећи број малољетних корисника социјалне заштите има између 7 и 14 година, док највише пунољетних корисника има преко 65 година.</w:t>
      </w:r>
    </w:p>
    <w:p w:rsidR="00EB450E" w:rsidRPr="00DB54DA" w:rsidRDefault="00EB450E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 xml:space="preserve">У 2011. години </w:t>
      </w:r>
      <w:r w:rsidR="00DB54DA" w:rsidRPr="00DB54DA">
        <w:rPr>
          <w:rFonts w:ascii="Tahoma" w:hAnsi="Tahoma" w:cs="Tahoma"/>
          <w:sz w:val="18"/>
          <w:szCs w:val="18"/>
          <w:lang w:val="sr-Cyrl-CS"/>
        </w:rPr>
        <w:t xml:space="preserve">у односу на 2010. </w:t>
      </w:r>
      <w:r w:rsidR="00DB54DA">
        <w:rPr>
          <w:rFonts w:ascii="Tahoma" w:hAnsi="Tahoma" w:cs="Tahoma"/>
          <w:sz w:val="18"/>
          <w:szCs w:val="18"/>
          <w:lang w:val="sr-Cyrl-CS"/>
        </w:rPr>
        <w:t>годину,</w:t>
      </w:r>
      <w:r w:rsidR="00DB54DA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пружен </w:t>
      </w:r>
      <w:r w:rsidR="00DB54DA" w:rsidRPr="00DB54DA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мањи број облика и услуга социјалне заштите (за скоро 7%). </w:t>
      </w:r>
    </w:p>
    <w:p w:rsidR="00EB450E" w:rsidRPr="00DB54DA" w:rsidRDefault="00EB450E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B450E" w:rsidRPr="00DB54DA" w:rsidRDefault="00EB450E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Cyrl-CS"/>
        </w:rPr>
        <w:t xml:space="preserve">Евидентирано је </w:t>
      </w:r>
      <w:r w:rsidR="00DB54DA" w:rsidRPr="00DB54DA">
        <w:rPr>
          <w:rFonts w:ascii="Tahoma" w:hAnsi="Tahoma" w:cs="Tahoma"/>
          <w:sz w:val="18"/>
          <w:szCs w:val="18"/>
          <w:lang w:val="sr-Cyrl-CS"/>
        </w:rPr>
        <w:t>осам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установа социјалне заштите за дјецу и омладину и 10 установа за одрасле. Број корисника установа за дјецу и омладину износио је 544 и скоро је непромијењен у односу на 2010. годину, док се број корисника установа за одрасле повећао и износи 1</w:t>
      </w:r>
      <w:r w:rsid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Cyrl-CS"/>
        </w:rPr>
        <w:t>052.</w:t>
      </w:r>
    </w:p>
    <w:p w:rsidR="00EB450E" w:rsidRPr="00DB54DA" w:rsidRDefault="00EB450E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B450E" w:rsidRPr="00DB54DA" w:rsidRDefault="00EB450E" w:rsidP="00EB450E">
      <w:pPr>
        <w:rPr>
          <w:rFonts w:ascii="Tahoma" w:hAnsi="Tahoma" w:cs="Tahoma"/>
          <w:b/>
          <w:sz w:val="18"/>
          <w:szCs w:val="18"/>
          <w:lang w:val="sr-Cyrl-CS"/>
        </w:rPr>
      </w:pPr>
      <w:r w:rsidRPr="00DB54DA">
        <w:rPr>
          <w:rFonts w:ascii="Tahoma" w:hAnsi="Tahoma" w:cs="Tahoma"/>
          <w:sz w:val="18"/>
          <w:szCs w:val="18"/>
          <w:lang w:val="sr-Latn-BA"/>
        </w:rPr>
        <w:t>Укупан број корисника који су остваривали право на додатак на дјецу у 2011. години износи 29 674, а број дјеце која</w:t>
      </w:r>
      <w:r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B54DA">
        <w:rPr>
          <w:rFonts w:ascii="Tahoma" w:hAnsi="Tahoma" w:cs="Tahoma"/>
          <w:sz w:val="18"/>
          <w:szCs w:val="18"/>
          <w:lang w:val="sr-Latn-BA"/>
        </w:rPr>
        <w:t>су користила право на додатак за дјецу у истој години је 41 636</w:t>
      </w:r>
      <w:r w:rsidRPr="00DB54DA">
        <w:rPr>
          <w:rFonts w:ascii="Tahoma" w:hAnsi="Tahoma" w:cs="Tahoma"/>
          <w:sz w:val="18"/>
          <w:szCs w:val="18"/>
          <w:lang w:val="sr-Cyrl-CS"/>
        </w:rPr>
        <w:t>. У односу на 2010. годину, укупан број корисника који остварују право на додатак на дјецу као и број дјеце корисника, су се смањили за 2,0% у 2011. години.</w:t>
      </w:r>
    </w:p>
    <w:p w:rsidR="00EB450E" w:rsidRPr="00DB54DA" w:rsidRDefault="00EB450E" w:rsidP="00EB450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372FAD" w:rsidRPr="00DB54DA" w:rsidRDefault="00372FAD">
      <w:pPr>
        <w:rPr>
          <w:rFonts w:ascii="Tahoma" w:hAnsi="Tahoma" w:cs="Tahoma"/>
          <w:b/>
          <w:sz w:val="28"/>
          <w:szCs w:val="28"/>
        </w:rPr>
      </w:pPr>
      <w:r w:rsidRPr="00DB54DA">
        <w:rPr>
          <w:rFonts w:ascii="Tahoma" w:hAnsi="Tahoma" w:cs="Tahoma"/>
          <w:b/>
          <w:sz w:val="28"/>
          <w:szCs w:val="28"/>
        </w:rPr>
        <w:br w:type="page"/>
      </w:r>
    </w:p>
    <w:p w:rsidR="009F6652" w:rsidRPr="00DB54DA" w:rsidRDefault="009F6652" w:rsidP="00EE6130">
      <w:pPr>
        <w:rPr>
          <w:rFonts w:ascii="Tahoma" w:hAnsi="Tahoma" w:cs="Tahoma"/>
          <w:b/>
          <w:spacing w:val="-16"/>
          <w:sz w:val="28"/>
          <w:szCs w:val="28"/>
        </w:rPr>
      </w:pPr>
    </w:p>
    <w:p w:rsidR="00205D07" w:rsidRPr="00DB54DA" w:rsidRDefault="00205D07" w:rsidP="00B3226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9F6652" w:rsidRPr="00DB54DA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DB54DA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DB54DA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DB54DA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8C3261" w:rsidRPr="00DB54DA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DB54DA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A23F12" w:rsidRPr="00DB54DA" w:rsidRDefault="00205D07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 w:rsidRPr="00DB54DA"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8C3261" w:rsidRPr="00DB54DA" w:rsidRDefault="005D43A2" w:rsidP="00542A21">
            <w:pPr>
              <w:rPr>
                <w:rFonts w:ascii="Tahoma" w:hAnsi="Tahoma" w:cs="Tahoma"/>
                <w:sz w:val="16"/>
              </w:rPr>
            </w:pPr>
            <w:hyperlink r:id="rId11" w:history="1">
              <w:r w:rsidR="00205D07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biljana.glisic@rzs.rs.ba</w:t>
              </w:r>
            </w:hyperlink>
            <w:r w:rsidR="00205D07" w:rsidRPr="00DB54DA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DB54DA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DB54DA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8C3261" w:rsidP="00542A21">
            <w:pPr>
              <w:rPr>
                <w:rFonts w:ascii="Tahoma" w:hAnsi="Tahoma" w:cs="Tahoma"/>
                <w:b/>
                <w:sz w:val="16"/>
              </w:rPr>
            </w:pPr>
            <w:r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205D07" w:rsidRPr="00DB54DA" w:rsidRDefault="00205D07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DB54DA">
              <w:rPr>
                <w:rFonts w:ascii="Tahoma" w:hAnsi="Tahoma" w:cs="Tahoma"/>
                <w:sz w:val="16"/>
                <w:lang w:val="sr-Cyrl-CS"/>
              </w:rPr>
              <w:t>Биљана Тешић</w:t>
            </w:r>
          </w:p>
          <w:p w:rsidR="00205D07" w:rsidRPr="00DB54DA" w:rsidRDefault="005D43A2" w:rsidP="00542A21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205D07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biljana.tesic@rzs.rs.ba</w:t>
              </w:r>
            </w:hyperlink>
            <w:r w:rsidR="00205D07" w:rsidRPr="00DB54DA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DB54DA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DB54DA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DB54DA" w:rsidRDefault="005D43A2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3" w:history="1"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jasminka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milic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proofErr w:type="spellStart"/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</w:p>
          <w:p w:rsidR="008C3261" w:rsidRPr="00DB54DA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DB54DA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DB54DA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DB54DA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DB54DA" w:rsidRDefault="005D43A2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4" w:history="1"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mirjana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bandur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proofErr w:type="spellStart"/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  <w:r w:rsidR="008C3261" w:rsidRPr="00DB54DA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DB54DA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DB54DA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DB54DA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DB54DA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Pr="00DB54DA" w:rsidRDefault="005D43A2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5" w:history="1"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sanja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stojcevic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proofErr w:type="spellStart"/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</w:p>
          <w:p w:rsidR="008C3261" w:rsidRPr="00DB54DA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72FAD" w:rsidRPr="00DB54DA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72FAD" w:rsidRPr="00DB54DA" w:rsidRDefault="00372FAD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</w:t>
            </w:r>
            <w:r w:rsidR="00EB450E" w:rsidRPr="00DB54DA">
              <w:rPr>
                <w:rFonts w:ascii="Tahoma" w:hAnsi="Tahoma" w:cs="Tahoma"/>
                <w:b/>
                <w:sz w:val="16"/>
                <w:lang w:val="sr-Cyrl-CS"/>
              </w:rPr>
              <w:t>социјалне заштите</w:t>
            </w:r>
          </w:p>
          <w:p w:rsidR="00372FAD" w:rsidRPr="00DB54DA" w:rsidRDefault="00EB450E" w:rsidP="00542A21">
            <w:pPr>
              <w:rPr>
                <w:rFonts w:ascii="Tahoma" w:hAnsi="Tahoma" w:cs="Tahoma"/>
                <w:sz w:val="16"/>
              </w:rPr>
            </w:pPr>
            <w:r w:rsidRPr="00DB54DA">
              <w:rPr>
                <w:rFonts w:ascii="Tahoma" w:hAnsi="Tahoma" w:cs="Tahoma"/>
                <w:sz w:val="16"/>
                <w:lang w:val="sr-Cyrl-CS"/>
              </w:rPr>
              <w:t>Сања Панић</w:t>
            </w:r>
          </w:p>
          <w:p w:rsidR="00372FAD" w:rsidRPr="00DB54DA" w:rsidRDefault="005D43A2" w:rsidP="00372FAD">
            <w:pPr>
              <w:rPr>
                <w:lang w:val="sr-Cyrl-CS"/>
              </w:rPr>
            </w:pPr>
            <w:hyperlink r:id="rId16" w:history="1"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sanja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Latn-CS"/>
                </w:rPr>
                <w:t>panic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proofErr w:type="spellStart"/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  <w:proofErr w:type="spellEnd"/>
            </w:hyperlink>
          </w:p>
          <w:p w:rsidR="00372FAD" w:rsidRPr="00DB54DA" w:rsidRDefault="00372FAD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Pr="00DB54DA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DB54DA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DB54DA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DB54DA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DB54DA">
              <w:rPr>
                <w:rFonts w:ascii="Tahoma" w:hAnsi="Tahoma" w:cs="Tahoma"/>
                <w:b/>
                <w:bCs/>
              </w:rPr>
              <w:sym w:font="Symbol" w:char="00C6"/>
            </w:r>
            <w:r w:rsidRPr="00DB54DA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DB54DA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DB54DA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DB54DA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DB54DA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DB54DA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DB54DA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DB54DA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DB54DA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DB54DA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DB54DA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DB54DA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DB54DA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DB54DA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DB54DA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DB54DA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Latn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43E9" w:rsidRDefault="009B43E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43E9" w:rsidRPr="009B43E9" w:rsidRDefault="009B43E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72953" w:rsidRPr="00DB54DA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DB54DA" w:rsidRDefault="005D43A2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5D43A2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DB54DA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DB54DA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DB54DA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DB54DA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DB54DA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DB54DA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DB54DA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DB54DA">
              <w:rPr>
                <w:rFonts w:ascii="Tahoma" w:hAnsi="Tahoma" w:cs="Tahoma"/>
                <w:sz w:val="16"/>
              </w:rPr>
              <w:t xml:space="preserve">е </w:t>
            </w:r>
            <w:r w:rsidR="00477CB9" w:rsidRPr="00DB54DA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DB54DA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DB54DA">
              <w:rPr>
                <w:rFonts w:ascii="Tahoma" w:hAnsi="Tahoma" w:cs="Tahoma"/>
                <w:sz w:val="16"/>
              </w:rPr>
              <w:t xml:space="preserve"> </w:t>
            </w:r>
            <w:r w:rsidRPr="00DB54DA">
              <w:rPr>
                <w:rFonts w:ascii="Tahoma" w:hAnsi="Tahoma" w:cs="Tahoma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DB54DA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DB54DA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DB54DA">
              <w:rPr>
                <w:rFonts w:ascii="Tahoma" w:hAnsi="Tahoma" w:cs="Tahoma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DB54DA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DB54DA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DB54DA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DB54DA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DB54DA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DB54DA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DB54DA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DB54DA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DB54DA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DB54DA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DB54DA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DB54DA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DB54DA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DB54DA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DB54DA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DB54DA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DB54DA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DB54DA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DB54DA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DB54DA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DB54DA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DB54DA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DB54DA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DB54DA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DB54DA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DB54DA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7" w:history="1">
              <w:r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DB54DA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DB54DA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DB54DA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DB54DA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DB54DA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DB54DA" w:rsidRDefault="005D43A2" w:rsidP="008C3261">
      <w:pPr>
        <w:rPr>
          <w:lang w:val="sr-Cyrl-BA"/>
        </w:rPr>
      </w:pPr>
      <w:r w:rsidRPr="005D43A2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DB54DA" w:rsidRDefault="00657939" w:rsidP="008C3261">
      <w:pPr>
        <w:rPr>
          <w:lang w:val="sr-Cyrl-BA"/>
        </w:rPr>
      </w:pPr>
    </w:p>
    <w:sectPr w:rsidR="00657939" w:rsidRPr="00DB54DA" w:rsidSect="00EB450E">
      <w:headerReference w:type="default" r:id="rId18"/>
      <w:head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0E" w:rsidRDefault="00EB450E">
      <w:r>
        <w:separator/>
      </w:r>
    </w:p>
  </w:endnote>
  <w:endnote w:type="continuationSeparator" w:id="0">
    <w:p w:rsidR="00EB450E" w:rsidRDefault="00EB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0E" w:rsidRDefault="00EB450E">
      <w:r>
        <w:separator/>
      </w:r>
    </w:p>
  </w:footnote>
  <w:footnote w:type="continuationSeparator" w:id="0">
    <w:p w:rsidR="00EB450E" w:rsidRDefault="00EB4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DB54DA" w:rsidTr="009665BA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DB54DA" w:rsidRDefault="00DB54DA" w:rsidP="009665B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DB54DA" w:rsidRPr="00460A5B" w:rsidRDefault="00DB54DA" w:rsidP="009665BA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DB54DA" w:rsidRPr="005D5311" w:rsidRDefault="00DB54DA" w:rsidP="00DB54D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јун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</w:t>
          </w:r>
          <w:r w:rsidR="005D43A2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5D43A2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9B43E9">
            <w:rPr>
              <w:rStyle w:val="PageNumber"/>
              <w:rFonts w:ascii="Tahoma" w:hAnsi="Tahoma"/>
              <w:b/>
              <w:noProof/>
              <w:color w:val="0070C0"/>
            </w:rPr>
            <w:t>5</w:t>
          </w:r>
          <w:r w:rsidR="005D43A2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EB450E" w:rsidRDefault="00EB450E" w:rsidP="006D0CE1">
    <w:pPr>
      <w:pStyle w:val="Header"/>
      <w:ind w:right="360"/>
      <w:rPr>
        <w:rFonts w:ascii="Tahoma" w:hAnsi="Tahoma" w:cs="Tahoma"/>
        <w:sz w:val="16"/>
        <w:lang w:val="sr-Latn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78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B450E" w:rsidRPr="00EB450E" w:rsidRDefault="005D43A2">
        <w:pPr>
          <w:pStyle w:val="Header"/>
          <w:jc w:val="right"/>
          <w:rPr>
            <w:color w:val="FFFFFF" w:themeColor="background1"/>
          </w:rPr>
        </w:pPr>
        <w:r w:rsidRPr="00EB450E">
          <w:rPr>
            <w:color w:val="FFFFFF" w:themeColor="background1"/>
          </w:rPr>
          <w:fldChar w:fldCharType="begin"/>
        </w:r>
        <w:r w:rsidR="00EB450E" w:rsidRPr="00EB450E">
          <w:rPr>
            <w:color w:val="FFFFFF" w:themeColor="background1"/>
          </w:rPr>
          <w:instrText xml:space="preserve"> PAGE   \* MERGEFORMAT </w:instrText>
        </w:r>
        <w:r w:rsidRPr="00EB450E">
          <w:rPr>
            <w:color w:val="FFFFFF" w:themeColor="background1"/>
          </w:rPr>
          <w:fldChar w:fldCharType="separate"/>
        </w:r>
        <w:r w:rsidR="009B43E9">
          <w:rPr>
            <w:noProof/>
            <w:color w:val="FFFFFF" w:themeColor="background1"/>
          </w:rPr>
          <w:t>1</w:t>
        </w:r>
        <w:r w:rsidRPr="00EB450E">
          <w:rPr>
            <w:color w:val="FFFFFF" w:themeColor="background1"/>
          </w:rPr>
          <w:fldChar w:fldCharType="end"/>
        </w:r>
      </w:p>
    </w:sdtContent>
  </w:sdt>
  <w:p w:rsidR="00EB450E" w:rsidRDefault="00EB450E">
    <w:pPr>
      <w:pStyle w:val="Header"/>
    </w:pPr>
  </w:p>
  <w:p w:rsidR="00DB54DA" w:rsidRDefault="00DB54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7D1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4A3A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5CC5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8A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8CE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368"/>
    <w:rsid w:val="00270462"/>
    <w:rsid w:val="0027151F"/>
    <w:rsid w:val="00271A5A"/>
    <w:rsid w:val="0027269C"/>
    <w:rsid w:val="00272A1A"/>
    <w:rsid w:val="00272E9A"/>
    <w:rsid w:val="00272FE5"/>
    <w:rsid w:val="0027310B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70A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2FAD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A46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5FB2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613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4C56"/>
    <w:rsid w:val="00445324"/>
    <w:rsid w:val="004459B2"/>
    <w:rsid w:val="00445CA0"/>
    <w:rsid w:val="00446322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0CD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3A2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4E7C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22F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21F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36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371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0BF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8EB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A92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70D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0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43E9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956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A65"/>
    <w:rsid w:val="00B07C23"/>
    <w:rsid w:val="00B10011"/>
    <w:rsid w:val="00B10AF9"/>
    <w:rsid w:val="00B10E7A"/>
    <w:rsid w:val="00B1178B"/>
    <w:rsid w:val="00B11BC8"/>
    <w:rsid w:val="00B11F51"/>
    <w:rsid w:val="00B12115"/>
    <w:rsid w:val="00B1216F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8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6C6E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0EC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A4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441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109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4DA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06B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10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450E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870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33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3422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sminka.mili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nja.panic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gli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rjana.bandur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maj%202012\za%20Graf%20I-V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9"/>
          <c:w val="0.65206660337670563"/>
          <c:h val="0.63034152452997783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lll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816</c:v>
                </c:pt>
                <c:pt idx="1">
                  <c:v>817</c:v>
                </c:pt>
                <c:pt idx="2">
                  <c:v>811</c:v>
                </c:pt>
                <c:pt idx="3">
                  <c:v>813</c:v>
                </c:pt>
                <c:pt idx="4">
                  <c:v>807</c:v>
                </c:pt>
                <c:pt idx="5">
                  <c:v>802</c:v>
                </c:pt>
                <c:pt idx="6">
                  <c:v>813</c:v>
                </c:pt>
                <c:pt idx="7">
                  <c:v>815</c:v>
                </c:pt>
                <c:pt idx="8">
                  <c:v>819</c:v>
                </c:pt>
                <c:pt idx="9">
                  <c:v>821</c:v>
                </c:pt>
                <c:pt idx="10">
                  <c:v>814</c:v>
                </c:pt>
                <c:pt idx="11">
                  <c:v>817</c:v>
                </c:pt>
                <c:pt idx="12">
                  <c:v>826</c:v>
                </c:pt>
              </c:numCache>
            </c:numRef>
          </c:val>
        </c:ser>
        <c:marker val="1"/>
        <c:axId val="25237376"/>
        <c:axId val="25238912"/>
      </c:lineChart>
      <c:catAx>
        <c:axId val="25237376"/>
        <c:scaling>
          <c:orientation val="minMax"/>
        </c:scaling>
        <c:axPos val="b"/>
        <c:tickLblPos val="nextTo"/>
        <c:crossAx val="25238912"/>
        <c:crosses val="autoZero"/>
        <c:lblAlgn val="ctr"/>
        <c:lblOffset val="100"/>
      </c:catAx>
      <c:valAx>
        <c:axId val="25238912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crossAx val="25237376"/>
        <c:crosses val="autoZero"/>
        <c:crossBetween val="between"/>
        <c:majorUnit val="40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0594683783522694"/>
          <c:h val="0.79126747642303297"/>
        </c:manualLayout>
      </c:layout>
      <c:lineChart>
        <c:grouping val="standard"/>
        <c:ser>
          <c:idx val="0"/>
          <c:order val="0"/>
          <c:tx>
            <c:strRef>
              <c:f>zaMaj2012!$A$2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zaMaj2012!$B$1:$N$1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zaMaj2012!$B$2:$N$2</c:f>
              <c:numCache>
                <c:formatCode>General</c:formatCode>
                <c:ptCount val="13"/>
                <c:pt idx="0">
                  <c:v>344720</c:v>
                </c:pt>
                <c:pt idx="1">
                  <c:v>467781</c:v>
                </c:pt>
                <c:pt idx="2">
                  <c:v>408777</c:v>
                </c:pt>
                <c:pt idx="3">
                  <c:v>375448</c:v>
                </c:pt>
                <c:pt idx="4">
                  <c:v>423860</c:v>
                </c:pt>
                <c:pt idx="5">
                  <c:v>396712</c:v>
                </c:pt>
                <c:pt idx="6">
                  <c:v>393737</c:v>
                </c:pt>
                <c:pt idx="7">
                  <c:v>456851</c:v>
                </c:pt>
                <c:pt idx="8">
                  <c:v>290628</c:v>
                </c:pt>
                <c:pt idx="9">
                  <c:v>242652</c:v>
                </c:pt>
                <c:pt idx="10">
                  <c:v>474051</c:v>
                </c:pt>
                <c:pt idx="11">
                  <c:v>372405</c:v>
                </c:pt>
                <c:pt idx="12">
                  <c:v>382867</c:v>
                </c:pt>
              </c:numCache>
            </c:numRef>
          </c:val>
        </c:ser>
        <c:ser>
          <c:idx val="1"/>
          <c:order val="1"/>
          <c:tx>
            <c:strRef>
              <c:f>zaMaj2012!$A$3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zaMaj2012!$B$1:$N$1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zaMaj2012!$B$3:$N$3</c:f>
              <c:numCache>
                <c:formatCode>General</c:formatCode>
                <c:ptCount val="13"/>
                <c:pt idx="0">
                  <c:v>207617</c:v>
                </c:pt>
                <c:pt idx="1">
                  <c:v>228912</c:v>
                </c:pt>
                <c:pt idx="2">
                  <c:v>214293</c:v>
                </c:pt>
                <c:pt idx="3">
                  <c:v>218373</c:v>
                </c:pt>
                <c:pt idx="4">
                  <c:v>248961</c:v>
                </c:pt>
                <c:pt idx="5">
                  <c:v>220859</c:v>
                </c:pt>
                <c:pt idx="6">
                  <c:v>225703</c:v>
                </c:pt>
                <c:pt idx="7">
                  <c:v>203743</c:v>
                </c:pt>
                <c:pt idx="8">
                  <c:v>158330</c:v>
                </c:pt>
                <c:pt idx="9">
                  <c:v>161327</c:v>
                </c:pt>
                <c:pt idx="10">
                  <c:v>214153</c:v>
                </c:pt>
                <c:pt idx="11">
                  <c:v>204803</c:v>
                </c:pt>
                <c:pt idx="12">
                  <c:v>227243</c:v>
                </c:pt>
              </c:numCache>
            </c:numRef>
          </c:val>
        </c:ser>
        <c:marker val="1"/>
        <c:axId val="25293952"/>
        <c:axId val="25295488"/>
      </c:lineChart>
      <c:catAx>
        <c:axId val="252939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5295488"/>
        <c:crosses val="autoZero"/>
        <c:auto val="1"/>
        <c:lblAlgn val="ctr"/>
        <c:lblOffset val="100"/>
      </c:catAx>
      <c:valAx>
        <c:axId val="25295488"/>
        <c:scaling>
          <c:orientation val="minMax"/>
        </c:scaling>
        <c:axPos val="l"/>
        <c:majorGridlines/>
        <c:numFmt formatCode="#\ ##0;\-#\ ##0" sourceLinked="0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529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28765937151263"/>
          <c:y val="0.41628280839895315"/>
          <c:w val="0.13669099874979726"/>
          <c:h val="0.16743438320210124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F29D-7CBC-4D00-93D1-C86B79B7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1756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12204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dc:description/>
  <cp:lastModifiedBy>cejvanve</cp:lastModifiedBy>
  <cp:revision>14</cp:revision>
  <cp:lastPrinted>2012-06-21T08:34:00Z</cp:lastPrinted>
  <dcterms:created xsi:type="dcterms:W3CDTF">2012-03-21T08:18:00Z</dcterms:created>
  <dcterms:modified xsi:type="dcterms:W3CDTF">2012-06-21T08:39:00Z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