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5E13DF" w:rsidTr="00EB450E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5E13DF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5E13DF">
              <w:rPr>
                <w:rFonts w:ascii="Tahoma" w:hAnsi="Tahoma" w:cs="Tahoma"/>
              </w:rPr>
              <w:br w:type="column"/>
            </w:r>
            <w:r w:rsidRPr="005E13DF">
              <w:rPr>
                <w:rFonts w:ascii="Tahoma" w:hAnsi="Tahoma" w:cs="Tahoma"/>
              </w:rPr>
              <w:br w:type="column"/>
            </w:r>
            <w:r w:rsidRPr="005E13DF">
              <w:rPr>
                <w:rFonts w:ascii="Tahoma" w:hAnsi="Tahoma" w:cs="Tahoma"/>
              </w:rPr>
              <w:br w:type="page"/>
            </w:r>
            <w:r w:rsidRPr="005E13DF">
              <w:rPr>
                <w:rFonts w:ascii="Tahoma" w:hAnsi="Tahoma" w:cs="Tahoma"/>
              </w:rPr>
              <w:br w:type="page"/>
            </w:r>
            <w:r w:rsidR="00B97590" w:rsidRPr="005E13DF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5E13DF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5E13D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5E13D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5E13DF" w:rsidRDefault="005D5311" w:rsidP="00CF0EA0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</w:rPr>
            </w:pPr>
            <w:r w:rsidRPr="005E13DF">
              <w:rPr>
                <w:rFonts w:ascii="Tahoma" w:hAnsi="Tahoma" w:cs="Tahoma"/>
                <w:sz w:val="16"/>
                <w:lang w:val="sr-Cyrl-BA"/>
              </w:rPr>
              <w:t>[</w:t>
            </w:r>
            <w:r w:rsidR="00CF0EA0" w:rsidRPr="005E13DF">
              <w:rPr>
                <w:rFonts w:ascii="Tahoma" w:hAnsi="Tahoma" w:cs="Tahoma"/>
                <w:sz w:val="16"/>
              </w:rPr>
              <w:t>19</w:t>
            </w:r>
            <w:r w:rsidRPr="005E13DF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="001B4D57" w:rsidRPr="005E13DF">
              <w:rPr>
                <w:rFonts w:ascii="Tahoma" w:hAnsi="Tahoma" w:cs="Tahoma"/>
                <w:sz w:val="16"/>
                <w:lang w:val="sr-Cyrl-CS"/>
              </w:rPr>
              <w:t>јул</w:t>
            </w:r>
            <w:r w:rsidR="00AA6475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1A34F5" w:rsidRPr="005E13DF">
              <w:rPr>
                <w:rFonts w:ascii="Tahoma" w:hAnsi="Tahoma" w:cs="Tahoma"/>
                <w:sz w:val="16"/>
                <w:lang w:val="sr-Cyrl-BA"/>
              </w:rPr>
              <w:t>2012</w:t>
            </w:r>
            <w:r w:rsidRPr="005E13DF">
              <w:rPr>
                <w:rFonts w:ascii="Tahoma" w:hAnsi="Tahoma" w:cs="Tahoma"/>
                <w:sz w:val="16"/>
                <w:lang w:val="sr-Cyrl-BA"/>
              </w:rPr>
              <w:t xml:space="preserve">.]  </w:t>
            </w:r>
            <w:r w:rsidR="001B4D57" w:rsidRPr="005E13DF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7</w:t>
            </w:r>
            <w:r w:rsidRPr="005E13DF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910A31" w:rsidRPr="005E13DF">
              <w:rPr>
                <w:rFonts w:ascii="Tahoma" w:hAnsi="Tahoma" w:cs="Tahoma"/>
                <w:b/>
                <w:sz w:val="32"/>
                <w:szCs w:val="32"/>
              </w:rPr>
              <w:t>2</w:t>
            </w:r>
          </w:p>
        </w:tc>
      </w:tr>
      <w:tr w:rsidR="005D5311" w:rsidRPr="005E13DF" w:rsidTr="00EB450E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5E13D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5E13D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5E13DF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5E13DF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A65DA8" w:rsidRDefault="007E158B" w:rsidP="008B720B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1B4D57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јул</w:t>
            </w:r>
            <w:r w:rsidR="00DB54DA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910A31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г</w:t>
            </w:r>
            <w:r w:rsidR="002F5E38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5E13DF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A65DA8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A65DA8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</w:p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</w:p>
    <w:p w:rsidR="00DA1E57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  <w:r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>Реални пад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тромјесечног бруто домаћег производа 0,</w:t>
      </w:r>
      <w:r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>9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>%</w:t>
      </w:r>
      <w:r w:rsidRPr="005E13DF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</w:t>
      </w:r>
    </w:p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>I тромјесечје 201</w:t>
      </w:r>
      <w:r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>2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 тромјесечје 20</w:t>
      </w:r>
      <w:r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>11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>.</w:t>
      </w:r>
    </w:p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CF0EA0" w:rsidRPr="005E13DF" w:rsidRDefault="00CF0EA0" w:rsidP="00CF0EA0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eastAsia="sr-Latn-BA"/>
        </w:rPr>
      </w:pP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Тромјесечни бруто домаћи производ реално је </w:t>
      </w:r>
      <w:r w:rsidR="00DA1E57" w:rsidRPr="005E13DF">
        <w:rPr>
          <w:rFonts w:ascii="Tahoma" w:hAnsi="Tahoma" w:cs="Tahoma"/>
          <w:sz w:val="18"/>
          <w:szCs w:val="18"/>
          <w:lang w:val="sr-Cyrl-CS" w:eastAsia="sr-Latn-BA"/>
        </w:rPr>
        <w:t>мањи</w:t>
      </w:r>
      <w:r w:rsidR="00DA1E57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за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Pr="005E13DF">
        <w:rPr>
          <w:rFonts w:ascii="Tahoma" w:hAnsi="Tahoma" w:cs="Tahoma"/>
          <w:sz w:val="18"/>
          <w:szCs w:val="18"/>
          <w:lang w:eastAsia="sr-Latn-BA"/>
        </w:rPr>
        <w:t>0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,9% 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у 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>првом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тромјесечју 201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>2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. године у односу на 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>прво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тромјесечје 20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>11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proofErr w:type="gramStart"/>
      <w:r w:rsidRPr="005E13DF">
        <w:rPr>
          <w:rFonts w:ascii="Tahoma" w:hAnsi="Tahoma" w:cs="Tahoma"/>
          <w:sz w:val="18"/>
          <w:szCs w:val="18"/>
          <w:lang w:eastAsia="sr-Latn-BA"/>
        </w:rPr>
        <w:t>г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>одине</w:t>
      </w:r>
      <w:proofErr w:type="gramEnd"/>
      <w:r w:rsidRPr="005E13DF">
        <w:rPr>
          <w:rFonts w:ascii="Tahoma" w:hAnsi="Tahoma" w:cs="Tahoma"/>
          <w:sz w:val="18"/>
          <w:szCs w:val="18"/>
          <w:lang w:eastAsia="sr-Latn-BA"/>
        </w:rPr>
        <w:t>.</w:t>
      </w:r>
    </w:p>
    <w:p w:rsidR="00CF0EA0" w:rsidRPr="005E13DF" w:rsidRDefault="00CF0EA0" w:rsidP="00CF0EA0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Посматрано по подручјима Класификације дјелатности, највећи реални раст 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додате вриједности 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>остварен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је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у подручјима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Остале</w:t>
      </w:r>
      <w:proofErr w:type="spellEnd"/>
      <w:r w:rsidRPr="005E13D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јавне</w:t>
      </w:r>
      <w:proofErr w:type="spellEnd"/>
      <w:r w:rsidRPr="005E13DF">
        <w:rPr>
          <w:rFonts w:ascii="Tahoma" w:hAnsi="Tahoma" w:cs="Tahoma"/>
          <w:i/>
          <w:sz w:val="18"/>
          <w:szCs w:val="18"/>
        </w:rPr>
        <w:t xml:space="preserve">,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комуналне</w:t>
      </w:r>
      <w:proofErr w:type="spellEnd"/>
      <w:r w:rsidRPr="005E13DF">
        <w:rPr>
          <w:rFonts w:ascii="Tahoma" w:hAnsi="Tahoma" w:cs="Tahoma"/>
          <w:i/>
          <w:sz w:val="18"/>
          <w:szCs w:val="18"/>
        </w:rPr>
        <w:t xml:space="preserve">,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друштвене</w:t>
      </w:r>
      <w:proofErr w:type="spellEnd"/>
      <w:r w:rsidRPr="005E13DF">
        <w:rPr>
          <w:rFonts w:ascii="Tahoma" w:hAnsi="Tahoma" w:cs="Tahoma"/>
          <w:i/>
          <w:sz w:val="18"/>
          <w:szCs w:val="18"/>
        </w:rPr>
        <w:t xml:space="preserve">,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социјалне</w:t>
      </w:r>
      <w:proofErr w:type="spellEnd"/>
      <w:r w:rsidRPr="005E13DF">
        <w:rPr>
          <w:rFonts w:ascii="Tahoma" w:hAnsi="Tahoma" w:cs="Tahoma"/>
          <w:i/>
          <w:sz w:val="18"/>
          <w:szCs w:val="18"/>
        </w:rPr>
        <w:t xml:space="preserve"> и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личне</w:t>
      </w:r>
      <w:proofErr w:type="spellEnd"/>
      <w:r w:rsidRPr="005E13D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услужне</w:t>
      </w:r>
      <w:proofErr w:type="spellEnd"/>
      <w:r w:rsidRPr="005E13D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5E13DF">
        <w:rPr>
          <w:rFonts w:ascii="Tahoma" w:hAnsi="Tahoma" w:cs="Tahoma"/>
          <w:i/>
          <w:sz w:val="18"/>
          <w:szCs w:val="18"/>
        </w:rPr>
        <w:t>дјелатности</w:t>
      </w:r>
      <w:proofErr w:type="spellEnd"/>
      <w:r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5E13DF">
        <w:rPr>
          <w:rFonts w:ascii="Tahoma" w:hAnsi="Tahoma" w:cs="Tahoma"/>
          <w:sz w:val="18"/>
          <w:szCs w:val="18"/>
        </w:rPr>
        <w:t>за</w:t>
      </w:r>
      <w:proofErr w:type="spellEnd"/>
      <w:r w:rsidRPr="005E13DF">
        <w:rPr>
          <w:rFonts w:ascii="Tahoma" w:hAnsi="Tahoma" w:cs="Tahoma"/>
          <w:sz w:val="18"/>
          <w:szCs w:val="18"/>
        </w:rPr>
        <w:t xml:space="preserve"> 3,</w:t>
      </w:r>
      <w:r w:rsidRPr="005E13DF">
        <w:rPr>
          <w:rFonts w:ascii="Tahoma" w:hAnsi="Tahoma" w:cs="Tahoma"/>
          <w:sz w:val="18"/>
          <w:szCs w:val="18"/>
          <w:lang w:val="sr-Cyrl-CS"/>
        </w:rPr>
        <w:t>3</w:t>
      </w:r>
      <w:r w:rsidRPr="005E13DF">
        <w:rPr>
          <w:rFonts w:ascii="Tahoma" w:hAnsi="Tahoma" w:cs="Tahoma"/>
          <w:sz w:val="18"/>
          <w:szCs w:val="18"/>
        </w:rPr>
        <w:t>%</w:t>
      </w:r>
      <w:r w:rsidRPr="005E13DF">
        <w:rPr>
          <w:rFonts w:ascii="Tahoma" w:hAnsi="Tahoma" w:cs="Tahoma"/>
          <w:sz w:val="18"/>
          <w:szCs w:val="18"/>
          <w:lang w:val="sr-Cyrl-CS"/>
        </w:rPr>
        <w:t>,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Финансијско посредовање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 за </w:t>
      </w:r>
      <w:r w:rsidRPr="005E13DF">
        <w:rPr>
          <w:rFonts w:ascii="Tahoma" w:hAnsi="Tahoma" w:cs="Tahoma"/>
          <w:sz w:val="18"/>
          <w:szCs w:val="18"/>
          <w:lang w:val="sr-Cyrl-CS"/>
        </w:rPr>
        <w:t>3</w:t>
      </w:r>
      <w:r w:rsidRPr="005E13DF">
        <w:rPr>
          <w:rFonts w:ascii="Tahoma" w:hAnsi="Tahoma" w:cs="Tahoma"/>
          <w:sz w:val="18"/>
          <w:szCs w:val="18"/>
          <w:lang w:val="ru-RU"/>
        </w:rPr>
        <w:t>,</w:t>
      </w:r>
      <w:r w:rsidRPr="005E13DF">
        <w:rPr>
          <w:rFonts w:ascii="Tahoma" w:hAnsi="Tahoma" w:cs="Tahoma"/>
          <w:sz w:val="18"/>
          <w:szCs w:val="18"/>
          <w:lang w:val="sr-Cyrl-CS"/>
        </w:rPr>
        <w:t>0</w:t>
      </w:r>
      <w:r w:rsidRPr="005E13DF">
        <w:rPr>
          <w:rFonts w:ascii="Tahoma" w:hAnsi="Tahoma" w:cs="Tahoma"/>
          <w:sz w:val="18"/>
          <w:szCs w:val="18"/>
          <w:lang w:val="ru-RU"/>
        </w:rPr>
        <w:t>%</w:t>
      </w:r>
      <w:r w:rsidRPr="005E13DF">
        <w:rPr>
          <w:rFonts w:ascii="Tahoma" w:hAnsi="Tahoma" w:cs="Tahoma"/>
          <w:sz w:val="18"/>
          <w:szCs w:val="18"/>
        </w:rPr>
        <w:t>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Здравствени и социјални рад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 за 2,7%,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Саобраћај, складиштење и комуникације</w:t>
      </w:r>
      <w:r w:rsidRPr="005E13DF">
        <w:rPr>
          <w:rFonts w:ascii="Tahoma" w:hAnsi="Tahoma" w:cs="Tahoma"/>
          <w:sz w:val="18"/>
          <w:szCs w:val="18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за </w:t>
      </w:r>
      <w:r w:rsidRPr="005E13DF">
        <w:rPr>
          <w:rFonts w:ascii="Tahoma" w:hAnsi="Tahoma" w:cs="Tahoma"/>
          <w:sz w:val="18"/>
          <w:szCs w:val="18"/>
          <w:lang w:val="sr-Cyrl-CS"/>
        </w:rPr>
        <w:t>2</w:t>
      </w:r>
      <w:r w:rsidRPr="005E13DF">
        <w:rPr>
          <w:rFonts w:ascii="Tahoma" w:hAnsi="Tahoma" w:cs="Tahoma"/>
          <w:sz w:val="18"/>
          <w:szCs w:val="18"/>
          <w:lang w:val="ru-RU"/>
        </w:rPr>
        <w:t>,</w:t>
      </w:r>
      <w:r w:rsidRPr="005E13DF">
        <w:rPr>
          <w:rFonts w:ascii="Tahoma" w:hAnsi="Tahoma" w:cs="Tahoma"/>
          <w:sz w:val="18"/>
          <w:szCs w:val="18"/>
        </w:rPr>
        <w:t>6</w:t>
      </w:r>
      <w:r w:rsidRPr="005E13DF">
        <w:rPr>
          <w:rFonts w:ascii="Tahoma" w:hAnsi="Tahoma" w:cs="Tahoma"/>
          <w:sz w:val="18"/>
          <w:szCs w:val="18"/>
          <w:lang w:val="ru-RU"/>
        </w:rPr>
        <w:t>%,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 xml:space="preserve"> Образовање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за 2,5% 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док је 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додата вриједност реално мања 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>у подручјима: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 за </w:t>
      </w:r>
      <w:r w:rsidRPr="005E13DF">
        <w:rPr>
          <w:rFonts w:ascii="Tahoma" w:hAnsi="Tahoma" w:cs="Tahoma"/>
          <w:sz w:val="18"/>
          <w:szCs w:val="18"/>
          <w:lang w:val="sr-Cyrl-CS"/>
        </w:rPr>
        <w:t>6</w:t>
      </w:r>
      <w:r w:rsidRPr="005E13DF">
        <w:rPr>
          <w:rFonts w:ascii="Tahoma" w:hAnsi="Tahoma" w:cs="Tahoma"/>
          <w:sz w:val="18"/>
          <w:szCs w:val="18"/>
          <w:lang w:val="ru-RU"/>
        </w:rPr>
        <w:t>,</w:t>
      </w:r>
      <w:r w:rsidRPr="005E13DF">
        <w:rPr>
          <w:rFonts w:ascii="Tahoma" w:hAnsi="Tahoma" w:cs="Tahoma"/>
          <w:sz w:val="18"/>
          <w:szCs w:val="18"/>
          <w:lang w:val="sr-Cyrl-CS"/>
        </w:rPr>
        <w:t>3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Грађевинарство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за 5,5% и 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Пољопривреда,</w:t>
      </w:r>
      <w:r w:rsidRPr="005E13DF">
        <w:rPr>
          <w:rFonts w:ascii="Tahoma" w:hAnsi="Tahoma" w:cs="Tahoma"/>
          <w:i/>
          <w:sz w:val="18"/>
          <w:szCs w:val="18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 xml:space="preserve">лов и шумарство </w:t>
      </w:r>
      <w:r w:rsidRPr="005E13DF">
        <w:rPr>
          <w:rFonts w:ascii="Tahoma" w:hAnsi="Tahoma" w:cs="Tahoma"/>
          <w:sz w:val="18"/>
          <w:szCs w:val="18"/>
          <w:lang w:val="ru-RU"/>
        </w:rPr>
        <w:t>за 4,1%.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CF0EA0" w:rsidRPr="005E13DF" w:rsidRDefault="00CF0EA0" w:rsidP="00CF0EA0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 w:rsidRPr="005E13DF">
        <w:rPr>
          <w:rFonts w:ascii="Tahoma" w:hAnsi="Tahoma" w:cs="Tahoma"/>
          <w:sz w:val="18"/>
          <w:szCs w:val="18"/>
          <w:lang w:val="sr-Latn-BA" w:eastAsia="sr-Latn-BA"/>
        </w:rPr>
        <w:t>У земљама из окружења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забиљежене су сљедеће стопе реалног раста бруто домаћег производа за прво тромјесечје 2012. године у односу на исто тромјесечје 2011. године и то: Словенија (-0,2%), Србија (-1,3%), Хрватска (-1,3%) и Македонија (-1,4%). </w:t>
      </w:r>
    </w:p>
    <w:p w:rsidR="00B07584" w:rsidRPr="005E13DF" w:rsidRDefault="00CF0EA0" w:rsidP="00CF0EA0">
      <w:pPr>
        <w:spacing w:line="360" w:lineRule="auto"/>
        <w:jc w:val="center"/>
        <w:rPr>
          <w:lang w:val="sr-Cyrl-BA"/>
        </w:rPr>
      </w:pPr>
      <w:r w:rsidRPr="005E13DF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5502303" cy="2981739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0EA0" w:rsidRPr="005E13DF" w:rsidRDefault="00CF0EA0" w:rsidP="00CF0EA0">
      <w:pPr>
        <w:jc w:val="center"/>
        <w:rPr>
          <w:rFonts w:ascii="Tahoma" w:hAnsi="Tahoma" w:cs="Tahoma"/>
          <w:b/>
          <w:sz w:val="28"/>
          <w:szCs w:val="28"/>
        </w:rPr>
      </w:pPr>
    </w:p>
    <w:p w:rsidR="00CF0EA0" w:rsidRPr="005E13DF" w:rsidRDefault="00CF0EA0" w:rsidP="00CF0EA0">
      <w:pPr>
        <w:jc w:val="center"/>
        <w:rPr>
          <w:rFonts w:ascii="Tahoma" w:hAnsi="Tahoma" w:cs="Tahoma"/>
          <w:lang w:val="sr-Cyrl-CS"/>
        </w:rPr>
      </w:pPr>
      <w:r w:rsidRPr="005E13DF">
        <w:rPr>
          <w:rFonts w:ascii="Tahoma" w:hAnsi="Tahoma" w:cs="Tahoma"/>
          <w:sz w:val="18"/>
          <w:szCs w:val="18"/>
          <w:lang w:val="sr-Cyrl-CS" w:eastAsia="sr-Latn-BA"/>
        </w:rPr>
        <w:t>Графикон 1</w:t>
      </w:r>
      <w:r w:rsidRPr="005E13DF">
        <w:rPr>
          <w:rFonts w:ascii="Calibri" w:hAnsi="Calibri"/>
          <w:sz w:val="18"/>
          <w:szCs w:val="18"/>
          <w:lang w:eastAsia="sr-Latn-BA"/>
        </w:rPr>
        <w:t>.</w:t>
      </w:r>
      <w:r w:rsidRPr="005E13DF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>Стопе реалног раста</w:t>
      </w:r>
      <w:r w:rsidRPr="005E13DF">
        <w:rPr>
          <w:rFonts w:ascii="Tahoma" w:hAnsi="Tahoma" w:cs="Tahoma"/>
          <w:sz w:val="18"/>
          <w:szCs w:val="18"/>
          <w:lang w:eastAsia="sr-Latn-BA"/>
        </w:rPr>
        <w:t xml:space="preserve"> БДП,</w:t>
      </w:r>
      <w:r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п</w:t>
      </w:r>
      <w:r w:rsidRPr="005E13DF">
        <w:rPr>
          <w:rFonts w:ascii="Tahoma" w:hAnsi="Tahoma" w:cs="Tahoma"/>
          <w:sz w:val="18"/>
          <w:szCs w:val="18"/>
          <w:lang w:val="sr-Latn-BA" w:eastAsia="sr-Latn-BA"/>
        </w:rPr>
        <w:t>ромјене у односу на исто тромјесечје претходне године</w:t>
      </w:r>
    </w:p>
    <w:p w:rsidR="00CF0EA0" w:rsidRPr="005E13DF" w:rsidRDefault="00CF0EA0" w:rsidP="00CF0EA0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CF0EA0" w:rsidRPr="005E13DF" w:rsidRDefault="00CF0EA0" w:rsidP="00CF0EA0">
      <w:pPr>
        <w:rPr>
          <w:rFonts w:ascii="Tahoma" w:hAnsi="Tahoma" w:cs="Tahoma"/>
          <w:b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lastRenderedPageBreak/>
        <w:t>Стопа реалног раста БДП за 2011. годину 0,8% (претходни подаци)</w:t>
      </w:r>
    </w:p>
    <w:p w:rsidR="00CF0EA0" w:rsidRPr="005E13DF" w:rsidRDefault="00CF0EA0" w:rsidP="00CF0EA0">
      <w:pPr>
        <w:rPr>
          <w:rFonts w:ascii="Tahoma" w:hAnsi="Tahoma" w:cs="Tahoma"/>
          <w:sz w:val="24"/>
          <w:szCs w:val="24"/>
        </w:rPr>
      </w:pPr>
      <w:r w:rsidRPr="005E13DF">
        <w:rPr>
          <w:rFonts w:ascii="Tahoma" w:hAnsi="Tahoma" w:cs="Tahoma"/>
          <w:sz w:val="24"/>
          <w:szCs w:val="24"/>
          <w:lang w:val="sr-Cyrl-CS"/>
        </w:rPr>
        <w:t xml:space="preserve"> У односу на 2010. годину, БДП номинално већи </w:t>
      </w:r>
      <w:r w:rsidRPr="005E13DF">
        <w:rPr>
          <w:rFonts w:ascii="Tahoma" w:hAnsi="Tahoma" w:cs="Tahoma"/>
          <w:sz w:val="24"/>
          <w:szCs w:val="24"/>
          <w:lang w:val="sr-Cyrl-BA"/>
        </w:rPr>
        <w:t>4,4</w:t>
      </w:r>
      <w:r w:rsidRPr="005E13DF">
        <w:rPr>
          <w:rFonts w:ascii="Tahoma" w:hAnsi="Tahoma" w:cs="Tahoma"/>
          <w:sz w:val="24"/>
          <w:szCs w:val="24"/>
          <w:lang w:val="sr-Cyrl-CS"/>
        </w:rPr>
        <w:t>% (претходни подаци)</w:t>
      </w:r>
    </w:p>
    <w:p w:rsidR="00CF0EA0" w:rsidRPr="005E13DF" w:rsidRDefault="00CF0EA0" w:rsidP="00CF0EA0">
      <w:pPr>
        <w:rPr>
          <w:rFonts w:ascii="Tahoma" w:hAnsi="Tahoma" w:cs="Tahoma"/>
          <w:sz w:val="24"/>
          <w:szCs w:val="24"/>
        </w:rPr>
      </w:pPr>
    </w:p>
    <w:tbl>
      <w:tblPr>
        <w:tblW w:w="10225" w:type="dxa"/>
        <w:jc w:val="center"/>
        <w:tblInd w:w="198" w:type="dxa"/>
        <w:tblCellMar>
          <w:left w:w="0" w:type="dxa"/>
          <w:right w:w="0" w:type="dxa"/>
        </w:tblCellMar>
        <w:tblLook w:val="0000"/>
      </w:tblPr>
      <w:tblGrid>
        <w:gridCol w:w="10225"/>
      </w:tblGrid>
      <w:tr w:rsidR="00CF0EA0" w:rsidRPr="005E13DF" w:rsidTr="00CF0EA0">
        <w:trPr>
          <w:trHeight w:hRule="exact" w:val="794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5E13DF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Бруто домаћи производ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за 2011. годину, обрачунат примјеном „Производне методе“, исказан у текућим цијенама као претходни податак, износи </w:t>
            </w:r>
            <w:r w:rsidRPr="005E13DF">
              <w:rPr>
                <w:rFonts w:ascii="Tahoma" w:hAnsi="Tahoma" w:cs="Tahoma"/>
                <w:sz w:val="18"/>
                <w:szCs w:val="18"/>
                <w:lang w:val="ru-RU"/>
              </w:rPr>
              <w:t>8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670 050 </w:t>
            </w:r>
            <w:r w:rsidR="00503EDA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000 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КМ, односно 6 064 КМ по становнику</w:t>
            </w:r>
            <w:r w:rsidRPr="005E13DF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У односу на 2010. годину, бруто домаћи производ  је  номинално већи за</w:t>
            </w:r>
            <w:r w:rsidRPr="005E13DF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4,4%, а</w:t>
            </w:r>
            <w:r w:rsidRPr="005E13DF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реално за 0,8%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>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ind w:left="8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CF0EA0" w:rsidRPr="005E13DF" w:rsidTr="00CF0EA0">
        <w:trPr>
          <w:trHeight w:hRule="exact" w:val="817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У структури бруто домаћег производа најзначајниј</w:t>
            </w:r>
            <w:r w:rsidRPr="005E13DF">
              <w:rPr>
                <w:rFonts w:ascii="Tahoma" w:hAnsi="Tahoma" w:cs="Tahoma"/>
                <w:sz w:val="18"/>
                <w:szCs w:val="18"/>
              </w:rPr>
              <w:t>e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учешће има подручје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Трговине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12,0%, затим слиједи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Пољопривреда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10,2%,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Државна управа, одбрана и обавезно социјално осигурање</w:t>
            </w:r>
            <w:r w:rsidR="00963DD2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10,1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потом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Прерађивачка индустрија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9,0%,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Пословање некретнинама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изнајмљивање и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пословне дјелатности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8,6%, итд.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F0EA0" w:rsidRPr="005E13DF" w:rsidTr="00CF0EA0">
        <w:trPr>
          <w:trHeight w:hRule="exact" w:val="1207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Највећи реални раст по подручјима дјелатности забиљежен је у подручјима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Вађење руда и камена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17,3%,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Рибарство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4,7%,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Образовање</w:t>
            </w:r>
            <w:r w:rsidR="00963DD2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4,2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Остале јавне, комуналне, друштвене, социјалне и личне услужне дјелатности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5E13DF">
              <w:rPr>
                <w:rFonts w:ascii="Tahoma" w:hAnsi="Tahoma" w:cs="Tahoma"/>
                <w:sz w:val="18"/>
                <w:szCs w:val="18"/>
              </w:rPr>
              <w:t>3,9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Здравствени и социјални рад 3,5%, 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Прерађивачка индустрија 3,2%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Финансијско посредовање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3,0%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,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док је негативна стопа раста забиљежена у подручјима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Грађевинарство</w:t>
            </w:r>
            <w:r w:rsidRPr="005E13D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(–4,3%),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Пољопривреда, лов и шумарство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(-4,0%)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и Пословање некретнинама, изнајмљивање и пословне дјелатности (-1,0%).</w:t>
            </w:r>
          </w:p>
        </w:tc>
      </w:tr>
      <w:tr w:rsidR="00CF0EA0" w:rsidRPr="005E13DF" w:rsidTr="00CF0EA0">
        <w:trPr>
          <w:trHeight w:hRule="exact" w:val="794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Према доходовном приступу, у структури  бруто домаћег производа на средства за запослене се односи 4</w:t>
            </w:r>
            <w:r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8,5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%, на потрошњу фиксног капитала 14,</w:t>
            </w:r>
            <w:r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3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%, нето порези на производњу су -0,</w:t>
            </w:r>
            <w:r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1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а за нето оперативни вишак и нето мјешовити доходак остаје </w:t>
            </w:r>
            <w:r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19,4</w:t>
            </w:r>
            <w:r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%.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F0EA0" w:rsidRPr="005E13DF" w:rsidTr="00CF0EA0">
        <w:trPr>
          <w:trHeight w:hRule="exact" w:val="900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F0EA0" w:rsidRPr="005E13DF" w:rsidRDefault="00CF0EA0" w:rsidP="00CF20D0">
            <w:pPr>
              <w:jc w:val="both"/>
              <w:rPr>
                <w:rFonts w:ascii="Calibri" w:hAnsi="Calibri"/>
                <w:sz w:val="24"/>
                <w:szCs w:val="24"/>
                <w:lang w:eastAsia="sr-Latn-BA"/>
              </w:rPr>
            </w:pPr>
            <w:r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Остварене инвестиције за 2011. годину 1 340 321 000 КМ (претходни подаци)</w:t>
            </w:r>
          </w:p>
        </w:tc>
      </w:tr>
      <w:tr w:rsidR="00CF0EA0" w:rsidRPr="005E13DF" w:rsidTr="00CF0EA0">
        <w:trPr>
          <w:trHeight w:hRule="exact" w:val="1162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5E13DF"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Остварене инвестиције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пословних субјеката (претходни подаци), чије је сједиште у Републици Српској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>,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у 2011. години износиле 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су 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1 340 321 000 КМ. У структури инвестиционих улагања према дјелатности инвеститора највише учествују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Државна управа, одбрана и обавезно социјално осигурање 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са 27,0%,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Прерађивачка индустрија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16,4%,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Саобраћај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складиштење и комуникације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13,0%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итд.</w:t>
            </w:r>
          </w:p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F0EA0" w:rsidRPr="005E13DF" w:rsidTr="00CF0EA0">
        <w:trPr>
          <w:trHeight w:hRule="exact" w:val="1810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>Остварене инвестиције пословних субјеката регистрованих на територији Републике Српске у нова стална средства, према намјени инвестиција, у 2011. години износе 1 214 664 000 КМ. На територији Републике Српске уложено је            1 203 670 000 КМ (99,1%), док је на територији Федерације БиХ и Брчко Дистрикта БиХ уложено 10 994 000 КМ (0,9%).</w:t>
            </w:r>
          </w:p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У структури инвестиционих улагања у нова стална средства на територији Републике Српске 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>према намјени највише учествују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Грађевинарство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21,1%,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Прерађивачка индустрија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14,5%, </w:t>
            </w:r>
            <w:r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Саобраћај, складиштење и комуникације</w:t>
            </w:r>
            <w:r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13,5%.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:rsidR="00CF0EA0" w:rsidRPr="005E13DF" w:rsidRDefault="00CF0EA0" w:rsidP="00CF0EA0">
      <w:pPr>
        <w:ind w:left="-142"/>
        <w:rPr>
          <w:rFonts w:ascii="Tahoma" w:hAnsi="Tahoma" w:cs="Tahoma"/>
          <w:sz w:val="24"/>
          <w:szCs w:val="24"/>
        </w:rPr>
      </w:pPr>
    </w:p>
    <w:p w:rsidR="00CF0EA0" w:rsidRPr="005E13DF" w:rsidRDefault="00CF0EA0" w:rsidP="00CF0EA0">
      <w:pPr>
        <w:ind w:left="-142"/>
        <w:rPr>
          <w:rFonts w:ascii="Tahoma" w:hAnsi="Tahoma" w:cs="Tahoma"/>
          <w:sz w:val="24"/>
          <w:szCs w:val="24"/>
        </w:rPr>
      </w:pPr>
    </w:p>
    <w:p w:rsidR="00CF0EA0" w:rsidRPr="005E13DF" w:rsidRDefault="00CF0EA0" w:rsidP="00CF0EA0">
      <w:pPr>
        <w:rPr>
          <w:rFonts w:ascii="Tahoma" w:hAnsi="Tahoma" w:cs="Tahoma"/>
          <w:sz w:val="24"/>
          <w:szCs w:val="24"/>
        </w:rPr>
      </w:pPr>
    </w:p>
    <w:p w:rsidR="00F02C01" w:rsidRPr="005E13DF" w:rsidRDefault="00F02C01">
      <w:pPr>
        <w:rPr>
          <w:rFonts w:ascii="Tahoma" w:hAnsi="Tahoma" w:cs="Tahoma"/>
          <w:b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5E13DF" w:rsidRPr="005E13DF" w:rsidRDefault="005E13DF" w:rsidP="005E13DF">
      <w:pPr>
        <w:jc w:val="both"/>
        <w:rPr>
          <w:rFonts w:ascii="Tahoma" w:hAnsi="Tahoma" w:cs="Tahoma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lastRenderedPageBreak/>
        <w:t>Просјечн</w:t>
      </w:r>
      <w:r w:rsidRPr="005E13DF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5E13DF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јуну 818</w:t>
      </w:r>
      <w:r w:rsidRPr="005E13DF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5E13DF" w:rsidRPr="005E13DF" w:rsidRDefault="005E13DF" w:rsidP="005E13D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5E13DF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5E13DF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5E13DF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5E13DF">
        <w:rPr>
          <w:rFonts w:ascii="Tahoma" w:hAnsi="Tahoma" w:cs="Tahoma"/>
          <w:sz w:val="24"/>
          <w:szCs w:val="24"/>
          <w:lang w:val="sr-Cyrl-CS"/>
        </w:rPr>
        <w:t>275</w:t>
      </w:r>
      <w:r w:rsidRPr="005E13DF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5E13DF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573 КМ</w:t>
      </w:r>
    </w:p>
    <w:p w:rsidR="005E13DF" w:rsidRPr="005E13DF" w:rsidRDefault="005E13DF" w:rsidP="005E13D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5E13DF" w:rsidRPr="005E13DF" w:rsidRDefault="005E13D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5E13DF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исплаћена у јуну 2012.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5E13D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818 КМ</w:t>
      </w:r>
      <w:r w:rsidRPr="005E13DF">
        <w:rPr>
          <w:rFonts w:ascii="Tahoma" w:hAnsi="Tahoma" w:cs="Tahoma"/>
          <w:sz w:val="18"/>
          <w:szCs w:val="18"/>
          <w:lang w:val="hr-HR"/>
        </w:rPr>
        <w:t>,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5E13DF">
        <w:rPr>
          <w:rFonts w:ascii="Tahoma" w:hAnsi="Tahoma" w:cs="Tahoma"/>
          <w:sz w:val="18"/>
          <w:szCs w:val="18"/>
          <w:lang w:val="sr-Cyrl-CS"/>
        </w:rPr>
        <w:t>росјечна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1 348 КМ. </w:t>
      </w:r>
    </w:p>
    <w:p w:rsidR="005E13DF" w:rsidRPr="005E13DF" w:rsidRDefault="005E13D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5E13DF" w:rsidRPr="005E13DF" w:rsidRDefault="005E13D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јуну 2012. године у односу на мај 2012. године мања је номинално за 1,0% а реално за 0,3%. У односу на просјечну нето плату у 2011. години, просјечна нето плата у јуну 2012. године већа је номинално за 1,1%, а реално је мања за 0,1%. У јуну 2012. године у односу на исти мјесец прошле године просјечна нето плата номинално је остала на истом нивоу док је </w:t>
      </w:r>
      <w:r w:rsidRPr="005E13DF">
        <w:rPr>
          <w:rFonts w:ascii="Tahoma" w:hAnsi="Tahoma" w:cs="Tahoma"/>
          <w:sz w:val="18"/>
          <w:szCs w:val="18"/>
          <w:lang w:val="sr-Cyrl-BA"/>
        </w:rPr>
        <w:t>реално мања за 1,5%.</w:t>
      </w:r>
    </w:p>
    <w:p w:rsidR="005E13DF" w:rsidRPr="005E13DF" w:rsidRDefault="005E13D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13DF" w:rsidRPr="005E13DF" w:rsidRDefault="005E13D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јуну 2012. године, посматрано по подручјима дјелатности, исплаћена је у подручју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и износи 1 275 КМ, а најнижа у подручју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573 КМ.</w:t>
      </w:r>
    </w:p>
    <w:p w:rsidR="005E13DF" w:rsidRPr="005E13DF" w:rsidRDefault="005E13DF" w:rsidP="005E13D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13DF" w:rsidRPr="005E13DF" w:rsidRDefault="005E13DF" w:rsidP="005E13D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sr-Cyrl-CS"/>
        </w:rPr>
        <w:t xml:space="preserve">У јуну 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2012. године, у односу на </w:t>
      </w:r>
      <w:r w:rsidRPr="005E13DF">
        <w:rPr>
          <w:rFonts w:ascii="Tahoma" w:hAnsi="Tahoma" w:cs="Tahoma"/>
          <w:sz w:val="18"/>
          <w:szCs w:val="18"/>
          <w:lang w:val="sr-Cyrl-CS"/>
        </w:rPr>
        <w:t>мај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2012. године, н</w:t>
      </w:r>
      <w:r w:rsidRPr="005E13DF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 xml:space="preserve"> Пољопривреда, лов и шумарство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за 6,2%,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Здравствени и социјални рад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за 3,0% и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 xml:space="preserve">Грађевинарство </w:t>
      </w:r>
      <w:r w:rsidRPr="005E13DF">
        <w:rPr>
          <w:rFonts w:ascii="Tahoma" w:hAnsi="Tahoma" w:cs="Tahoma"/>
          <w:sz w:val="18"/>
          <w:szCs w:val="18"/>
          <w:lang w:val="sr-Cyrl-CS"/>
        </w:rPr>
        <w:t>за 2,3% док је номинално нижа плата у подручјима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 xml:space="preserve"> Образовање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за 5,9%,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за 5,4% и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Финансијско посредовање за 5,2%</w:t>
      </w:r>
      <w:r w:rsidRPr="005E13DF">
        <w:rPr>
          <w:rFonts w:ascii="Tahoma" w:hAnsi="Tahoma" w:cs="Tahoma"/>
          <w:sz w:val="18"/>
          <w:szCs w:val="18"/>
          <w:lang w:val="sr-Cyrl-CS"/>
        </w:rPr>
        <w:t>.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76086A" w:rsidRPr="005E13DF" w:rsidRDefault="0076086A" w:rsidP="00E16510">
      <w:pPr>
        <w:jc w:val="center"/>
        <w:rPr>
          <w:rFonts w:ascii="Tahoma" w:hAnsi="Tahoma" w:cs="Tahoma"/>
          <w:sz w:val="18"/>
          <w:szCs w:val="18"/>
        </w:rPr>
      </w:pPr>
    </w:p>
    <w:p w:rsidR="00AF1FE7" w:rsidRPr="005E13DF" w:rsidRDefault="005E13DF" w:rsidP="00E16510">
      <w:pPr>
        <w:jc w:val="center"/>
        <w:rPr>
          <w:rFonts w:ascii="Tahoma" w:hAnsi="Tahoma" w:cs="Tahoma"/>
          <w:sz w:val="18"/>
          <w:szCs w:val="18"/>
        </w:rPr>
      </w:pPr>
      <w:r w:rsidRPr="005E13DF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096786" cy="3156668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1309B" w:rsidRPr="0021309B"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29.5pt;margin-top:212.35pt;width:195.4pt;height:23.95pt;z-index:251669504;mso-position-horizontal-relative:text;mso-position-vertical-relative:text;mso-width-relative:margin;mso-height-relative:margin" strokecolor="white [3212]">
            <v:textbox>
              <w:txbxContent>
                <w:p w:rsidR="00EB450E" w:rsidRPr="00297CBC" w:rsidRDefault="005E13DF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</w:t>
                  </w:r>
                  <w:r w:rsidR="00EB450E"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 w:rsidR="00EB450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</w:t>
                  </w:r>
                  <w:r w:rsidR="00EB450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21309B" w:rsidRPr="0021309B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05.75pt;margin-top:11.25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EB450E" w:rsidRPr="00B32263" w:rsidRDefault="00EB450E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="0021309B" w:rsidRPr="0021309B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EB450E" w:rsidRPr="00860DF8" w:rsidRDefault="00EB450E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D0CCB" w:rsidRPr="005E13DF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5E13DF" w:rsidRDefault="000328B8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 xml:space="preserve">Графикон </w:t>
      </w:r>
      <w:r w:rsidR="00CE24D5" w:rsidRPr="005E13DF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>.</w:t>
      </w:r>
      <w:r w:rsidR="005E0301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E0301" w:rsidRPr="005E13DF">
        <w:rPr>
          <w:rFonts w:ascii="Tahoma" w:hAnsi="Tahoma" w:cs="Tahoma"/>
          <w:sz w:val="18"/>
          <w:szCs w:val="18"/>
          <w:lang w:val="sr-Cyrl-CS"/>
        </w:rPr>
        <w:t>П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>росјечн</w:t>
      </w:r>
      <w:r w:rsidR="005E0301" w:rsidRPr="005E13DF">
        <w:rPr>
          <w:rFonts w:ascii="Tahoma" w:hAnsi="Tahoma" w:cs="Tahoma"/>
          <w:sz w:val="18"/>
          <w:szCs w:val="18"/>
        </w:rPr>
        <w:t>e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="005E0301" w:rsidRPr="005E13DF">
        <w:rPr>
          <w:rFonts w:ascii="Tahoma" w:hAnsi="Tahoma" w:cs="Tahoma"/>
          <w:sz w:val="18"/>
          <w:szCs w:val="18"/>
        </w:rPr>
        <w:t>e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29071F" w:rsidRPr="005E13DF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F02C01" w:rsidRPr="005E13DF" w:rsidRDefault="00F02C01">
      <w:pPr>
        <w:rPr>
          <w:rFonts w:ascii="Tahoma" w:hAnsi="Tahoma" w:cs="Tahoma"/>
          <w:b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E011F4" w:rsidRPr="005E13DF" w:rsidRDefault="00E011F4" w:rsidP="00CF0EA0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t>Укупан број запослених, 3</w:t>
      </w:r>
      <w:r w:rsidRPr="005E13DF">
        <w:rPr>
          <w:rFonts w:ascii="Tahoma" w:hAnsi="Tahoma" w:cs="Tahoma"/>
          <w:b/>
          <w:sz w:val="28"/>
          <w:szCs w:val="28"/>
        </w:rPr>
        <w:t>1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 xml:space="preserve">. </w:t>
      </w:r>
      <w:r w:rsidRPr="005E13DF">
        <w:rPr>
          <w:rFonts w:ascii="Tahoma" w:hAnsi="Tahoma" w:cs="Tahoma"/>
          <w:b/>
          <w:sz w:val="28"/>
          <w:szCs w:val="28"/>
          <w:lang w:val="sr-Cyrl-BA"/>
        </w:rPr>
        <w:t>март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5E13DF">
        <w:rPr>
          <w:rFonts w:ascii="Tahoma" w:hAnsi="Tahoma" w:cs="Tahoma"/>
          <w:b/>
          <w:sz w:val="28"/>
          <w:szCs w:val="28"/>
        </w:rPr>
        <w:t>2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. године 2</w:t>
      </w:r>
      <w:r w:rsidRPr="005E13DF">
        <w:rPr>
          <w:rFonts w:ascii="Tahoma" w:hAnsi="Tahoma" w:cs="Tahoma"/>
          <w:b/>
          <w:sz w:val="28"/>
          <w:szCs w:val="28"/>
        </w:rPr>
        <w:t>37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 xml:space="preserve"> 5</w:t>
      </w:r>
      <w:r w:rsidRPr="005E13DF">
        <w:rPr>
          <w:rFonts w:ascii="Tahoma" w:hAnsi="Tahoma" w:cs="Tahoma"/>
          <w:b/>
          <w:sz w:val="28"/>
          <w:szCs w:val="28"/>
        </w:rPr>
        <w:t>20</w:t>
      </w:r>
    </w:p>
    <w:p w:rsidR="00E011F4" w:rsidRPr="005E13DF" w:rsidRDefault="00E011F4" w:rsidP="00E011F4">
      <w:pPr>
        <w:jc w:val="both"/>
        <w:rPr>
          <w:rFonts w:ascii="Tahoma" w:hAnsi="Tahoma" w:cs="Tahoma"/>
          <w:b/>
          <w:sz w:val="18"/>
          <w:szCs w:val="18"/>
        </w:rPr>
      </w:pP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5E13DF">
        <w:rPr>
          <w:rFonts w:ascii="Tahoma" w:hAnsi="Tahoma" w:cs="Tahoma"/>
          <w:sz w:val="18"/>
          <w:szCs w:val="18"/>
          <w:lang w:val="ru-RU"/>
        </w:rPr>
        <w:t>Према подацима статистике рада, укупан број запослених</w:t>
      </w:r>
      <w:r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ru-RU"/>
        </w:rPr>
        <w:t>у марту 201</w:t>
      </w:r>
      <w:r w:rsidRPr="005E13DF">
        <w:rPr>
          <w:rFonts w:ascii="Tahoma" w:hAnsi="Tahoma" w:cs="Tahoma"/>
          <w:sz w:val="18"/>
          <w:szCs w:val="18"/>
        </w:rPr>
        <w:t>2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. године </w:t>
      </w:r>
      <w:r w:rsidRPr="005E13DF">
        <w:rPr>
          <w:rFonts w:ascii="Tahoma" w:hAnsi="Tahoma" w:cs="Tahoma"/>
          <w:sz w:val="18"/>
          <w:szCs w:val="18"/>
          <w:lang w:val="sr-Cyrl-CS"/>
        </w:rPr>
        <w:t>је 2</w:t>
      </w:r>
      <w:r w:rsidRPr="005E13DF">
        <w:rPr>
          <w:rFonts w:ascii="Tahoma" w:hAnsi="Tahoma" w:cs="Tahoma"/>
          <w:sz w:val="18"/>
          <w:szCs w:val="18"/>
        </w:rPr>
        <w:t>37</w:t>
      </w:r>
      <w:r w:rsidR="001368CA" w:rsidRPr="005E13DF">
        <w:rPr>
          <w:rFonts w:ascii="Tahoma" w:hAnsi="Tahoma" w:cs="Tahoma"/>
          <w:sz w:val="18"/>
          <w:szCs w:val="18"/>
        </w:rPr>
        <w:t xml:space="preserve"> </w:t>
      </w:r>
      <w:r w:rsidR="0055760C" w:rsidRPr="005E13DF">
        <w:rPr>
          <w:rFonts w:ascii="Tahoma" w:hAnsi="Tahoma" w:cs="Tahoma"/>
          <w:sz w:val="18"/>
          <w:szCs w:val="18"/>
        </w:rPr>
        <w:t>520</w:t>
      </w:r>
      <w:r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ru-RU"/>
        </w:rPr>
        <w:t>што је у односу на септембар 20</w:t>
      </w:r>
      <w:r w:rsidRPr="005E13DF">
        <w:rPr>
          <w:rFonts w:ascii="Tahoma" w:hAnsi="Tahoma" w:cs="Tahoma"/>
          <w:sz w:val="18"/>
          <w:szCs w:val="18"/>
        </w:rPr>
        <w:t>11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. године, мање за </w:t>
      </w:r>
      <w:r w:rsidRPr="005E13DF">
        <w:rPr>
          <w:rFonts w:ascii="Tahoma" w:hAnsi="Tahoma" w:cs="Tahoma"/>
          <w:sz w:val="18"/>
          <w:szCs w:val="18"/>
        </w:rPr>
        <w:t>0,2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%, </w:t>
      </w:r>
      <w:r w:rsidRPr="005E13DF">
        <w:rPr>
          <w:rFonts w:ascii="Tahoma" w:hAnsi="Tahoma" w:cs="Tahoma"/>
          <w:sz w:val="18"/>
          <w:szCs w:val="18"/>
          <w:lang w:val="sr-Cyrl-BA"/>
        </w:rPr>
        <w:t>а у односу на март 2011. године мање за 1,0%.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5E13DF">
        <w:rPr>
          <w:rFonts w:ascii="Tahoma" w:hAnsi="Tahoma" w:cs="Tahoma"/>
          <w:sz w:val="18"/>
          <w:szCs w:val="18"/>
          <w:lang w:val="ru-RU"/>
        </w:rPr>
        <w:t>Посматрано по подручјима дјелатности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>,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до смањења броја запослених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>,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дошло 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 xml:space="preserve">је 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у подручјима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Грађевинарство за 8,2%, 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>Пољопривреда, лов и шумарство за 3</w:t>
      </w:r>
      <w:r w:rsidR="0055760C" w:rsidRPr="005E13DF">
        <w:rPr>
          <w:rFonts w:ascii="Tahoma" w:hAnsi="Tahoma" w:cs="Tahoma"/>
          <w:sz w:val="18"/>
          <w:szCs w:val="18"/>
        </w:rPr>
        <w:t>,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0%, Вађење руде и камена 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2,2%, </w:t>
      </w:r>
      <w:r w:rsidRPr="005E13DF">
        <w:rPr>
          <w:rFonts w:ascii="Tahoma" w:hAnsi="Tahoma" w:cs="Tahoma"/>
          <w:sz w:val="18"/>
          <w:szCs w:val="18"/>
          <w:lang w:val="ru-RU"/>
        </w:rPr>
        <w:t>Трговина на велико и мало за 1,8%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и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>Прерађивачка индустрија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за 1</w:t>
      </w:r>
      <w:r w:rsidRPr="005E13DF">
        <w:rPr>
          <w:rFonts w:ascii="Tahoma" w:hAnsi="Tahoma" w:cs="Tahoma"/>
          <w:sz w:val="18"/>
          <w:szCs w:val="18"/>
          <w:lang w:val="sr-Cyrl-BA"/>
        </w:rPr>
        <w:t>,1</w:t>
      </w:r>
      <w:r w:rsidRPr="005E13DF">
        <w:rPr>
          <w:rFonts w:ascii="Tahoma" w:hAnsi="Tahoma" w:cs="Tahoma"/>
          <w:sz w:val="18"/>
          <w:szCs w:val="18"/>
          <w:lang w:val="ru-RU"/>
        </w:rPr>
        <w:t>%</w:t>
      </w:r>
      <w:r w:rsidRPr="005E13DF">
        <w:rPr>
          <w:rFonts w:ascii="Tahoma" w:hAnsi="Tahoma" w:cs="Tahoma"/>
          <w:sz w:val="18"/>
          <w:szCs w:val="18"/>
          <w:lang w:val="sr-Cyrl-BA"/>
        </w:rPr>
        <w:t>,.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>Раст броја запослених забиљежен је у подручјима: Финансијско пос</w:t>
      </w:r>
      <w:r w:rsidR="0013420E" w:rsidRPr="005E13DF">
        <w:rPr>
          <w:rFonts w:ascii="Tahoma" w:hAnsi="Tahoma" w:cs="Tahoma"/>
          <w:sz w:val="18"/>
          <w:szCs w:val="18"/>
          <w:lang w:val="sr-Cyrl-BA"/>
        </w:rPr>
        <w:t xml:space="preserve">редовање 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="0013420E" w:rsidRPr="005E13DF">
        <w:rPr>
          <w:rFonts w:ascii="Tahoma" w:hAnsi="Tahoma" w:cs="Tahoma"/>
          <w:sz w:val="18"/>
          <w:szCs w:val="18"/>
          <w:lang w:val="sr-Cyrl-BA"/>
        </w:rPr>
        <w:t xml:space="preserve">7,1%, Образовање 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="0013420E" w:rsidRPr="005E13DF">
        <w:rPr>
          <w:rFonts w:ascii="Tahoma" w:hAnsi="Tahoma" w:cs="Tahoma"/>
          <w:sz w:val="18"/>
          <w:szCs w:val="18"/>
          <w:lang w:val="sr-Cyrl-BA"/>
        </w:rPr>
        <w:t>3,0%,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1368CA" w:rsidRPr="005E13DF">
        <w:rPr>
          <w:rFonts w:ascii="Tahoma" w:hAnsi="Tahoma" w:cs="Tahoma"/>
          <w:sz w:val="18"/>
          <w:szCs w:val="18"/>
          <w:lang w:val="ru-RU"/>
        </w:rPr>
        <w:t xml:space="preserve">Здравствени и социјални рад </w:t>
      </w:r>
      <w:r w:rsidR="00836650" w:rsidRPr="005E13DF">
        <w:rPr>
          <w:rFonts w:ascii="Tahoma" w:hAnsi="Tahoma" w:cs="Tahoma"/>
          <w:sz w:val="18"/>
          <w:szCs w:val="18"/>
          <w:lang w:val="ru-RU"/>
        </w:rPr>
        <w:t xml:space="preserve">за </w:t>
      </w:r>
      <w:r w:rsidR="001368CA" w:rsidRPr="005E13DF">
        <w:rPr>
          <w:rFonts w:ascii="Tahoma" w:hAnsi="Tahoma" w:cs="Tahoma"/>
          <w:sz w:val="18"/>
          <w:szCs w:val="18"/>
          <w:lang w:val="ru-RU"/>
        </w:rPr>
        <w:t>2,5</w:t>
      </w:r>
      <w:r w:rsidRPr="005E13DF">
        <w:rPr>
          <w:rFonts w:ascii="Tahoma" w:hAnsi="Tahoma" w:cs="Tahoma"/>
          <w:sz w:val="18"/>
          <w:szCs w:val="18"/>
          <w:lang w:val="ru-RU"/>
        </w:rPr>
        <w:t>%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Остале 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јавне, </w:t>
      </w:r>
      <w:r w:rsidRPr="005E13DF">
        <w:rPr>
          <w:rFonts w:ascii="Tahoma" w:hAnsi="Tahoma" w:cs="Tahoma"/>
          <w:sz w:val="18"/>
          <w:szCs w:val="18"/>
          <w:lang w:val="sr-Cyrl-BA"/>
        </w:rPr>
        <w:t>комуналне, друштвене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>, социјалне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и личне услужне 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>дјелатности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 2,5% и Државна управа и одбрана и обавезно социјално осигурање 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Pr="005E13DF">
        <w:rPr>
          <w:rFonts w:ascii="Tahoma" w:hAnsi="Tahoma" w:cs="Tahoma"/>
          <w:sz w:val="18"/>
          <w:szCs w:val="18"/>
          <w:lang w:val="sr-Cyrl-BA"/>
        </w:rPr>
        <w:t>1,9%.</w:t>
      </w:r>
    </w:p>
    <w:p w:rsidR="00E011F4" w:rsidRPr="005E13DF" w:rsidRDefault="00E011F4" w:rsidP="00270368">
      <w:pPr>
        <w:jc w:val="both"/>
        <w:rPr>
          <w:rFonts w:ascii="Tahoma" w:hAnsi="Tahoma" w:cs="Tahoma"/>
          <w:b/>
          <w:sz w:val="28"/>
          <w:szCs w:val="28"/>
        </w:rPr>
      </w:pPr>
    </w:p>
    <w:p w:rsidR="00E011F4" w:rsidRPr="005E13DF" w:rsidRDefault="00E011F4" w:rsidP="00E011F4">
      <w:pPr>
        <w:rPr>
          <w:rFonts w:ascii="Tahoma" w:hAnsi="Tahoma" w:cs="Tahoma"/>
          <w:b/>
          <w:sz w:val="28"/>
          <w:szCs w:val="28"/>
        </w:rPr>
      </w:pPr>
      <w:r w:rsidRPr="005E13DF">
        <w:rPr>
          <w:rFonts w:ascii="Tahoma" w:hAnsi="Tahoma" w:cs="Tahoma"/>
          <w:b/>
          <w:sz w:val="28"/>
          <w:szCs w:val="28"/>
          <w:lang w:val="sr-Cyrl-BA"/>
        </w:rPr>
        <w:t>Мјесечна инфлација у јуну 2012. године -0,7%</w:t>
      </w:r>
    </w:p>
    <w:p w:rsidR="00E011F4" w:rsidRPr="005E13DF" w:rsidRDefault="001B4D57" w:rsidP="00E011F4">
      <w:pPr>
        <w:rPr>
          <w:rFonts w:ascii="Tahoma" w:hAnsi="Tahoma" w:cs="Tahoma"/>
          <w:b/>
          <w:sz w:val="28"/>
          <w:szCs w:val="28"/>
          <w:lang w:val="sr-Cyrl-BA"/>
        </w:rPr>
      </w:pPr>
      <w:r w:rsidRPr="005E13DF">
        <w:rPr>
          <w:rFonts w:ascii="Tahoma" w:hAnsi="Tahoma" w:cs="Tahoma"/>
          <w:b/>
          <w:sz w:val="28"/>
          <w:szCs w:val="28"/>
          <w:lang w:val="sr-Cyrl-BA"/>
        </w:rPr>
        <w:t>Годишња инфлација (јун 2012/</w:t>
      </w:r>
      <w:r w:rsidR="00E011F4" w:rsidRPr="005E13DF">
        <w:rPr>
          <w:rFonts w:ascii="Tahoma" w:hAnsi="Tahoma" w:cs="Tahoma"/>
          <w:b/>
          <w:sz w:val="28"/>
          <w:szCs w:val="28"/>
          <w:lang w:val="sr-Cyrl-BA"/>
        </w:rPr>
        <w:t>јун 2011) 1,6%</w:t>
      </w:r>
    </w:p>
    <w:p w:rsidR="00E011F4" w:rsidRPr="005E13DF" w:rsidRDefault="00E011F4" w:rsidP="00E011F4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јуну 2012. године у односу на мај 2012. године, у просјеку су ниже за 0,7%.</w:t>
      </w: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 xml:space="preserve">Овакво кретање цијена резултирало је и овај мјесец појефтињењем свих врста горива, што је 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про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узроковало пад цијена у одјељку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Превоз </w:t>
      </w:r>
      <w:r w:rsidR="004A5044" w:rsidRPr="005E13DF">
        <w:rPr>
          <w:rFonts w:ascii="Tahoma" w:hAnsi="Tahoma" w:cs="Tahoma"/>
          <w:sz w:val="18"/>
          <w:szCs w:val="18"/>
          <w:lang w:val="sr-Cyrl-BA"/>
        </w:rPr>
        <w:t>од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2,2%, те појефтињењем појединих прехрамбених производа, </w:t>
      </w:r>
      <w:r w:rsidR="004A5044" w:rsidRPr="005E13DF">
        <w:rPr>
          <w:rFonts w:ascii="Tahoma" w:hAnsi="Tahoma" w:cs="Tahoma"/>
          <w:sz w:val="18"/>
          <w:szCs w:val="18"/>
          <w:lang w:val="sr-Cyrl-BA"/>
        </w:rPr>
        <w:t>тако да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је у групи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забиљежен пад цијена 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од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>1,0%.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Повећање цијена забиљежено је једино у подгрупама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Воће 1,0%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>и</w:t>
      </w:r>
      <w:r w:rsidRPr="005E13DF">
        <w:rPr>
          <w:rFonts w:ascii="Tahoma" w:eastAsia="Calibri" w:hAnsi="Tahoma" w:cs="Tahoma"/>
          <w:i/>
          <w:sz w:val="18"/>
          <w:szCs w:val="18"/>
        </w:rPr>
        <w:t xml:space="preserve">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Месо 0,5%.</w:t>
      </w:r>
      <w:r w:rsidRPr="005E13DF">
        <w:rPr>
          <w:rFonts w:ascii="Tahoma" w:eastAsia="Calibri" w:hAnsi="Tahoma" w:cs="Tahoma"/>
          <w:i/>
          <w:sz w:val="18"/>
          <w:szCs w:val="18"/>
        </w:rPr>
        <w:t xml:space="preserve">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У подгрупи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Воће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је забиљежен даљи раст цијена цитрусног воћа (наранџа, лимун, грејпфурт, мандарина, лимун, киви), као и повећања цијене јабука и крушака, 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>док је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на повећање цијена у подгрупи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Месо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утицало повећање 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>свињетине за 1,1%, телетине за 0,6% и јунетине за 0,3%. На смањење цијена у групи</w:t>
      </w:r>
      <w:r w:rsidRPr="005E13DF">
        <w:rPr>
          <w:rFonts w:ascii="Tahoma" w:eastAsia="Calibri" w:hAnsi="Tahoma" w:cs="Tahoma"/>
          <w:sz w:val="18"/>
          <w:szCs w:val="18"/>
        </w:rPr>
        <w:t xml:space="preserve">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>Храна утицало је смањење цијена поврћа за 9,3%, затим риже 1,6%, замрзнутог лиснатог тијеста 1,1%,</w:t>
      </w:r>
      <w:r w:rsidRPr="005E13DF">
        <w:rPr>
          <w:rFonts w:ascii="Tahoma" w:eastAsia="Calibri" w:hAnsi="Tahoma" w:cs="Tahoma"/>
          <w:sz w:val="18"/>
          <w:szCs w:val="18"/>
        </w:rPr>
        <w:t xml:space="preserve">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ријечне и морске рибе 1,1%, свјежег млијека 2,4%, млијечних производа 1,3%, кокошијих јаја 4,7%,шећера 2,8%, додатка јелима (вегета, зачин Ц...) 3,7%, кондиторских производа 1,2%. На смањење цијена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Безалкохолних пића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>од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0,5% највише је ут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ицало смањење цијена кафе 1,0% и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>какаа 0,4%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Одјељак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Становање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цијена 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од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>0,4% и то због ниж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>их цијена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плина 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>од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5,4% и лож уља 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од 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>4,6%.</w:t>
      </w:r>
    </w:p>
    <w:p w:rsidR="00E011F4" w:rsidRPr="005E13DF" w:rsidRDefault="00E011F4" w:rsidP="00E011F4">
      <w:pPr>
        <w:jc w:val="both"/>
        <w:rPr>
          <w:rFonts w:ascii="Tahoma" w:hAnsi="Tahoma" w:cs="Tahoma"/>
          <w:i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 xml:space="preserve">Забиљежен је раст код 3 од укупно 12 одјељака. Раст цијена у јуну забиљежен је </w:t>
      </w:r>
      <w:r w:rsidR="004A5044" w:rsidRPr="005E13DF">
        <w:rPr>
          <w:rFonts w:ascii="Tahoma" w:hAnsi="Tahoma" w:cs="Tahoma"/>
          <w:sz w:val="18"/>
          <w:szCs w:val="18"/>
          <w:lang w:val="sr-Cyrl-BA"/>
        </w:rPr>
        <w:t xml:space="preserve">и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у одјељцима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>Намјештај и покућство, Алкохолна пића и дуван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и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Остала добра и услуге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 xml:space="preserve">Раст цијена  0,2% који је забиљежен у одјељку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настао је због виших цијена малих апарата и разних додатака за 0,6%, као и производа за чишћење и одржавање куће за 0,4%.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>Алкохолна пића и дуван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забиљежен је раст цијена 0,1%, усљед повећања цијене вина 0,9% и пива 0,3%.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>И у одјељку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Остала добра и услуге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је забиљежен је раст цијена 0,1%, због повећања цијена неких производа за личну његу (тоалет папир, лакови за косу, фарбе за косу и сл.) за 1,0%.</w:t>
      </w: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У одјељцима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Здравство, Комуникације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Рекреација и култура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Образовање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5E13DF">
        <w:rPr>
          <w:rFonts w:ascii="Tahoma" w:eastAsia="Calibri" w:hAnsi="Tahoma" w:cs="Tahoma"/>
          <w:i/>
          <w:sz w:val="18"/>
          <w:szCs w:val="18"/>
          <w:lang w:val="sr-Cyrl-BA"/>
        </w:rPr>
        <w:t>Ресторани и хотели</w:t>
      </w:r>
      <w:r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цијене се у просјеку нису мијењале. </w:t>
      </w:r>
    </w:p>
    <w:p w:rsidR="00E011F4" w:rsidRPr="005E13DF" w:rsidRDefault="00E011F4" w:rsidP="00E011F4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5E13DF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јуну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5E13DF">
        <w:rPr>
          <w:rFonts w:ascii="Tahoma" w:hAnsi="Tahoma" w:cs="Tahoma"/>
          <w:sz w:val="18"/>
          <w:szCs w:val="18"/>
          <w:lang w:val="sr-Cyrl-BA"/>
        </w:rPr>
        <w:t>године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5E13DF">
        <w:rPr>
          <w:rFonts w:ascii="Tahoma" w:hAnsi="Tahoma" w:cs="Tahoma"/>
          <w:sz w:val="18"/>
          <w:szCs w:val="18"/>
          <w:lang w:val="sr-Cyrl-BA"/>
        </w:rPr>
        <w:t>године,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за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1,6%.</w:t>
      </w:r>
    </w:p>
    <w:p w:rsidR="00E011F4" w:rsidRPr="005E13DF" w:rsidRDefault="00E011F4" w:rsidP="00E011F4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>Посматрано по одјељцима намјене потрошње, у јуну 2012. године у односу на јун 2011. године, највиши раст забиљежен је  код одјељка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 8,4%,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Комуникације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 4,2%,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 4,0%,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1,8%</w:t>
      </w:r>
      <w:r w:rsidRPr="005E13DF">
        <w:rPr>
          <w:rFonts w:ascii="Tahoma" w:hAnsi="Tahoma" w:cs="Tahoma"/>
          <w:sz w:val="18"/>
          <w:szCs w:val="18"/>
          <w:lang w:val="sr-Cyrl-BA"/>
        </w:rPr>
        <w:t>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Становање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 1,2%,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 0,8%,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</w:t>
      </w:r>
      <w:r w:rsidRPr="005E13DF">
        <w:rPr>
          <w:rFonts w:ascii="Tahoma" w:hAnsi="Tahoma" w:cs="Tahoma"/>
          <w:sz w:val="18"/>
          <w:szCs w:val="18"/>
          <w:lang w:val="sr-Cyrl-BA"/>
        </w:rPr>
        <w:t>и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услуге за 0,8%,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>Здравство за 0,3%,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за 0,2%,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за 0,1%. Индекс одјељка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Рекрација и култура </w:t>
      </w:r>
      <w:r w:rsidRPr="005E13DF">
        <w:rPr>
          <w:rFonts w:ascii="Tahoma" w:hAnsi="Tahoma" w:cs="Tahoma"/>
          <w:sz w:val="18"/>
          <w:szCs w:val="18"/>
          <w:lang w:val="sr-Cyrl-BA"/>
        </w:rPr>
        <w:t>нижи је за 0,6%,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5E13DF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нижи за 3,9%.</w:t>
      </w:r>
    </w:p>
    <w:p w:rsidR="00CF0EA0" w:rsidRPr="005E13DF" w:rsidRDefault="00CF0EA0" w:rsidP="00CF0EA0">
      <w:pPr>
        <w:rPr>
          <w:rFonts w:ascii="Tahoma" w:hAnsi="Tahoma" w:cs="Tahoma"/>
          <w:b/>
        </w:rPr>
      </w:pPr>
    </w:p>
    <w:p w:rsidR="00CF0EA0" w:rsidRPr="005E13DF" w:rsidRDefault="00CF0EA0" w:rsidP="00CF0EA0">
      <w:pPr>
        <w:rPr>
          <w:rFonts w:ascii="Tahoma" w:hAnsi="Tahoma" w:cs="Tahoma"/>
          <w:b/>
        </w:rPr>
      </w:pPr>
    </w:p>
    <w:p w:rsidR="00E011F4" w:rsidRPr="005E13DF" w:rsidRDefault="00E011F4" w:rsidP="00CF0EA0">
      <w:pPr>
        <w:rPr>
          <w:rFonts w:ascii="Tahoma" w:hAnsi="Tahoma" w:cs="Tahoma"/>
          <w:b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5E13DF">
        <w:rPr>
          <w:rFonts w:ascii="Tahoma" w:hAnsi="Tahoma" w:cs="Tahoma"/>
          <w:b/>
          <w:sz w:val="28"/>
          <w:szCs w:val="28"/>
        </w:rPr>
        <w:t>V</w:t>
      </w:r>
      <w:r w:rsidRPr="005E13DF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5E13DF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5E13DF">
        <w:rPr>
          <w:rFonts w:ascii="Tahoma" w:hAnsi="Tahoma" w:cs="Tahoma"/>
          <w:b/>
          <w:sz w:val="28"/>
          <w:szCs w:val="28"/>
          <w:lang w:val="sr-Latn-CS"/>
        </w:rPr>
        <w:t>V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5E13DF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5E13DF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Pr="005E13DF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E011F4" w:rsidRPr="005E13DF" w:rsidRDefault="00E011F4" w:rsidP="00E011F4">
      <w:pPr>
        <w:jc w:val="both"/>
        <w:rPr>
          <w:rFonts w:ascii="Tahoma" w:hAnsi="Tahoma" w:cs="Tahoma"/>
          <w:lang w:val="sr-Cyrl-CS"/>
        </w:rPr>
      </w:pPr>
    </w:p>
    <w:p w:rsidR="00E011F4" w:rsidRPr="005E13DF" w:rsidRDefault="00E011F4" w:rsidP="00E011F4">
      <w:pPr>
        <w:ind w:right="68"/>
        <w:jc w:val="both"/>
        <w:rPr>
          <w:rFonts w:ascii="Tahoma" w:hAnsi="Tahoma" w:cs="Tahoma"/>
          <w:sz w:val="18"/>
          <w:szCs w:val="18"/>
          <w:lang w:val="sr-Latn-CS"/>
        </w:rPr>
      </w:pPr>
      <w:r w:rsidRPr="005E13DF">
        <w:rPr>
          <w:rFonts w:ascii="Tahoma" w:hAnsi="Tahoma" w:cs="Tahoma"/>
          <w:sz w:val="18"/>
          <w:szCs w:val="18"/>
          <w:lang w:val="sr-Cyrl-CS"/>
        </w:rPr>
        <w:t>Цијен</w:t>
      </w:r>
      <w:r w:rsidRPr="005E13DF">
        <w:rPr>
          <w:rFonts w:ascii="Tahoma" w:hAnsi="Tahoma" w:cs="Tahoma"/>
          <w:sz w:val="18"/>
          <w:szCs w:val="18"/>
        </w:rPr>
        <w:t>e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5E13DF">
        <w:rPr>
          <w:rFonts w:ascii="Tahoma" w:hAnsi="Tahoma" w:cs="Tahoma"/>
          <w:sz w:val="18"/>
          <w:szCs w:val="18"/>
        </w:rPr>
        <w:t xml:space="preserve">a </w:t>
      </w:r>
      <w:r w:rsidRPr="005E13DF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јуну </w:t>
      </w:r>
      <w:r w:rsidRPr="005E13DF">
        <w:rPr>
          <w:rFonts w:ascii="Tahoma" w:hAnsi="Tahoma" w:cs="Tahoma"/>
          <w:sz w:val="18"/>
          <w:szCs w:val="18"/>
          <w:lang w:val="hr-HR"/>
        </w:rPr>
        <w:t>20</w:t>
      </w:r>
      <w:r w:rsidRPr="005E13DF">
        <w:rPr>
          <w:rFonts w:ascii="Tahoma" w:hAnsi="Tahoma" w:cs="Tahoma"/>
          <w:sz w:val="18"/>
          <w:szCs w:val="18"/>
          <w:lang w:val="sr-Cyrl-CS"/>
        </w:rPr>
        <w:t>12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5E13DF">
        <w:rPr>
          <w:rFonts w:ascii="Tahoma" w:hAnsi="Tahoma" w:cs="Tahoma"/>
          <w:sz w:val="18"/>
          <w:szCs w:val="18"/>
          <w:lang w:val="hr-HR"/>
        </w:rPr>
        <w:t>у односу на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мај</w:t>
      </w:r>
      <w:r w:rsidRPr="005E13DF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hr-HR"/>
        </w:rPr>
        <w:t>201</w:t>
      </w:r>
      <w:r w:rsidRPr="005E13DF">
        <w:rPr>
          <w:rFonts w:ascii="Tahoma" w:hAnsi="Tahoma" w:cs="Tahoma"/>
          <w:sz w:val="18"/>
          <w:szCs w:val="18"/>
          <w:lang w:val="sr-Cyrl-CS"/>
        </w:rPr>
        <w:t>2</w:t>
      </w:r>
      <w:r w:rsidRPr="005E13DF">
        <w:rPr>
          <w:rFonts w:ascii="Tahoma" w:hAnsi="Tahoma" w:cs="Tahoma"/>
          <w:sz w:val="18"/>
          <w:szCs w:val="18"/>
          <w:lang w:val="hr-HR"/>
        </w:rPr>
        <w:t>.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Г</w:t>
      </w:r>
      <w:r w:rsidRPr="005E13DF">
        <w:rPr>
          <w:rFonts w:ascii="Tahoma" w:hAnsi="Tahoma" w:cs="Tahoma"/>
          <w:sz w:val="18"/>
          <w:szCs w:val="18"/>
          <w:lang w:val="sr-Cyrl-CS"/>
        </w:rPr>
        <w:t>одине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у просјеку су више за 0,3%</w:t>
      </w:r>
      <w:r w:rsidRPr="005E13DF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у односу на јун 2011. године више су за </w:t>
      </w:r>
      <w:r w:rsidRPr="005E13DF">
        <w:rPr>
          <w:rFonts w:ascii="Tahoma" w:hAnsi="Tahoma" w:cs="Tahoma"/>
          <w:sz w:val="18"/>
          <w:szCs w:val="18"/>
          <w:lang w:val="sr-Latn-CS"/>
        </w:rPr>
        <w:t>0,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4% и у односу на децембар 2011. године за </w:t>
      </w:r>
      <w:r w:rsidRPr="005E13DF">
        <w:rPr>
          <w:rFonts w:ascii="Tahoma" w:hAnsi="Tahoma" w:cs="Tahoma"/>
          <w:sz w:val="18"/>
          <w:szCs w:val="18"/>
          <w:lang w:val="sr-Latn-CS"/>
        </w:rPr>
        <w:t>0,</w:t>
      </w:r>
      <w:r w:rsidRPr="005E13DF">
        <w:rPr>
          <w:rFonts w:ascii="Tahoma" w:hAnsi="Tahoma" w:cs="Tahoma"/>
          <w:sz w:val="18"/>
          <w:szCs w:val="18"/>
          <w:lang w:val="sr-Cyrl-CS"/>
        </w:rPr>
        <w:t>3%.</w:t>
      </w:r>
    </w:p>
    <w:p w:rsidR="00E011F4" w:rsidRPr="005E13DF" w:rsidRDefault="00E011F4" w:rsidP="00E011F4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11F4" w:rsidRPr="005E13DF" w:rsidRDefault="00E011F4" w:rsidP="00E011F4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hr-HR"/>
        </w:rPr>
        <w:t>Посматрано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5E13DF">
        <w:rPr>
          <w:rFonts w:ascii="Tahoma" w:hAnsi="Tahoma" w:cs="Tahoma"/>
          <w:sz w:val="18"/>
          <w:szCs w:val="18"/>
          <w:lang w:val="hr-HR"/>
        </w:rPr>
        <w:t>о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5E13DF">
        <w:rPr>
          <w:rFonts w:ascii="Tahoma" w:hAnsi="Tahoma" w:cs="Tahoma"/>
          <w:sz w:val="18"/>
          <w:szCs w:val="18"/>
          <w:lang w:val="hr-HR"/>
        </w:rPr>
        <w:t>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јуну </w:t>
      </w:r>
      <w:r w:rsidRPr="005E13DF">
        <w:rPr>
          <w:rFonts w:ascii="Tahoma" w:hAnsi="Tahoma" w:cs="Tahoma"/>
          <w:sz w:val="18"/>
          <w:szCs w:val="18"/>
          <w:lang w:val="hr-HR"/>
        </w:rPr>
        <w:t>20</w:t>
      </w:r>
      <w:r w:rsidRPr="005E13DF">
        <w:rPr>
          <w:rFonts w:ascii="Tahoma" w:hAnsi="Tahoma" w:cs="Tahoma"/>
          <w:sz w:val="18"/>
          <w:szCs w:val="18"/>
          <w:lang w:val="sr-Cyrl-CS"/>
        </w:rPr>
        <w:t>12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5E13DF">
        <w:rPr>
          <w:rFonts w:ascii="Tahoma" w:hAnsi="Tahoma" w:cs="Tahoma"/>
          <w:sz w:val="18"/>
          <w:szCs w:val="18"/>
          <w:lang w:val="hr-HR"/>
        </w:rPr>
        <w:t>у односу на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мај</w:t>
      </w:r>
      <w:r w:rsidRPr="005E13DF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hr-HR"/>
        </w:rPr>
        <w:t>201</w:t>
      </w:r>
      <w:r w:rsidRPr="005E13DF">
        <w:rPr>
          <w:rFonts w:ascii="Tahoma" w:hAnsi="Tahoma" w:cs="Tahoma"/>
          <w:sz w:val="18"/>
          <w:szCs w:val="18"/>
          <w:lang w:val="sr-Cyrl-CS"/>
        </w:rPr>
        <w:t>2. године цијене енергије у просјеку</w:t>
      </w:r>
      <w:r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су више</w:t>
      </w:r>
      <w:r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за</w:t>
      </w:r>
      <w:r w:rsidRPr="005E13DF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5E13DF">
        <w:rPr>
          <w:rFonts w:ascii="Tahoma" w:hAnsi="Tahoma" w:cs="Tahoma"/>
          <w:sz w:val="18"/>
          <w:szCs w:val="18"/>
          <w:lang w:val="sr-Cyrl-CS"/>
        </w:rPr>
        <w:t>5</w:t>
      </w:r>
      <w:r w:rsidRPr="005E13DF">
        <w:rPr>
          <w:rFonts w:ascii="Tahoma" w:hAnsi="Tahoma" w:cs="Tahoma"/>
          <w:sz w:val="18"/>
          <w:szCs w:val="18"/>
          <w:lang w:val="sr-Latn-CS"/>
        </w:rPr>
        <w:t>%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цијене нетрајних производа за широку потрошњу за 0,3%, цијене ин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термедијарних производа за 0,2%. Ц</w:t>
      </w:r>
      <w:r w:rsidRPr="005E13DF">
        <w:rPr>
          <w:rFonts w:ascii="Tahoma" w:hAnsi="Tahoma" w:cs="Tahoma"/>
          <w:sz w:val="18"/>
          <w:szCs w:val="18"/>
          <w:lang w:val="sr-Cyrl-CS"/>
        </w:rPr>
        <w:t>ијене капиталних проз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вода у просјеку су ниже за 0,1%,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 док су цијене трајних производа за широку потрошњу у просјеку остале на истом нивоу.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011F4" w:rsidRPr="005E13DF" w:rsidRDefault="004A5044" w:rsidP="00E011F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sr-Cyrl-CS"/>
        </w:rPr>
        <w:t>П</w:t>
      </w:r>
      <w:r w:rsidRPr="005E13DF">
        <w:rPr>
          <w:rFonts w:ascii="Tahoma" w:hAnsi="Tahoma" w:cs="Tahoma"/>
          <w:sz w:val="18"/>
          <w:szCs w:val="18"/>
          <w:lang w:val="hr-HR"/>
        </w:rPr>
        <w:t>осматрано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5E13DF">
        <w:rPr>
          <w:rFonts w:ascii="Tahoma" w:hAnsi="Tahoma" w:cs="Tahoma"/>
          <w:sz w:val="18"/>
          <w:szCs w:val="18"/>
          <w:lang w:val="hr-HR"/>
        </w:rPr>
        <w:t>о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намјени потрошње ц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ијене енергије,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у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јуну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12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у односу на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јун 2011. године, у просјеку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су више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за 1,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6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%, цијене нетрајних производа за широку потрошњу за 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1,1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%, цијене трајних производа за широку потрошњу за 0,3%, цијене капиталних прозвода за 0,1%, док су цијене интермедијарних производа у просјеку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су ниже за 1,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%. 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11F4" w:rsidRPr="005E13DF" w:rsidRDefault="00E011F4" w:rsidP="00E011F4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5E13DF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5E13DF">
        <w:rPr>
          <w:rFonts w:ascii="Tahoma" w:hAnsi="Tahoma" w:cs="Tahoma"/>
          <w:sz w:val="18"/>
          <w:szCs w:val="18"/>
          <w:lang w:val="sr-Cyrl-CS"/>
        </w:rPr>
        <w:t>PRODCOM</w:t>
      </w:r>
      <w:r w:rsidRPr="005E13DF">
        <w:rPr>
          <w:rFonts w:ascii="Tahoma" w:hAnsi="Tahoma" w:cs="Tahoma"/>
          <w:sz w:val="18"/>
          <w:szCs w:val="18"/>
          <w:lang w:val="hr-HR"/>
        </w:rPr>
        <w:t>)</w:t>
      </w:r>
      <w:r w:rsidRPr="005E13DF">
        <w:rPr>
          <w:rFonts w:ascii="Tahoma" w:hAnsi="Tahoma" w:cs="Tahoma"/>
          <w:sz w:val="18"/>
          <w:szCs w:val="18"/>
          <w:lang w:val="sr-Cyrl-CS"/>
        </w:rPr>
        <w:t>,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5E13DF">
        <w:rPr>
          <w:rFonts w:ascii="Tahoma" w:hAnsi="Tahoma" w:cs="Tahoma"/>
          <w:sz w:val="18"/>
          <w:szCs w:val="18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подручја (Ц)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вађење руда и камена </w:t>
      </w:r>
      <w:r w:rsidRPr="005E13DF">
        <w:rPr>
          <w:rFonts w:ascii="Tahoma" w:hAnsi="Tahoma" w:cs="Tahoma"/>
          <w:sz w:val="18"/>
          <w:szCs w:val="18"/>
          <w:lang w:val="hr-HR"/>
        </w:rPr>
        <w:t>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јуну </w:t>
      </w:r>
      <w:r w:rsidRPr="005E13DF">
        <w:rPr>
          <w:rFonts w:ascii="Tahoma" w:hAnsi="Tahoma" w:cs="Tahoma"/>
          <w:sz w:val="18"/>
          <w:szCs w:val="18"/>
          <w:lang w:val="hr-HR"/>
        </w:rPr>
        <w:t>20</w:t>
      </w:r>
      <w:r w:rsidRPr="005E13DF">
        <w:rPr>
          <w:rFonts w:ascii="Tahoma" w:hAnsi="Tahoma" w:cs="Tahoma"/>
          <w:sz w:val="18"/>
          <w:szCs w:val="18"/>
          <w:lang w:val="sr-Cyrl-CS"/>
        </w:rPr>
        <w:t>12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5E13DF">
        <w:rPr>
          <w:rFonts w:ascii="Tahoma" w:hAnsi="Tahoma" w:cs="Tahoma"/>
          <w:sz w:val="18"/>
          <w:szCs w:val="18"/>
          <w:lang w:val="sr-Cyrl-CS"/>
        </w:rPr>
        <w:t>године у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мај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5E13DF">
        <w:rPr>
          <w:rFonts w:ascii="Tahoma" w:hAnsi="Tahoma" w:cs="Tahoma"/>
          <w:sz w:val="18"/>
          <w:szCs w:val="18"/>
          <w:lang w:val="sr-Cyrl-CS"/>
        </w:rPr>
        <w:t>2</w:t>
      </w:r>
      <w:r w:rsidRPr="005E13DF">
        <w:rPr>
          <w:rFonts w:ascii="Tahoma" w:hAnsi="Tahoma" w:cs="Tahoma"/>
          <w:sz w:val="18"/>
          <w:szCs w:val="18"/>
          <w:lang w:val="hr-HR"/>
        </w:rPr>
        <w:t>.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1,7%, цијене подручја(Д) прерађивачка индустрија за 0,2%</w:t>
      </w:r>
      <w:r w:rsidRPr="005E13DF">
        <w:rPr>
          <w:rFonts w:ascii="Tahoma" w:hAnsi="Tahoma" w:cs="Tahoma"/>
          <w:sz w:val="18"/>
          <w:szCs w:val="18"/>
        </w:rPr>
        <w:t>,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док су цијене подручја (Е)  производња и снабдијевање електричном енергијом, гасом и водом у просјеку остале на истом нивоу.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11F4" w:rsidRPr="005E13DF" w:rsidRDefault="00E011F4" w:rsidP="00E011F4">
      <w:pPr>
        <w:jc w:val="both"/>
        <w:rPr>
          <w:rFonts w:ascii="Tahoma" w:hAnsi="Tahoma" w:cs="Tahoma"/>
          <w:bCs/>
          <w:sz w:val="18"/>
          <w:szCs w:val="18"/>
        </w:rPr>
      </w:pPr>
      <w:r w:rsidRPr="005E13DF">
        <w:rPr>
          <w:rFonts w:ascii="Tahoma" w:hAnsi="Tahoma" w:cs="Tahoma"/>
          <w:sz w:val="18"/>
          <w:szCs w:val="18"/>
          <w:lang w:val="bs-Cyrl-BA"/>
        </w:rPr>
        <w:t>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јуну </w:t>
      </w:r>
      <w:r w:rsidRPr="005E13DF">
        <w:rPr>
          <w:rFonts w:ascii="Tahoma" w:hAnsi="Tahoma" w:cs="Tahoma"/>
          <w:sz w:val="18"/>
          <w:szCs w:val="18"/>
          <w:lang w:val="hr-HR"/>
        </w:rPr>
        <w:t>20</w:t>
      </w:r>
      <w:r w:rsidRPr="005E13DF">
        <w:rPr>
          <w:rFonts w:ascii="Tahoma" w:hAnsi="Tahoma" w:cs="Tahoma"/>
          <w:sz w:val="18"/>
          <w:szCs w:val="18"/>
          <w:lang w:val="sr-Cyrl-CS"/>
        </w:rPr>
        <w:t>12</w:t>
      </w:r>
      <w:r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5E13DF">
        <w:rPr>
          <w:rFonts w:ascii="Tahoma" w:hAnsi="Tahoma" w:cs="Tahoma"/>
          <w:sz w:val="18"/>
          <w:szCs w:val="18"/>
          <w:lang w:val="hr-HR"/>
        </w:rPr>
        <w:t>у односу на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јун </w:t>
      </w:r>
      <w:r w:rsidRPr="005E13DF">
        <w:rPr>
          <w:rFonts w:ascii="Tahoma" w:hAnsi="Tahoma" w:cs="Tahoma"/>
          <w:sz w:val="18"/>
          <w:szCs w:val="18"/>
          <w:lang w:val="hr-HR"/>
        </w:rPr>
        <w:t>20</w:t>
      </w:r>
      <w:r w:rsidRPr="005E13DF">
        <w:rPr>
          <w:rFonts w:ascii="Tahoma" w:hAnsi="Tahoma" w:cs="Tahoma"/>
          <w:sz w:val="18"/>
          <w:szCs w:val="18"/>
          <w:lang w:val="sr-Cyrl-CS"/>
        </w:rPr>
        <w:t>11</w:t>
      </w:r>
      <w:r w:rsidRPr="005E13DF">
        <w:rPr>
          <w:rFonts w:ascii="Tahoma" w:hAnsi="Tahoma" w:cs="Tahoma"/>
          <w:sz w:val="18"/>
          <w:szCs w:val="18"/>
          <w:lang w:val="hr-HR"/>
        </w:rPr>
        <w:t>.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5E13DF">
        <w:rPr>
          <w:rFonts w:ascii="Tahoma" w:hAnsi="Tahoma" w:cs="Tahoma"/>
          <w:sz w:val="18"/>
          <w:szCs w:val="18"/>
        </w:rPr>
        <w:t>j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3,1%, </w:t>
      </w:r>
      <w:r w:rsidRPr="005E13DF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5E13DF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5E13DF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за 0,5% и цијене подручја </w:t>
      </w:r>
      <w:r w:rsidRPr="005E13DF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5E13DF">
        <w:rPr>
          <w:rFonts w:ascii="Tahoma" w:hAnsi="Tahoma" w:cs="Tahoma"/>
          <w:bCs/>
          <w:sz w:val="18"/>
          <w:szCs w:val="18"/>
          <w:lang w:val="sr-Cyrl-CS"/>
        </w:rPr>
        <w:t xml:space="preserve"> за 0,1%. 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</w:p>
    <w:p w:rsidR="00F61225" w:rsidRPr="005E13DF" w:rsidRDefault="00F61225" w:rsidP="00652E2C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5E13DF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5E13DF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5E13DF">
        <w:rPr>
          <w:rFonts w:ascii="Tahoma" w:hAnsi="Tahoma" w:cs="Tahoma"/>
          <w:b/>
          <w:spacing w:val="-4"/>
          <w:sz w:val="28"/>
          <w:szCs w:val="28"/>
        </w:rPr>
        <w:t>VI</w:t>
      </w:r>
      <w:r w:rsidRPr="005E13DF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Pr="005E13DF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мањи</w:t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Pr="005E13D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,6</w:t>
      </w:r>
      <w:r w:rsidRPr="005E13DF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F61225" w:rsidRPr="005E13DF" w:rsidRDefault="00F61225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5E13DF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5E13DF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5E13DF">
        <w:rPr>
          <w:rFonts w:ascii="Tahoma" w:hAnsi="Tahoma" w:cs="Tahoma"/>
          <w:sz w:val="24"/>
          <w:szCs w:val="24"/>
          <w:lang w:val="sr-Cyrl-CS"/>
        </w:rPr>
        <w:t>V</w:t>
      </w:r>
      <w:r w:rsidRPr="005E13DF">
        <w:rPr>
          <w:rFonts w:ascii="Tahoma" w:hAnsi="Tahoma" w:cs="Tahoma"/>
          <w:sz w:val="24"/>
          <w:szCs w:val="24"/>
        </w:rPr>
        <w:t>I</w:t>
      </w:r>
      <w:r w:rsidRPr="005E13DF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5E13DF">
        <w:rPr>
          <w:rFonts w:ascii="Tahoma" w:hAnsi="Tahoma" w:cs="Tahoma"/>
          <w:sz w:val="24"/>
          <w:szCs w:val="24"/>
          <w:lang w:val="sr-Cyrl-CS"/>
        </w:rPr>
        <w:t>12</w:t>
      </w:r>
      <w:r w:rsidRPr="005E13DF">
        <w:rPr>
          <w:rFonts w:ascii="Tahoma" w:hAnsi="Tahoma" w:cs="Tahoma"/>
          <w:sz w:val="24"/>
          <w:szCs w:val="24"/>
          <w:lang w:val="sr-Latn-BA"/>
        </w:rPr>
        <w:t>/</w:t>
      </w:r>
      <w:r w:rsidRPr="005E13DF">
        <w:rPr>
          <w:rFonts w:ascii="Tahoma" w:hAnsi="Tahoma" w:cs="Tahoma"/>
          <w:bCs/>
          <w:sz w:val="24"/>
          <w:szCs w:val="24"/>
        </w:rPr>
        <w:sym w:font="Symbol" w:char="F0C6"/>
      </w:r>
      <w:r w:rsidRPr="005E13DF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5E13DF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5E13DF">
        <w:rPr>
          <w:rFonts w:ascii="Tahoma" w:hAnsi="Tahoma" w:cs="Tahoma"/>
          <w:bCs/>
          <w:sz w:val="24"/>
          <w:szCs w:val="24"/>
          <w:lang w:val="hr-HR"/>
        </w:rPr>
        <w:t>)</w:t>
      </w:r>
      <w:r w:rsidRPr="005E13DF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5E13DF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5E13DF">
        <w:rPr>
          <w:rFonts w:ascii="Tahoma" w:hAnsi="Tahoma" w:cs="Tahoma"/>
          <w:sz w:val="24"/>
          <w:szCs w:val="24"/>
          <w:lang w:val="sr-Cyrl-CS"/>
        </w:rPr>
        <w:t>1</w:t>
      </w:r>
      <w:r w:rsidRPr="005E13DF">
        <w:rPr>
          <w:rFonts w:ascii="Tahoma" w:hAnsi="Tahoma" w:cs="Tahoma"/>
          <w:sz w:val="24"/>
          <w:szCs w:val="24"/>
          <w:lang w:val="sr-Cyrl-BA"/>
        </w:rPr>
        <w:t>,2</w:t>
      </w:r>
      <w:r w:rsidRPr="005E13DF">
        <w:rPr>
          <w:rFonts w:ascii="Tahoma" w:hAnsi="Tahoma" w:cs="Tahoma"/>
          <w:sz w:val="24"/>
          <w:szCs w:val="24"/>
          <w:lang w:val="ru-RU"/>
        </w:rPr>
        <w:t>%</w:t>
      </w:r>
    </w:p>
    <w:p w:rsidR="00F61225" w:rsidRPr="005E13DF" w:rsidRDefault="00F61225" w:rsidP="00F61225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F61225" w:rsidRPr="005E13DF" w:rsidRDefault="00F61225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5E13DF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5E13DF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5E13DF">
        <w:rPr>
          <w:rFonts w:ascii="Tahoma" w:hAnsi="Tahoma" w:cs="Tahoma"/>
          <w:sz w:val="18"/>
          <w:szCs w:val="18"/>
          <w:lang w:val="sr-Cyrl-CS"/>
        </w:rPr>
        <w:t>јуну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2012. године у односу на просјечну мјесечну производњу из 2011. године мања је за 1,6%, у односу на исти мјесец прошле године </w:t>
      </w:r>
      <w:r w:rsidRPr="005E13DF">
        <w:rPr>
          <w:rFonts w:ascii="Tahoma" w:hAnsi="Tahoma" w:cs="Tahoma"/>
          <w:sz w:val="18"/>
          <w:szCs w:val="18"/>
          <w:lang w:val="sr-Cyrl-BA"/>
        </w:rPr>
        <w:t>мања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је за 5,6%, док је у односу на претходни мјесец текуће године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већа </w:t>
      </w:r>
      <w:r w:rsidRPr="005E13DF">
        <w:rPr>
          <w:rFonts w:ascii="Tahoma" w:hAnsi="Tahoma" w:cs="Tahoma"/>
          <w:sz w:val="18"/>
          <w:szCs w:val="18"/>
          <w:lang w:val="ru-RU"/>
        </w:rPr>
        <w:t>за 4,2%.</w:t>
      </w:r>
    </w:p>
    <w:p w:rsidR="00F61225" w:rsidRPr="005E13DF" w:rsidRDefault="00F61225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F61225" w:rsidP="00F61225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јун 2012. године у односу на исти период </w:t>
      </w:r>
      <w:r w:rsidRPr="005E13DF">
        <w:rPr>
          <w:rFonts w:ascii="Tahoma" w:hAnsi="Tahoma" w:cs="Tahoma"/>
          <w:sz w:val="18"/>
          <w:szCs w:val="18"/>
          <w:lang w:val="ru-RU"/>
        </w:rPr>
        <w:t>прошле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године мања је за 4,2%. У истом периоду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забиљежена је негативна стопа промјене 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од 1,3%,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5E13DF">
        <w:rPr>
          <w:rFonts w:ascii="Tahoma" w:hAnsi="Tahoma" w:cs="Tahoma"/>
          <w:sz w:val="18"/>
          <w:szCs w:val="18"/>
          <w:lang w:val="ru-RU"/>
        </w:rPr>
        <w:t>подручју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негативна стопа промјене од 2,7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5E13DF">
        <w:rPr>
          <w:rFonts w:ascii="Tahoma" w:hAnsi="Tahoma" w:cs="Tahoma"/>
          <w:sz w:val="18"/>
          <w:szCs w:val="18"/>
          <w:lang w:val="sr-Cyrl-BA"/>
        </w:rPr>
        <w:t>стопа промјене од 6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,8%. </w:t>
      </w:r>
    </w:p>
    <w:p w:rsidR="00F61225" w:rsidRPr="005E13DF" w:rsidRDefault="00F61225" w:rsidP="00F61225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F61225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5E13DF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– јун 2012. године у односу на исти период прошле године забиљежена је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5E13DF">
        <w:rPr>
          <w:rFonts w:ascii="Tahoma" w:hAnsi="Tahoma" w:cs="Tahoma"/>
          <w:sz w:val="18"/>
          <w:szCs w:val="18"/>
          <w:lang w:val="ru-RU"/>
        </w:rPr>
        <w:t>енергије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ru-RU"/>
        </w:rPr>
        <w:t>од 1,5%, нетрајних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од 8,3% и </w:t>
      </w:r>
      <w:r w:rsidRPr="005E13DF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од 8,7%,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док је код капиталних производа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забиљежена позитивна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5E13DF">
        <w:rPr>
          <w:rFonts w:ascii="Tahoma" w:hAnsi="Tahoma" w:cs="Tahoma"/>
          <w:sz w:val="18"/>
          <w:szCs w:val="18"/>
          <w:lang w:val="ru-RU"/>
        </w:rPr>
        <w:t>од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7,6</w:t>
      </w:r>
      <w:r w:rsidRPr="005E13DF">
        <w:rPr>
          <w:rFonts w:ascii="Tahoma" w:hAnsi="Tahoma" w:cs="Tahoma"/>
          <w:sz w:val="18"/>
          <w:szCs w:val="18"/>
          <w:lang w:val="sr-Cyrl-BA"/>
        </w:rPr>
        <w:t>% и код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трајних производа позитивна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5E13DF">
        <w:rPr>
          <w:rFonts w:ascii="Tahoma" w:hAnsi="Tahoma" w:cs="Tahoma"/>
          <w:sz w:val="18"/>
          <w:szCs w:val="18"/>
          <w:lang w:val="ru-RU"/>
        </w:rPr>
        <w:t>од 0,4%.</w:t>
      </w:r>
    </w:p>
    <w:p w:rsidR="00F61225" w:rsidRPr="005E13DF" w:rsidRDefault="00F61225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F61225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5E13DF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5E13DF">
        <w:rPr>
          <w:rFonts w:ascii="Tahoma" w:hAnsi="Tahoma" w:cs="Tahoma"/>
          <w:sz w:val="18"/>
          <w:szCs w:val="18"/>
          <w:lang w:val="sr-Cyrl-CS"/>
        </w:rPr>
        <w:t>јуну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5E13DF">
        <w:rPr>
          <w:rFonts w:ascii="Tahoma" w:hAnsi="Tahoma" w:cs="Tahoma"/>
          <w:sz w:val="18"/>
          <w:szCs w:val="18"/>
          <w:lang w:val="ru-RU"/>
        </w:rPr>
        <w:t>односу на мај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године мањи је за 0,4%.</w:t>
      </w:r>
    </w:p>
    <w:p w:rsidR="00F61225" w:rsidRPr="005E13DF" w:rsidRDefault="00F61225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F61225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5E13DF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5E13DF">
        <w:rPr>
          <w:rFonts w:ascii="Tahoma" w:hAnsi="Tahoma" w:cs="Tahoma"/>
          <w:sz w:val="18"/>
          <w:szCs w:val="18"/>
          <w:lang w:val="ru-RU"/>
        </w:rPr>
        <w:t>периоду јануар - јун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1,9%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забиљежен пад броја запослених од 0,3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%, у подручју </w:t>
      </w:r>
      <w:r w:rsidRPr="005E13D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пад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>од 1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,1% и у подручју </w:t>
      </w:r>
      <w:r w:rsidRPr="005E13DF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пад од 2,2%. </w:t>
      </w:r>
    </w:p>
    <w:p w:rsidR="00DB54DA" w:rsidRPr="005E13DF" w:rsidRDefault="00DB54DA" w:rsidP="00EB450E">
      <w:pPr>
        <w:rPr>
          <w:rFonts w:ascii="Tahoma" w:hAnsi="Tahoma" w:cs="Tahoma"/>
          <w:b/>
          <w:sz w:val="28"/>
          <w:szCs w:val="28"/>
          <w:lang w:val="bs-Cyrl-BA"/>
        </w:rPr>
      </w:pPr>
    </w:p>
    <w:p w:rsidR="00652E2C" w:rsidRPr="005E13DF" w:rsidRDefault="00652E2C">
      <w:pPr>
        <w:rPr>
          <w:rFonts w:ascii="Tahoma" w:hAnsi="Tahoma" w:cs="Tahoma"/>
          <w:b/>
          <w:sz w:val="28"/>
          <w:szCs w:val="28"/>
          <w:lang w:val="bs-Cyrl-BA"/>
        </w:rPr>
      </w:pPr>
      <w:r w:rsidRPr="005E13DF">
        <w:rPr>
          <w:rFonts w:ascii="Tahoma" w:hAnsi="Tahoma" w:cs="Tahoma"/>
          <w:b/>
          <w:sz w:val="28"/>
          <w:szCs w:val="28"/>
          <w:lang w:val="bs-Cyrl-BA"/>
        </w:rPr>
        <w:br w:type="page"/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5E13DF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5E13DF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5E13DF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5E13DF">
        <w:rPr>
          <w:rFonts w:ascii="Tahoma" w:hAnsi="Tahoma" w:cs="Tahoma"/>
          <w:b/>
          <w:sz w:val="28"/>
          <w:szCs w:val="28"/>
        </w:rPr>
        <w:t>I</w:t>
      </w:r>
      <w:r w:rsidRPr="005E13DF">
        <w:rPr>
          <w:rFonts w:ascii="Tahoma" w:hAnsi="Tahoma" w:cs="Tahoma"/>
          <w:b/>
          <w:sz w:val="28"/>
          <w:szCs w:val="28"/>
          <w:lang w:val="ru-RU"/>
        </w:rPr>
        <w:t>–</w:t>
      </w:r>
      <w:r w:rsidRPr="005E13DF">
        <w:rPr>
          <w:rFonts w:ascii="Tahoma" w:hAnsi="Tahoma" w:cs="Tahoma"/>
          <w:b/>
          <w:sz w:val="28"/>
          <w:szCs w:val="28"/>
        </w:rPr>
        <w:t>VI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5E13DF">
        <w:rPr>
          <w:rFonts w:ascii="Tahoma" w:hAnsi="Tahoma" w:cs="Tahoma"/>
          <w:b/>
          <w:sz w:val="28"/>
          <w:szCs w:val="28"/>
          <w:lang w:val="ru-RU"/>
        </w:rPr>
        <w:t>201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>2</w:t>
      </w:r>
      <w:r w:rsidRPr="005E13DF">
        <w:rPr>
          <w:rFonts w:ascii="Tahoma" w:hAnsi="Tahoma" w:cs="Tahoma"/>
          <w:b/>
          <w:sz w:val="28"/>
          <w:szCs w:val="28"/>
          <w:lang w:val="ru-RU"/>
        </w:rPr>
        <w:t>.</w:t>
      </w:r>
      <w:r w:rsidRPr="005E13DF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5E13DF">
        <w:rPr>
          <w:rFonts w:ascii="Tahoma" w:hAnsi="Tahoma" w:cs="Tahoma"/>
          <w:b/>
          <w:sz w:val="28"/>
          <w:szCs w:val="28"/>
          <w:lang w:val="hr-HR"/>
        </w:rPr>
        <w:t>55</w:t>
      </w:r>
      <w:r w:rsidRPr="005E13DF">
        <w:rPr>
          <w:rFonts w:ascii="Tahoma" w:hAnsi="Tahoma" w:cs="Tahoma"/>
          <w:b/>
          <w:sz w:val="28"/>
          <w:szCs w:val="28"/>
          <w:lang w:val="ru-RU"/>
        </w:rPr>
        <w:t>,</w:t>
      </w:r>
      <w:r w:rsidRPr="005E13DF">
        <w:rPr>
          <w:rFonts w:ascii="Tahoma" w:hAnsi="Tahoma" w:cs="Tahoma"/>
          <w:b/>
          <w:sz w:val="28"/>
          <w:szCs w:val="28"/>
        </w:rPr>
        <w:t>0</w:t>
      </w:r>
      <w:r w:rsidRPr="005E13DF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5E13DF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5E13DF">
        <w:rPr>
          <w:rFonts w:ascii="Tahoma" w:hAnsi="Tahoma" w:cs="Tahoma"/>
          <w:sz w:val="24"/>
          <w:szCs w:val="24"/>
          <w:lang w:val="hr-HR"/>
        </w:rPr>
        <w:t>(I-VI 2012/I-VI 2011</w:t>
      </w:r>
      <w:r w:rsidRPr="005E13DF">
        <w:rPr>
          <w:rFonts w:ascii="Tahoma" w:hAnsi="Tahoma" w:cs="Tahoma"/>
          <w:sz w:val="24"/>
          <w:szCs w:val="24"/>
          <w:lang w:val="sr-Cyrl-CS"/>
        </w:rPr>
        <w:t>.</w:t>
      </w:r>
      <w:r w:rsidRPr="005E13DF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5E13DF">
        <w:rPr>
          <w:rFonts w:ascii="Tahoma" w:hAnsi="Tahoma" w:cs="Tahoma"/>
          <w:sz w:val="24"/>
          <w:szCs w:val="24"/>
          <w:lang w:val="sr-Cyrl-BA"/>
        </w:rPr>
        <w:t xml:space="preserve">смањен </w:t>
      </w:r>
      <w:r w:rsidRPr="005E13DF">
        <w:rPr>
          <w:rFonts w:ascii="Tahoma" w:hAnsi="Tahoma" w:cs="Tahoma"/>
          <w:sz w:val="24"/>
          <w:szCs w:val="24"/>
        </w:rPr>
        <w:t>4</w:t>
      </w:r>
      <w:r w:rsidRPr="005E13DF">
        <w:rPr>
          <w:rFonts w:ascii="Tahoma" w:hAnsi="Tahoma" w:cs="Tahoma"/>
          <w:sz w:val="24"/>
          <w:szCs w:val="24"/>
          <w:lang w:val="ru-RU"/>
        </w:rPr>
        <w:t>,</w:t>
      </w:r>
      <w:r w:rsidRPr="005E13DF">
        <w:rPr>
          <w:rFonts w:ascii="Tahoma" w:hAnsi="Tahoma" w:cs="Tahoma"/>
          <w:sz w:val="24"/>
          <w:szCs w:val="24"/>
        </w:rPr>
        <w:t>1</w:t>
      </w:r>
      <w:r w:rsidRPr="005E13DF">
        <w:rPr>
          <w:rFonts w:ascii="Tahoma" w:hAnsi="Tahoma" w:cs="Tahoma"/>
          <w:sz w:val="24"/>
          <w:szCs w:val="24"/>
          <w:lang w:val="ru-RU"/>
        </w:rPr>
        <w:t>%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>У мјесецу јуну 2012. године, остварен је извоз у вриједности 214 милиона КМ и увоз у вриједности од 381 милион КМ.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5E13DF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5E13DF">
        <w:rPr>
          <w:rFonts w:ascii="Tahoma" w:hAnsi="Tahoma" w:cs="Tahoma"/>
          <w:sz w:val="18"/>
          <w:szCs w:val="18"/>
          <w:lang w:val="bs-Cyrl-BA"/>
        </w:rPr>
        <w:t>е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5E13DF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Српске са иностранством у јуну ове године, проценат покривености увоза извозом износио је 56,2%. 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5E13DF" w:rsidRPr="005E13DF" w:rsidRDefault="005E13DF" w:rsidP="005E13D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5E13DF">
        <w:rPr>
          <w:rFonts w:ascii="Tahoma" w:hAnsi="Tahoma" w:cs="Tahoma"/>
          <w:sz w:val="18"/>
          <w:szCs w:val="18"/>
          <w:lang w:val="ru-RU"/>
        </w:rPr>
        <w:t>У периоду јануар - јун 2012. године остварен је извоз у вриједности од милијарду и 180 милиона КМ, што је за 4,1% мање у односу на исти период претходне године. Увоз је, у истом периоду, износио 2 милијарде 144 милиона КМ, што је за 0,7% више у односу на исти период претходне године.</w:t>
      </w:r>
    </w:p>
    <w:p w:rsidR="005E13DF" w:rsidRPr="005E13DF" w:rsidRDefault="005E13DF" w:rsidP="005E13D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E13DF" w:rsidRPr="005E13DF" w:rsidRDefault="005E13DF" w:rsidP="005E13D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5E13DF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првих шест мјесеци текуће године износио је 55,0%, док је спољнотрговински робни дефицит износио 964 милиона КМ.</w:t>
      </w:r>
    </w:p>
    <w:p w:rsidR="005E13DF" w:rsidRPr="005E13DF" w:rsidRDefault="005E13DF" w:rsidP="005E13D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5E13DF" w:rsidRPr="005E13DF" w:rsidRDefault="005E13DF" w:rsidP="005E13D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5E13DF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5E13DF">
        <w:rPr>
          <w:rFonts w:ascii="Tahoma" w:hAnsi="Tahoma" w:cs="Tahoma"/>
          <w:szCs w:val="18"/>
        </w:rPr>
        <w:t>e</w:t>
      </w:r>
      <w:r w:rsidRPr="005E13DF">
        <w:rPr>
          <w:rFonts w:ascii="Tahoma" w:hAnsi="Tahoma" w:cs="Tahoma"/>
          <w:szCs w:val="18"/>
          <w:lang w:val="ru-RU"/>
        </w:rPr>
        <w:t xml:space="preserve"> Српск</w:t>
      </w:r>
      <w:r w:rsidRPr="005E13DF">
        <w:rPr>
          <w:rFonts w:ascii="Tahoma" w:hAnsi="Tahoma" w:cs="Tahoma"/>
          <w:szCs w:val="18"/>
        </w:rPr>
        <w:t>e</w:t>
      </w:r>
      <w:r w:rsidRPr="005E13DF">
        <w:rPr>
          <w:rFonts w:ascii="Tahoma" w:hAnsi="Tahoma" w:cs="Tahoma"/>
          <w:szCs w:val="18"/>
          <w:lang w:val="ru-RU"/>
        </w:rPr>
        <w:t xml:space="preserve"> са иностранством, у периоду јануар - јун </w:t>
      </w:r>
      <w:r w:rsidRPr="005E13DF">
        <w:rPr>
          <w:rFonts w:ascii="Tahoma" w:hAnsi="Tahoma" w:cs="Tahoma"/>
          <w:szCs w:val="18"/>
          <w:lang w:val="sr-Cyrl-CS"/>
        </w:rPr>
        <w:t>2012. године, највише се извозило у Италију и то у вриједности од 188 милиона КМ, односно 15,9%</w:t>
      </w:r>
      <w:r w:rsidRPr="005E13DF">
        <w:rPr>
          <w:rFonts w:ascii="Tahoma" w:hAnsi="Tahoma" w:cs="Tahoma"/>
          <w:szCs w:val="18"/>
          <w:lang w:val="ru-RU"/>
        </w:rPr>
        <w:t xml:space="preserve">, </w:t>
      </w:r>
      <w:r w:rsidRPr="005E13DF">
        <w:rPr>
          <w:rFonts w:ascii="Tahoma" w:hAnsi="Tahoma" w:cs="Tahoma"/>
          <w:szCs w:val="18"/>
          <w:lang w:val="sr-Cyrl-CS"/>
        </w:rPr>
        <w:t>те у Србију, у вриједности од 186 милиона КМ, односно 15,7% од укупног оствареног извоза.</w:t>
      </w:r>
    </w:p>
    <w:p w:rsidR="005E13DF" w:rsidRPr="005E13DF" w:rsidRDefault="005E13DF" w:rsidP="005E13D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5E13DF">
        <w:rPr>
          <w:rFonts w:ascii="Tahoma" w:hAnsi="Tahoma" w:cs="Tahoma"/>
          <w:sz w:val="18"/>
          <w:szCs w:val="18"/>
          <w:lang w:val="sr-Cyrl-BA"/>
        </w:rPr>
        <w:t>н</w:t>
      </w:r>
      <w:r w:rsidRPr="005E13DF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529 милиона КМ, односно 24,7% и из Србије, у вриједности од 366 милиона КМ, односно 17,1% од укупно оствареног увоза.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E13DF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јануар  - јун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5E13DF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5E13DF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5E13DF">
        <w:rPr>
          <w:rFonts w:ascii="Tahoma" w:hAnsi="Tahoma" w:cs="Tahoma"/>
          <w:sz w:val="18"/>
          <w:szCs w:val="18"/>
          <w:lang w:val="sr-Cyrl-CS"/>
        </w:rPr>
        <w:t>)</w:t>
      </w:r>
      <w:r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E13DF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174 милиона КМ, што износи 14,8% од укупног извоза, док највеће учешће у увозу остварује </w:t>
      </w:r>
      <w:r w:rsidRPr="005E13DF">
        <w:rPr>
          <w:rFonts w:ascii="Tahoma" w:hAnsi="Tahoma" w:cs="Tahoma"/>
          <w:sz w:val="18"/>
          <w:szCs w:val="18"/>
          <w:lang w:val="sr-Cyrl-BA"/>
        </w:rPr>
        <w:t>н</w:t>
      </w:r>
      <w:r w:rsidRPr="005E13DF">
        <w:rPr>
          <w:rFonts w:ascii="Tahoma" w:hAnsi="Tahoma" w:cs="Tahoma"/>
          <w:sz w:val="18"/>
          <w:szCs w:val="18"/>
          <w:lang w:val="ru-RU"/>
        </w:rPr>
        <w:t>афт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5E13DF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5E13DF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5E13DF">
        <w:rPr>
          <w:rFonts w:ascii="Tahoma" w:hAnsi="Tahoma" w:cs="Tahoma"/>
          <w:sz w:val="18"/>
          <w:szCs w:val="18"/>
          <w:lang w:val="ru-RU"/>
        </w:rPr>
        <w:t>сиров</w:t>
      </w:r>
      <w:r w:rsidRPr="005E13DF">
        <w:rPr>
          <w:rFonts w:ascii="Tahoma" w:hAnsi="Tahoma" w:cs="Tahoma"/>
          <w:sz w:val="18"/>
          <w:szCs w:val="18"/>
          <w:lang w:val="sr-Cyrl-BA"/>
        </w:rPr>
        <w:t>а), са укупном вриједношћу од 568 милиона КМ, што износи 26,5% од укупног увоза.</w:t>
      </w:r>
    </w:p>
    <w:p w:rsidR="00F04921" w:rsidRPr="005E13DF" w:rsidRDefault="002130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shape id="_x0000_s1077" type="#_x0000_t202" style="position:absolute;left:0;text-align:left;margin-left:336.25pt;margin-top:9.25pt;width:73.85pt;height:16.9pt;z-index:251670528" strokecolor="white [3212]">
            <v:textbox>
              <w:txbxContent>
                <w:p w:rsidR="009C75CC" w:rsidRPr="009C75CC" w:rsidRDefault="009C75CC">
                  <w:pP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хиљ. КМ</w:t>
                  </w:r>
                </w:p>
              </w:txbxContent>
            </v:textbox>
          </v:shape>
        </w:pict>
      </w:r>
    </w:p>
    <w:p w:rsidR="00F04921" w:rsidRPr="005E13DF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5E13DF" w:rsidRDefault="0021309B" w:rsidP="00B97590">
      <w:pPr>
        <w:jc w:val="center"/>
        <w:rPr>
          <w:rFonts w:ascii="Tahoma" w:hAnsi="Tahoma" w:cs="Tahoma"/>
          <w:sz w:val="18"/>
          <w:szCs w:val="18"/>
        </w:rPr>
      </w:pPr>
      <w:r w:rsidRPr="0021309B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78.5pt;margin-top:182.65pt;width:188.35pt;height:22.2pt;z-index:251657216;mso-width-relative:margin;mso-height-relative:margin" stroked="f">
            <v:textbox style="mso-next-textbox:#_x0000_s1061">
              <w:txbxContent>
                <w:p w:rsidR="00EB450E" w:rsidRPr="0095396E" w:rsidRDefault="00EB450E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5E13DF" w:rsidRPr="005E13DF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600575" cy="2743200"/>
            <wp:effectExtent l="0" t="0" r="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7590" w:rsidRPr="005E13DF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5E13DF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5E13DF" w:rsidRDefault="00DB54DA" w:rsidP="00DB54D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5E13DF">
        <w:rPr>
          <w:rFonts w:ascii="Tahoma" w:hAnsi="Tahoma" w:cs="Tahoma"/>
          <w:sz w:val="18"/>
          <w:szCs w:val="18"/>
          <w:lang w:val="ru-RU"/>
        </w:rPr>
        <w:t>Гр</w:t>
      </w:r>
      <w:r w:rsidR="00445E3A">
        <w:rPr>
          <w:rFonts w:ascii="Tahoma" w:hAnsi="Tahoma" w:cs="Tahoma"/>
          <w:sz w:val="18"/>
          <w:szCs w:val="18"/>
        </w:rPr>
        <w:t>a</w:t>
      </w:r>
      <w:r w:rsidR="00B97590" w:rsidRPr="005E13DF">
        <w:rPr>
          <w:rFonts w:ascii="Tahoma" w:hAnsi="Tahoma" w:cs="Tahoma"/>
          <w:sz w:val="18"/>
          <w:szCs w:val="18"/>
          <w:lang w:val="ru-RU"/>
        </w:rPr>
        <w:t xml:space="preserve">фикон 2. </w:t>
      </w:r>
      <w:r w:rsidR="00B97590" w:rsidRPr="005E13DF">
        <w:rPr>
          <w:rFonts w:ascii="Tahoma" w:hAnsi="Tahoma" w:cs="Tahoma"/>
          <w:iCs/>
          <w:sz w:val="18"/>
          <w:szCs w:val="18"/>
          <w:lang w:val="sr-Cyrl-CS"/>
        </w:rPr>
        <w:t>Из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="00B97590" w:rsidRPr="005E13DF">
        <w:rPr>
          <w:rFonts w:ascii="Tahoma" w:hAnsi="Tahoma" w:cs="Tahoma"/>
          <w:iCs/>
          <w:sz w:val="18"/>
          <w:szCs w:val="18"/>
          <w:lang w:val="sr-Cyrl-CS"/>
        </w:rPr>
        <w:t>у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>воз по мјесецима у хиљ</w:t>
      </w:r>
      <w:r w:rsidR="00B97590" w:rsidRPr="005E13DF">
        <w:rPr>
          <w:rFonts w:ascii="Tahoma" w:hAnsi="Tahoma" w:cs="Tahoma"/>
          <w:iCs/>
          <w:sz w:val="18"/>
          <w:szCs w:val="18"/>
          <w:lang w:val="sr-Cyrl-CS"/>
        </w:rPr>
        <w:t>адама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 w:rsidR="00B97590" w:rsidRPr="005E13DF">
        <w:rPr>
          <w:rFonts w:ascii="Tahoma" w:hAnsi="Tahoma" w:cs="Tahoma"/>
          <w:iCs/>
          <w:sz w:val="18"/>
          <w:szCs w:val="18"/>
          <w:lang w:val="sr-Cyrl-CS"/>
        </w:rPr>
        <w:t>КМ</w:t>
      </w:r>
    </w:p>
    <w:p w:rsidR="0078288A" w:rsidRPr="005E13DF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5E13DF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DB54DA" w:rsidRPr="005E13DF" w:rsidRDefault="00DB54DA" w:rsidP="00EB450E">
      <w:pPr>
        <w:rPr>
          <w:rFonts w:ascii="Tahoma" w:hAnsi="Tahoma" w:cs="Tahoma"/>
          <w:b/>
          <w:sz w:val="28"/>
          <w:szCs w:val="28"/>
          <w:lang w:val="sr-Cyrl-CS"/>
        </w:rPr>
      </w:pPr>
    </w:p>
    <w:p w:rsidR="00DB6D76" w:rsidRPr="005E13DF" w:rsidRDefault="00372FAD" w:rsidP="00E011F4">
      <w:pPr>
        <w:rPr>
          <w:rFonts w:ascii="Tahoma" w:hAnsi="Tahoma" w:cs="Tahoma"/>
          <w:b/>
          <w:sz w:val="28"/>
          <w:szCs w:val="28"/>
        </w:rPr>
      </w:pPr>
      <w:r w:rsidRPr="005E13DF">
        <w:rPr>
          <w:rFonts w:ascii="Tahoma" w:hAnsi="Tahoma" w:cs="Tahoma"/>
          <w:b/>
          <w:sz w:val="28"/>
          <w:szCs w:val="28"/>
        </w:rPr>
        <w:br w:type="page"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5E13DF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5E13DF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445E3A" w:rsidRPr="005E13DF" w:rsidTr="00E011F4">
        <w:trPr>
          <w:trHeight w:val="69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45E3A" w:rsidRPr="00445E3A" w:rsidRDefault="00445E3A" w:rsidP="000F0E43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445E3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националних рачуна </w:t>
            </w:r>
          </w:p>
          <w:p w:rsidR="00445E3A" w:rsidRPr="00445E3A" w:rsidRDefault="00445E3A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 w:rsidRPr="00445E3A">
              <w:rPr>
                <w:rFonts w:ascii="Tahoma" w:hAnsi="Tahoma" w:cs="Tahoma"/>
                <w:sz w:val="16"/>
                <w:lang w:val="sr-Cyrl-CS"/>
              </w:rPr>
              <w:t>Жана Алагић</w:t>
            </w:r>
          </w:p>
          <w:p w:rsidR="00445E3A" w:rsidRPr="00445E3A" w:rsidRDefault="0021309B" w:rsidP="000F0E43">
            <w:hyperlink r:id="rId12" w:history="1">
              <w:r w:rsidR="00445E3A" w:rsidRPr="00445E3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zana.alagic@rzs.rs.ba</w:t>
              </w:r>
            </w:hyperlink>
          </w:p>
          <w:p w:rsidR="00445E3A" w:rsidRPr="00445E3A" w:rsidRDefault="00445E3A" w:rsidP="000F0E43">
            <w:pPr>
              <w:rPr>
                <w:rFonts w:ascii="Tahoma" w:hAnsi="Tahoma" w:cs="Tahoma"/>
                <w:sz w:val="16"/>
              </w:rPr>
            </w:pPr>
            <w:r w:rsidRPr="00445E3A">
              <w:rPr>
                <w:rFonts w:ascii="Tahoma" w:hAnsi="Tahoma" w:cs="Tahoma"/>
                <w:sz w:val="16"/>
                <w:lang w:val="sr-Cyrl-CS"/>
              </w:rPr>
              <w:t>Милка Цигановић</w:t>
            </w:r>
          </w:p>
          <w:p w:rsidR="00445E3A" w:rsidRPr="00445E3A" w:rsidRDefault="0021309B" w:rsidP="000F0E43">
            <w:hyperlink r:id="rId13" w:history="1">
              <w:r w:rsidR="00445E3A" w:rsidRPr="00445E3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milka.ciganovic@rzs.rs.ba</w:t>
              </w:r>
            </w:hyperlink>
          </w:p>
          <w:p w:rsidR="00445E3A" w:rsidRPr="00445E3A" w:rsidRDefault="00445E3A" w:rsidP="000F0E43">
            <w:pPr>
              <w:rPr>
                <w:rFonts w:ascii="Tahoma" w:hAnsi="Tahoma" w:cs="Tahoma"/>
                <w:sz w:val="16"/>
              </w:rPr>
            </w:pPr>
            <w:r w:rsidRPr="00445E3A">
              <w:rPr>
                <w:rFonts w:ascii="Tahoma" w:hAnsi="Tahoma" w:cs="Tahoma"/>
                <w:sz w:val="16"/>
                <w:lang w:val="sr-Cyrl-CS"/>
              </w:rPr>
              <w:t>Јадранка Лубурић</w:t>
            </w:r>
          </w:p>
          <w:p w:rsidR="00445E3A" w:rsidRPr="00445E3A" w:rsidRDefault="0021309B" w:rsidP="000F0E43">
            <w:hyperlink r:id="rId14" w:history="1">
              <w:r w:rsidR="00445E3A" w:rsidRPr="00445E3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jadranka.luburic@rzs.rs.ba</w:t>
              </w:r>
            </w:hyperlink>
          </w:p>
          <w:p w:rsidR="00445E3A" w:rsidRPr="00445E3A" w:rsidRDefault="00445E3A" w:rsidP="000F0E43">
            <w:pPr>
              <w:rPr>
                <w:rFonts w:ascii="Tahoma" w:hAnsi="Tahoma" w:cs="Tahoma"/>
                <w:sz w:val="16"/>
              </w:rPr>
            </w:pPr>
            <w:r w:rsidRPr="00445E3A">
              <w:rPr>
                <w:rFonts w:ascii="Tahoma" w:hAnsi="Tahoma" w:cs="Tahoma"/>
                <w:sz w:val="16"/>
                <w:lang w:val="sr-Cyrl-CS"/>
              </w:rPr>
              <w:t>Дијана Малеш</w:t>
            </w:r>
          </w:p>
          <w:p w:rsidR="00445E3A" w:rsidRDefault="0021309B" w:rsidP="00445E3A">
            <w:hyperlink r:id="rId15" w:history="1">
              <w:r w:rsidR="00445E3A" w:rsidRPr="00445E3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dijana.dedic@rzs.rs.ba</w:t>
              </w:r>
            </w:hyperlink>
          </w:p>
          <w:p w:rsidR="00FB6A56" w:rsidRPr="00445E3A" w:rsidRDefault="00FB6A56" w:rsidP="00445E3A"/>
        </w:tc>
      </w:tr>
      <w:tr w:rsidR="008C3261" w:rsidRPr="005E13DF" w:rsidTr="00E011F4">
        <w:trPr>
          <w:trHeight w:val="69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5E13DF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A23F12" w:rsidRPr="005E13DF" w:rsidRDefault="00205D0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 w:rsidRPr="005E13DF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E011F4" w:rsidRPr="005E13DF" w:rsidRDefault="0021309B" w:rsidP="00542A21">
            <w:hyperlink r:id="rId16" w:history="1">
              <w:r w:rsidR="00205D07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biljana.glisic@rzs.rs.ba</w:t>
              </w:r>
            </w:hyperlink>
          </w:p>
          <w:p w:rsidR="008C3261" w:rsidRPr="005E13DF" w:rsidRDefault="00E011F4" w:rsidP="00542A21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>Владимир Копривица</w:t>
            </w:r>
          </w:p>
          <w:p w:rsidR="008C3261" w:rsidRPr="005E13DF" w:rsidRDefault="0021309B" w:rsidP="00542A21">
            <w:pPr>
              <w:rPr>
                <w:rFonts w:ascii="Tahoma" w:hAnsi="Tahoma" w:cs="Tahoma"/>
                <w:sz w:val="16"/>
                <w:lang w:val="sr-Cyrl-CS"/>
              </w:rPr>
            </w:pPr>
            <w:hyperlink r:id="rId17" w:history="1">
              <w:r w:rsidR="00E011F4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vladimir.koprivica@rzs.rs.ba</w:t>
              </w:r>
            </w:hyperlink>
          </w:p>
          <w:p w:rsidR="00E011F4" w:rsidRPr="005E13DF" w:rsidRDefault="00E011F4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8C3261" w:rsidP="00542A21">
            <w:pPr>
              <w:rPr>
                <w:rFonts w:ascii="Tahoma" w:hAnsi="Tahoma" w:cs="Tahoma"/>
                <w:b/>
                <w:sz w:val="16"/>
              </w:rPr>
            </w:pPr>
            <w:r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205D07" w:rsidRPr="005E13DF" w:rsidRDefault="00205D0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>Биљана Тешић</w:t>
            </w:r>
          </w:p>
          <w:p w:rsidR="00205D07" w:rsidRPr="005E13DF" w:rsidRDefault="0021309B" w:rsidP="00542A21">
            <w:pPr>
              <w:rPr>
                <w:rFonts w:ascii="Tahoma" w:hAnsi="Tahoma" w:cs="Tahoma"/>
                <w:sz w:val="16"/>
              </w:rPr>
            </w:pPr>
            <w:hyperlink r:id="rId18" w:history="1">
              <w:r w:rsidR="00205D07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biljana.tesic@rzs.rs.ba</w:t>
              </w:r>
            </w:hyperlink>
            <w:r w:rsidR="00205D07" w:rsidRPr="005E13DF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5E13DF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5E13DF" w:rsidRDefault="0021309B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9" w:history="1"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jasminka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milic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proofErr w:type="spellStart"/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5E13DF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5E13DF" w:rsidRDefault="0021309B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20" w:history="1"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mirjana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bandur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proofErr w:type="spellStart"/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  <w:r w:rsidR="008C3261" w:rsidRPr="005E13DF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5E13DF" w:rsidRDefault="0021309B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1" w:history="1"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stojcevic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proofErr w:type="spellStart"/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5E13DF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5E13DF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5E13DF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5E13DF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5E13DF">
              <w:rPr>
                <w:rFonts w:ascii="Tahoma" w:hAnsi="Tahoma" w:cs="Tahoma"/>
                <w:b/>
                <w:bCs/>
              </w:rPr>
              <w:sym w:font="Symbol" w:char="00C6"/>
            </w:r>
            <w:r w:rsidRPr="005E13DF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5E13DF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5E13DF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5E13DF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5E13DF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5E13D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5E13D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5E13D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B6A56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05D07" w:rsidRPr="005E13D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5E13D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9B43E9" w:rsidRPr="005E13DF" w:rsidRDefault="009B43E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Pr="005E13DF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5E13DF" w:rsidRDefault="0021309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21309B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5E13DF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5E13DF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5E13DF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5E13DF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5E13DF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5E13DF">
              <w:rPr>
                <w:rFonts w:ascii="Tahoma" w:hAnsi="Tahoma" w:cs="Tahoma"/>
                <w:sz w:val="16"/>
              </w:rPr>
              <w:t xml:space="preserve">е </w:t>
            </w:r>
            <w:r w:rsidR="00477CB9" w:rsidRPr="005E13DF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5E13DF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5E13DF">
              <w:rPr>
                <w:rFonts w:ascii="Tahoma" w:hAnsi="Tahoma" w:cs="Tahoma"/>
                <w:sz w:val="16"/>
              </w:rPr>
              <w:t xml:space="preserve"> </w:t>
            </w:r>
            <w:r w:rsidRPr="005E13DF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5E13DF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5E13D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5E13DF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5E13D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5E13DF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5E13D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5E13DF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5E13D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5E13DF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5E13DF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5E13D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5E13DF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5E13DF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5E13D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5E13DF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5E13D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5E13DF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5E13D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5E13DF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5E13D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5E13DF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5E13DF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5E13DF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5E13DF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5E13DF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5E13DF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5E13DF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2" w:history="1">
              <w:r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5E13DF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5E13DF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5E13DF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5E13DF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5E13DF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5E13DF" w:rsidRDefault="0021309B" w:rsidP="008C3261">
      <w:pPr>
        <w:rPr>
          <w:lang w:val="sr-Cyrl-BA"/>
        </w:rPr>
      </w:pPr>
      <w:r w:rsidRPr="0021309B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5E13DF" w:rsidRDefault="00657939" w:rsidP="008C3261">
      <w:pPr>
        <w:rPr>
          <w:lang w:val="sr-Cyrl-BA"/>
        </w:rPr>
      </w:pPr>
    </w:p>
    <w:sectPr w:rsidR="00657939" w:rsidRPr="005E13DF" w:rsidSect="00EB450E">
      <w:headerReference w:type="default" r:id="rId23"/>
      <w:headerReference w:type="first" r:id="rId24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6B" w:rsidRDefault="003E456B">
      <w:r>
        <w:separator/>
      </w:r>
    </w:p>
  </w:endnote>
  <w:endnote w:type="continuationSeparator" w:id="0">
    <w:p w:rsidR="003E456B" w:rsidRDefault="003E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6B" w:rsidRDefault="003E456B">
      <w:r>
        <w:separator/>
      </w:r>
    </w:p>
  </w:footnote>
  <w:footnote w:type="continuationSeparator" w:id="0">
    <w:p w:rsidR="003E456B" w:rsidRDefault="003E4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DB54DA" w:rsidTr="009665B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DB54DA" w:rsidRDefault="00DB54DA" w:rsidP="009665B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DB54DA" w:rsidRPr="00460A5B" w:rsidRDefault="00DB54DA" w:rsidP="009665BA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DB54DA" w:rsidRPr="005D5311" w:rsidRDefault="00DB54DA" w:rsidP="00CF0EA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 w:rsidR="00CF0EA0">
            <w:rPr>
              <w:rFonts w:ascii="Tahoma" w:hAnsi="Tahoma" w:cs="Tahoma"/>
              <w:color w:val="0070C0"/>
              <w:sz w:val="16"/>
            </w:rPr>
            <w:t>19</w:t>
          </w:r>
          <w:r w:rsidR="001B4D57">
            <w:rPr>
              <w:rFonts w:ascii="Tahoma" w:hAnsi="Tahoma" w:cs="Tahoma"/>
              <w:color w:val="0070C0"/>
              <w:sz w:val="16"/>
              <w:lang w:val="bs-Cyrl-BA"/>
            </w:rPr>
            <w:t>. јул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 w:rsidR="001B4D57"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</w:t>
          </w:r>
          <w:r w:rsidR="0021309B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21309B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FB6A56">
            <w:rPr>
              <w:rStyle w:val="PageNumber"/>
              <w:rFonts w:ascii="Tahoma" w:hAnsi="Tahoma"/>
              <w:b/>
              <w:noProof/>
              <w:color w:val="0070C0"/>
            </w:rPr>
            <w:t>7</w:t>
          </w:r>
          <w:r w:rsidR="0021309B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EB450E" w:rsidRDefault="00EB450E" w:rsidP="006D0CE1">
    <w:pPr>
      <w:pStyle w:val="Header"/>
      <w:ind w:right="360"/>
      <w:rPr>
        <w:rFonts w:ascii="Tahoma" w:hAnsi="Tahoma" w:cs="Tahoma"/>
        <w:sz w:val="16"/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8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B450E" w:rsidRPr="00EB450E" w:rsidRDefault="0021309B">
        <w:pPr>
          <w:pStyle w:val="Header"/>
          <w:jc w:val="right"/>
          <w:rPr>
            <w:color w:val="FFFFFF" w:themeColor="background1"/>
          </w:rPr>
        </w:pPr>
        <w:r w:rsidRPr="00EB450E">
          <w:rPr>
            <w:color w:val="FFFFFF" w:themeColor="background1"/>
          </w:rPr>
          <w:fldChar w:fldCharType="begin"/>
        </w:r>
        <w:r w:rsidR="00EB450E" w:rsidRPr="00EB450E">
          <w:rPr>
            <w:color w:val="FFFFFF" w:themeColor="background1"/>
          </w:rPr>
          <w:instrText xml:space="preserve"> PAGE   \* MERGEFORMAT </w:instrText>
        </w:r>
        <w:r w:rsidRPr="00EB450E">
          <w:rPr>
            <w:color w:val="FFFFFF" w:themeColor="background1"/>
          </w:rPr>
          <w:fldChar w:fldCharType="separate"/>
        </w:r>
        <w:r w:rsidR="00FB6A56">
          <w:rPr>
            <w:noProof/>
            <w:color w:val="FFFFFF" w:themeColor="background1"/>
          </w:rPr>
          <w:t>1</w:t>
        </w:r>
        <w:r w:rsidRPr="00EB450E">
          <w:rPr>
            <w:color w:val="FFFFFF" w:themeColor="background1"/>
          </w:rPr>
          <w:fldChar w:fldCharType="end"/>
        </w:r>
      </w:p>
    </w:sdtContent>
  </w:sdt>
  <w:p w:rsidR="00EB450E" w:rsidRDefault="00EB450E">
    <w:pPr>
      <w:pStyle w:val="Header"/>
    </w:pPr>
  </w:p>
  <w:p w:rsidR="00DB54DA" w:rsidRDefault="00DB5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1F1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0643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5AF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0E"/>
    <w:rsid w:val="001342E2"/>
    <w:rsid w:val="001343EF"/>
    <w:rsid w:val="00134484"/>
    <w:rsid w:val="00134E6F"/>
    <w:rsid w:val="001359AE"/>
    <w:rsid w:val="001361D7"/>
    <w:rsid w:val="001364A2"/>
    <w:rsid w:val="001364A4"/>
    <w:rsid w:val="001368CA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8A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57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D40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9D3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09B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8CE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368"/>
    <w:rsid w:val="00270462"/>
    <w:rsid w:val="0027151F"/>
    <w:rsid w:val="00271A5A"/>
    <w:rsid w:val="0027269C"/>
    <w:rsid w:val="00272A1A"/>
    <w:rsid w:val="00272E9A"/>
    <w:rsid w:val="00272FE5"/>
    <w:rsid w:val="0027310B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235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587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56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4C56"/>
    <w:rsid w:val="00445324"/>
    <w:rsid w:val="004459B2"/>
    <w:rsid w:val="00445CA0"/>
    <w:rsid w:val="00445E3A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674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6AD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044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3EDA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0C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B4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3A2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3DF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5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2E2C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D7F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56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A6F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650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DD2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43E9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5CC"/>
    <w:rsid w:val="009C76C4"/>
    <w:rsid w:val="009C7772"/>
    <w:rsid w:val="009C778C"/>
    <w:rsid w:val="009C7BE3"/>
    <w:rsid w:val="009D0100"/>
    <w:rsid w:val="009D03D9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6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5DA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3EC9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16F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4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466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0F6F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9FD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8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A3A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0EA0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293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109"/>
    <w:rsid w:val="00DA160B"/>
    <w:rsid w:val="00DA1E57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4DA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1F4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10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94C"/>
    <w:rsid w:val="00EB1C9A"/>
    <w:rsid w:val="00EB2360"/>
    <w:rsid w:val="00EB2851"/>
    <w:rsid w:val="00EB450E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2C01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1945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225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4FD6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A56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lka.ciganovic@rzs.rs.ba" TargetMode="External"/><Relationship Id="rId18" Type="http://schemas.openxmlformats.org/officeDocument/2006/relationships/hyperlink" Target="mailto:biljana.tesic@rzs.rs.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na.alagic@rzs.rs.ba" TargetMode="External"/><Relationship Id="rId17" Type="http://schemas.openxmlformats.org/officeDocument/2006/relationships/hyperlink" Target="mailto:vladimir.koprivica@rzs.rs.b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ljana.glisic@rzs.rs.ba" TargetMode="External"/><Relationship Id="rId20" Type="http://schemas.openxmlformats.org/officeDocument/2006/relationships/hyperlink" Target="mailto:mirjana.bandur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dijana.dedic@rzs.rs.ba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yperlink" Target="mailto:jasminka.mi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dranka.luburic@rzs.rs.ba" TargetMode="External"/><Relationship Id="rId22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ejvanve\Desktop\Grafikon-Stope%20realnog%20rasta%20Q1%202012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un%202012\za%20Graf%20I-V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8933195333287871E-2"/>
          <c:y val="0.10628826864087375"/>
          <c:w val="0.76883956862905356"/>
          <c:h val="0.65804223702806808"/>
        </c:manualLayout>
      </c:layout>
      <c:barChart>
        <c:barDir val="col"/>
        <c:grouping val="stacked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</c:spPr>
          <c:cat>
            <c:strRef>
              <c:f>Sheet1!$A$1:$E$1</c:f>
              <c:strCache>
                <c:ptCount val="5"/>
                <c:pt idx="0">
                  <c:v>I 2011¹</c:v>
                </c:pt>
                <c:pt idx="1">
                  <c:v>II 2011¹</c:v>
                </c:pt>
                <c:pt idx="2">
                  <c:v>III 2011¹</c:v>
                </c:pt>
                <c:pt idx="3">
                  <c:v>IV 2011¹</c:v>
                </c:pt>
                <c:pt idx="4">
                  <c:v>I 2012¹</c:v>
                </c:pt>
              </c:strCache>
            </c:strRef>
          </c:cat>
          <c:val>
            <c:numRef>
              <c:f>Sheet1!$A$2:$E$2</c:f>
              <c:numCache>
                <c:formatCode>0.0</c:formatCode>
                <c:ptCount val="5"/>
                <c:pt idx="0" formatCode="General">
                  <c:v>1.4</c:v>
                </c:pt>
                <c:pt idx="1">
                  <c:v>1</c:v>
                </c:pt>
                <c:pt idx="2" formatCode="General">
                  <c:v>0.70000000000000062</c:v>
                </c:pt>
                <c:pt idx="3">
                  <c:v>0</c:v>
                </c:pt>
                <c:pt idx="4" formatCode="General">
                  <c:v>-0.9</c:v>
                </c:pt>
              </c:numCache>
            </c:numRef>
          </c:val>
        </c:ser>
        <c:gapWidth val="148"/>
        <c:overlap val="76"/>
        <c:axId val="40609664"/>
        <c:axId val="40611200"/>
      </c:barChart>
      <c:catAx>
        <c:axId val="40609664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solidFill>
              <a:sysClr val="windowText" lastClr="000000"/>
            </a:solidFill>
          </a:ln>
        </c:spPr>
        <c:crossAx val="40611200"/>
        <c:crossesAt val="0"/>
        <c:lblAlgn val="ctr"/>
        <c:lblOffset val="100"/>
        <c:tickLblSkip val="1"/>
      </c:catAx>
      <c:valAx>
        <c:axId val="40611200"/>
        <c:scaling>
          <c:orientation val="minMax"/>
          <c:max val="2"/>
          <c:min val="-1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in"/>
        <c:tickLblPos val="nextTo"/>
        <c:spPr>
          <a:ln w="6350">
            <a:solidFill>
              <a:schemeClr val="tx1"/>
            </a:solidFill>
          </a:ln>
        </c:spPr>
        <c:crossAx val="40609664"/>
        <c:crosses val="autoZero"/>
        <c:crossBetween val="between"/>
        <c:majorUnit val="0.5"/>
        <c:minorUnit val="4.0000000000000098E-2"/>
      </c:valAx>
      <c:spPr>
        <a:ln w="3175">
          <a:solidFill>
            <a:schemeClr val="bg1">
              <a:lumMod val="75000"/>
            </a:schemeClr>
          </a:solidFill>
        </a:ln>
      </c:spPr>
    </c:plotArea>
    <c:plotVisOnly val="1"/>
    <c:dispBlanksAs val="zero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46"/>
          <c:w val="0.65455838247868403"/>
          <c:h val="0.60620217267067711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lll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817</c:v>
                </c:pt>
                <c:pt idx="1">
                  <c:v>811</c:v>
                </c:pt>
                <c:pt idx="2">
                  <c:v>813</c:v>
                </c:pt>
                <c:pt idx="3">
                  <c:v>807</c:v>
                </c:pt>
                <c:pt idx="4">
                  <c:v>802</c:v>
                </c:pt>
                <c:pt idx="5">
                  <c:v>813</c:v>
                </c:pt>
                <c:pt idx="6">
                  <c:v>815</c:v>
                </c:pt>
                <c:pt idx="7">
                  <c:v>819</c:v>
                </c:pt>
                <c:pt idx="8">
                  <c:v>821</c:v>
                </c:pt>
                <c:pt idx="9">
                  <c:v>814</c:v>
                </c:pt>
                <c:pt idx="10">
                  <c:v>817</c:v>
                </c:pt>
                <c:pt idx="11">
                  <c:v>826</c:v>
                </c:pt>
                <c:pt idx="12">
                  <c:v>818</c:v>
                </c:pt>
              </c:numCache>
            </c:numRef>
          </c:val>
        </c:ser>
        <c:marker val="1"/>
        <c:axId val="40966400"/>
        <c:axId val="40996864"/>
      </c:lineChart>
      <c:catAx>
        <c:axId val="40966400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0996864"/>
        <c:crosses val="autoZero"/>
        <c:lblAlgn val="ctr"/>
        <c:lblOffset val="100"/>
      </c:catAx>
      <c:valAx>
        <c:axId val="40996864"/>
        <c:scaling>
          <c:orientation val="minMax"/>
          <c:max val="850"/>
          <c:min val="60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tx1"/>
            </a:solidFill>
          </a:ln>
        </c:spPr>
        <c:crossAx val="40966400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73196069052143864"/>
          <c:y val="0.44465525040960913"/>
          <c:w val="0.25308871119956827"/>
          <c:h val="0.11068949918078164"/>
        </c:manualLayout>
      </c:layout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3028197562261243"/>
          <c:h val="0.68910104986876641"/>
        </c:manualLayout>
      </c:layout>
      <c:lineChart>
        <c:grouping val="standard"/>
        <c:ser>
          <c:idx val="0"/>
          <c:order val="0"/>
          <c:tx>
            <c:strRef>
              <c:f>zaJun2012!$A$2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zaJun2012!$B$1:$N$1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zaJun2012!$B$2:$N$2</c:f>
              <c:numCache>
                <c:formatCode>General</c:formatCode>
                <c:ptCount val="13"/>
                <c:pt idx="0">
                  <c:v>467781</c:v>
                </c:pt>
                <c:pt idx="1">
                  <c:v>408777</c:v>
                </c:pt>
                <c:pt idx="2">
                  <c:v>375448</c:v>
                </c:pt>
                <c:pt idx="3">
                  <c:v>423860</c:v>
                </c:pt>
                <c:pt idx="4">
                  <c:v>396712</c:v>
                </c:pt>
                <c:pt idx="5">
                  <c:v>393737</c:v>
                </c:pt>
                <c:pt idx="6">
                  <c:v>456851</c:v>
                </c:pt>
                <c:pt idx="7">
                  <c:v>290628</c:v>
                </c:pt>
                <c:pt idx="8">
                  <c:v>242652</c:v>
                </c:pt>
                <c:pt idx="9">
                  <c:v>474051</c:v>
                </c:pt>
                <c:pt idx="10">
                  <c:v>372450</c:v>
                </c:pt>
                <c:pt idx="11">
                  <c:v>382972</c:v>
                </c:pt>
                <c:pt idx="12">
                  <c:v>381176</c:v>
                </c:pt>
              </c:numCache>
            </c:numRef>
          </c:val>
        </c:ser>
        <c:ser>
          <c:idx val="1"/>
          <c:order val="1"/>
          <c:tx>
            <c:strRef>
              <c:f>zaJun2012!$A$3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zaJun2012!$B$1:$N$1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zaJun2012!$B$3:$N$3</c:f>
              <c:numCache>
                <c:formatCode>General</c:formatCode>
                <c:ptCount val="13"/>
                <c:pt idx="0">
                  <c:v>228912</c:v>
                </c:pt>
                <c:pt idx="1">
                  <c:v>214293</c:v>
                </c:pt>
                <c:pt idx="2">
                  <c:v>218373</c:v>
                </c:pt>
                <c:pt idx="3">
                  <c:v>248961</c:v>
                </c:pt>
                <c:pt idx="4">
                  <c:v>220859</c:v>
                </c:pt>
                <c:pt idx="5">
                  <c:v>225703</c:v>
                </c:pt>
                <c:pt idx="6">
                  <c:v>203743</c:v>
                </c:pt>
                <c:pt idx="7">
                  <c:v>158330</c:v>
                </c:pt>
                <c:pt idx="8">
                  <c:v>161327</c:v>
                </c:pt>
                <c:pt idx="9">
                  <c:v>214070</c:v>
                </c:pt>
                <c:pt idx="10">
                  <c:v>204803</c:v>
                </c:pt>
                <c:pt idx="11">
                  <c:v>227243</c:v>
                </c:pt>
                <c:pt idx="12">
                  <c:v>214234</c:v>
                </c:pt>
              </c:numCache>
            </c:numRef>
          </c:val>
        </c:ser>
        <c:marker val="1"/>
        <c:axId val="42207872"/>
        <c:axId val="42209664"/>
      </c:lineChart>
      <c:catAx>
        <c:axId val="42207872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42209664"/>
        <c:crosses val="autoZero"/>
        <c:auto val="1"/>
        <c:lblAlgn val="ctr"/>
        <c:lblOffset val="100"/>
      </c:catAx>
      <c:valAx>
        <c:axId val="42209664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#\ ##0;\-#\ ##0" sourceLinked="0"/>
        <c:tickLblPos val="nextTo"/>
        <c:spPr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220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28765937151263"/>
          <c:y val="0.41628280839895354"/>
          <c:w val="0.13669099874979726"/>
          <c:h val="0.16743438320210144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0.79585</cdr:x>
      <cdr:y>0</cdr:y>
    </cdr:from>
    <cdr:to>
      <cdr:x>0.8815</cdr:x>
      <cdr:y>0.08143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379008" y="0"/>
          <a:ext cx="471288" cy="2428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sr-Cyrl-CS" sz="900"/>
            <a:t>%</a:t>
          </a:r>
        </a:p>
        <a:p xmlns:a="http://schemas.openxmlformats.org/drawingml/2006/main">
          <a:endParaRPr lang="sr-Latn-BA" sz="1100"/>
        </a:p>
      </cdr:txBody>
    </cdr:sp>
  </cdr:relSizeAnchor>
  <cdr:relSizeAnchor xmlns:cdr="http://schemas.openxmlformats.org/drawingml/2006/chartDrawing">
    <cdr:from>
      <cdr:x>0.02595</cdr:x>
      <cdr:y>0.86769</cdr:y>
    </cdr:from>
    <cdr:to>
      <cdr:x>0.19558</cdr:x>
      <cdr:y>0.97488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2875" y="2686050"/>
          <a:ext cx="933906" cy="331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BA" sz="900">
              <a:latin typeface="Tahoma" pitchFamily="34" charset="0"/>
              <a:ea typeface="Tahoma" pitchFamily="34" charset="0"/>
              <a:cs typeface="Tahoma" pitchFamily="34" charset="0"/>
            </a:rPr>
            <a:t>¹</a:t>
          </a:r>
          <a:r>
            <a:rPr lang="en-US" sz="900">
              <a:latin typeface="Tahoma" pitchFamily="34" charset="0"/>
              <a:ea typeface="Tahoma" pitchFamily="34" charset="0"/>
              <a:cs typeface="Tahoma" pitchFamily="34" charset="0"/>
            </a:rPr>
            <a:t> </a:t>
          </a:r>
          <a:r>
            <a:rPr lang="sr-Cyrl-CS" sz="900">
              <a:latin typeface="Tahoma" pitchFamily="34" charset="0"/>
              <a:ea typeface="Tahoma" pitchFamily="34" charset="0"/>
              <a:cs typeface="Tahoma" pitchFamily="34" charset="0"/>
            </a:rPr>
            <a:t>Процјена</a:t>
          </a:r>
          <a:endParaRPr lang="sr-Latn-BA" sz="9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5675-E54F-446C-8F1E-3DA8D629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2227</Words>
  <Characters>13733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15929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dc:description/>
  <cp:lastModifiedBy>cejvanve</cp:lastModifiedBy>
  <cp:revision>37</cp:revision>
  <cp:lastPrinted>2012-07-19T07:54:00Z</cp:lastPrinted>
  <dcterms:created xsi:type="dcterms:W3CDTF">2012-03-21T08:18:00Z</dcterms:created>
  <dcterms:modified xsi:type="dcterms:W3CDTF">2012-07-23T05:47:00Z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