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E11BB8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11BB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page"/>
            </w:r>
            <w:r w:rsidRPr="00E11BB8">
              <w:rPr>
                <w:rFonts w:ascii="Tahoma" w:hAnsi="Tahoma" w:cs="Tahoma"/>
              </w:rPr>
              <w:br w:type="page"/>
            </w:r>
            <w:r w:rsidR="00B97590" w:rsidRPr="00B9759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E11BB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910A31" w:rsidRDefault="005D5311" w:rsidP="001A34F5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</w:rPr>
            </w:pP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[</w:t>
            </w:r>
            <w:r w:rsidR="009B294C"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2</w:t>
            </w:r>
            <w:r w:rsidR="001A34F5">
              <w:rPr>
                <w:rFonts w:ascii="Tahoma" w:hAnsi="Tahoma" w:cs="Tahoma"/>
                <w:color w:val="0070C0"/>
                <w:sz w:val="16"/>
              </w:rPr>
              <w:t>3</w:t>
            </w:r>
            <w:r w:rsidRPr="00F121CE">
              <w:rPr>
                <w:rFonts w:ascii="Tahoma" w:hAnsi="Tahoma" w:cs="Tahoma"/>
                <w:color w:val="0070C0"/>
                <w:sz w:val="16"/>
                <w:lang w:val="bs-Cyrl-BA"/>
              </w:rPr>
              <w:t xml:space="preserve">. </w:t>
            </w:r>
            <w:r w:rsidR="001E3CE9">
              <w:rPr>
                <w:rFonts w:ascii="Tahoma" w:hAnsi="Tahoma" w:cs="Tahoma"/>
                <w:color w:val="0070C0"/>
                <w:sz w:val="16"/>
                <w:lang w:val="bs-Cyrl-BA"/>
              </w:rPr>
              <w:t>januar</w:t>
            </w:r>
            <w:r w:rsidRPr="00F121CE">
              <w:rPr>
                <w:rFonts w:ascii="Tahoma" w:hAnsi="Tahoma" w:cs="Tahoma"/>
                <w:color w:val="0070C0"/>
                <w:sz w:val="16"/>
                <w:lang w:val="bs-Cyrl-BA"/>
              </w:rPr>
              <w:t xml:space="preserve"> </w:t>
            </w:r>
            <w:r w:rsidR="001A34F5">
              <w:rPr>
                <w:rFonts w:ascii="Tahoma" w:hAnsi="Tahoma" w:cs="Tahoma"/>
                <w:color w:val="0070C0"/>
                <w:sz w:val="16"/>
                <w:lang w:val="sr-Cyrl-BA"/>
              </w:rPr>
              <w:t>2012</w:t>
            </w: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 xml:space="preserve">.]  </w:t>
            </w:r>
            <w:r w:rsidR="00D541A2" w:rsidRPr="00F121CE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1</w:t>
            </w:r>
            <w:r w:rsidRPr="00F121CE"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/1</w:t>
            </w:r>
            <w:r w:rsidR="00910A31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2</w:t>
            </w:r>
          </w:p>
        </w:tc>
      </w:tr>
      <w:tr w:rsidR="005D5311" w:rsidRPr="00E11BB8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E11BB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E11BB8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1E3CE9" w:rsidP="00910A31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januar</w:t>
            </w:r>
            <w:r w:rsidR="007E158B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E11BB8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1E3CE9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E11BB8" w:rsidRDefault="00B07584" w:rsidP="009215D1">
      <w:pPr>
        <w:spacing w:line="360" w:lineRule="auto"/>
        <w:jc w:val="both"/>
        <w:rPr>
          <w:lang w:val="sr-Cyrl-BA"/>
        </w:rPr>
      </w:pPr>
    </w:p>
    <w:p w:rsidR="00FB6D41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18579D" w:rsidRPr="00297CBC" w:rsidRDefault="001E3CE9" w:rsidP="0018579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18579D" w:rsidRPr="00297CB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18579D" w:rsidRPr="00297CB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18579D" w:rsidRPr="00297CB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18579D" w:rsidRPr="00297CB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decembru</w:t>
      </w:r>
      <w:r w:rsidR="0018579D" w:rsidRPr="00297CBC">
        <w:rPr>
          <w:rFonts w:ascii="Tahoma" w:hAnsi="Tahoma" w:cs="Tahoma"/>
          <w:b/>
          <w:sz w:val="28"/>
          <w:szCs w:val="28"/>
          <w:lang w:val="sr-Cyrl-CS"/>
        </w:rPr>
        <w:t xml:space="preserve"> 815</w:t>
      </w:r>
      <w:r w:rsidR="0018579D" w:rsidRPr="00297CB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18579D" w:rsidRPr="00B97590" w:rsidRDefault="001E3CE9" w:rsidP="0018579D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18579D" w:rsidRPr="00B97590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1 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>234</w:t>
      </w:r>
      <w:r w:rsidR="0018579D" w:rsidRPr="00B9759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18579D" w:rsidRPr="00B97590">
        <w:rPr>
          <w:rFonts w:ascii="Tahoma" w:hAnsi="Tahoma" w:cs="Tahoma"/>
          <w:sz w:val="24"/>
          <w:szCs w:val="24"/>
          <w:lang w:val="sr-Cyrl-CS"/>
        </w:rPr>
        <w:t xml:space="preserve"> 568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18579D" w:rsidRPr="00B97590" w:rsidRDefault="0018579D" w:rsidP="0018579D">
      <w:pPr>
        <w:tabs>
          <w:tab w:val="left" w:pos="4343"/>
        </w:tabs>
        <w:jc w:val="both"/>
        <w:rPr>
          <w:rFonts w:ascii="Tahoma" w:hAnsi="Tahoma" w:cs="Tahoma"/>
          <w:sz w:val="28"/>
          <w:szCs w:val="28"/>
          <w:lang w:val="ru-RU"/>
        </w:rPr>
      </w:pPr>
    </w:p>
    <w:p w:rsidR="0018579D" w:rsidRPr="00B97590" w:rsidRDefault="001E3CE9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BA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>,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815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8579D" w:rsidRPr="00B97590">
        <w:rPr>
          <w:rFonts w:ascii="Tahoma" w:hAnsi="Tahoma" w:cs="Tahoma"/>
          <w:sz w:val="18"/>
          <w:szCs w:val="18"/>
          <w:lang w:val="hr-HR"/>
        </w:rPr>
        <w:t>,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1 343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18579D" w:rsidRPr="00B97590" w:rsidRDefault="001E3CE9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102BF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809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1 326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. 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102BF">
        <w:rPr>
          <w:rFonts w:ascii="Tahoma" w:hAnsi="Tahoma" w:cs="Tahoma"/>
          <w:sz w:val="18"/>
          <w:szCs w:val="18"/>
          <w:lang w:val="sr-Cyrl-BA"/>
        </w:rPr>
        <w:t xml:space="preserve">2010. </w:t>
      </w:r>
      <w:r>
        <w:rPr>
          <w:rFonts w:ascii="Tahoma" w:hAnsi="Tahoma" w:cs="Tahoma"/>
          <w:sz w:val="18"/>
          <w:szCs w:val="18"/>
          <w:lang w:val="sr-Cyrl-BA"/>
        </w:rPr>
        <w:t>godinu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porasla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nominalno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3,2%, </w:t>
      </w:r>
      <w:r>
        <w:rPr>
          <w:rFonts w:ascii="Tahoma" w:hAnsi="Tahoma" w:cs="Tahoma"/>
          <w:sz w:val="18"/>
          <w:szCs w:val="18"/>
          <w:lang w:val="sr-Cyrl-BA"/>
        </w:rPr>
        <w:t>ali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0,7%.</w:t>
      </w: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18579D" w:rsidRPr="00B97590" w:rsidRDefault="001E3CE9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0,3%.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4,0%,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0,7%.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4D73">
        <w:rPr>
          <w:rFonts w:ascii="Tahoma" w:hAnsi="Tahoma" w:cs="Tahoma"/>
          <w:sz w:val="18"/>
          <w:szCs w:val="18"/>
        </w:rPr>
        <w:t>2010.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8579D" w:rsidRPr="00B97590">
        <w:rPr>
          <w:rFonts w:ascii="Tahoma" w:hAnsi="Tahoma" w:cs="Tahoma"/>
          <w:sz w:val="18"/>
          <w:szCs w:val="18"/>
        </w:rPr>
        <w:t>2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,0%,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18579D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1,1%.</w:t>
      </w: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8579D" w:rsidRPr="00B97590" w:rsidRDefault="001E3CE9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1 234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568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>.</w:t>
      </w:r>
    </w:p>
    <w:p w:rsidR="0018579D" w:rsidRPr="00B97590" w:rsidRDefault="0018579D" w:rsidP="0018579D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18579D" w:rsidRPr="00B97590" w:rsidRDefault="001E3CE9" w:rsidP="0018579D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8579D" w:rsidRPr="00B9759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3,2%</w:t>
      </w:r>
      <w:r w:rsidR="0018579D" w:rsidRPr="00B97590">
        <w:rPr>
          <w:rFonts w:ascii="Tahoma" w:hAnsi="Tahoma" w:cs="Tahoma"/>
          <w:sz w:val="18"/>
          <w:szCs w:val="18"/>
        </w:rPr>
        <w:t>,</w:t>
      </w:r>
      <w:r w:rsidR="0018579D" w:rsidRPr="00B9759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2,8%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2,8%,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3,2%,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Saobraćaj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skladištenje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komunikacije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1,4%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veliko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malo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opravka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motornih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vozila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motocikala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predmeta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ličnu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upotrebu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8579D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domaćinstvo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8579D" w:rsidRPr="00B97590">
        <w:rPr>
          <w:rFonts w:ascii="Tahoma" w:hAnsi="Tahoma" w:cs="Tahoma"/>
          <w:sz w:val="18"/>
          <w:szCs w:val="18"/>
          <w:lang w:val="sr-Cyrl-CS"/>
        </w:rPr>
        <w:t xml:space="preserve"> 0,8%.</w:t>
      </w:r>
    </w:p>
    <w:p w:rsidR="0076086A" w:rsidRPr="00E11BB8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E11BB8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3E43B7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3E43B7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90.15pt;margin-top:3.1pt;width:41.05pt;height:27.75pt;z-index:251659264;mso-width-relative:margin;mso-height-relative:margin" stroked="f">
            <v:textbox style="mso-next-textbox:#_x0000_s1063">
              <w:txbxContent>
                <w:p w:rsidR="00662E60" w:rsidRPr="0078288A" w:rsidRDefault="00662E60" w:rsidP="0018579D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Pr="003E43B7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79.05pt;margin-top:239.8pt;width:50.4pt;height:23.95pt;z-index:251669504;mso-width-relative:margin;mso-height-relative:margin" strokecolor="white [3212]">
            <v:textbox>
              <w:txbxContent>
                <w:p w:rsidR="00662E60" w:rsidRPr="00297CBC" w:rsidRDefault="00662E60" w:rsidP="0018579D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</w:p>
              </w:txbxContent>
            </v:textbox>
          </v:shape>
        </w:pict>
      </w:r>
      <w:r w:rsidRPr="003E43B7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height-percent:200;mso-width-relative:margin;mso-height-relative:margin" strokecolor="white [3212]">
            <v:textbox style="mso-next-textbox:#_x0000_s1074;mso-fit-shape-to-text:t">
              <w:txbxContent>
                <w:p w:rsidR="00662E60" w:rsidRPr="00297CBC" w:rsidRDefault="00662E6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2010.</w:t>
                  </w:r>
                </w:p>
              </w:txbxContent>
            </v:textbox>
          </v:shape>
        </w:pict>
      </w:r>
      <w:r w:rsidR="0018579D" w:rsidRPr="0018579D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133395" cy="31566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FE7" w:rsidRPr="00E11BB8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CD0CCB" w:rsidRPr="0018579D" w:rsidRDefault="00CD0CCB" w:rsidP="0020048F">
      <w:pPr>
        <w:jc w:val="both"/>
        <w:rPr>
          <w:rFonts w:ascii="Tahoma" w:hAnsi="Tahoma" w:cs="Tahoma"/>
          <w:sz w:val="18"/>
          <w:szCs w:val="18"/>
        </w:rPr>
      </w:pPr>
    </w:p>
    <w:p w:rsidR="005E0301" w:rsidRPr="00297CBC" w:rsidRDefault="00BF2682" w:rsidP="00BF2682">
      <w:pPr>
        <w:ind w:left="-142"/>
        <w:outlineLvl w:val="0"/>
        <w:rPr>
          <w:rFonts w:ascii="Tahoma" w:hAnsi="Tahoma" w:cs="Tahoma"/>
          <w:sz w:val="18"/>
          <w:szCs w:val="18"/>
        </w:rPr>
      </w:pPr>
      <w:r w:rsidRPr="00297CBC">
        <w:rPr>
          <w:rFonts w:ascii="Tahoma" w:hAnsi="Tahoma" w:cs="Tahoma"/>
          <w:sz w:val="18"/>
          <w:szCs w:val="18"/>
          <w:lang w:val="sr-Cyrl-BA"/>
        </w:rPr>
        <w:t xml:space="preserve">                                                        </w:t>
      </w:r>
      <w:r w:rsidR="001E3CE9"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297CB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E24D5" w:rsidRPr="00297CBC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>.</w:t>
      </w:r>
      <w:r w:rsidR="005E0301" w:rsidRPr="00297CB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E3CE9">
        <w:rPr>
          <w:rFonts w:ascii="Tahoma" w:hAnsi="Tahoma" w:cs="Tahoma"/>
          <w:sz w:val="18"/>
          <w:szCs w:val="18"/>
          <w:lang w:val="sr-Cyrl-CS"/>
        </w:rPr>
        <w:t>P</w:t>
      </w:r>
      <w:r w:rsidR="001E3CE9"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 w:rsidR="001E3CE9">
        <w:rPr>
          <w:rFonts w:ascii="Tahoma" w:hAnsi="Tahoma" w:cs="Tahoma"/>
          <w:sz w:val="18"/>
          <w:szCs w:val="18"/>
          <w:lang w:val="ru-RU"/>
        </w:rPr>
        <w:t>neto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 w:rsidR="001E3CE9">
        <w:rPr>
          <w:rFonts w:ascii="Tahoma" w:hAnsi="Tahoma" w:cs="Tahoma"/>
          <w:sz w:val="18"/>
          <w:szCs w:val="18"/>
          <w:lang w:val="ru-RU"/>
        </w:rPr>
        <w:t>plat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 w:rsidR="001E3CE9"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 w:rsidR="001E3CE9">
        <w:rPr>
          <w:rFonts w:ascii="Tahoma" w:hAnsi="Tahoma" w:cs="Tahoma"/>
          <w:sz w:val="18"/>
          <w:szCs w:val="18"/>
          <w:lang w:val="ru-RU"/>
        </w:rPr>
        <w:t>po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 w:rsidR="001E3CE9">
        <w:rPr>
          <w:rFonts w:ascii="Tahoma" w:hAnsi="Tahoma" w:cs="Tahoma"/>
          <w:sz w:val="18"/>
          <w:szCs w:val="18"/>
          <w:lang w:val="ru-RU"/>
        </w:rPr>
        <w:t>mjesecima</w:t>
      </w:r>
    </w:p>
    <w:p w:rsidR="0029071F" w:rsidRPr="00E11BB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E11BB8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E11BB8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18579D" w:rsidRDefault="0018579D">
      <w:pPr>
        <w:rPr>
          <w:rFonts w:ascii="Tahoma" w:hAnsi="Tahoma" w:cs="Tahoma"/>
          <w:b/>
          <w:color w:val="FF0000"/>
          <w:sz w:val="28"/>
          <w:szCs w:val="28"/>
          <w:lang w:val="sr-Cyrl-BA"/>
        </w:rPr>
      </w:pPr>
      <w:r>
        <w:rPr>
          <w:rFonts w:ascii="Tahoma" w:hAnsi="Tahoma" w:cs="Tahoma"/>
          <w:b/>
          <w:color w:val="FF0000"/>
          <w:sz w:val="28"/>
          <w:szCs w:val="28"/>
          <w:lang w:val="sr-Cyrl-BA"/>
        </w:rPr>
        <w:br w:type="page"/>
      </w:r>
    </w:p>
    <w:p w:rsidR="00B96FEE" w:rsidRDefault="001E3CE9" w:rsidP="00E6568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G</w:t>
      </w:r>
      <w:r>
        <w:rPr>
          <w:rFonts w:ascii="Tahoma" w:hAnsi="Tahoma" w:cs="Tahoma"/>
          <w:b/>
          <w:sz w:val="28"/>
          <w:szCs w:val="28"/>
          <w:lang w:val="sr-Cyrl-BA"/>
        </w:rPr>
        <w:t>odišnja</w:t>
      </w:r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decembar</w:t>
      </w:r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 xml:space="preserve"> 2011/</w:t>
      </w:r>
      <w:r>
        <w:rPr>
          <w:rFonts w:ascii="Tahoma" w:hAnsi="Tahoma" w:cs="Tahoma"/>
          <w:b/>
          <w:sz w:val="28"/>
          <w:szCs w:val="28"/>
          <w:lang w:val="sr-Cyrl-BA"/>
        </w:rPr>
        <w:t>decembar</w:t>
      </w:r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 xml:space="preserve"> 2010</w:t>
      </w:r>
      <w:r w:rsidR="00B96FEE">
        <w:rPr>
          <w:rFonts w:ascii="Tahoma" w:hAnsi="Tahoma" w:cs="Tahoma"/>
          <w:b/>
          <w:sz w:val="28"/>
          <w:szCs w:val="28"/>
        </w:rPr>
        <w:t>.</w:t>
      </w:r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>) 3</w:t>
      </w:r>
      <w:proofErr w:type="gramStart"/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>,2</w:t>
      </w:r>
      <w:proofErr w:type="gramEnd"/>
      <w:r w:rsidR="00B96FEE" w:rsidRPr="00B96FEE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E65684" w:rsidRPr="00B96FEE" w:rsidRDefault="001E3CE9" w:rsidP="00E656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BA"/>
        </w:rPr>
        <w:t>Mjesečna</w:t>
      </w:r>
      <w:r w:rsidR="00E65684" w:rsidRPr="00B96FEE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B96FEE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u</w:t>
      </w:r>
      <w:r w:rsidR="00B96FEE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decembru</w:t>
      </w:r>
      <w:r w:rsidR="00B96FEE">
        <w:rPr>
          <w:rFonts w:ascii="Tahoma" w:hAnsi="Tahoma" w:cs="Tahoma"/>
          <w:sz w:val="24"/>
          <w:szCs w:val="24"/>
          <w:lang w:val="sr-Cyrl-BA"/>
        </w:rPr>
        <w:t xml:space="preserve"> 2011. </w:t>
      </w:r>
      <w:r>
        <w:rPr>
          <w:rFonts w:ascii="Tahoma" w:hAnsi="Tahoma" w:cs="Tahoma"/>
          <w:sz w:val="24"/>
          <w:szCs w:val="24"/>
          <w:lang w:val="sr-Cyrl-BA"/>
        </w:rPr>
        <w:t>godine</w:t>
      </w:r>
      <w:r w:rsidR="00B96FEE" w:rsidRPr="00B96FEE">
        <w:rPr>
          <w:rFonts w:ascii="Tahoma" w:hAnsi="Tahoma" w:cs="Tahoma"/>
          <w:sz w:val="24"/>
          <w:szCs w:val="24"/>
          <w:lang w:val="sr-Cyrl-BA"/>
        </w:rPr>
        <w:t xml:space="preserve"> 0,0%</w:t>
      </w:r>
    </w:p>
    <w:p w:rsidR="00E65684" w:rsidRPr="00B96FEE" w:rsidRDefault="001E3CE9" w:rsidP="00E65684">
      <w:pPr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Prosječan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godišnji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rast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 xml:space="preserve"> (</w:t>
      </w:r>
      <w:r w:rsidR="00B96FEE">
        <w:rPr>
          <w:rFonts w:ascii="Tahoma" w:hAnsi="Tahoma" w:cs="Tahoma"/>
          <w:sz w:val="24"/>
          <w:szCs w:val="24"/>
        </w:rPr>
        <w:t>I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>-</w:t>
      </w:r>
      <w:r w:rsidR="00B96FEE">
        <w:rPr>
          <w:rFonts w:ascii="Tahoma" w:hAnsi="Tahoma" w:cs="Tahoma"/>
          <w:sz w:val="24"/>
          <w:szCs w:val="24"/>
        </w:rPr>
        <w:t>XII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B96FEE">
        <w:rPr>
          <w:rFonts w:ascii="Tahoma" w:hAnsi="Tahoma" w:cs="Tahoma"/>
          <w:sz w:val="24"/>
          <w:szCs w:val="24"/>
        </w:rPr>
        <w:t>I</w:t>
      </w:r>
      <w:r w:rsidR="00B96FEE" w:rsidRPr="00B96FEE">
        <w:rPr>
          <w:rFonts w:ascii="Tahoma" w:hAnsi="Tahoma" w:cs="Tahoma"/>
          <w:sz w:val="24"/>
          <w:szCs w:val="24"/>
          <w:lang w:val="sr-Cyrl-BA"/>
        </w:rPr>
        <w:t>-</w:t>
      </w:r>
      <w:r w:rsidR="00B96FEE">
        <w:rPr>
          <w:rFonts w:ascii="Tahoma" w:hAnsi="Tahoma" w:cs="Tahoma"/>
          <w:sz w:val="24"/>
          <w:szCs w:val="24"/>
        </w:rPr>
        <w:t>XII</w:t>
      </w:r>
      <w:r w:rsidR="00E65684" w:rsidRPr="00B96FEE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B96FEE">
        <w:rPr>
          <w:rFonts w:ascii="Tahoma" w:hAnsi="Tahoma" w:cs="Tahoma"/>
          <w:sz w:val="24"/>
          <w:szCs w:val="24"/>
        </w:rPr>
        <w:t>.</w:t>
      </w:r>
      <w:r w:rsidR="00E65684" w:rsidRPr="00B96FEE">
        <w:rPr>
          <w:rFonts w:ascii="Tahoma" w:hAnsi="Tahoma" w:cs="Tahoma"/>
          <w:sz w:val="24"/>
          <w:szCs w:val="24"/>
          <w:lang w:val="sr-Cyrl-BA"/>
        </w:rPr>
        <w:t>) 3,9%</w:t>
      </w:r>
    </w:p>
    <w:p w:rsidR="00E65684" w:rsidRPr="00B97590" w:rsidRDefault="00E65684" w:rsidP="00E65684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E65684" w:rsidRPr="00B97590" w:rsidRDefault="001E3CE9" w:rsidP="00E65684">
      <w:pPr>
        <w:pStyle w:val="Body2"/>
        <w:tabs>
          <w:tab w:val="left" w:pos="720"/>
        </w:tabs>
        <w:ind w:firstLine="0"/>
        <w:rPr>
          <w:rFonts w:ascii="Tahoma" w:hAnsi="Tahoma" w:cs="Tahoma"/>
        </w:rPr>
      </w:pPr>
      <w:r>
        <w:rPr>
          <w:rFonts w:ascii="Tahoma" w:hAnsi="Tahoma" w:cs="Tahoma"/>
          <w:lang w:val="sr-Cyrl-BA"/>
        </w:rPr>
        <w:t>Cijene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proizvoda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usluga</w:t>
      </w:r>
      <w:r w:rsidR="00E65684" w:rsidRPr="00B9759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koje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koriste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ličnu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potrošnju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Republici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Srpskoj</w:t>
      </w:r>
      <w:r w:rsidR="00E65684" w:rsidRPr="00B9759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mjerene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indeksom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potrošačkih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cijena</w:t>
      </w:r>
      <w:r w:rsidR="00E65684" w:rsidRPr="00B9759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decembru</w:t>
      </w:r>
      <w:r w:rsidR="00E65684" w:rsidRPr="00B97590">
        <w:rPr>
          <w:rFonts w:ascii="Tahoma" w:hAnsi="Tahoma" w:cs="Tahoma"/>
          <w:lang w:val="sr-Cyrl-BA"/>
        </w:rPr>
        <w:t xml:space="preserve"> 2011. </w:t>
      </w:r>
      <w:r>
        <w:rPr>
          <w:rFonts w:ascii="Tahoma" w:hAnsi="Tahoma" w:cs="Tahoma"/>
          <w:lang w:val="sr-Cyrl-BA"/>
        </w:rPr>
        <w:t>godine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odnosu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na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novembar</w:t>
      </w:r>
      <w:r w:rsidR="00E65684" w:rsidRPr="00B97590">
        <w:rPr>
          <w:rFonts w:ascii="Tahoma" w:hAnsi="Tahoma" w:cs="Tahoma"/>
          <w:lang w:val="sr-Cyrl-BA"/>
        </w:rPr>
        <w:t xml:space="preserve"> 2011. </w:t>
      </w:r>
      <w:r>
        <w:rPr>
          <w:rFonts w:ascii="Tahoma" w:hAnsi="Tahoma" w:cs="Tahoma"/>
          <w:lang w:val="sr-Cyrl-BA"/>
        </w:rPr>
        <w:t>godine</w:t>
      </w:r>
      <w:r w:rsidR="00E65684" w:rsidRPr="00B97590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prosjeku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su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ostale</w:t>
      </w:r>
      <w:r w:rsidR="00E65684" w:rsidRPr="00B97590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nepromijenjene</w:t>
      </w:r>
      <w:r w:rsidR="00E65684" w:rsidRPr="00B97590">
        <w:rPr>
          <w:rFonts w:ascii="Tahoma" w:hAnsi="Tahoma" w:cs="Tahoma"/>
          <w:lang w:val="sr-Cyrl-BA"/>
        </w:rPr>
        <w:t>.</w:t>
      </w:r>
    </w:p>
    <w:p w:rsidR="00E65684" w:rsidRPr="00B97590" w:rsidRDefault="00E65684" w:rsidP="00E65684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E65684" w:rsidRPr="00B97590" w:rsidRDefault="001E3CE9" w:rsidP="00E6568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Rast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jedino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362BA7" w:rsidRPr="00B97590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za</w:t>
      </w:r>
      <w:r w:rsidR="00362BA7" w:rsidRPr="00B97590">
        <w:rPr>
          <w:rFonts w:ascii="Tahoma" w:hAnsi="Tahoma" w:cs="Tahoma"/>
          <w:i/>
          <w:sz w:val="18"/>
          <w:szCs w:val="18"/>
        </w:rPr>
        <w:t xml:space="preserve"> </w:t>
      </w:r>
      <w:r w:rsidR="00362BA7" w:rsidRPr="008102BF">
        <w:rPr>
          <w:rFonts w:ascii="Tahoma" w:hAnsi="Tahoma" w:cs="Tahoma"/>
          <w:sz w:val="18"/>
          <w:szCs w:val="18"/>
        </w:rPr>
        <w:t>0,2%</w:t>
      </w:r>
      <w:r w:rsidR="00E65684" w:rsidRPr="008102BF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decembru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62BA7" w:rsidRPr="008102BF">
        <w:rPr>
          <w:rFonts w:ascii="Tahoma" w:hAnsi="Tahoma" w:cs="Tahoma"/>
          <w:sz w:val="18"/>
          <w:szCs w:val="18"/>
          <w:lang w:val="sr-Cyrl-BA"/>
        </w:rPr>
        <w:t xml:space="preserve"> 0,5%</w:t>
      </w:r>
      <w:r w:rsidR="00E65684" w:rsidRPr="008102BF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62BA7" w:rsidRPr="008102BF">
        <w:rPr>
          <w:rFonts w:ascii="Tahoma" w:hAnsi="Tahoma" w:cs="Tahoma"/>
          <w:sz w:val="18"/>
          <w:szCs w:val="18"/>
          <w:lang w:val="sr-Cyrl-BA"/>
        </w:rPr>
        <w:t xml:space="preserve"> 0,1%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362BA7" w:rsidRPr="008102BF">
        <w:rPr>
          <w:rFonts w:ascii="Tahoma" w:hAnsi="Tahoma" w:cs="Tahoma"/>
          <w:sz w:val="18"/>
          <w:szCs w:val="18"/>
          <w:lang w:val="sr-Cyrl-BA"/>
        </w:rPr>
        <w:t>0,1%</w:t>
      </w:r>
      <w:r w:rsidR="00E65684" w:rsidRPr="008102BF">
        <w:rPr>
          <w:rFonts w:ascii="Tahoma" w:hAnsi="Tahoma" w:cs="Tahoma"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jc w:val="both"/>
        <w:rPr>
          <w:rFonts w:ascii="Tahoma" w:hAnsi="Tahoma" w:cs="Tahoma"/>
          <w:i/>
          <w:sz w:val="18"/>
          <w:szCs w:val="18"/>
        </w:rPr>
      </w:pPr>
    </w:p>
    <w:p w:rsidR="00E65684" w:rsidRPr="00B97590" w:rsidRDefault="001E3CE9" w:rsidP="00E65684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okviru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novembru</w:t>
      </w:r>
      <w:r w:rsidR="00E65684" w:rsidRPr="00B97590">
        <w:rPr>
          <w:rFonts w:ascii="Tahoma" w:eastAsia="Calibri" w:hAnsi="Tahoma" w:cs="Tahoma"/>
          <w:sz w:val="18"/>
          <w:szCs w:val="18"/>
        </w:rPr>
        <w:t xml:space="preserve"> 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0,3%.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većina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dovelo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ukupnom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nivou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Tako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Šećer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džem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med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čokolada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1,5%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šećera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4,2%, </w:t>
      </w:r>
      <w:r>
        <w:rPr>
          <w:rFonts w:ascii="Tahoma" w:eastAsia="Calibri" w:hAnsi="Tahoma" w:cs="Tahoma"/>
          <w:sz w:val="18"/>
          <w:szCs w:val="18"/>
          <w:lang w:val="sr-Cyrl-BA"/>
        </w:rPr>
        <w:t>podgrupe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Hljeb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žitarice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0,9%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hljeba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1,9%, </w:t>
      </w:r>
      <w:r>
        <w:rPr>
          <w:rFonts w:ascii="Tahoma" w:eastAsia="Calibri" w:hAnsi="Tahoma" w:cs="Tahoma"/>
          <w:sz w:val="18"/>
          <w:szCs w:val="18"/>
          <w:lang w:val="sr-Cyrl-BA"/>
        </w:rPr>
        <w:t>riže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102B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0,6%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bijelog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brašna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102B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0,5%, </w:t>
      </w:r>
      <w:r>
        <w:rPr>
          <w:rFonts w:ascii="Tahoma" w:eastAsia="Calibri" w:hAnsi="Tahoma" w:cs="Tahoma"/>
          <w:sz w:val="18"/>
          <w:szCs w:val="18"/>
          <w:lang w:val="sr-Cyrl-BA"/>
        </w:rPr>
        <w:t>odnosno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1,3%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maslaca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1,1%.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0,6%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pojeftinjenja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citrusnog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)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Mlijeko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sir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jaja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svježeg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jogurta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kiselog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0,2%.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imalo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9,0%,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0,6%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začina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2,3%,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Riba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0,3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konzervisane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prerađene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1,4%.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0,8%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1,6%</w:t>
      </w:r>
      <w:r w:rsidR="00E65684" w:rsidRPr="00B97590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čaja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0,9%</w:t>
      </w:r>
      <w:r w:rsidR="00E65684" w:rsidRPr="00B97590">
        <w:rPr>
          <w:rFonts w:ascii="Tahoma" w:eastAsia="Calibri" w:hAnsi="Tahoma" w:cs="Tahoma"/>
          <w:sz w:val="18"/>
          <w:szCs w:val="18"/>
        </w:rPr>
        <w:t>.</w:t>
      </w:r>
    </w:p>
    <w:p w:rsidR="00E65684" w:rsidRPr="00B97590" w:rsidRDefault="00E65684" w:rsidP="00E65684">
      <w:pPr>
        <w:jc w:val="both"/>
        <w:rPr>
          <w:rFonts w:ascii="Tahoma" w:hAnsi="Tahoma" w:cs="Tahoma"/>
          <w:i/>
          <w:sz w:val="18"/>
          <w:szCs w:val="18"/>
        </w:rPr>
      </w:pPr>
    </w:p>
    <w:p w:rsidR="00E65684" w:rsidRPr="00B97590" w:rsidRDefault="001E3CE9" w:rsidP="00E65684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E65684" w:rsidRPr="00B9759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diuvan</w:t>
      </w:r>
      <w:r w:rsidR="00E65684" w:rsidRPr="00B9759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Rekreacija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prosijeku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E65684" w:rsidRPr="00B97590" w:rsidRDefault="001E3CE9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Prevoz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novogodišnjim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sniženjima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novih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automobila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nižom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cijenom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bezolovnog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goriva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</w:p>
    <w:p w:rsidR="00E65684" w:rsidRPr="00B97590" w:rsidRDefault="001E3CE9" w:rsidP="00E65684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Odjeća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obuća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eastAsia="Calibri" w:hAnsi="Tahoma" w:cs="Tahoma"/>
          <w:sz w:val="18"/>
          <w:szCs w:val="18"/>
        </w:rPr>
        <w:t xml:space="preserve">0,1%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sezonskim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sniženjima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odjeće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obuće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dok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sniženje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Stanovanje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eastAsia="Calibri" w:hAnsi="Tahoma" w:cs="Tahoma"/>
          <w:sz w:val="18"/>
          <w:szCs w:val="18"/>
        </w:rPr>
        <w:t xml:space="preserve">0,1%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smanjenjem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ogr</w:t>
      </w:r>
      <w:r w:rsidR="00D4046E">
        <w:rPr>
          <w:rFonts w:ascii="Tahoma" w:eastAsia="Calibri" w:hAnsi="Tahoma" w:cs="Tahoma"/>
          <w:sz w:val="18"/>
          <w:szCs w:val="18"/>
        </w:rPr>
        <w:t>j</w:t>
      </w:r>
      <w:r>
        <w:rPr>
          <w:rFonts w:ascii="Tahoma" w:eastAsia="Calibri" w:hAnsi="Tahoma" w:cs="Tahoma"/>
          <w:sz w:val="18"/>
          <w:szCs w:val="18"/>
          <w:lang w:val="sr-Cyrl-BA"/>
        </w:rPr>
        <w:t>evnog</w:t>
      </w:r>
      <w:r w:rsidR="00E65684"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drveta</w:t>
      </w:r>
      <w:r w:rsidR="00E65684" w:rsidRPr="00B97590">
        <w:rPr>
          <w:rFonts w:ascii="Tahoma" w:eastAsia="Calibri" w:hAnsi="Tahoma" w:cs="Tahoma"/>
          <w:i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E65684" w:rsidRPr="00B97590" w:rsidRDefault="001E3CE9" w:rsidP="00E65684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decembru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3,2%.</w:t>
      </w:r>
    </w:p>
    <w:p w:rsidR="00E65684" w:rsidRPr="00B97590" w:rsidRDefault="001E3CE9" w:rsidP="00E65684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decembru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decembar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10,1%,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: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8,4%,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7,4%,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3,6%,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2,7%,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1,7%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0,6%,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0,2%,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0,1%.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0,1%,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1,6%,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8210C">
        <w:rPr>
          <w:rFonts w:ascii="Tahoma" w:hAnsi="Tahoma" w:cs="Tahoma"/>
          <w:sz w:val="18"/>
          <w:szCs w:val="18"/>
        </w:rPr>
        <w:t>4,1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B97590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362BA7" w:rsidRPr="00B97590" w:rsidRDefault="001E3CE9" w:rsidP="00362BA7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362BA7" w:rsidRPr="00B97590">
        <w:rPr>
          <w:rFonts w:ascii="Tahoma" w:hAnsi="Tahoma" w:cs="Tahoma"/>
          <w:b/>
          <w:sz w:val="28"/>
          <w:szCs w:val="28"/>
        </w:rPr>
        <w:t>XII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362BA7" w:rsidRPr="00B97590">
        <w:rPr>
          <w:rFonts w:ascii="Tahoma" w:hAnsi="Tahoma" w:cs="Tahoma"/>
          <w:b/>
          <w:sz w:val="28"/>
          <w:szCs w:val="28"/>
          <w:lang w:val="sr-Latn-CS"/>
        </w:rPr>
        <w:t>1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>/</w:t>
      </w:r>
      <w:r w:rsidR="00362BA7" w:rsidRPr="00B97590">
        <w:rPr>
          <w:rFonts w:ascii="Tahoma" w:hAnsi="Tahoma" w:cs="Tahoma"/>
          <w:b/>
          <w:sz w:val="28"/>
          <w:szCs w:val="28"/>
          <w:lang w:val="sr-Latn-CS"/>
        </w:rPr>
        <w:t>XI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362BA7" w:rsidRPr="00B97590">
        <w:rPr>
          <w:rFonts w:ascii="Tahoma" w:hAnsi="Tahoma" w:cs="Tahoma"/>
          <w:b/>
          <w:sz w:val="28"/>
          <w:szCs w:val="28"/>
          <w:lang w:val="sr-Latn-CS"/>
        </w:rPr>
        <w:t>1.</w:t>
      </w:r>
      <w:r>
        <w:rPr>
          <w:rFonts w:ascii="Tahoma" w:hAnsi="Tahoma" w:cs="Tahoma"/>
          <w:b/>
          <w:sz w:val="28"/>
          <w:szCs w:val="28"/>
          <w:lang w:val="sr-Cyrl-CS"/>
        </w:rPr>
        <w:t>)</w:t>
      </w:r>
      <w:r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niže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362BA7" w:rsidRPr="00B97590">
        <w:rPr>
          <w:rFonts w:ascii="Tahoma" w:hAnsi="Tahoma" w:cs="Tahoma"/>
          <w:b/>
          <w:sz w:val="28"/>
          <w:szCs w:val="28"/>
          <w:lang w:val="sr-Latn-CS"/>
        </w:rPr>
        <w:t>3</w:t>
      </w:r>
      <w:r w:rsidR="00362BA7" w:rsidRPr="00B97590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362BA7" w:rsidRPr="00B97590" w:rsidRDefault="00362BA7" w:rsidP="00362BA7">
      <w:pPr>
        <w:jc w:val="both"/>
        <w:rPr>
          <w:rFonts w:ascii="Tahoma" w:hAnsi="Tahoma" w:cs="Tahoma"/>
          <w:lang w:val="sr-Cyrl-CS"/>
        </w:rPr>
      </w:pPr>
    </w:p>
    <w:p w:rsidR="00362BA7" w:rsidRPr="00B97590" w:rsidRDefault="001E3CE9" w:rsidP="00362BA7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362BA7" w:rsidRPr="00B97590">
        <w:rPr>
          <w:rFonts w:ascii="Tahoma" w:hAnsi="Tahoma" w:cs="Tahoma"/>
          <w:sz w:val="18"/>
          <w:szCs w:val="18"/>
        </w:rPr>
        <w:t>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362BA7" w:rsidRPr="00B97590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201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.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0,3%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>3,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3%.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6"/>
          <w:szCs w:val="16"/>
          <w:lang w:val="sr-Latn-CS"/>
        </w:rPr>
      </w:pPr>
    </w:p>
    <w:p w:rsidR="00362BA7" w:rsidRPr="00B97590" w:rsidRDefault="001E3CE9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201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0,8%,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362BA7" w:rsidRPr="00B97590">
        <w:rPr>
          <w:rFonts w:ascii="Tahoma" w:hAnsi="Tahoma" w:cs="Tahoma"/>
          <w:sz w:val="18"/>
          <w:szCs w:val="18"/>
        </w:rPr>
        <w:t>4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>%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.</w:t>
      </w:r>
    </w:p>
    <w:p w:rsidR="00362BA7" w:rsidRPr="00B97590" w:rsidRDefault="00362BA7" w:rsidP="00362BA7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62BA7" w:rsidRPr="00B97590" w:rsidRDefault="001E3CE9" w:rsidP="00362BA7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,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20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362BA7" w:rsidRPr="00B97590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11,1%,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4,5%,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102B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102B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8102B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8102B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102BF">
        <w:rPr>
          <w:rFonts w:ascii="Tahoma" w:hAnsi="Tahoma" w:cs="Tahoma"/>
          <w:sz w:val="18"/>
          <w:szCs w:val="18"/>
          <w:lang w:val="sr-Cyrl-CS"/>
        </w:rPr>
        <w:t xml:space="preserve"> 3,5%,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0,9%,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0,6%.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62BA7" w:rsidRPr="00B97590" w:rsidRDefault="001E3CE9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(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PRODCOM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)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,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362BA7" w:rsidRPr="00B97590">
        <w:rPr>
          <w:rFonts w:ascii="Tahoma" w:hAnsi="Tahoma" w:cs="Tahoma"/>
          <w:sz w:val="18"/>
          <w:szCs w:val="18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)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362BA7" w:rsidRPr="00B97590">
        <w:rPr>
          <w:rFonts w:ascii="Tahoma" w:hAnsi="Tahoma" w:cs="Tahoma"/>
          <w:sz w:val="18"/>
          <w:szCs w:val="18"/>
        </w:rPr>
        <w:t>,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201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.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362BA7" w:rsidRPr="00B97590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2,6%,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62BA7" w:rsidRPr="00B97590" w:rsidRDefault="001E3CE9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11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20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10</w:t>
      </w:r>
      <w:r w:rsidR="00362BA7" w:rsidRPr="00B97590">
        <w:rPr>
          <w:rFonts w:ascii="Tahoma" w:hAnsi="Tahoma" w:cs="Tahoma"/>
          <w:sz w:val="18"/>
          <w:szCs w:val="18"/>
          <w:lang w:val="hr-HR"/>
        </w:rPr>
        <w:t>.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>,</w:t>
      </w:r>
      <w:r w:rsidR="00362BA7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362BA7" w:rsidRPr="00B97590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362BA7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362BA7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13,1%,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362BA7" w:rsidRPr="00B9759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bCs/>
          <w:sz w:val="18"/>
          <w:szCs w:val="18"/>
          <w:lang w:val="sr-Cyrl-CS"/>
        </w:rPr>
        <w:t xml:space="preserve"> 2,7%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62BA7" w:rsidRPr="00B97590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362BA7" w:rsidRPr="00B97590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362BA7"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62BA7" w:rsidRPr="00B97590">
        <w:rPr>
          <w:rFonts w:ascii="Tahoma" w:hAnsi="Tahoma" w:cs="Tahoma"/>
          <w:sz w:val="18"/>
          <w:szCs w:val="18"/>
          <w:lang w:val="sr-Cyrl-CS"/>
        </w:rPr>
        <w:t xml:space="preserve"> 1,2%.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E3CE9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1E3CE9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1E3CE9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E65684" w:rsidRPr="00B97590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E65684" w:rsidRPr="00B9759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E65684" w:rsidRPr="00B97590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E65684" w:rsidRPr="00B97590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="00E65684" w:rsidRPr="00B97590">
        <w:rPr>
          <w:rFonts w:ascii="Tahoma" w:hAnsi="Tahoma" w:cs="Tahoma"/>
          <w:b/>
          <w:sz w:val="28"/>
          <w:szCs w:val="28"/>
        </w:rPr>
        <w:t>I</w:t>
      </w:r>
      <w:r w:rsidR="00E65684" w:rsidRPr="00B97590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E65684" w:rsidRPr="00B97590">
        <w:rPr>
          <w:rFonts w:ascii="Tahoma" w:hAnsi="Tahoma" w:cs="Tahoma"/>
          <w:b/>
          <w:sz w:val="28"/>
          <w:szCs w:val="28"/>
        </w:rPr>
        <w:t>XII</w:t>
      </w:r>
      <w:r w:rsidR="00E65684" w:rsidRPr="00B97590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="00E65684" w:rsidRPr="00B97590">
        <w:rPr>
          <w:rFonts w:ascii="Tahoma" w:hAnsi="Tahoma" w:cs="Tahoma"/>
          <w:b/>
          <w:sz w:val="28"/>
          <w:szCs w:val="28"/>
          <w:lang w:val="sr-Cyrl-BA"/>
        </w:rPr>
        <w:t>)</w:t>
      </w:r>
      <w:r w:rsidR="00E65684"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65684" w:rsidRPr="00B97590">
        <w:rPr>
          <w:rFonts w:ascii="Tahoma" w:hAnsi="Tahoma" w:cs="Tahoma"/>
          <w:b/>
          <w:sz w:val="28"/>
          <w:szCs w:val="28"/>
          <w:lang w:val="hr-HR"/>
        </w:rPr>
        <w:t>55</w:t>
      </w:r>
      <w:r w:rsidR="00E65684" w:rsidRPr="00B97590">
        <w:rPr>
          <w:rFonts w:ascii="Tahoma" w:hAnsi="Tahoma" w:cs="Tahoma"/>
          <w:b/>
          <w:sz w:val="28"/>
          <w:szCs w:val="28"/>
          <w:lang w:val="ru-RU"/>
        </w:rPr>
        <w:t>,</w:t>
      </w:r>
      <w:r w:rsidR="00E65684" w:rsidRPr="00B97590">
        <w:rPr>
          <w:rFonts w:ascii="Tahoma" w:hAnsi="Tahoma" w:cs="Tahoma"/>
          <w:b/>
          <w:sz w:val="28"/>
          <w:szCs w:val="28"/>
        </w:rPr>
        <w:t>9</w:t>
      </w:r>
      <w:r w:rsidR="00E65684" w:rsidRPr="00B97590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E65684" w:rsidRPr="00B97590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E65684" w:rsidRPr="00B97590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E65684" w:rsidRPr="00B97590">
        <w:rPr>
          <w:rFonts w:ascii="Tahoma" w:hAnsi="Tahoma" w:cs="Tahoma"/>
          <w:sz w:val="24"/>
          <w:szCs w:val="24"/>
          <w:lang w:val="hr-HR"/>
        </w:rPr>
        <w:t>(I-XII 2011/I-XII 2010</w:t>
      </w:r>
      <w:r w:rsidR="00E65684" w:rsidRPr="00B97590">
        <w:rPr>
          <w:rFonts w:ascii="Tahoma" w:hAnsi="Tahoma" w:cs="Tahoma"/>
          <w:sz w:val="24"/>
          <w:szCs w:val="24"/>
          <w:lang w:val="sr-Cyrl-CS"/>
        </w:rPr>
        <w:t>.</w:t>
      </w:r>
      <w:r w:rsidR="00E65684" w:rsidRPr="00B97590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E65684" w:rsidRPr="00B97590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E65684" w:rsidRPr="00B97590">
        <w:rPr>
          <w:rFonts w:ascii="Tahoma" w:hAnsi="Tahoma" w:cs="Tahoma"/>
          <w:sz w:val="24"/>
          <w:szCs w:val="24"/>
        </w:rPr>
        <w:t>17</w:t>
      </w:r>
      <w:r w:rsidR="00E65684" w:rsidRPr="00B97590">
        <w:rPr>
          <w:rFonts w:ascii="Tahoma" w:hAnsi="Tahoma" w:cs="Tahoma"/>
          <w:sz w:val="24"/>
          <w:szCs w:val="24"/>
          <w:lang w:val="ru-RU"/>
        </w:rPr>
        <w:t>,</w:t>
      </w:r>
      <w:r w:rsidR="00E65684" w:rsidRPr="00B97590">
        <w:rPr>
          <w:rFonts w:ascii="Tahoma" w:hAnsi="Tahoma" w:cs="Tahoma"/>
          <w:sz w:val="24"/>
          <w:szCs w:val="24"/>
        </w:rPr>
        <w:t>6</w:t>
      </w:r>
      <w:r w:rsidR="00E65684" w:rsidRPr="00B97590">
        <w:rPr>
          <w:rFonts w:ascii="Tahoma" w:hAnsi="Tahoma" w:cs="Tahoma"/>
          <w:sz w:val="24"/>
          <w:szCs w:val="24"/>
          <w:lang w:val="ru-RU"/>
        </w:rPr>
        <w:t>%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E65684" w:rsidRPr="00B97590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E65684" w:rsidRPr="00B97590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decembru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44,6%.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decembru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204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457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E65684" w:rsidRPr="00B97590" w:rsidRDefault="001E3CE9" w:rsidP="00E65684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– </w:t>
      </w:r>
      <w:r>
        <w:rPr>
          <w:rFonts w:ascii="Tahoma" w:hAnsi="Tahoma" w:cs="Tahoma"/>
          <w:sz w:val="18"/>
          <w:szCs w:val="18"/>
          <w:lang w:val="sr-Cyrl-BA"/>
        </w:rPr>
        <w:t>decembar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2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562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E65684" w:rsidRPr="00B97590">
        <w:rPr>
          <w:rFonts w:ascii="Tahoma" w:hAnsi="Tahoma" w:cs="Tahoma"/>
          <w:sz w:val="18"/>
          <w:szCs w:val="18"/>
        </w:rPr>
        <w:t>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17,6%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4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584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13,1%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>.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E65684" w:rsidRPr="00B97590" w:rsidRDefault="001E3CE9" w:rsidP="00E65684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dvanaest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55,9%,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2 </w:t>
      </w:r>
      <w:r>
        <w:rPr>
          <w:rFonts w:ascii="Tahoma" w:hAnsi="Tahoma" w:cs="Tahoma"/>
          <w:sz w:val="18"/>
          <w:szCs w:val="18"/>
          <w:lang w:val="ru-RU"/>
        </w:rPr>
        <w:t>milijarde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22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>.</w:t>
      </w:r>
    </w:p>
    <w:p w:rsidR="00E65684" w:rsidRPr="00B97590" w:rsidRDefault="00E65684" w:rsidP="00E65684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E65684" w:rsidRPr="00B97590" w:rsidRDefault="001E3CE9" w:rsidP="00E65684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E65684" w:rsidRPr="00B97590">
        <w:rPr>
          <w:rFonts w:ascii="Tahoma" w:hAnsi="Tahoma" w:cs="Tahoma"/>
          <w:szCs w:val="18"/>
        </w:rPr>
        <w:t>e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E65684" w:rsidRPr="00B97590">
        <w:rPr>
          <w:rFonts w:ascii="Tahoma" w:hAnsi="Tahoma" w:cs="Tahoma"/>
          <w:szCs w:val="18"/>
        </w:rPr>
        <w:t>e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E65684" w:rsidRPr="00B97590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E65684" w:rsidRPr="00B97590">
        <w:rPr>
          <w:rFonts w:ascii="Tahoma" w:hAnsi="Tahoma" w:cs="Tahoma"/>
          <w:szCs w:val="18"/>
          <w:lang w:val="ru-RU"/>
        </w:rPr>
        <w:t xml:space="preserve"> – </w:t>
      </w:r>
      <w:r>
        <w:rPr>
          <w:rFonts w:ascii="Tahoma" w:hAnsi="Tahoma" w:cs="Tahoma"/>
          <w:szCs w:val="18"/>
          <w:lang w:val="sr-Cyrl-BA"/>
        </w:rPr>
        <w:t>decembar</w:t>
      </w:r>
      <w:r w:rsidR="00E65684" w:rsidRPr="00B97590">
        <w:rPr>
          <w:rFonts w:ascii="Tahoma" w:hAnsi="Tahoma" w:cs="Tahoma"/>
          <w:szCs w:val="18"/>
          <w:lang w:val="ru-RU"/>
        </w:rPr>
        <w:t xml:space="preserve"> </w:t>
      </w:r>
      <w:r w:rsidR="00E65684" w:rsidRPr="00B97590">
        <w:rPr>
          <w:rFonts w:ascii="Tahoma" w:hAnsi="Tahoma" w:cs="Tahoma"/>
          <w:szCs w:val="18"/>
          <w:lang w:val="sr-Cyrl-CS"/>
        </w:rPr>
        <w:t xml:space="preserve">2011. </w:t>
      </w:r>
      <w:r>
        <w:rPr>
          <w:rFonts w:ascii="Tahoma" w:hAnsi="Tahoma" w:cs="Tahoma"/>
          <w:szCs w:val="18"/>
          <w:lang w:val="sr-Cyrl-CS"/>
        </w:rPr>
        <w:t>godine</w:t>
      </w:r>
      <w:r w:rsidR="00E65684" w:rsidRPr="00B9759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477 </w:t>
      </w:r>
      <w:r>
        <w:rPr>
          <w:rFonts w:ascii="Tahoma" w:hAnsi="Tahoma" w:cs="Tahoma"/>
          <w:szCs w:val="18"/>
          <w:lang w:val="sr-Cyrl-CS"/>
        </w:rPr>
        <w:t>miliona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E65684" w:rsidRPr="00B9759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18,6%</w:t>
      </w:r>
      <w:r w:rsidR="00E65684" w:rsidRPr="00B97590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E65684" w:rsidRPr="00B9759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373 </w:t>
      </w:r>
      <w:r>
        <w:rPr>
          <w:rFonts w:ascii="Tahoma" w:hAnsi="Tahoma" w:cs="Tahoma"/>
          <w:szCs w:val="18"/>
          <w:lang w:val="sr-Cyrl-CS"/>
        </w:rPr>
        <w:t>miliona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E65684" w:rsidRPr="00B97590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14,5% </w:t>
      </w:r>
      <w:r>
        <w:rPr>
          <w:rFonts w:ascii="Tahoma" w:hAnsi="Tahoma" w:cs="Tahoma"/>
          <w:szCs w:val="18"/>
          <w:lang w:val="sr-Cyrl-CS"/>
        </w:rPr>
        <w:t>od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E65684" w:rsidRPr="00B97590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E65684" w:rsidRPr="00B97590">
        <w:rPr>
          <w:rFonts w:ascii="Tahoma" w:hAnsi="Tahoma" w:cs="Tahoma"/>
          <w:szCs w:val="18"/>
          <w:lang w:val="sr-Cyrl-CS"/>
        </w:rPr>
        <w:t>.</w:t>
      </w:r>
    </w:p>
    <w:p w:rsidR="00E65684" w:rsidRPr="00B97590" w:rsidRDefault="00E65684" w:rsidP="00E65684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E65684" w:rsidRPr="00B97590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309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28,6%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824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18,0%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>.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65684" w:rsidRPr="009E31C0" w:rsidRDefault="001E3CE9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E65684" w:rsidRPr="00B9759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E65684" w:rsidRPr="00B9759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E65684" w:rsidRPr="00B9759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E65684" w:rsidRPr="00B97590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E65684" w:rsidRPr="00B9759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E65684" w:rsidRPr="00B97590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EE6130" w:rsidRPr="00B97590">
        <w:rPr>
          <w:rFonts w:ascii="Tahoma" w:hAnsi="Tahoma" w:cs="Tahoma"/>
          <w:sz w:val="18"/>
          <w:szCs w:val="18"/>
          <w:lang w:val="ru-RU"/>
        </w:rPr>
        <w:t xml:space="preserve"> –</w:t>
      </w:r>
      <w:r w:rsidR="00EE6130" w:rsidRPr="00B9759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decembar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>)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377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14,7%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E65684"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E65684"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milijadru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287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28,1%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E65684" w:rsidRPr="00B97590">
        <w:rPr>
          <w:rFonts w:ascii="Tahoma" w:hAnsi="Tahoma" w:cs="Tahoma"/>
          <w:sz w:val="18"/>
          <w:szCs w:val="18"/>
          <w:lang w:val="sr-Cyrl-BA"/>
        </w:rPr>
        <w:t>.</w:t>
      </w: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B97590" w:rsidRDefault="003E43B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06.65pt;margin-top:5.5pt;width:61.05pt;height:19.75pt;z-index:251658240;mso-width-relative:margin;mso-height-relative:margin" stroked="f">
            <v:textbox style="mso-next-textbox:#_x0000_s1062">
              <w:txbxContent>
                <w:p w:rsidR="00662E60" w:rsidRPr="00B96FEE" w:rsidRDefault="001E3CE9">
                  <w:pPr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Latn-CS"/>
                    </w:rPr>
                    <w:t>hilj</w:t>
                  </w:r>
                  <w:r w:rsidR="00662E60" w:rsidRPr="00B96FEE"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B97590" w:rsidRPr="00B97590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Default="003E43B7" w:rsidP="00B97590">
      <w:pPr>
        <w:jc w:val="center"/>
        <w:rPr>
          <w:rFonts w:ascii="Tahoma" w:hAnsi="Tahoma" w:cs="Tahoma"/>
          <w:sz w:val="18"/>
          <w:szCs w:val="18"/>
        </w:rPr>
      </w:pPr>
      <w:r w:rsidRPr="003E43B7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21.35pt;margin-top:217.35pt;width:36.15pt;height:22.2pt;z-index:251657216;mso-width-relative:margin;mso-height-relative:margin" stroked="f">
            <v:textbox style="mso-next-textbox:#_x0000_s1061">
              <w:txbxContent>
                <w:p w:rsidR="00662E60" w:rsidRPr="00B96FEE" w:rsidRDefault="00662E6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</w:rPr>
                    <w:t>2011</w:t>
                  </w:r>
                </w:p>
              </w:txbxContent>
            </v:textbox>
          </v:shape>
        </w:pict>
      </w:r>
      <w:r w:rsidRPr="003E43B7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662E60" w:rsidRPr="00B96FEE" w:rsidRDefault="00662E6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</w:rPr>
                    <w:t>2010</w:t>
                  </w:r>
                </w:p>
              </w:txbxContent>
            </v:textbox>
          </v:shape>
        </w:pict>
      </w:r>
      <w:r w:rsidR="00B97590" w:rsidRPr="00E65684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373217" cy="280681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590" w:rsidRPr="00B97590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B96FEE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E11BB8" w:rsidRDefault="001E3CE9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Grafikon</w:t>
      </w:r>
      <w:r w:rsidR="00B97590" w:rsidRPr="00B96FEE">
        <w:rPr>
          <w:rFonts w:ascii="Tahoma" w:hAnsi="Tahoma" w:cs="Tahoma"/>
          <w:sz w:val="18"/>
          <w:szCs w:val="18"/>
          <w:lang w:val="ru-RU"/>
        </w:rPr>
        <w:t xml:space="preserve"> 2.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E11BB8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E11BB8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E11BB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E11BB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E11BB8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F6652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C27981" w:rsidRPr="00662E60" w:rsidRDefault="00EE6130" w:rsidP="00C27981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16"/>
          <w:sz w:val="28"/>
          <w:szCs w:val="28"/>
        </w:rPr>
        <w:br w:type="page"/>
      </w:r>
      <w:r w:rsidR="001E3CE9"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>Indeks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1E3CE9"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1E3CE9"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C27981" w:rsidRPr="00662E60">
        <w:rPr>
          <w:rFonts w:ascii="Tahoma" w:hAnsi="Tahoma" w:cs="Tahoma"/>
          <w:b/>
          <w:spacing w:val="-4"/>
          <w:sz w:val="28"/>
          <w:szCs w:val="28"/>
        </w:rPr>
        <w:t>XII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2011/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B96FEE">
        <w:rPr>
          <w:rFonts w:ascii="Tahoma" w:hAnsi="Tahoma" w:cs="Tahoma"/>
          <w:b/>
          <w:bCs/>
          <w:spacing w:val="-4"/>
          <w:sz w:val="28"/>
          <w:szCs w:val="28"/>
        </w:rPr>
        <w:t>.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1E3CE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veći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8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,2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C27981" w:rsidRPr="00662E60" w:rsidRDefault="001E3CE9" w:rsidP="00C27981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C27981" w:rsidRPr="00662E6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C27981" w:rsidRPr="00662E6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C27981" w:rsidRPr="00662E6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C27981" w:rsidRPr="00662E60">
        <w:rPr>
          <w:rFonts w:ascii="Tahoma" w:hAnsi="Tahoma" w:cs="Tahoma"/>
          <w:sz w:val="24"/>
          <w:szCs w:val="24"/>
          <w:lang w:val="sr-Latn-BA"/>
        </w:rPr>
        <w:t xml:space="preserve"> (</w:t>
      </w:r>
      <w:r>
        <w:rPr>
          <w:rFonts w:ascii="Tahoma" w:hAnsi="Tahoma" w:cs="Tahoma"/>
          <w:sz w:val="24"/>
          <w:szCs w:val="24"/>
          <w:lang w:val="sr-Cyrl-CS"/>
        </w:rPr>
        <w:t>H</w:t>
      </w:r>
      <w:r w:rsidR="00C27981" w:rsidRPr="00662E60">
        <w:rPr>
          <w:rFonts w:ascii="Tahoma" w:hAnsi="Tahoma" w:cs="Tahoma"/>
          <w:sz w:val="24"/>
          <w:szCs w:val="24"/>
        </w:rPr>
        <w:t>II</w:t>
      </w:r>
      <w:r w:rsidR="00C27981" w:rsidRPr="00662E60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C27981" w:rsidRPr="00662E60">
        <w:rPr>
          <w:rFonts w:ascii="Tahoma" w:hAnsi="Tahoma" w:cs="Tahoma"/>
          <w:sz w:val="24"/>
          <w:szCs w:val="24"/>
          <w:lang w:val="sr-Cyrl-CS"/>
        </w:rPr>
        <w:t>11</w:t>
      </w:r>
      <w:r w:rsidR="00C27981" w:rsidRPr="00662E60">
        <w:rPr>
          <w:rFonts w:ascii="Tahoma" w:hAnsi="Tahoma" w:cs="Tahoma"/>
          <w:sz w:val="24"/>
          <w:szCs w:val="24"/>
          <w:lang w:val="sr-Latn-BA"/>
        </w:rPr>
        <w:t>/</w:t>
      </w:r>
      <w:r w:rsidR="00C27981" w:rsidRPr="00662E60">
        <w:rPr>
          <w:rFonts w:ascii="Tahoma" w:hAnsi="Tahoma" w:cs="Tahoma"/>
          <w:bCs/>
          <w:sz w:val="24"/>
          <w:szCs w:val="24"/>
        </w:rPr>
        <w:sym w:font="Symbol" w:char="F0C6"/>
      </w:r>
      <w:r w:rsidR="00C27981" w:rsidRPr="00662E60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C27981" w:rsidRPr="00662E60">
        <w:rPr>
          <w:rFonts w:ascii="Tahoma" w:hAnsi="Tahoma" w:cs="Tahoma"/>
          <w:bCs/>
          <w:sz w:val="24"/>
          <w:szCs w:val="24"/>
          <w:lang w:val="ru-RU"/>
        </w:rPr>
        <w:t>2010</w:t>
      </w:r>
      <w:r w:rsidR="00B96FEE">
        <w:rPr>
          <w:rFonts w:ascii="Tahoma" w:hAnsi="Tahoma" w:cs="Tahoma"/>
          <w:bCs/>
          <w:sz w:val="24"/>
          <w:szCs w:val="24"/>
        </w:rPr>
        <w:t>.</w:t>
      </w:r>
      <w:r w:rsidR="00C27981" w:rsidRPr="00662E60">
        <w:rPr>
          <w:rFonts w:ascii="Tahoma" w:hAnsi="Tahoma" w:cs="Tahoma"/>
          <w:bCs/>
          <w:sz w:val="24"/>
          <w:szCs w:val="24"/>
          <w:lang w:val="hr-HR"/>
        </w:rPr>
        <w:t>)</w:t>
      </w:r>
      <w:r w:rsidR="00C27981" w:rsidRPr="00662E60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C27981" w:rsidRPr="00662E60">
        <w:rPr>
          <w:rFonts w:ascii="Tahoma" w:hAnsi="Tahoma" w:cs="Tahoma"/>
          <w:sz w:val="24"/>
          <w:szCs w:val="24"/>
          <w:lang w:val="ru-RU"/>
        </w:rPr>
        <w:t xml:space="preserve"> </w:t>
      </w:r>
      <w:r w:rsidR="00C27981" w:rsidRPr="00662E60">
        <w:rPr>
          <w:rFonts w:ascii="Tahoma" w:hAnsi="Tahoma" w:cs="Tahoma"/>
          <w:sz w:val="24"/>
          <w:szCs w:val="24"/>
          <w:lang w:val="sr-Cyrl-CS"/>
        </w:rPr>
        <w:t>4</w:t>
      </w:r>
      <w:r w:rsidR="00C27981" w:rsidRPr="00662E60">
        <w:rPr>
          <w:rFonts w:ascii="Tahoma" w:hAnsi="Tahoma" w:cs="Tahoma"/>
          <w:sz w:val="24"/>
          <w:szCs w:val="24"/>
          <w:lang w:val="sr-Cyrl-BA"/>
        </w:rPr>
        <w:t>,1</w:t>
      </w:r>
      <w:r w:rsidR="00C27981" w:rsidRPr="00662E60">
        <w:rPr>
          <w:rFonts w:ascii="Tahoma" w:hAnsi="Tahoma" w:cs="Tahoma"/>
          <w:sz w:val="24"/>
          <w:szCs w:val="24"/>
          <w:lang w:val="ru-RU"/>
        </w:rPr>
        <w:t>%</w:t>
      </w:r>
    </w:p>
    <w:p w:rsidR="00C27981" w:rsidRPr="00662E60" w:rsidRDefault="00C27981" w:rsidP="00C27981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C27981" w:rsidRPr="00662E60" w:rsidRDefault="001E3CE9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C27981" w:rsidRPr="00662E6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8,2%,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 w:rsidR="00D8210C">
        <w:rPr>
          <w:rFonts w:ascii="Tahoma" w:hAnsi="Tahoma" w:cs="Tahoma"/>
          <w:sz w:val="18"/>
          <w:szCs w:val="18"/>
        </w:rPr>
        <w:t>2010.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4,1%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6,7%.</w:t>
      </w: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27981" w:rsidRPr="00662E60" w:rsidRDefault="001E3CE9" w:rsidP="00C2798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- </w:t>
      </w:r>
      <w:r>
        <w:rPr>
          <w:rFonts w:ascii="Tahoma" w:hAnsi="Tahoma" w:cs="Tahoma"/>
          <w:sz w:val="18"/>
          <w:szCs w:val="18"/>
          <w:lang w:val="sr-Cyrl-BA"/>
        </w:rPr>
        <w:t>decembar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4,7%.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18,2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3,9%,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nivou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>.</w:t>
      </w:r>
    </w:p>
    <w:p w:rsidR="00C27981" w:rsidRPr="00662E60" w:rsidRDefault="00C27981" w:rsidP="00C2798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27981" w:rsidRPr="00662E60" w:rsidRDefault="001E3CE9" w:rsidP="00C27981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decembar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26,6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6,3%,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4,8%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2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>,2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C27981"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5,3%.</w:t>
      </w: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27981" w:rsidRPr="00662E60" w:rsidRDefault="001E3CE9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C27981" w:rsidRPr="00662E6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C27981" w:rsidRPr="00662E6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decembru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0,5%.</w:t>
      </w: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27981" w:rsidRPr="00662E60" w:rsidRDefault="001E3CE9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decembar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2,5%</w:t>
      </w:r>
      <w:r w:rsidR="00B96FEE">
        <w:rPr>
          <w:rFonts w:ascii="Tahoma" w:hAnsi="Tahoma" w:cs="Tahoma"/>
          <w:sz w:val="18"/>
          <w:szCs w:val="18"/>
          <w:lang w:val="ru-RU"/>
        </w:rPr>
        <w:t>,</w:t>
      </w:r>
      <w:r w:rsidR="00B96FE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27981" w:rsidRPr="00662E6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3,1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rast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,1%,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27981" w:rsidRPr="00662E6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C27981"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27981" w:rsidRPr="00662E60">
        <w:rPr>
          <w:rFonts w:ascii="Tahoma" w:hAnsi="Tahoma" w:cs="Tahoma"/>
          <w:sz w:val="18"/>
          <w:szCs w:val="18"/>
          <w:lang w:val="ru-RU"/>
        </w:rPr>
        <w:t xml:space="preserve"> 3,6%. </w:t>
      </w:r>
    </w:p>
    <w:p w:rsidR="009F6652" w:rsidRPr="00205D07" w:rsidRDefault="009F6652" w:rsidP="00C27981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05D07" w:rsidRDefault="00205D0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9F6652" w:rsidRP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E11BB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E11BB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1E3CE9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E11BB8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E11BB8" w:rsidRDefault="001E3CE9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Default="001E3CE9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8C3261" w:rsidRPr="00205D07" w:rsidRDefault="003E43B7" w:rsidP="00542A21">
            <w:pPr>
              <w:rPr>
                <w:rFonts w:ascii="Tahoma" w:hAnsi="Tahoma" w:cs="Tahoma"/>
                <w:sz w:val="16"/>
              </w:rPr>
            </w:pPr>
            <w:hyperlink r:id="rId11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E11BB8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Default="001E3CE9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205D07" w:rsidRDefault="001E3CE9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205D07" w:rsidRDefault="003E43B7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1E3CE9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E11BB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E11BB8" w:rsidRDefault="003E43B7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1E3CE9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1E3CE9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E11BB8" w:rsidRDefault="003E43B7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E11BB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1E3CE9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1E3CE9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E11BB8" w:rsidRDefault="003E43B7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E11BB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E11BB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1E3CE9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E11BB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bCs/>
              </w:rPr>
              <w:sym w:font="Symbol" w:char="00C6"/>
            </w:r>
            <w:r w:rsidRPr="00E11BB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E11BB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1E3CE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E11BB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E11BB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E11BB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E11BB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E11BB8" w:rsidRDefault="003E43B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3E43B7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E11BB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1E3CE9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E11BB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E11BB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E11BB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1E3CE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E11BB8" w:rsidRDefault="001E3CE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E11BB8" w:rsidRDefault="001E3CE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E11BB8" w:rsidRDefault="001E3CE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E11BB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E11BB8" w:rsidRDefault="001E3CE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E11BB8" w:rsidRDefault="001E3CE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E11BB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E11BB8" w:rsidRDefault="001E3CE9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E11BB8" w:rsidRDefault="003E43B7" w:rsidP="008C3261">
      <w:pPr>
        <w:rPr>
          <w:lang w:val="sr-Cyrl-BA"/>
        </w:rPr>
      </w:pPr>
      <w:r w:rsidRPr="003E43B7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E11BB8" w:rsidRDefault="00657939" w:rsidP="008C3261">
      <w:pPr>
        <w:rPr>
          <w:lang w:val="sr-Cyrl-BA"/>
        </w:rPr>
      </w:pPr>
    </w:p>
    <w:sectPr w:rsidR="00657939" w:rsidRPr="00E11BB8" w:rsidSect="005D5311">
      <w:headerReference w:type="default" r:id="rId17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60" w:rsidRDefault="00662E60">
      <w:r>
        <w:separator/>
      </w:r>
    </w:p>
  </w:endnote>
  <w:endnote w:type="continuationSeparator" w:id="0">
    <w:p w:rsidR="00662E60" w:rsidRDefault="0066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60" w:rsidRDefault="00662E60">
      <w:r>
        <w:separator/>
      </w:r>
    </w:p>
  </w:footnote>
  <w:footnote w:type="continuationSeparator" w:id="0">
    <w:p w:rsidR="00662E60" w:rsidRDefault="0066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62E6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62E60" w:rsidRPr="001E3CE9" w:rsidRDefault="001E3CE9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</w:rPr>
            <w:t>Republi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  <w:t>čki zavod za statistiku</w:t>
          </w:r>
        </w:p>
        <w:p w:rsidR="00662E60" w:rsidRPr="001E3CE9" w:rsidRDefault="001E3CE9" w:rsidP="00E34FA2">
          <w:pPr>
            <w:pStyle w:val="Header"/>
            <w:rPr>
              <w:color w:val="FFFFFF"/>
              <w:lang w:val="sr-Latn-CS"/>
            </w:rPr>
          </w:pPr>
          <w:r>
            <w:rPr>
              <w:rFonts w:ascii="Tahoma" w:hAnsi="Tahoma" w:cs="Tahoma"/>
              <w:b/>
              <w:color w:val="FFFFFF"/>
              <w:lang w:val="sr-Latn-CS"/>
            </w:rPr>
            <w:t>SAOPŠTENJE ZA 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62E60" w:rsidRPr="005D5311" w:rsidRDefault="00662E60" w:rsidP="001E3CE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23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1E3CE9">
            <w:rPr>
              <w:rFonts w:ascii="Tahoma" w:hAnsi="Tahoma" w:cs="Tahoma"/>
              <w:color w:val="0070C0"/>
              <w:sz w:val="16"/>
              <w:lang w:val="sr-Latn-CS"/>
            </w:rPr>
            <w:t>januar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3E43B7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3E43B7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1E3CE9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3E43B7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662E60" w:rsidRDefault="003E43B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3E43B7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CE9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3B7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1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dec2011\zaGraf%20dec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6"/>
          <c:w val="0.60011259604998268"/>
          <c:h val="0.71899673960011101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798</c:v>
                </c:pt>
                <c:pt idx="1">
                  <c:v>798</c:v>
                </c:pt>
                <c:pt idx="2">
                  <c:v>804</c:v>
                </c:pt>
                <c:pt idx="3">
                  <c:v>807</c:v>
                </c:pt>
                <c:pt idx="4">
                  <c:v>803</c:v>
                </c:pt>
                <c:pt idx="5">
                  <c:v>816</c:v>
                </c:pt>
                <c:pt idx="6">
                  <c:v>817</c:v>
                </c:pt>
                <c:pt idx="7">
                  <c:v>811</c:v>
                </c:pt>
                <c:pt idx="8">
                  <c:v>813</c:v>
                </c:pt>
                <c:pt idx="9">
                  <c:v>807</c:v>
                </c:pt>
                <c:pt idx="10">
                  <c:v>802</c:v>
                </c:pt>
                <c:pt idx="11">
                  <c:v>813</c:v>
                </c:pt>
                <c:pt idx="12">
                  <c:v>815</c:v>
                </c:pt>
              </c:numCache>
            </c:numRef>
          </c:val>
        </c:ser>
        <c:marker val="1"/>
        <c:axId val="49868800"/>
        <c:axId val="49870336"/>
      </c:lineChart>
      <c:catAx>
        <c:axId val="498688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870336"/>
        <c:crosses val="autoZero"/>
        <c:lblAlgn val="ctr"/>
        <c:lblOffset val="100"/>
      </c:catAx>
      <c:valAx>
        <c:axId val="49870336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868800"/>
        <c:crosses val="autoZero"/>
        <c:crossBetween val="between"/>
        <c:majorUnit val="40"/>
      </c:valAx>
    </c:plotArea>
    <c:legend>
      <c:legendPos val="r"/>
      <c:layout/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noFill/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371725</c:v>
                </c:pt>
                <c:pt idx="1">
                  <c:v>282730</c:v>
                </c:pt>
                <c:pt idx="2">
                  <c:v>318375</c:v>
                </c:pt>
                <c:pt idx="3">
                  <c:v>370953</c:v>
                </c:pt>
                <c:pt idx="4">
                  <c:v>344250</c:v>
                </c:pt>
                <c:pt idx="5">
                  <c:v>344720</c:v>
                </c:pt>
                <c:pt idx="6">
                  <c:v>467781</c:v>
                </c:pt>
                <c:pt idx="7">
                  <c:v>408777</c:v>
                </c:pt>
                <c:pt idx="8">
                  <c:v>375448</c:v>
                </c:pt>
                <c:pt idx="9">
                  <c:v>423860</c:v>
                </c:pt>
                <c:pt idx="10">
                  <c:v>396712</c:v>
                </c:pt>
                <c:pt idx="11">
                  <c:v>393737</c:v>
                </c:pt>
                <c:pt idx="12">
                  <c:v>456851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180839</c:v>
                </c:pt>
                <c:pt idx="1">
                  <c:v>175791</c:v>
                </c:pt>
                <c:pt idx="2">
                  <c:v>191390</c:v>
                </c:pt>
                <c:pt idx="3">
                  <c:v>212435</c:v>
                </c:pt>
                <c:pt idx="4">
                  <c:v>213851</c:v>
                </c:pt>
                <c:pt idx="5">
                  <c:v>207617</c:v>
                </c:pt>
                <c:pt idx="6">
                  <c:v>228912</c:v>
                </c:pt>
                <c:pt idx="7">
                  <c:v>214293</c:v>
                </c:pt>
                <c:pt idx="8">
                  <c:v>218373</c:v>
                </c:pt>
                <c:pt idx="9">
                  <c:v>248961</c:v>
                </c:pt>
                <c:pt idx="10">
                  <c:v>220859</c:v>
                </c:pt>
                <c:pt idx="11">
                  <c:v>225703</c:v>
                </c:pt>
                <c:pt idx="12">
                  <c:v>203743</c:v>
                </c:pt>
              </c:numCache>
            </c:numRef>
          </c:val>
        </c:ser>
        <c:marker val="1"/>
        <c:axId val="49932160"/>
        <c:axId val="49933696"/>
      </c:lineChart>
      <c:catAx>
        <c:axId val="499321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933696"/>
        <c:crosses val="autoZero"/>
        <c:auto val="1"/>
        <c:lblAlgn val="ctr"/>
        <c:lblOffset val="100"/>
      </c:catAx>
      <c:valAx>
        <c:axId val="49933696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93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304"/>
          <c:w val="0.17661111111111141"/>
          <c:h val="0.16743438320210119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2F70-8BBC-4AA4-A82F-9CE746EB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1611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11785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3</cp:revision>
  <cp:lastPrinted>2012-01-20T09:18:00Z</cp:lastPrinted>
  <dcterms:created xsi:type="dcterms:W3CDTF">2012-01-20T15:46:00Z</dcterms:created>
  <dcterms:modified xsi:type="dcterms:W3CDTF">2012-01-20T15:49:00Z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