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AC0AD2" w:rsidTr="00EB450E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AC0AD2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</w:rPr>
              <w:br w:type="column"/>
            </w:r>
            <w:r w:rsidRPr="00AC0AD2">
              <w:rPr>
                <w:rFonts w:ascii="Tahoma" w:hAnsi="Tahoma" w:cs="Tahoma"/>
              </w:rPr>
              <w:br w:type="column"/>
            </w:r>
            <w:r w:rsidRPr="00AC0AD2">
              <w:rPr>
                <w:rFonts w:ascii="Tahoma" w:hAnsi="Tahoma" w:cs="Tahoma"/>
              </w:rPr>
              <w:br w:type="page"/>
            </w:r>
            <w:r w:rsidRPr="00AC0AD2">
              <w:rPr>
                <w:rFonts w:ascii="Tahoma" w:hAnsi="Tahoma" w:cs="Tahoma"/>
              </w:rPr>
              <w:br w:type="page"/>
            </w:r>
            <w:r w:rsidR="00B97590" w:rsidRPr="00AC0AD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AC0AD2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AC0AD2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AC0AD2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DD2BD3" w:rsidRDefault="005D5311" w:rsidP="00111ED2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DD2BD3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111ED2" w:rsidRPr="00DD2BD3">
              <w:rPr>
                <w:rFonts w:ascii="Tahoma" w:hAnsi="Tahoma" w:cs="Tahoma"/>
                <w:color w:val="1F497D" w:themeColor="text2"/>
                <w:sz w:val="16"/>
              </w:rPr>
              <w:t>23</w:t>
            </w:r>
            <w:r w:rsidRPr="00DD2BD3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07584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avgust</w:t>
            </w:r>
            <w:r w:rsidR="00AA6475" w:rsidRPr="00DD2BD3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1A34F5" w:rsidRPr="00DD2BD3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Pr="00DD2BD3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  <w:r w:rsidR="00111ED2" w:rsidRPr="00DD2BD3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8</w:t>
            </w:r>
            <w:r w:rsidRPr="00DD2BD3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910A31" w:rsidRPr="00DD2BD3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  <w:tr w:rsidR="005D5311" w:rsidRPr="00AC0AD2" w:rsidTr="00EB450E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AC0AD2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AC0AD2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AC0AD2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AC0AD2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D2BD3" w:rsidRDefault="007E158B" w:rsidP="00111ED2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075842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avgust</w:t>
            </w:r>
            <w:r w:rsidR="00DB54DA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D2BD3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075842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AC0AD2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D2BD3" w:rsidRDefault="00075842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E</w:t>
            </w:r>
            <w:r w:rsidR="008728B3" w:rsidRPr="00DD2BD3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DD2BD3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CF0EA0" w:rsidRPr="00AC0AD2" w:rsidRDefault="00CF0EA0" w:rsidP="00A03889">
      <w:pPr>
        <w:rPr>
          <w:rFonts w:ascii="Tahoma" w:hAnsi="Tahoma" w:cs="Tahoma"/>
          <w:b/>
          <w:sz w:val="28"/>
          <w:szCs w:val="28"/>
        </w:rPr>
      </w:pPr>
    </w:p>
    <w:p w:rsidR="00DD2BD3" w:rsidRPr="00B63019" w:rsidRDefault="00075842" w:rsidP="009966EE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proofErr w:type="gramStart"/>
      <w:r>
        <w:rPr>
          <w:rFonts w:ascii="Tahoma" w:hAnsi="Tahoma" w:cs="Tahoma"/>
          <w:b/>
          <w:sz w:val="28"/>
          <w:szCs w:val="28"/>
        </w:rPr>
        <w:t>P</w:t>
      </w:r>
      <w:r>
        <w:rPr>
          <w:rFonts w:ascii="Tahoma" w:hAnsi="Tahoma" w:cs="Tahoma"/>
          <w:b/>
          <w:sz w:val="28"/>
          <w:szCs w:val="28"/>
          <w:lang w:val="sr-Cyrl-CS"/>
        </w:rPr>
        <w:t>rosječni</w:t>
      </w:r>
      <w:r w:rsidR="00DD2BD3" w:rsidRPr="00B63019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mjesečni</w:t>
      </w:r>
      <w:r w:rsidR="00DD2BD3" w:rsidRPr="00B63019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izdaci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za</w:t>
      </w:r>
      <w:r w:rsidR="009966E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potrošnju</w:t>
      </w:r>
      <w:r w:rsidR="009966E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domaćinstva</w:t>
      </w:r>
      <w:r w:rsidR="009966E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9966EE">
        <w:rPr>
          <w:rFonts w:ascii="Tahoma" w:hAnsi="Tahoma" w:cs="Tahoma"/>
          <w:b/>
          <w:sz w:val="28"/>
          <w:szCs w:val="28"/>
          <w:lang w:val="sr-Cyrl-CS"/>
        </w:rPr>
        <w:t xml:space="preserve"> 2011.</w:t>
      </w:r>
      <w:proofErr w:type="gramEnd"/>
      <w:r w:rsidR="009966EE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godini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su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iznosili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1</w:t>
      </w:r>
      <w:r w:rsidR="00DD2BD3" w:rsidRPr="00B63019">
        <w:rPr>
          <w:rFonts w:ascii="Tahoma" w:hAnsi="Tahoma" w:cs="Tahoma"/>
          <w:b/>
          <w:sz w:val="28"/>
          <w:szCs w:val="28"/>
        </w:rPr>
        <w:t xml:space="preserve"> 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381,45 </w:t>
      </w:r>
      <w:r>
        <w:rPr>
          <w:rFonts w:ascii="Tahoma" w:hAnsi="Tahoma" w:cs="Tahoma"/>
          <w:b/>
          <w:sz w:val="28"/>
          <w:szCs w:val="28"/>
          <w:lang w:val="sr-Cyrl-CS"/>
        </w:rPr>
        <w:t>KM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CS"/>
        </w:rPr>
        <w:t>prethodni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podaci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) </w:t>
      </w:r>
    </w:p>
    <w:p w:rsidR="00DD2BD3" w:rsidRPr="00AC0AD2" w:rsidRDefault="00DD2BD3" w:rsidP="009966EE">
      <w:pPr>
        <w:rPr>
          <w:rFonts w:ascii="Tahoma" w:hAnsi="Tahoma" w:cs="Tahoma"/>
          <w:sz w:val="18"/>
          <w:szCs w:val="18"/>
        </w:rPr>
      </w:pPr>
    </w:p>
    <w:p w:rsidR="009966EE" w:rsidRPr="009966EE" w:rsidRDefault="00075842" w:rsidP="009966E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Anketa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statističko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istraživanje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kojim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anketiranih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prikupljaju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prije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svega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podaci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izdacima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potrošnji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vlastite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ali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podaci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drugim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indikatorima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životnog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standarda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osnovnim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demografskim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ekonomskim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socijalnim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karakteristikama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9966EE" w:rsidRPr="009966EE" w:rsidRDefault="00075842" w:rsidP="009966E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ru-RU"/>
        </w:rPr>
        <w:t>Jedinica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posmatranja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svako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domaćinstvo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izabrano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uzorak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Anketom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obuhvataju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tzv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kolektivna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domaćinstva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domovi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zbrinjavanje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njegu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bolnice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samostani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manastiri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studentski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domovi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internati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zatvori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sl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.)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kojima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ljudi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borave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trajno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ili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godinu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neprekidno</w:t>
      </w:r>
      <w:r w:rsidR="009966EE" w:rsidRPr="009966EE">
        <w:rPr>
          <w:rFonts w:ascii="Tahoma" w:hAnsi="Tahoma" w:cs="Tahoma"/>
          <w:sz w:val="18"/>
          <w:szCs w:val="18"/>
          <w:lang w:val="ru-RU"/>
        </w:rPr>
        <w:t>.</w:t>
      </w:r>
    </w:p>
    <w:p w:rsidR="00B20687" w:rsidRPr="00B20687" w:rsidRDefault="00075842" w:rsidP="00B2068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Republički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zavod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statistiku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Republike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proveo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Anketu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2004., 2007.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9966EE" w:rsidRPr="009966EE">
        <w:rPr>
          <w:rFonts w:ascii="Tahoma" w:hAnsi="Tahoma" w:cs="Tahoma"/>
          <w:sz w:val="18"/>
          <w:szCs w:val="18"/>
          <w:lang w:val="sr-Cyrl-CS"/>
        </w:rPr>
        <w:t>.</w:t>
      </w:r>
      <w:r w:rsidR="009966E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Anketa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20687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B20687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kontinuirano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provedena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tokom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12 </w:t>
      </w:r>
      <w:r>
        <w:rPr>
          <w:rFonts w:ascii="Tahoma" w:hAnsi="Tahoma" w:cs="Tahoma"/>
          <w:sz w:val="18"/>
          <w:szCs w:val="18"/>
          <w:lang w:val="sr-Cyrl-CS"/>
        </w:rPr>
        <w:t>mjeseci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skladu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metodološkim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preporukama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međunarodnim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standardima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čime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D2BD3" w:rsidRPr="00AC0AD2">
        <w:rPr>
          <w:rFonts w:ascii="Tahoma" w:hAnsi="Tahoma" w:cs="Tahoma"/>
          <w:sz w:val="18"/>
          <w:szCs w:val="18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obezbij</w:t>
      </w:r>
      <w:r w:rsidR="00DD2BD3" w:rsidRPr="00AC0AD2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  <w:lang w:val="sr-Cyrl-CS"/>
        </w:rPr>
        <w:t>đena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međunarodna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uporedivost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podataka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3 091 </w:t>
      </w:r>
      <w:r>
        <w:rPr>
          <w:rFonts w:ascii="Tahoma" w:hAnsi="Tahoma" w:cs="Tahoma"/>
          <w:sz w:val="18"/>
          <w:szCs w:val="18"/>
          <w:lang w:val="sr-Cyrl-CS"/>
        </w:rPr>
        <w:t>domaćinstva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predviđenog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anketiranje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anketirano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2 437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Svi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prethodni</w:t>
      </w:r>
      <w:r w:rsid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DD2BD3" w:rsidRPr="00AC0AD2" w:rsidRDefault="00075842" w:rsidP="00B20687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Prosječan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članova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domaćinstvu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bio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2,95.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jedno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trošilo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469,18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hranu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pića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neprehrambene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iznosili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912,27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trećine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izdataka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hranu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piće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(34,0%),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skoro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jedna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četvrtina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odlazi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održavanje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stambene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jedinice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režijske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izdatke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(24,8%).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prevoz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komunikacije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izdvajalo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14,4%,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odjeću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obuću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5,1%,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namještaj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opremu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4,7%,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zdravstvo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3,4%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preostalih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13,7%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duvan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rekreacija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obrazovanje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ugostiteljske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usluge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smještaja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itd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.).</w:t>
      </w:r>
    </w:p>
    <w:p w:rsidR="00FD35C0" w:rsidRDefault="00075842" w:rsidP="00B2068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međugradskim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seoskim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naseljima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živi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61,1%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troše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D2BD3" w:rsidRPr="00AC0AD2">
        <w:rPr>
          <w:rFonts w:ascii="Tahoma" w:hAnsi="Tahoma" w:cs="Tahoma"/>
          <w:sz w:val="18"/>
          <w:szCs w:val="18"/>
        </w:rPr>
        <w:t xml:space="preserve">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1</w:t>
      </w:r>
      <w:r w:rsidR="00DD2BD3" w:rsidRPr="00AC0AD2">
        <w:rPr>
          <w:rFonts w:ascii="Tahoma" w:hAnsi="Tahoma" w:cs="Tahoma"/>
          <w:sz w:val="18"/>
          <w:szCs w:val="18"/>
        </w:rPr>
        <w:t xml:space="preserve">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299,38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gradskim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naseljima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DD2BD3" w:rsidRPr="00AC0AD2">
        <w:rPr>
          <w:rFonts w:ascii="Tahoma" w:hAnsi="Tahoma" w:cs="Tahoma"/>
          <w:sz w:val="18"/>
          <w:szCs w:val="18"/>
        </w:rPr>
        <w:t xml:space="preserve"> 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510,48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  <w:r w:rsidR="00FD35C0">
        <w:rPr>
          <w:rFonts w:ascii="Tahoma" w:hAnsi="Tahoma" w:cs="Tahoma"/>
          <w:sz w:val="18"/>
          <w:szCs w:val="18"/>
        </w:rPr>
        <w:t xml:space="preserve"> </w:t>
      </w:r>
    </w:p>
    <w:p w:rsidR="00DD2BD3" w:rsidRPr="00FD35C0" w:rsidRDefault="00075842" w:rsidP="00B2068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Procijenjeni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izdatak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vlastite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146, 32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čini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10,26%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ukupnih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prosječnih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mjesečnih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izdataka</w:t>
      </w: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D2BD3" w:rsidRPr="00AC0AD2" w:rsidRDefault="00075842" w:rsidP="00DD2BD3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Raste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broj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korisnika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personalnih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računara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/>
          <w:sz w:val="18"/>
          <w:szCs w:val="18"/>
          <w:lang w:val="sr-Cyrl-CS"/>
        </w:rPr>
        <w:t>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svako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četvrto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domaćinstvo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ima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internet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priključak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>(</w:t>
      </w:r>
      <w:r>
        <w:rPr>
          <w:rFonts w:ascii="Tahoma" w:hAnsi="Tahoma" w:cs="Tahoma"/>
          <w:b/>
          <w:sz w:val="18"/>
          <w:szCs w:val="18"/>
          <w:lang w:val="sr-Cyrl-CS"/>
        </w:rPr>
        <w:t>prethodni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podaci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) </w:t>
      </w:r>
    </w:p>
    <w:p w:rsidR="00FD35C0" w:rsidRDefault="00075842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Telefon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 70,2%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mobilni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telefon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posjeduje</w:t>
      </w:r>
      <w:r w:rsidR="00FD35C0">
        <w:rPr>
          <w:rFonts w:ascii="Tahoma" w:hAnsi="Tahoma" w:cs="Tahoma"/>
          <w:sz w:val="18"/>
          <w:szCs w:val="18"/>
          <w:lang w:val="sr-Cyrl-CS"/>
        </w:rPr>
        <w:t xml:space="preserve"> 76%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FD35C0">
        <w:rPr>
          <w:rFonts w:ascii="Tahoma" w:hAnsi="Tahoma" w:cs="Tahoma"/>
          <w:sz w:val="18"/>
          <w:szCs w:val="18"/>
          <w:lang w:val="sr-Cyrl-CS"/>
        </w:rPr>
        <w:t>.</w:t>
      </w:r>
    </w:p>
    <w:p w:rsidR="00B20687" w:rsidRPr="00AC0AD2" w:rsidRDefault="00075842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Značajno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povećao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imaju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mašinu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suđe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(11%),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instaliranih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klima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uređaja</w:t>
      </w:r>
      <w:r w:rsidR="00B20687" w:rsidRPr="00B20687">
        <w:rPr>
          <w:rFonts w:ascii="Tahoma" w:hAnsi="Tahoma" w:cs="Tahoma"/>
          <w:sz w:val="18"/>
          <w:szCs w:val="18"/>
          <w:lang w:val="sr-Cyrl-CS"/>
        </w:rPr>
        <w:t xml:space="preserve"> (9,9%).</w:t>
      </w:r>
    </w:p>
    <w:p w:rsidR="00DD2BD3" w:rsidRDefault="00075842" w:rsidP="00DD2BD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Personalni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računar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trećine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(34,4%),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internet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priključak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25,5%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FD35C0" w:rsidRPr="00FD35C0" w:rsidRDefault="00FD35C0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D2BD3" w:rsidRPr="00AC0AD2" w:rsidRDefault="00DD2BD3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D2BD3" w:rsidRPr="00AC0AD2" w:rsidRDefault="00075842" w:rsidP="00DD2BD3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Granica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relativnog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siromaštva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Republici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Srpskoj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iznosi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381,09 </w:t>
      </w:r>
      <w:r>
        <w:rPr>
          <w:rFonts w:ascii="Tahoma" w:hAnsi="Tahoma" w:cs="Tahoma"/>
          <w:b/>
          <w:sz w:val="18"/>
          <w:szCs w:val="18"/>
          <w:lang w:val="sr-Cyrl-CS"/>
        </w:rPr>
        <w:t>KM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mjesečno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po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prilagođenom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članu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domaćinstva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b/>
          <w:sz w:val="18"/>
          <w:szCs w:val="18"/>
          <w:lang w:val="sr-Cyrl-CS"/>
        </w:rPr>
        <w:t>prethodni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podaci</w:t>
      </w:r>
      <w:r w:rsidR="00DD2BD3" w:rsidRPr="00AC0AD2">
        <w:rPr>
          <w:rFonts w:ascii="Tahoma" w:hAnsi="Tahoma" w:cs="Tahoma"/>
          <w:b/>
          <w:sz w:val="18"/>
          <w:szCs w:val="18"/>
          <w:lang w:val="sr-Cyrl-CS"/>
        </w:rPr>
        <w:t>)</w:t>
      </w:r>
    </w:p>
    <w:p w:rsidR="00DD2BD3" w:rsidRPr="00AC0AD2" w:rsidRDefault="00075842" w:rsidP="00DD2BD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ru-RU"/>
        </w:rPr>
        <w:t>Relativno</w:t>
      </w:r>
      <w:r w:rsidR="00FD35C0" w:rsidRPr="00FD35C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siromaštvo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definiše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kao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nivo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izdataka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potrošnju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koj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ispod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60% </w:t>
      </w:r>
      <w:r>
        <w:rPr>
          <w:rFonts w:ascii="Tahoma" w:hAnsi="Tahoma" w:cs="Tahoma"/>
          <w:sz w:val="18"/>
          <w:szCs w:val="18"/>
          <w:lang w:val="ru-RU"/>
        </w:rPr>
        <w:t>medijane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potrošnje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Relativna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linija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siromaštva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prilagođenom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članu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izračunata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skladu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Evropskom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metodologijom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tzv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modifikovana</w:t>
      </w:r>
      <w:r w:rsidR="00FD35C0" w:rsidRPr="00FD35C0">
        <w:rPr>
          <w:rFonts w:ascii="Tahoma" w:hAnsi="Tahoma" w:cs="Tahoma"/>
          <w:sz w:val="18"/>
          <w:szCs w:val="18"/>
          <w:lang w:val="sr-Cyrl-CS"/>
        </w:rPr>
        <w:t xml:space="preserve"> OECD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skala</w:t>
      </w:r>
      <w:r w:rsidR="00FD35C0" w:rsidRPr="00FD35C0">
        <w:rPr>
          <w:rFonts w:ascii="Tahoma" w:hAnsi="Tahoma" w:cs="Tahoma"/>
          <w:sz w:val="18"/>
          <w:szCs w:val="18"/>
          <w:lang w:val="ru-RU"/>
        </w:rPr>
        <w:t xml:space="preserve"> 1.0, 0.5,</w:t>
      </w:r>
      <w:r w:rsidR="00FD35C0" w:rsidRPr="00FD35C0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FD35C0">
        <w:rPr>
          <w:rFonts w:ascii="Tahoma" w:hAnsi="Tahoma" w:cs="Tahoma"/>
          <w:sz w:val="18"/>
          <w:szCs w:val="18"/>
          <w:lang w:val="ru-RU"/>
        </w:rPr>
        <w:t xml:space="preserve">0.3)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381,09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mjesečno</w:t>
      </w:r>
      <w:r w:rsidR="00FD35C0">
        <w:rPr>
          <w:rFonts w:ascii="Tahoma" w:hAnsi="Tahoma" w:cs="Tahoma"/>
          <w:sz w:val="18"/>
          <w:szCs w:val="18"/>
          <w:lang w:val="sr-Cyrl-CS"/>
        </w:rPr>
        <w:t>.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imaju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prilagođenu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tog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praga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smatraju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siromašnim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(14,8%).</w:t>
      </w:r>
    </w:p>
    <w:p w:rsidR="00091CFB" w:rsidRPr="00AC0AD2" w:rsidRDefault="00091CFB" w:rsidP="00091CFB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</w:p>
    <w:p w:rsidR="007C7676" w:rsidRDefault="00075842" w:rsidP="007C7676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Najprofitabilnija</w:t>
      </w:r>
      <w:r w:rsidR="00FD35C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područja</w:t>
      </w:r>
      <w:r w:rsidR="00FD35C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FD35C0">
        <w:rPr>
          <w:rFonts w:ascii="Tahoma" w:hAnsi="Tahoma" w:cs="Tahoma"/>
          <w:b/>
          <w:sz w:val="28"/>
          <w:szCs w:val="28"/>
          <w:lang w:val="sr-Cyrl-BA"/>
        </w:rPr>
        <w:t xml:space="preserve"> 2010. </w:t>
      </w:r>
      <w:r>
        <w:rPr>
          <w:rFonts w:ascii="Tahoma" w:hAnsi="Tahoma" w:cs="Tahoma"/>
          <w:b/>
          <w:sz w:val="28"/>
          <w:szCs w:val="28"/>
          <w:lang w:val="sr-Cyrl-BA"/>
        </w:rPr>
        <w:t>godini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Poslovanje</w:t>
      </w:r>
      <w:r w:rsidR="00FD35C0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nekretninama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, </w:t>
      </w:r>
      <w:r>
        <w:rPr>
          <w:rFonts w:ascii="Tahoma" w:hAnsi="Tahoma" w:cs="Tahoma"/>
          <w:b/>
          <w:sz w:val="28"/>
          <w:szCs w:val="28"/>
          <w:lang w:val="sr-Cyrl-BA"/>
        </w:rPr>
        <w:t>Vađenje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ruda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kamena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</w:t>
      </w:r>
      <w:r w:rsidR="007153B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Građevinarstvo</w:t>
      </w:r>
    </w:p>
    <w:p w:rsidR="007C7676" w:rsidRDefault="00075842" w:rsidP="007C7676">
      <w:pPr>
        <w:jc w:val="both"/>
        <w:rPr>
          <w:rFonts w:ascii="Tahoma" w:hAnsi="Tahoma" w:cs="Tahoma"/>
          <w:b/>
          <w:sz w:val="24"/>
          <w:szCs w:val="24"/>
          <w:lang w:val="sr-Cyrl-BA"/>
        </w:rPr>
      </w:pPr>
      <w:r>
        <w:rPr>
          <w:rFonts w:ascii="Tahoma" w:hAnsi="Tahoma" w:cs="Tahoma"/>
          <w:b/>
          <w:sz w:val="24"/>
          <w:szCs w:val="24"/>
          <w:lang w:val="sr-Cyrl-BA"/>
        </w:rPr>
        <w:t>Najveća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produktivnost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rada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u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Proizvodnji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i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snabdijevanju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električnom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BA"/>
        </w:rPr>
        <w:t>energijom</w:t>
      </w:r>
      <w:r w:rsidR="007153BB">
        <w:rPr>
          <w:rFonts w:ascii="Tahoma" w:hAnsi="Tahoma" w:cs="Tahoma"/>
          <w:b/>
          <w:sz w:val="24"/>
          <w:szCs w:val="24"/>
          <w:lang w:val="sr-Cyrl-BA"/>
        </w:rPr>
        <w:t xml:space="preserve"> </w:t>
      </w:r>
    </w:p>
    <w:p w:rsidR="007C7676" w:rsidRDefault="007C7676" w:rsidP="007C7676">
      <w:pPr>
        <w:jc w:val="both"/>
        <w:rPr>
          <w:rFonts w:ascii="Tahoma" w:hAnsi="Tahoma" w:cs="Tahoma"/>
          <w:b/>
          <w:sz w:val="24"/>
          <w:szCs w:val="24"/>
          <w:lang w:val="sr-Cyrl-BA"/>
        </w:rPr>
      </w:pPr>
    </w:p>
    <w:p w:rsidR="007C7676" w:rsidRPr="006F6015" w:rsidRDefault="00075842" w:rsidP="007C7676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BA"/>
        </w:rPr>
        <w:t>Republički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zavod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statistiku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Republike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prvi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put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objavljuje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saopštenje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„</w:t>
      </w:r>
      <w:r>
        <w:rPr>
          <w:rFonts w:ascii="Tahoma" w:hAnsi="Tahoma" w:cs="Tahoma"/>
          <w:sz w:val="18"/>
          <w:szCs w:val="18"/>
          <w:lang w:val="sr-Cyrl-BA"/>
        </w:rPr>
        <w:t>Osnovni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strukturni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pokazatelji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poslovanja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“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rezultat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„</w:t>
      </w:r>
      <w:r>
        <w:rPr>
          <w:rFonts w:ascii="Tahoma" w:hAnsi="Tahoma" w:cs="Tahoma"/>
          <w:sz w:val="18"/>
          <w:szCs w:val="18"/>
          <w:lang w:val="sr-Cyrl-BA"/>
        </w:rPr>
        <w:t>Godišnje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strukturno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poslovno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statističko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“. </w:t>
      </w:r>
    </w:p>
    <w:p w:rsidR="007C7676" w:rsidRPr="008B6C68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Istraživanje</w:t>
      </w:r>
      <w:r w:rsidR="007C7676" w:rsidRPr="008B6C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 w:rsidRPr="008B6C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zasnovano</w:t>
      </w:r>
      <w:r w:rsidR="007C7676" w:rsidRPr="008B6C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7C7676" w:rsidRPr="008B6C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regulativama</w:t>
      </w:r>
      <w:r w:rsidR="007C7676" w:rsidRPr="008B6C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Statističke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kancelarije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Evropske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unije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(EUROSTAT) </w:t>
      </w:r>
      <w:r>
        <w:rPr>
          <w:rFonts w:ascii="Tahoma" w:hAnsi="Tahoma" w:cs="Tahoma"/>
          <w:sz w:val="18"/>
          <w:szCs w:val="18"/>
          <w:lang w:val="sr-Cyrl-CS"/>
        </w:rPr>
        <w:t>čime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obezbijeđena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međunarodna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uporedivost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podataka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oblasti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strukturnih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poslovnih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statistika</w:t>
      </w:r>
      <w:r w:rsidR="007C7676" w:rsidRPr="008B6C68">
        <w:rPr>
          <w:rFonts w:ascii="Tahoma" w:hAnsi="Tahoma" w:cs="Tahoma"/>
          <w:sz w:val="18"/>
          <w:szCs w:val="18"/>
          <w:lang w:val="sr-Cyrl-CS"/>
        </w:rPr>
        <w:t>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saopštenju</w:t>
      </w:r>
      <w:r w:rsidR="00F80B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80B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date</w:t>
      </w:r>
      <w:r w:rsidR="00F80B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ocjene</w:t>
      </w:r>
      <w:r w:rsidR="00F80B6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osnovn</w:t>
      </w:r>
      <w:r>
        <w:rPr>
          <w:rFonts w:ascii="Tahoma" w:hAnsi="Tahoma" w:cs="Tahoma"/>
          <w:sz w:val="18"/>
          <w:szCs w:val="18"/>
          <w:lang w:val="sr-Cyrl-CS"/>
        </w:rPr>
        <w:t>i</w:t>
      </w:r>
      <w:r>
        <w:rPr>
          <w:rFonts w:ascii="Tahoma" w:hAnsi="Tahoma" w:cs="Tahoma"/>
          <w:sz w:val="18"/>
          <w:szCs w:val="18"/>
          <w:lang w:val="sr-Cyrl-BA"/>
        </w:rPr>
        <w:t>h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podataka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poslovanju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područjima</w:t>
      </w:r>
      <w:r w:rsidR="007C7676" w:rsidRPr="00BB73AA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djelatnosti</w:t>
      </w:r>
      <w:r w:rsidR="007C7676" w:rsidRPr="00BB73AA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>(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 xml:space="preserve">B, C, D, E, F, G, H, I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 xml:space="preserve"> L)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KD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BiH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2010.</w:t>
      </w:r>
      <w:r w:rsidR="00F80B6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C7676">
        <w:rPr>
          <w:rFonts w:ascii="Tahoma" w:hAnsi="Tahoma" w:cs="Tahoma"/>
          <w:sz w:val="18"/>
          <w:szCs w:val="18"/>
          <w:lang w:val="sr-Latn-BA"/>
        </w:rPr>
        <w:t>(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>NACE Rev.2</w:t>
      </w:r>
      <w:r w:rsidR="007C7676">
        <w:rPr>
          <w:rFonts w:ascii="Tahoma" w:hAnsi="Tahoma" w:cs="Tahoma"/>
          <w:sz w:val="18"/>
          <w:szCs w:val="18"/>
          <w:lang w:val="sr-Latn-BA"/>
        </w:rPr>
        <w:t>)</w:t>
      </w:r>
      <w:r w:rsidR="007C7676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klasama</w:t>
      </w:r>
      <w:r w:rsidR="007C7676" w:rsidRPr="00BB73AA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zaposlenih</w:t>
      </w:r>
      <w:r w:rsidR="007C7676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(0-19, 20-49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50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zaposlenih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lica</w:t>
      </w:r>
      <w:r w:rsidR="007C7676" w:rsidRPr="00BB73AA">
        <w:rPr>
          <w:rFonts w:ascii="Tahoma" w:hAnsi="Tahoma" w:cs="Tahoma"/>
          <w:sz w:val="18"/>
          <w:szCs w:val="18"/>
          <w:lang w:val="sr-Cyrl-BA"/>
        </w:rPr>
        <w:t>)</w:t>
      </w:r>
      <w:r w:rsidR="007C7676">
        <w:rPr>
          <w:rFonts w:ascii="Tahoma" w:hAnsi="Tahoma" w:cs="Tahoma"/>
          <w:sz w:val="18"/>
          <w:szCs w:val="18"/>
          <w:lang w:val="sr-Cyrl-BA"/>
        </w:rPr>
        <w:t>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posmatranim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polovine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aktivnih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bilo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Trgovina</w:t>
      </w:r>
      <w:r w:rsidR="007153BB">
        <w:rPr>
          <w:rFonts w:ascii="Tahoma" w:hAnsi="Tahoma" w:cs="Tahoma"/>
          <w:sz w:val="18"/>
          <w:szCs w:val="18"/>
          <w:lang w:val="sr-Cyrl-BA"/>
        </w:rPr>
        <w:t xml:space="preserve"> (51,3%)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najmanje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snabdijevanje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električnom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energijom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(0,6%).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lastRenderedPageBreak/>
        <w:t>Od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C7676" w:rsidRPr="00E77288">
        <w:rPr>
          <w:rFonts w:ascii="Tahoma" w:hAnsi="Tahoma" w:cs="Tahoma"/>
          <w:b/>
          <w:sz w:val="18"/>
          <w:szCs w:val="18"/>
          <w:lang w:val="sr-Cyrl-BA"/>
        </w:rPr>
        <w:t xml:space="preserve">126 </w:t>
      </w:r>
      <w:r>
        <w:rPr>
          <w:rFonts w:ascii="Tahoma" w:hAnsi="Tahoma" w:cs="Tahoma"/>
          <w:b/>
          <w:sz w:val="18"/>
          <w:szCs w:val="18"/>
          <w:lang w:val="sr-Cyrl-BA"/>
        </w:rPr>
        <w:t>hiljada</w:t>
      </w:r>
      <w:r w:rsidR="007C7676" w:rsidRPr="00E7728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zaposlenih</w:t>
      </w:r>
      <w:r w:rsidR="007C7676" w:rsidRPr="00E7728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lica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koliko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posmatranim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52,4%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angažovano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industrijskim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(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>B, C, D, 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), 26%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Trgovini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(</w:t>
      </w:r>
      <w:r w:rsidR="007C7676">
        <w:rPr>
          <w:rFonts w:ascii="Tahoma" w:hAnsi="Tahoma" w:cs="Tahoma"/>
          <w:sz w:val="18"/>
          <w:szCs w:val="18"/>
          <w:lang w:val="sr-Latn-BA"/>
        </w:rPr>
        <w:t>G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), 11,1%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uslužnim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(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 xml:space="preserve">H, I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 xml:space="preserve"> L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)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10,6%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Građevinarstvu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(</w:t>
      </w:r>
      <w:r w:rsidR="007C7676" w:rsidRPr="00BB73AA">
        <w:rPr>
          <w:rFonts w:ascii="Tahoma" w:hAnsi="Tahoma" w:cs="Tahoma"/>
          <w:sz w:val="18"/>
          <w:szCs w:val="18"/>
          <w:lang w:val="sr-Latn-BA"/>
        </w:rPr>
        <w:t>F</w:t>
      </w:r>
      <w:r w:rsidR="007C7676">
        <w:rPr>
          <w:rFonts w:ascii="Tahoma" w:hAnsi="Tahoma" w:cs="Tahoma"/>
          <w:sz w:val="18"/>
          <w:szCs w:val="18"/>
          <w:lang w:val="sr-Cyrl-BA"/>
        </w:rPr>
        <w:t>).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Područje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snabdijevanje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električnom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energijom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najveće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prosječne</w:t>
      </w:r>
      <w:r w:rsidR="007C7676" w:rsidRPr="0057591C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troškove</w:t>
      </w:r>
      <w:r w:rsidR="007C7676" w:rsidRPr="0057591C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zaposlenih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F0510">
        <w:rPr>
          <w:rFonts w:ascii="Tahoma" w:hAnsi="Tahoma" w:cs="Tahoma"/>
          <w:sz w:val="18"/>
          <w:szCs w:val="18"/>
          <w:lang w:val="sr-Cyrl-BA"/>
        </w:rPr>
        <w:t xml:space="preserve">    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24 422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b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7C7676" w:rsidRPr="009A594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7C7676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najmanji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Prerađivačka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8 417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sz w:val="18"/>
          <w:szCs w:val="18"/>
          <w:lang w:val="sr-Cyrl-BA"/>
        </w:rPr>
        <w:t>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Poslovanje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rezultat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promet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milijardi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847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čega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50,6% </w:t>
      </w: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Trgovina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37,7%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industrijskim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7,7%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Građevinarstvu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4%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uslužnim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. </w:t>
      </w:r>
    </w:p>
    <w:p w:rsidR="007C7676" w:rsidRPr="00F27720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Struktura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prometa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klasama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zaposlenih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predstavljena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grafikom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1., </w:t>
      </w:r>
      <w:r>
        <w:rPr>
          <w:rFonts w:ascii="Tahoma" w:hAnsi="Tahoma" w:cs="Tahoma"/>
          <w:sz w:val="18"/>
          <w:szCs w:val="18"/>
          <w:lang w:val="sr-Cyrl-BA"/>
        </w:rPr>
        <w:t>pokazuje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najveće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učešće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prometu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(53,6%) </w:t>
      </w:r>
      <w:r>
        <w:rPr>
          <w:rFonts w:ascii="Tahoma" w:hAnsi="Tahoma" w:cs="Tahoma"/>
          <w:sz w:val="18"/>
          <w:szCs w:val="18"/>
          <w:lang w:val="sr-Cyrl-BA"/>
        </w:rPr>
        <w:t>imala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50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zaposlenih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lica</w:t>
      </w:r>
      <w:r w:rsidR="007C7676">
        <w:rPr>
          <w:rFonts w:ascii="Tahoma" w:hAnsi="Tahoma" w:cs="Tahoma"/>
          <w:sz w:val="18"/>
          <w:szCs w:val="18"/>
          <w:lang w:val="sr-Cyrl-BA"/>
        </w:rPr>
        <w:t>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Prema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rezultatima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strukturnih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poslovnih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statistika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ukupnoj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dodatoj</w:t>
      </w:r>
      <w:r w:rsidR="007C7676" w:rsidRPr="007918E9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vrijednosti</w:t>
      </w:r>
      <w:r w:rsidR="007C7676" w:rsidRPr="007918E9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po</w:t>
      </w:r>
      <w:r w:rsidR="007C7676" w:rsidRPr="007918E9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faktorskim</w:t>
      </w:r>
      <w:r w:rsidR="007C7676" w:rsidRPr="007918E9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troškovima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posmatranim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 </w:t>
      </w:r>
      <w:r>
        <w:rPr>
          <w:rFonts w:ascii="Tahoma" w:hAnsi="Tahoma" w:cs="Tahoma"/>
          <w:sz w:val="18"/>
          <w:szCs w:val="18"/>
          <w:lang w:val="sr-Cyrl-BA"/>
        </w:rPr>
        <w:t>milijarde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292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najveće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učešće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42,2%,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Trgovina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32,8%, </w:t>
      </w:r>
      <w:r>
        <w:rPr>
          <w:rFonts w:ascii="Tahoma" w:hAnsi="Tahoma" w:cs="Tahoma"/>
          <w:sz w:val="18"/>
          <w:szCs w:val="18"/>
          <w:lang w:val="sr-Cyrl-BA"/>
        </w:rPr>
        <w:t>Građevinarstvo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14,6%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uslužna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10,4%.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Najveća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dodata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zaposlenom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licu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mjera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produktivnosti</w:t>
      </w:r>
      <w:r w:rsidR="007C7676" w:rsidRPr="000062A9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rada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snabdijevanje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električnom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energijom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49 562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Vađenje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ruda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kamena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36 251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Poslovanju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nekretninama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29 651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7C7676">
        <w:rPr>
          <w:rFonts w:ascii="Tahoma" w:hAnsi="Tahoma" w:cs="Tahoma"/>
          <w:sz w:val="18"/>
          <w:szCs w:val="18"/>
          <w:lang w:val="sr-Cyrl-BA"/>
        </w:rPr>
        <w:t>.</w:t>
      </w:r>
    </w:p>
    <w:p w:rsidR="007C7676" w:rsidRDefault="00075842" w:rsidP="007C7676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Najveća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profitabilnosti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pokazatelj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zarađivačke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sposobnosti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konkurentnosti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preduzeća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postignuta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Poslovanje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nekretninama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 29%,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Vađenje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ruda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kamena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22%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Građevinarstvu</w:t>
      </w:r>
      <w:r w:rsidR="007C7676">
        <w:rPr>
          <w:rFonts w:ascii="Tahoma" w:hAnsi="Tahoma" w:cs="Tahoma"/>
          <w:sz w:val="18"/>
          <w:szCs w:val="18"/>
          <w:lang w:val="sr-Cyrl-BA"/>
        </w:rPr>
        <w:t xml:space="preserve"> 20%.</w:t>
      </w:r>
    </w:p>
    <w:p w:rsidR="00091CFB" w:rsidRPr="00AC0AD2" w:rsidRDefault="00091CFB" w:rsidP="00091CFB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AC0AD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229100" cy="24765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1CFB" w:rsidRPr="00AC0AD2" w:rsidRDefault="00075842" w:rsidP="00091CFB">
      <w:pPr>
        <w:spacing w:before="28"/>
        <w:ind w:left="1170" w:right="1471"/>
        <w:jc w:val="center"/>
        <w:rPr>
          <w:rFonts w:ascii="Tahoma" w:eastAsia="Arial" w:hAnsi="Tahoma" w:cs="Tahoma"/>
          <w:noProof/>
          <w:sz w:val="16"/>
          <w:szCs w:val="16"/>
          <w:lang w:val="sr-Cyrl-BA"/>
        </w:rPr>
      </w:pPr>
      <w:r>
        <w:rPr>
          <w:rFonts w:ascii="Tahoma" w:eastAsia="Arial" w:hAnsi="Tahoma" w:cs="Tahoma"/>
          <w:noProof/>
          <w:spacing w:val="1"/>
          <w:sz w:val="16"/>
          <w:szCs w:val="16"/>
          <w:lang w:val="sr-Cyrl-BA"/>
        </w:rPr>
        <w:t>G</w:t>
      </w:r>
      <w:r>
        <w:rPr>
          <w:rFonts w:ascii="Tahoma" w:eastAsia="Arial" w:hAnsi="Tahoma" w:cs="Tahoma"/>
          <w:noProof/>
          <w:sz w:val="16"/>
          <w:szCs w:val="16"/>
          <w:lang w:val="sr-Cyrl-BA"/>
        </w:rPr>
        <w:t>rafikon</w:t>
      </w:r>
      <w:r w:rsidR="00091CFB" w:rsidRPr="00AC0AD2">
        <w:rPr>
          <w:rFonts w:ascii="Tahoma" w:eastAsia="Arial" w:hAnsi="Tahoma" w:cs="Tahoma"/>
          <w:noProof/>
          <w:sz w:val="16"/>
          <w:szCs w:val="16"/>
          <w:lang w:val="sr-Cyrl-BA"/>
        </w:rPr>
        <w:t xml:space="preserve"> </w:t>
      </w:r>
      <w:r w:rsidR="00091CFB" w:rsidRPr="00AC0AD2">
        <w:rPr>
          <w:rFonts w:ascii="Tahoma" w:eastAsia="Arial" w:hAnsi="Tahoma" w:cs="Tahoma"/>
          <w:noProof/>
          <w:spacing w:val="2"/>
          <w:sz w:val="16"/>
          <w:szCs w:val="16"/>
          <w:lang w:val="sr-Cyrl-BA"/>
        </w:rPr>
        <w:t xml:space="preserve"> 1</w:t>
      </w:r>
      <w:r w:rsidR="00091CFB" w:rsidRPr="00AC0AD2">
        <w:rPr>
          <w:rFonts w:ascii="Tahoma" w:eastAsia="Arial" w:hAnsi="Tahoma" w:cs="Tahoma"/>
          <w:noProof/>
          <w:sz w:val="16"/>
          <w:szCs w:val="16"/>
          <w:lang w:val="sr-Cyrl-BA"/>
        </w:rPr>
        <w:t>.</w:t>
      </w:r>
      <w:r w:rsidR="00091CFB" w:rsidRPr="00AC0AD2">
        <w:rPr>
          <w:rFonts w:ascii="Tahoma" w:eastAsia="Arial" w:hAnsi="Tahoma" w:cs="Tahoma"/>
          <w:noProof/>
          <w:spacing w:val="-1"/>
          <w:sz w:val="16"/>
          <w:szCs w:val="16"/>
          <w:lang w:val="sr-Cyrl-BA"/>
        </w:rPr>
        <w:t xml:space="preserve"> </w:t>
      </w:r>
      <w:r>
        <w:rPr>
          <w:rFonts w:ascii="Tahoma" w:eastAsia="Arial" w:hAnsi="Tahoma" w:cs="Tahoma"/>
          <w:noProof/>
          <w:spacing w:val="-1"/>
          <w:w w:val="109"/>
          <w:sz w:val="16"/>
          <w:szCs w:val="16"/>
          <w:lang w:val="sr-Cyrl-BA"/>
        </w:rPr>
        <w:t>S</w:t>
      </w:r>
      <w:r>
        <w:rPr>
          <w:rFonts w:ascii="Tahoma" w:eastAsia="Arial" w:hAnsi="Tahoma" w:cs="Tahoma"/>
          <w:noProof/>
          <w:spacing w:val="1"/>
          <w:w w:val="109"/>
          <w:sz w:val="16"/>
          <w:szCs w:val="16"/>
          <w:lang w:val="sr-Cyrl-BA"/>
        </w:rPr>
        <w:t>t</w:t>
      </w:r>
      <w:r>
        <w:rPr>
          <w:rFonts w:ascii="Tahoma" w:eastAsia="Arial" w:hAnsi="Tahoma" w:cs="Tahoma"/>
          <w:noProof/>
          <w:w w:val="109"/>
          <w:sz w:val="16"/>
          <w:szCs w:val="16"/>
          <w:lang w:val="sr-Cyrl-BA"/>
        </w:rPr>
        <w:t>ruktura</w:t>
      </w:r>
      <w:r w:rsidR="00091CFB" w:rsidRPr="00AC0AD2">
        <w:rPr>
          <w:rFonts w:ascii="Tahoma" w:eastAsia="Arial" w:hAnsi="Tahoma" w:cs="Tahoma"/>
          <w:noProof/>
          <w:spacing w:val="-2"/>
          <w:w w:val="109"/>
          <w:sz w:val="16"/>
          <w:szCs w:val="16"/>
          <w:lang w:val="sr-Cyrl-BA"/>
        </w:rPr>
        <w:t xml:space="preserve"> </w:t>
      </w:r>
      <w:r>
        <w:rPr>
          <w:rFonts w:ascii="Tahoma" w:eastAsia="Arial" w:hAnsi="Tahoma" w:cs="Tahoma"/>
          <w:noProof/>
          <w:spacing w:val="-2"/>
          <w:w w:val="109"/>
          <w:sz w:val="16"/>
          <w:szCs w:val="16"/>
          <w:lang w:val="sr-Cyrl-BA"/>
        </w:rPr>
        <w:t>prometa</w:t>
      </w:r>
      <w:r w:rsidR="00091CFB" w:rsidRPr="00AC0AD2">
        <w:rPr>
          <w:rFonts w:ascii="Tahoma" w:eastAsia="Arial" w:hAnsi="Tahoma" w:cs="Tahoma"/>
          <w:noProof/>
          <w:spacing w:val="7"/>
          <w:w w:val="109"/>
          <w:sz w:val="16"/>
          <w:szCs w:val="16"/>
          <w:lang w:val="sr-Cyrl-BA"/>
        </w:rPr>
        <w:t xml:space="preserve"> </w:t>
      </w:r>
      <w:r>
        <w:rPr>
          <w:rFonts w:ascii="Tahoma" w:eastAsia="Arial" w:hAnsi="Tahoma" w:cs="Tahoma"/>
          <w:noProof/>
          <w:sz w:val="16"/>
          <w:szCs w:val="16"/>
          <w:lang w:val="sr-Cyrl-BA"/>
        </w:rPr>
        <w:t>prema</w:t>
      </w:r>
      <w:r w:rsidR="00091CFB" w:rsidRPr="00AC0AD2">
        <w:rPr>
          <w:rFonts w:ascii="Tahoma" w:eastAsia="Arial" w:hAnsi="Tahoma" w:cs="Tahoma"/>
          <w:noProof/>
          <w:spacing w:val="22"/>
          <w:sz w:val="16"/>
          <w:szCs w:val="16"/>
          <w:lang w:val="sr-Cyrl-BA"/>
        </w:rPr>
        <w:t xml:space="preserve"> </w:t>
      </w:r>
      <w:r>
        <w:rPr>
          <w:rFonts w:ascii="Tahoma" w:eastAsia="Arial" w:hAnsi="Tahoma" w:cs="Tahoma"/>
          <w:noProof/>
          <w:sz w:val="16"/>
          <w:szCs w:val="16"/>
          <w:lang w:val="sr-Cyrl-BA"/>
        </w:rPr>
        <w:t>klasama</w:t>
      </w:r>
      <w:r w:rsidR="00091CFB" w:rsidRPr="00AC0AD2">
        <w:rPr>
          <w:rFonts w:ascii="Tahoma" w:eastAsia="Arial" w:hAnsi="Tahoma" w:cs="Tahoma"/>
          <w:noProof/>
          <w:spacing w:val="31"/>
          <w:sz w:val="16"/>
          <w:szCs w:val="16"/>
          <w:lang w:val="sr-Cyrl-BA"/>
        </w:rPr>
        <w:t xml:space="preserve"> </w:t>
      </w:r>
      <w:r>
        <w:rPr>
          <w:rFonts w:ascii="Tahoma" w:eastAsia="Arial" w:hAnsi="Tahoma" w:cs="Tahoma"/>
          <w:noProof/>
          <w:spacing w:val="1"/>
          <w:sz w:val="16"/>
          <w:szCs w:val="16"/>
          <w:lang w:val="sr-Cyrl-BA"/>
        </w:rPr>
        <w:t>z</w:t>
      </w:r>
      <w:r>
        <w:rPr>
          <w:rFonts w:ascii="Tahoma" w:eastAsia="Arial" w:hAnsi="Tahoma" w:cs="Tahoma"/>
          <w:noProof/>
          <w:sz w:val="16"/>
          <w:szCs w:val="16"/>
          <w:lang w:val="sr-Cyrl-BA"/>
        </w:rPr>
        <w:t>aposlenih</w:t>
      </w:r>
      <w:r w:rsidR="00091CFB" w:rsidRPr="00AC0AD2">
        <w:rPr>
          <w:rFonts w:ascii="Tahoma" w:eastAsia="Arial" w:hAnsi="Tahoma" w:cs="Tahoma"/>
          <w:noProof/>
          <w:sz w:val="16"/>
          <w:szCs w:val="16"/>
          <w:lang w:val="sr-Cyrl-BA"/>
        </w:rPr>
        <w:t xml:space="preserve"> </w:t>
      </w:r>
      <w:r>
        <w:rPr>
          <w:rFonts w:ascii="Tahoma" w:eastAsia="Arial" w:hAnsi="Tahoma" w:cs="Tahoma"/>
          <w:noProof/>
          <w:sz w:val="16"/>
          <w:szCs w:val="16"/>
          <w:lang w:val="sr-Cyrl-BA"/>
        </w:rPr>
        <w:t>lica</w:t>
      </w:r>
    </w:p>
    <w:p w:rsidR="00091CFB" w:rsidRPr="00AC0AD2" w:rsidRDefault="00091CFB" w:rsidP="00091CFB">
      <w:pPr>
        <w:tabs>
          <w:tab w:val="left" w:pos="3165"/>
        </w:tabs>
        <w:rPr>
          <w:rFonts w:ascii="Tahoma" w:hAnsi="Tahoma" w:cs="Tahoma"/>
          <w:sz w:val="18"/>
          <w:szCs w:val="18"/>
          <w:lang w:val="sr-Cyrl-BA"/>
        </w:rPr>
      </w:pPr>
    </w:p>
    <w:p w:rsidR="009B5105" w:rsidRPr="00AC0AD2" w:rsidRDefault="009B5105" w:rsidP="009B5105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1ED2" w:rsidRPr="00AC0AD2" w:rsidRDefault="00075842" w:rsidP="00111ED2">
      <w:pPr>
        <w:outlineLvl w:val="0"/>
        <w:rPr>
          <w:rFonts w:ascii="Tahoma" w:hAnsi="Tahoma" w:cs="Tahoma"/>
          <w:b/>
          <w:spacing w:val="-8"/>
          <w:sz w:val="28"/>
          <w:szCs w:val="28"/>
          <w:lang w:val="sr-Cyrl-CS"/>
        </w:rPr>
      </w:pP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Indikatori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radne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snage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,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prema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rezultatima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ankete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o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radnoj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8"/>
          <w:sz w:val="28"/>
          <w:szCs w:val="28"/>
          <w:lang w:val="sr-Cyrl-CS"/>
        </w:rPr>
        <w:t>snazi</w:t>
      </w:r>
      <w:r w:rsidR="00111ED2" w:rsidRPr="00AC0AD2">
        <w:rPr>
          <w:rFonts w:ascii="Tahoma" w:hAnsi="Tahoma" w:cs="Tahoma"/>
          <w:b/>
          <w:spacing w:val="-8"/>
          <w:sz w:val="28"/>
          <w:szCs w:val="28"/>
          <w:lang w:val="sr-Cyrl-CS"/>
        </w:rPr>
        <w:t xml:space="preserve"> </w:t>
      </w:r>
    </w:p>
    <w:p w:rsidR="00111ED2" w:rsidRPr="00AC0AD2" w:rsidRDefault="00111ED2" w:rsidP="00111ED2">
      <w:pPr>
        <w:outlineLvl w:val="0"/>
        <w:rPr>
          <w:rFonts w:ascii="Tahoma" w:hAnsi="Tahoma" w:cs="Tahoma"/>
          <w:b/>
          <w:spacing w:val="-8"/>
          <w:sz w:val="18"/>
          <w:szCs w:val="18"/>
          <w:lang w:val="ru-RU"/>
        </w:rPr>
      </w:pPr>
    </w:p>
    <w:p w:rsidR="00111ED2" w:rsidRPr="00AC0AD2" w:rsidRDefault="0007584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Anketa</w:t>
      </w:r>
      <w:r w:rsidR="00111ED2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o</w:t>
      </w:r>
      <w:r w:rsidR="00111ED2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radnoj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snazi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zasnovana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preporukama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definicijama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Međunarodne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organizacije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(ILO)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zahtjevima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Statističke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kancelarije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Evropske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unije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(EUROSTAT), </w:t>
      </w:r>
      <w:r>
        <w:rPr>
          <w:rFonts w:ascii="Tahoma" w:hAnsi="Tahoma" w:cs="Tahoma"/>
          <w:sz w:val="18"/>
          <w:szCs w:val="18"/>
          <w:lang w:val="sr-Cyrl-CS"/>
        </w:rPr>
        <w:t>čime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obezbijeđena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međunarodna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uporedivost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podataka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oblasti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statistike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111ED2" w:rsidRPr="00AC0AD2" w:rsidRDefault="0007584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Anketom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radnoj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snazi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11ED2" w:rsidRPr="00AC0AD2">
        <w:rPr>
          <w:rFonts w:ascii="Tahoma" w:hAnsi="Tahoma" w:cs="Tahoma"/>
          <w:sz w:val="18"/>
          <w:szCs w:val="18"/>
        </w:rPr>
        <w:t xml:space="preserve">je </w:t>
      </w:r>
      <w:r>
        <w:rPr>
          <w:rFonts w:ascii="Tahoma" w:hAnsi="Tahoma" w:cs="Tahoma"/>
          <w:sz w:val="18"/>
          <w:szCs w:val="18"/>
          <w:lang w:val="sr-Cyrl-CS"/>
        </w:rPr>
        <w:t>obuhvaćen</w:t>
      </w:r>
      <w:r w:rsidR="00111ED2" w:rsidRPr="00AC0AD2">
        <w:rPr>
          <w:rFonts w:ascii="Tahoma" w:hAnsi="Tahoma" w:cs="Tahoma"/>
          <w:sz w:val="18"/>
          <w:szCs w:val="18"/>
        </w:rPr>
        <w:t>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3</w:t>
      </w:r>
      <w:r w:rsidR="00111ED2" w:rsidRPr="00AC0AD2">
        <w:rPr>
          <w:rFonts w:ascii="Tahoma" w:hAnsi="Tahoma" w:cs="Tahoma"/>
          <w:sz w:val="18"/>
          <w:szCs w:val="18"/>
          <w:lang w:val="ru-RU"/>
        </w:rPr>
        <w:t xml:space="preserve"> 518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slučajno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izabranih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Realizovana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16.</w:t>
      </w:r>
      <w:r w:rsidR="00111ED2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11ED2" w:rsidRPr="00AC0AD2">
        <w:rPr>
          <w:rFonts w:ascii="Tahoma" w:hAnsi="Tahoma" w:cs="Tahoma"/>
          <w:sz w:val="18"/>
          <w:szCs w:val="18"/>
        </w:rPr>
        <w:t>2</w:t>
      </w:r>
      <w:r w:rsidR="00111ED2" w:rsidRPr="00AC0AD2">
        <w:rPr>
          <w:rFonts w:ascii="Tahoma" w:hAnsi="Tahoma" w:cs="Tahoma"/>
          <w:sz w:val="18"/>
          <w:szCs w:val="18"/>
          <w:lang w:val="sr-Cyrl-BA"/>
        </w:rPr>
        <w:t>9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>.</w:t>
      </w:r>
      <w:r w:rsidR="00111ED2" w:rsidRPr="00AC0AD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20</w:t>
      </w:r>
      <w:r w:rsidR="00111ED2" w:rsidRPr="00AC0AD2">
        <w:rPr>
          <w:rFonts w:ascii="Tahoma" w:hAnsi="Tahoma" w:cs="Tahoma"/>
          <w:sz w:val="18"/>
          <w:szCs w:val="18"/>
        </w:rPr>
        <w:t>1</w:t>
      </w:r>
      <w:r w:rsidR="00111ED2" w:rsidRPr="00AC0AD2">
        <w:rPr>
          <w:rFonts w:ascii="Tahoma" w:hAnsi="Tahoma" w:cs="Tahoma"/>
          <w:sz w:val="18"/>
          <w:szCs w:val="18"/>
          <w:lang w:val="sr-Cyrl-BA"/>
        </w:rPr>
        <w:t>2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referentna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sedmica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obuhvatila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09. </w:t>
      </w:r>
      <w:r>
        <w:rPr>
          <w:rFonts w:ascii="Tahoma" w:hAnsi="Tahoma" w:cs="Tahoma"/>
          <w:sz w:val="18"/>
          <w:szCs w:val="18"/>
          <w:lang w:val="sr-Cyrl-CS"/>
        </w:rPr>
        <w:t>do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15. </w:t>
      </w:r>
      <w:r>
        <w:rPr>
          <w:rFonts w:ascii="Tahoma" w:hAnsi="Tahoma" w:cs="Tahoma"/>
          <w:sz w:val="18"/>
          <w:szCs w:val="18"/>
          <w:lang w:val="sr-Cyrl-CS"/>
        </w:rPr>
        <w:t>aprila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111ED2" w:rsidRPr="00AC0AD2" w:rsidRDefault="0007584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Prema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rezultatima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Ankete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radnoj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snazi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aktivnosti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koja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pokazuje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aktivnog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radno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sposobnog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stanovništva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47</w:t>
      </w:r>
      <w:r w:rsidR="00111ED2" w:rsidRPr="00AC0AD2">
        <w:rPr>
          <w:rFonts w:ascii="Tahoma" w:hAnsi="Tahoma" w:cs="Tahoma"/>
          <w:sz w:val="18"/>
          <w:szCs w:val="18"/>
          <w:lang w:val="ru-RU"/>
        </w:rPr>
        <w:t>,4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zaposlenosti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radno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sposobnog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stanovništva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35</w:t>
      </w:r>
      <w:r w:rsidR="00111ED2" w:rsidRPr="00AC0AD2">
        <w:rPr>
          <w:rFonts w:ascii="Tahoma" w:hAnsi="Tahoma" w:cs="Tahoma"/>
          <w:sz w:val="18"/>
          <w:szCs w:val="18"/>
          <w:lang w:val="ru-RU"/>
        </w:rPr>
        <w:t>,3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nezaposlenosti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mjerena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odnosom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nezaposlenih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aktivnog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stanovništva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25,6%.</w:t>
      </w:r>
    </w:p>
    <w:p w:rsidR="00111ED2" w:rsidRPr="00AC0AD2" w:rsidRDefault="0007584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aktivnosti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0,4 </w:t>
      </w:r>
      <w:r>
        <w:rPr>
          <w:rFonts w:ascii="Tahoma" w:hAnsi="Tahoma" w:cs="Tahoma"/>
          <w:sz w:val="18"/>
          <w:szCs w:val="18"/>
          <w:lang w:val="sr-Cyrl-BA"/>
        </w:rPr>
        <w:t>indeksna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poena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zaposlenosti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111ED2" w:rsidRPr="00AC0AD2">
        <w:rPr>
          <w:rFonts w:ascii="Tahoma" w:hAnsi="Tahoma" w:cs="Tahoma"/>
          <w:sz w:val="18"/>
          <w:szCs w:val="18"/>
        </w:rPr>
        <w:t>8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indeksna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poena</w:t>
      </w:r>
      <w:r w:rsidR="00111ED2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 w:rsidR="00111ED2" w:rsidRPr="00AC0AD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nezaposlenosti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1,1 </w:t>
      </w:r>
      <w:r>
        <w:rPr>
          <w:rFonts w:ascii="Tahoma" w:hAnsi="Tahoma" w:cs="Tahoma"/>
          <w:sz w:val="18"/>
          <w:szCs w:val="18"/>
          <w:lang w:val="sr-Cyrl-BA"/>
        </w:rPr>
        <w:t>indeksni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poen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CF0EA0" w:rsidRPr="00AC0AD2" w:rsidRDefault="00075842" w:rsidP="00111ED2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Naglašavamo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podatke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Ankete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radnoj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snazi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nije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metodološki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ispravno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porediti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podacima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dobijaju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drugi</w:t>
      </w:r>
      <w:r>
        <w:rPr>
          <w:rFonts w:ascii="Tahoma" w:hAnsi="Tahoma" w:cs="Tahoma"/>
          <w:sz w:val="18"/>
          <w:szCs w:val="18"/>
          <w:lang w:val="ru-RU"/>
        </w:rPr>
        <w:t>h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statističkih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ili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administrativnih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izvora</w:t>
      </w:r>
      <w:r w:rsidR="00111ED2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E40E57" w:rsidRPr="00E40E57" w:rsidRDefault="00075842" w:rsidP="00E40E57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Posmatrajući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osnovne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pokazatelje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aktivnosti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zemljama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okruženju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može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zaključiti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njihovo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kretanje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slično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Srbiji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zaposlenosti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1,9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Hrvatskoj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2,1 </w:t>
      </w:r>
      <w:r>
        <w:rPr>
          <w:rFonts w:ascii="Tahoma" w:hAnsi="Tahoma" w:cs="Tahoma"/>
          <w:sz w:val="18"/>
          <w:szCs w:val="18"/>
          <w:lang w:val="sr-Cyrl-BA"/>
        </w:rPr>
        <w:t>indeksni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poen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nezaposlenosti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Srbiji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3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Hrvatskoj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2,1 </w:t>
      </w:r>
      <w:r>
        <w:rPr>
          <w:rFonts w:ascii="Tahoma" w:hAnsi="Tahoma" w:cs="Tahoma"/>
          <w:sz w:val="18"/>
          <w:szCs w:val="18"/>
          <w:lang w:val="sr-Cyrl-BA"/>
        </w:rPr>
        <w:t>indeksni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poen</w:t>
      </w:r>
      <w:r w:rsidR="00E40E57" w:rsidRPr="00E40E57">
        <w:rPr>
          <w:rFonts w:ascii="Tahoma" w:hAnsi="Tahoma" w:cs="Tahoma"/>
          <w:sz w:val="18"/>
          <w:szCs w:val="18"/>
          <w:lang w:val="sr-Cyrl-BA"/>
        </w:rPr>
        <w:t>.</w:t>
      </w:r>
    </w:p>
    <w:p w:rsidR="00CF0EA0" w:rsidRPr="00AC0AD2" w:rsidRDefault="00CF0EA0" w:rsidP="00CF0EA0">
      <w:pPr>
        <w:rPr>
          <w:rFonts w:ascii="Tahoma" w:hAnsi="Tahoma" w:cs="Tahoma"/>
          <w:sz w:val="24"/>
          <w:szCs w:val="24"/>
        </w:rPr>
      </w:pPr>
    </w:p>
    <w:p w:rsidR="00E37D8A" w:rsidRPr="00AC0AD2" w:rsidRDefault="00075842" w:rsidP="00E37D8A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E37D8A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E37D8A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E37D8A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E37D8A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julu</w:t>
      </w:r>
      <w:r w:rsidR="00E37D8A" w:rsidRPr="00AC0AD2">
        <w:rPr>
          <w:rFonts w:ascii="Tahoma" w:hAnsi="Tahoma" w:cs="Tahoma"/>
          <w:b/>
          <w:sz w:val="28"/>
          <w:szCs w:val="28"/>
          <w:lang w:val="sr-Cyrl-CS"/>
        </w:rPr>
        <w:t xml:space="preserve"> 823</w:t>
      </w:r>
      <w:r w:rsidR="00E37D8A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E37D8A" w:rsidRPr="00AC0AD2" w:rsidRDefault="00075842" w:rsidP="00E37D8A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E37D8A" w:rsidRPr="00AC0AD2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1 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>279</w:t>
      </w:r>
      <w:r w:rsidR="00E37D8A" w:rsidRPr="00AC0AD2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E37D8A" w:rsidRPr="00AC0AD2">
        <w:rPr>
          <w:rFonts w:ascii="Tahoma" w:hAnsi="Tahoma" w:cs="Tahoma"/>
          <w:sz w:val="24"/>
          <w:szCs w:val="24"/>
          <w:lang w:val="sr-Cyrl-CS"/>
        </w:rPr>
        <w:t xml:space="preserve"> 557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E37D8A" w:rsidRPr="00AC0AD2" w:rsidRDefault="00E37D8A" w:rsidP="00E37D8A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E37D8A" w:rsidRPr="00AC0AD2" w:rsidRDefault="00075842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lastRenderedPageBreak/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E37D8A"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E37D8A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>,</w:t>
      </w:r>
      <w:r w:rsidR="00E37D8A"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37D8A" w:rsidRPr="00AC0AD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823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37D8A" w:rsidRPr="00AC0AD2">
        <w:rPr>
          <w:rFonts w:ascii="Tahoma" w:hAnsi="Tahoma" w:cs="Tahoma"/>
          <w:sz w:val="18"/>
          <w:szCs w:val="18"/>
          <w:lang w:val="hr-HR"/>
        </w:rPr>
        <w:t>,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1 358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37D8A" w:rsidRPr="00AC0AD2" w:rsidRDefault="00075842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0,6%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1,0%.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1,7%,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1,0%.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1,4%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E37D8A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E37D8A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BA"/>
        </w:rPr>
        <w:t xml:space="preserve"> 0,2%.</w:t>
      </w:r>
    </w:p>
    <w:p w:rsidR="00E37D8A" w:rsidRPr="00AC0AD2" w:rsidRDefault="00E37D8A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37D8A" w:rsidRPr="00AC0AD2" w:rsidRDefault="00075842" w:rsidP="00E37D8A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1 279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557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E37D8A" w:rsidRPr="00AC0AD2" w:rsidRDefault="00E37D8A" w:rsidP="00E37D8A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37D8A" w:rsidRPr="00AC0AD2" w:rsidRDefault="00075842" w:rsidP="00E37D8A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37D8A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5,8%,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5,0%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Saobraćaj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skladištenje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komunikacije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2,9%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Zdravstveni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socijalni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rad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3,8%,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2,8%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37D8A" w:rsidRPr="00AC0AD2">
        <w:rPr>
          <w:rFonts w:ascii="Tahoma" w:hAnsi="Tahoma" w:cs="Tahoma"/>
          <w:sz w:val="18"/>
          <w:szCs w:val="18"/>
          <w:lang w:val="sr-Cyrl-CS"/>
        </w:rPr>
        <w:t xml:space="preserve"> 2,7%.</w:t>
      </w:r>
      <w:r w:rsidR="00E37D8A" w:rsidRPr="00AC0AD2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76086A" w:rsidRPr="00AC0AD2" w:rsidRDefault="0076086A" w:rsidP="00E16510">
      <w:pPr>
        <w:jc w:val="center"/>
        <w:rPr>
          <w:rFonts w:ascii="Tahoma" w:hAnsi="Tahoma" w:cs="Tahoma"/>
          <w:sz w:val="18"/>
          <w:szCs w:val="18"/>
        </w:rPr>
      </w:pPr>
    </w:p>
    <w:p w:rsidR="00A03889" w:rsidRPr="00AC0AD2" w:rsidRDefault="00A03889" w:rsidP="00E16510">
      <w:pPr>
        <w:jc w:val="center"/>
        <w:rPr>
          <w:rFonts w:ascii="Tahoma" w:hAnsi="Tahoma" w:cs="Tahoma"/>
          <w:sz w:val="18"/>
          <w:szCs w:val="18"/>
        </w:rPr>
      </w:pPr>
    </w:p>
    <w:p w:rsidR="00AF1FE7" w:rsidRPr="00AC0AD2" w:rsidRDefault="00114C45" w:rsidP="00E16510">
      <w:pPr>
        <w:jc w:val="center"/>
        <w:rPr>
          <w:rFonts w:ascii="Tahoma" w:hAnsi="Tahoma" w:cs="Tahoma"/>
          <w:sz w:val="18"/>
          <w:szCs w:val="18"/>
        </w:rPr>
      </w:pPr>
      <w:r w:rsidRPr="00114C45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39.5pt;margin-top:187.45pt;width:195.4pt;height:23.95pt;z-index:251669504;mso-position-horizontal-relative:text;mso-position-vertical-relative:text;mso-width-relative:margin;mso-height-relative:margin" strokecolor="white [3212]">
            <v:textbox>
              <w:txbxContent>
                <w:p w:rsidR="00075842" w:rsidRPr="00297CBC" w:rsidRDefault="00075842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</w:t>
                  </w: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2012.</w:t>
                  </w:r>
                </w:p>
              </w:txbxContent>
            </v:textbox>
          </v:shape>
        </w:pict>
      </w:r>
      <w:r w:rsidRPr="00114C45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09.5pt;margin-top:1.4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075842" w:rsidRPr="00B32263" w:rsidRDefault="00075842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="00E37D8A" w:rsidRPr="00AC0AD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882101" cy="2711395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14C45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075842" w:rsidRPr="00860DF8" w:rsidRDefault="00075842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D0CCB" w:rsidRPr="00AC0AD2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AC0AD2" w:rsidRDefault="00075842" w:rsidP="00B32263">
      <w:pPr>
        <w:jc w:val="center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962251" w:rsidRPr="00AC0AD2">
        <w:rPr>
          <w:rFonts w:ascii="Tahoma" w:hAnsi="Tahoma" w:cs="Tahoma"/>
          <w:sz w:val="18"/>
          <w:szCs w:val="18"/>
          <w:lang w:val="sr-Cyrl-BA"/>
        </w:rPr>
        <w:t>2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>.</w:t>
      </w:r>
      <w:r w:rsidR="005E0301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AC0AD2">
        <w:rPr>
          <w:rFonts w:ascii="Tahoma" w:hAnsi="Tahoma" w:cs="Tahoma"/>
          <w:sz w:val="18"/>
          <w:szCs w:val="18"/>
        </w:rPr>
        <w:t>e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neto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plat</w:t>
      </w:r>
      <w:r w:rsidR="005E0301" w:rsidRPr="00AC0AD2">
        <w:rPr>
          <w:rFonts w:ascii="Tahoma" w:hAnsi="Tahoma" w:cs="Tahoma"/>
          <w:sz w:val="18"/>
          <w:szCs w:val="18"/>
        </w:rPr>
        <w:t>e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5E0301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mjesecima</w:t>
      </w:r>
    </w:p>
    <w:p w:rsidR="00A03889" w:rsidRPr="00AC0AD2" w:rsidRDefault="00A03889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</w:p>
    <w:p w:rsidR="00CB5F09" w:rsidRPr="00AC0AD2" w:rsidRDefault="00CB5F09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</w:p>
    <w:p w:rsidR="00CB5F09" w:rsidRPr="00AC0AD2" w:rsidRDefault="00CB5F09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</w:p>
    <w:p w:rsidR="00CF3C50" w:rsidRPr="003269FE" w:rsidRDefault="00075842" w:rsidP="00CF3C50">
      <w:pPr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julu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-0,4%</w:t>
      </w:r>
    </w:p>
    <w:p w:rsidR="00CF3C50" w:rsidRPr="00B63019" w:rsidRDefault="00075842" w:rsidP="00CF3C50">
      <w:pPr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Godišnja</w:t>
      </w:r>
      <w:r w:rsidR="00D84C68" w:rsidRPr="00B63019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D84C68" w:rsidRPr="00B63019">
        <w:rPr>
          <w:rFonts w:ascii="Tahoma" w:hAnsi="Tahoma" w:cs="Tahoma"/>
          <w:sz w:val="24"/>
          <w:szCs w:val="24"/>
          <w:lang w:val="sr-Cyrl-BA"/>
        </w:rPr>
        <w:t xml:space="preserve"> (</w:t>
      </w:r>
      <w:r>
        <w:rPr>
          <w:rFonts w:ascii="Tahoma" w:hAnsi="Tahoma" w:cs="Tahoma"/>
          <w:sz w:val="24"/>
          <w:szCs w:val="24"/>
          <w:lang w:val="sr-Cyrl-BA"/>
        </w:rPr>
        <w:t>jul</w:t>
      </w:r>
      <w:r w:rsidR="00D84C68" w:rsidRPr="00B63019">
        <w:rPr>
          <w:rFonts w:ascii="Tahoma" w:hAnsi="Tahoma" w:cs="Tahoma"/>
          <w:sz w:val="24"/>
          <w:szCs w:val="24"/>
          <w:lang w:val="sr-Cyrl-BA"/>
        </w:rPr>
        <w:t xml:space="preserve"> 2012/</w:t>
      </w:r>
      <w:r>
        <w:rPr>
          <w:rFonts w:ascii="Tahoma" w:hAnsi="Tahoma" w:cs="Tahoma"/>
          <w:sz w:val="24"/>
          <w:szCs w:val="24"/>
          <w:lang w:val="sr-Cyrl-BA"/>
        </w:rPr>
        <w:t>jul</w:t>
      </w:r>
      <w:r w:rsidR="00CF3C50" w:rsidRPr="00B63019">
        <w:rPr>
          <w:rFonts w:ascii="Tahoma" w:hAnsi="Tahoma" w:cs="Tahoma"/>
          <w:sz w:val="24"/>
          <w:szCs w:val="24"/>
          <w:lang w:val="sr-Cyrl-BA"/>
        </w:rPr>
        <w:t xml:space="preserve"> 2011</w:t>
      </w:r>
      <w:r w:rsidR="00B63019">
        <w:rPr>
          <w:rFonts w:ascii="Tahoma" w:hAnsi="Tahoma" w:cs="Tahoma"/>
          <w:sz w:val="24"/>
          <w:szCs w:val="24"/>
          <w:lang w:val="sr-Cyrl-BA"/>
        </w:rPr>
        <w:t>.</w:t>
      </w:r>
      <w:r w:rsidR="00CF3C50" w:rsidRPr="00B63019">
        <w:rPr>
          <w:rFonts w:ascii="Tahoma" w:hAnsi="Tahoma" w:cs="Tahoma"/>
          <w:sz w:val="24"/>
          <w:szCs w:val="24"/>
          <w:lang w:val="sr-Cyrl-BA"/>
        </w:rPr>
        <w:t>) 1,6%</w:t>
      </w:r>
    </w:p>
    <w:p w:rsidR="00CF3C50" w:rsidRPr="00AC0AD2" w:rsidRDefault="00CF3C50" w:rsidP="00CF3C50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CF3C50" w:rsidRPr="00AC0AD2" w:rsidRDefault="00075842" w:rsidP="00CF3C5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mjerene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indeksom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potrošačkih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0,4%.</w:t>
      </w:r>
    </w:p>
    <w:p w:rsidR="00CF3C50" w:rsidRPr="00AC0AD2" w:rsidRDefault="00075842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Ovakvo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kretanje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rezultiralo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ovaj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pojeftinjenjem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pojedinih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prehrambenih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1,0%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te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pravilnika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osposobljavanju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vozača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motorna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vozila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uzrokovala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časova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vožnje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vozačkog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ispita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10,6%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pojeftinjenje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1,1%,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uzrokovalo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 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0,7%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</w:rPr>
      </w:pPr>
    </w:p>
    <w:p w:rsidR="00CF3C50" w:rsidRPr="00AC0AD2" w:rsidRDefault="00075842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1,0%,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1,1%.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eastAsia="Calibri" w:hAnsi="Tahoma" w:cs="Tahoma"/>
          <w:sz w:val="18"/>
          <w:szCs w:val="18"/>
        </w:rPr>
        <w:t xml:space="preserve"> 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meda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6,0%,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</w:t>
      </w:r>
      <w:r w:rsidR="00CF3C50" w:rsidRPr="00AC0AD2">
        <w:rPr>
          <w:rFonts w:ascii="Tahoma" w:eastAsia="Calibri" w:hAnsi="Tahoma" w:cs="Tahoma"/>
          <w:sz w:val="18"/>
          <w:szCs w:val="18"/>
        </w:rPr>
        <w:t>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</w:t>
      </w:r>
      <w:r w:rsidR="00CF3C50" w:rsidRPr="00AC0AD2">
        <w:rPr>
          <w:rFonts w:ascii="Tahoma" w:eastAsia="Calibri" w:hAnsi="Tahoma" w:cs="Tahoma"/>
          <w:sz w:val="18"/>
          <w:szCs w:val="18"/>
        </w:rPr>
        <w:t>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krema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bazi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kakaa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1,5%,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svježe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zamrznute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0,4%, </w:t>
      </w:r>
      <w:r>
        <w:rPr>
          <w:rFonts w:ascii="Tahoma" w:eastAsia="Calibri" w:hAnsi="Tahoma" w:cs="Tahoma"/>
          <w:sz w:val="18"/>
          <w:szCs w:val="18"/>
          <w:lang w:val="sr-Cyrl-BA"/>
        </w:rPr>
        <w:t>maslinovog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1,6%,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0,6%,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riže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2,3%.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CF3C50" w:rsidRPr="00AC0AD2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Hrana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6,3%,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5,9%,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mliječnih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2,0%, </w:t>
      </w:r>
      <w:r>
        <w:rPr>
          <w:rFonts w:ascii="Tahoma" w:eastAsia="Calibri" w:hAnsi="Tahoma" w:cs="Tahoma"/>
          <w:sz w:val="18"/>
          <w:szCs w:val="18"/>
          <w:lang w:val="sr-Cyrl-BA"/>
        </w:rPr>
        <w:t>kokošijih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jaja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5,6%, </w:t>
      </w:r>
      <w:r>
        <w:rPr>
          <w:rFonts w:ascii="Tahoma" w:eastAsia="Calibri" w:hAnsi="Tahoma" w:cs="Tahoma"/>
          <w:sz w:val="18"/>
          <w:szCs w:val="18"/>
          <w:lang w:val="sr-Cyrl-BA"/>
        </w:rPr>
        <w:t>junetine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0,1%, </w:t>
      </w:r>
      <w:r>
        <w:rPr>
          <w:rFonts w:ascii="Tahoma" w:eastAsia="Calibri" w:hAnsi="Tahoma" w:cs="Tahoma"/>
          <w:sz w:val="18"/>
          <w:szCs w:val="18"/>
          <w:lang w:val="sr-Cyrl-BA"/>
        </w:rPr>
        <w:t>jagnjetine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piletine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0,7%, </w:t>
      </w:r>
      <w:r>
        <w:rPr>
          <w:rFonts w:ascii="Tahoma" w:eastAsia="Calibri" w:hAnsi="Tahoma" w:cs="Tahoma"/>
          <w:sz w:val="18"/>
          <w:szCs w:val="18"/>
          <w:lang w:val="sr-Cyrl-BA"/>
        </w:rPr>
        <w:t>kuhinjske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soli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0,2%,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praška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pecivo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kvasca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koncetrovane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supe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2,8%.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1,2%.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</w:rPr>
      </w:pPr>
    </w:p>
    <w:p w:rsidR="00CF3C50" w:rsidRPr="00AC0AD2" w:rsidRDefault="00075842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Pad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 0,2%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nastao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čišćenje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održavanje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kuće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1,1%.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CF3C50" w:rsidRPr="00AC0AD2" w:rsidRDefault="00075842" w:rsidP="00CF3C50">
      <w:pPr>
        <w:spacing w:after="120"/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Odjeljak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Stanovanje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lignita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2,0%, </w:t>
      </w:r>
      <w:r>
        <w:rPr>
          <w:rFonts w:ascii="Tahoma" w:eastAsia="Calibri" w:hAnsi="Tahoma" w:cs="Tahoma"/>
          <w:sz w:val="18"/>
          <w:szCs w:val="18"/>
          <w:lang w:val="sr-Cyrl-BA"/>
        </w:rPr>
        <w:t>lož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1,5%. </w:t>
      </w:r>
    </w:p>
    <w:p w:rsidR="00CF3C50" w:rsidRPr="00AC0AD2" w:rsidRDefault="00075842" w:rsidP="00CF3C50">
      <w:pPr>
        <w:jc w:val="both"/>
        <w:rPr>
          <w:rFonts w:ascii="Tahoma" w:hAnsi="Tahoma" w:cs="Tahoma"/>
          <w:b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4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>,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>,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Restorani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hoteli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CF3C50" w:rsidRPr="00AC0AD2" w:rsidRDefault="00CF3C50" w:rsidP="00CF3C50">
      <w:pPr>
        <w:jc w:val="both"/>
        <w:rPr>
          <w:rFonts w:ascii="Tahoma" w:hAnsi="Tahoma" w:cs="Tahoma"/>
          <w:i/>
          <w:sz w:val="18"/>
          <w:szCs w:val="18"/>
        </w:rPr>
      </w:pPr>
    </w:p>
    <w:p w:rsidR="00CF3C50" w:rsidRPr="00AC0AD2" w:rsidRDefault="00075842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0,6%,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Alkoholna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pića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0,9%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1,5%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0,4%, </w:t>
      </w:r>
      <w:r>
        <w:rPr>
          <w:rFonts w:ascii="Tahoma" w:hAnsi="Tahoma" w:cs="Tahoma"/>
          <w:sz w:val="18"/>
          <w:szCs w:val="18"/>
          <w:lang w:val="sr-Cyrl-BA"/>
        </w:rPr>
        <w:t>te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Duvan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0,4%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domaćih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cigareta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sr-Cyrl-BA"/>
        </w:rPr>
        <w:t>Morava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meko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pakovanje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).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F3C50" w:rsidRPr="00AC0AD2" w:rsidRDefault="00075842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0,3%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putnih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aranžmana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6,8%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sezoni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.</w:t>
      </w:r>
    </w:p>
    <w:p w:rsidR="00CF3C50" w:rsidRPr="00AC0AD2" w:rsidRDefault="00CF3C50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F3C50" w:rsidRPr="00AC0AD2" w:rsidRDefault="00075842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Restorani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hoteli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0,1%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jela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pića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restoranima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0,3%.</w:t>
      </w:r>
    </w:p>
    <w:p w:rsidR="00CF3C50" w:rsidRPr="00AC0AD2" w:rsidRDefault="00075842" w:rsidP="00CF3C50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0,1%,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nekih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higijenu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sr-Cyrl-BA"/>
        </w:rPr>
        <w:t>toalet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sapun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šampon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kreme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paste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zube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.)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0,5%.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</w:rPr>
      </w:pPr>
    </w:p>
    <w:p w:rsidR="00CF3C50" w:rsidRPr="00AC0AD2" w:rsidRDefault="00075842" w:rsidP="00CF3C50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odjeljcima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Zdravstvo</w:t>
      </w:r>
      <w:r w:rsidR="00CF3C50" w:rsidRPr="00AC0AD2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Komunikacije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Obrazovanje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nisu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mijenjale</w:t>
      </w:r>
      <w:r w:rsidR="00CF3C50" w:rsidRPr="00AC0AD2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</w:p>
    <w:p w:rsidR="00CF3C50" w:rsidRPr="00AC0AD2" w:rsidRDefault="00CF3C50" w:rsidP="00CF3C50">
      <w:pPr>
        <w:jc w:val="both"/>
        <w:rPr>
          <w:rFonts w:ascii="Tahoma" w:eastAsia="Calibri" w:hAnsi="Tahoma" w:cs="Tahoma"/>
          <w:sz w:val="18"/>
          <w:szCs w:val="18"/>
        </w:rPr>
      </w:pPr>
    </w:p>
    <w:p w:rsidR="00CF3C50" w:rsidRPr="00AC0AD2" w:rsidRDefault="00075842" w:rsidP="00CF3C50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,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,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CF3C50" w:rsidRPr="00AC0AD2" w:rsidRDefault="00075842" w:rsidP="00CF3C50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9,0%,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: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4,2%,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2,8%,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1,6%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1,2%,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0,9%, 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0,8%,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0,3%,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0,1%,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0,1%.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0,7%,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3,5%.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CF0EA0" w:rsidRPr="00AC0AD2" w:rsidRDefault="00CF0EA0" w:rsidP="00CF0EA0">
      <w:pPr>
        <w:rPr>
          <w:rFonts w:ascii="Tahoma" w:hAnsi="Tahoma" w:cs="Tahoma"/>
          <w:b/>
        </w:rPr>
      </w:pPr>
    </w:p>
    <w:p w:rsidR="004B0DEB" w:rsidRPr="00AC0AD2" w:rsidRDefault="00075842" w:rsidP="004B0DEB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4B0DEB" w:rsidRPr="00AC0AD2">
        <w:rPr>
          <w:rFonts w:ascii="Tahoma" w:hAnsi="Tahoma" w:cs="Tahoma"/>
          <w:b/>
          <w:sz w:val="28"/>
          <w:szCs w:val="28"/>
        </w:rPr>
        <w:t>V</w:t>
      </w:r>
      <w:r w:rsidR="004B0DEB" w:rsidRPr="00AC0AD2">
        <w:rPr>
          <w:rFonts w:ascii="Tahoma" w:hAnsi="Tahoma" w:cs="Tahoma"/>
          <w:b/>
          <w:sz w:val="28"/>
          <w:szCs w:val="28"/>
          <w:lang w:val="sr-Latn-CS"/>
        </w:rPr>
        <w:t>II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4B0DEB" w:rsidRPr="00AC0AD2">
        <w:rPr>
          <w:rFonts w:ascii="Tahoma" w:hAnsi="Tahoma" w:cs="Tahoma"/>
          <w:b/>
          <w:sz w:val="28"/>
          <w:szCs w:val="28"/>
          <w:lang w:val="sr-Latn-CS"/>
        </w:rPr>
        <w:t>2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>/</w:t>
      </w:r>
      <w:r w:rsidR="004B0DEB" w:rsidRPr="00AC0AD2">
        <w:rPr>
          <w:rFonts w:ascii="Tahoma" w:hAnsi="Tahoma" w:cs="Tahoma"/>
          <w:b/>
          <w:sz w:val="28"/>
          <w:szCs w:val="28"/>
          <w:lang w:val="sr-Latn-CS"/>
        </w:rPr>
        <w:t>VI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4B0DEB" w:rsidRPr="00AC0AD2">
        <w:rPr>
          <w:rFonts w:ascii="Tahoma" w:hAnsi="Tahoma" w:cs="Tahoma"/>
          <w:b/>
          <w:sz w:val="28"/>
          <w:szCs w:val="28"/>
          <w:lang w:val="sr-Latn-CS"/>
        </w:rPr>
        <w:t>2</w:t>
      </w:r>
      <w:r w:rsidR="00B63019">
        <w:rPr>
          <w:rFonts w:ascii="Tahoma" w:hAnsi="Tahoma" w:cs="Tahoma"/>
          <w:b/>
          <w:sz w:val="28"/>
          <w:szCs w:val="28"/>
          <w:lang w:val="sr-Cyrl-CS"/>
        </w:rPr>
        <w:t>.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>)</w:t>
      </w:r>
      <w:r w:rsidR="004B0DEB" w:rsidRPr="00AC0AD2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4B0DEB" w:rsidRPr="00AC0AD2">
        <w:rPr>
          <w:rFonts w:ascii="Tahoma" w:hAnsi="Tahoma" w:cs="Tahoma"/>
          <w:b/>
          <w:sz w:val="28"/>
          <w:szCs w:val="28"/>
          <w:lang w:val="sr-Latn-CS"/>
        </w:rPr>
        <w:t>3</w:t>
      </w:r>
      <w:r w:rsidR="004B0DEB" w:rsidRPr="00AC0AD2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4B0DEB" w:rsidRPr="00AC0AD2" w:rsidRDefault="004B0DEB" w:rsidP="004B0DEB">
      <w:pPr>
        <w:jc w:val="both"/>
        <w:rPr>
          <w:rFonts w:ascii="Tahoma" w:hAnsi="Tahoma" w:cs="Tahoma"/>
          <w:lang w:val="sr-Cyrl-CS"/>
        </w:rPr>
      </w:pPr>
    </w:p>
    <w:p w:rsidR="004B0DEB" w:rsidRPr="00AC0AD2" w:rsidRDefault="00075842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4B0DEB" w:rsidRPr="00AC0AD2">
        <w:rPr>
          <w:rFonts w:ascii="Tahoma" w:hAnsi="Tahoma" w:cs="Tahoma"/>
          <w:sz w:val="18"/>
          <w:szCs w:val="18"/>
        </w:rPr>
        <w:t>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4B0DEB" w:rsidRPr="00AC0AD2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12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201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.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0,3%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>0,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4%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>0,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5%.</w:t>
      </w:r>
    </w:p>
    <w:p w:rsidR="004B0DEB" w:rsidRPr="00AC0AD2" w:rsidRDefault="004B0DEB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B0DEB" w:rsidRPr="00AC0AD2" w:rsidRDefault="00075842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12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201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5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>%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>2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%;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4B0DEB" w:rsidRPr="00AC0AD2">
        <w:rPr>
          <w:rFonts w:ascii="Tahoma" w:hAnsi="Tahoma" w:cs="Tahoma"/>
          <w:sz w:val="18"/>
          <w:szCs w:val="18"/>
          <w:lang w:val="sr-Latn-CS"/>
        </w:rPr>
        <w:t>1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4B0DEB" w:rsidRPr="00AC0AD2" w:rsidRDefault="00075842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,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12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1,4%,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0,7%,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0,3%,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0,7%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0,2%. </w:t>
      </w: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B0DEB" w:rsidRPr="00AC0AD2" w:rsidRDefault="00075842" w:rsidP="004B0DEB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(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PRODCOM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)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,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4B0DEB" w:rsidRPr="00AC0AD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)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12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201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.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1,6%,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4B0DEB" w:rsidRPr="00AC0AD2" w:rsidRDefault="004B0DEB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B0DEB" w:rsidRPr="00AC0AD2" w:rsidRDefault="00075842" w:rsidP="004B0DEB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12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20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11</w:t>
      </w:r>
      <w:r w:rsidR="004B0DEB" w:rsidRPr="00AC0AD2">
        <w:rPr>
          <w:rFonts w:ascii="Tahoma" w:hAnsi="Tahoma" w:cs="Tahoma"/>
          <w:sz w:val="18"/>
          <w:szCs w:val="18"/>
          <w:lang w:val="hr-HR"/>
        </w:rPr>
        <w:t>.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>,</w:t>
      </w:r>
      <w:r w:rsidR="004B0DEB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4B0DEB" w:rsidRPr="00AC0AD2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4B0DEB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4B0DEB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2,1%,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4B0DEB" w:rsidRPr="00AC0AD2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0,5%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4B0DEB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4B0DEB" w:rsidRPr="00AC0AD2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4B0DEB" w:rsidRPr="00AC0AD2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4B0DEB" w:rsidRPr="00AC0AD2">
        <w:rPr>
          <w:rFonts w:ascii="Tahoma" w:hAnsi="Tahoma" w:cs="Tahoma"/>
          <w:bCs/>
          <w:sz w:val="18"/>
          <w:szCs w:val="18"/>
          <w:lang w:val="sr-Cyrl-CS"/>
        </w:rPr>
        <w:t xml:space="preserve"> 0,2%. </w:t>
      </w:r>
    </w:p>
    <w:p w:rsidR="00E011F4" w:rsidRPr="00AC0AD2" w:rsidRDefault="00E011F4" w:rsidP="00E011F4">
      <w:pPr>
        <w:jc w:val="both"/>
        <w:rPr>
          <w:rFonts w:ascii="Tahoma" w:hAnsi="Tahoma" w:cs="Tahoma"/>
          <w:sz w:val="18"/>
          <w:szCs w:val="18"/>
        </w:rPr>
      </w:pPr>
    </w:p>
    <w:p w:rsidR="00D84C68" w:rsidRPr="00AC0AD2" w:rsidRDefault="00075842" w:rsidP="00D84C68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D84C68" w:rsidRPr="00AC0AD2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D84C68" w:rsidRPr="00AC0AD2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D84C68" w:rsidRPr="00AC0AD2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D84C68" w:rsidRPr="00AC0AD2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A31C64">
        <w:rPr>
          <w:rFonts w:ascii="Tahoma" w:hAnsi="Tahoma" w:cs="Tahoma"/>
          <w:b/>
          <w:spacing w:val="-4"/>
          <w:sz w:val="28"/>
          <w:szCs w:val="28"/>
          <w:lang w:val="sr-Cyrl-CS"/>
        </w:rPr>
        <w:t>I-</w:t>
      </w:r>
      <w:r w:rsidR="00D84C68" w:rsidRPr="00AC0AD2">
        <w:rPr>
          <w:rFonts w:ascii="Tahoma" w:hAnsi="Tahoma" w:cs="Tahoma"/>
          <w:b/>
          <w:spacing w:val="-4"/>
          <w:sz w:val="28"/>
          <w:szCs w:val="28"/>
        </w:rPr>
        <w:t>VII</w:t>
      </w:r>
      <w:r w:rsidR="00D84C68" w:rsidRPr="00AC0AD2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A31C64" w:rsidRPr="00A31C64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A31C64">
        <w:rPr>
          <w:rFonts w:ascii="Tahoma" w:hAnsi="Tahoma" w:cs="Tahoma"/>
          <w:b/>
          <w:spacing w:val="-4"/>
          <w:sz w:val="28"/>
          <w:szCs w:val="28"/>
          <w:lang w:val="sr-Cyrl-CS"/>
        </w:rPr>
        <w:t>I-</w:t>
      </w:r>
      <w:r w:rsidR="00A31C64" w:rsidRPr="00AC0AD2">
        <w:rPr>
          <w:rFonts w:ascii="Tahoma" w:hAnsi="Tahoma" w:cs="Tahoma"/>
          <w:b/>
          <w:spacing w:val="-4"/>
          <w:sz w:val="28"/>
          <w:szCs w:val="28"/>
        </w:rPr>
        <w:t>VII</w:t>
      </w:r>
      <w:r w:rsidR="00D84C68" w:rsidRPr="00AC0AD2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D84C68" w:rsidRPr="00AC0AD2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D84C68" w:rsidRPr="00AC0AD2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="00D84C68" w:rsidRPr="00AC0AD2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D84C68" w:rsidRPr="00AC0AD2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A31C64">
        <w:rPr>
          <w:rFonts w:ascii="Tahoma" w:hAnsi="Tahoma" w:cs="Tahoma"/>
          <w:b/>
          <w:bCs/>
          <w:spacing w:val="-4"/>
          <w:sz w:val="28"/>
          <w:szCs w:val="28"/>
        </w:rPr>
        <w:t>5</w:t>
      </w:r>
      <w:r w:rsidR="00D84C68" w:rsidRPr="00AC0AD2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A31C64">
        <w:rPr>
          <w:rFonts w:ascii="Tahoma" w:hAnsi="Tahoma" w:cs="Tahoma"/>
          <w:b/>
          <w:bCs/>
          <w:spacing w:val="-4"/>
          <w:sz w:val="28"/>
          <w:szCs w:val="28"/>
        </w:rPr>
        <w:t>6</w:t>
      </w:r>
      <w:r w:rsidR="00D84C68" w:rsidRPr="00AC0AD2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3269FE" w:rsidRPr="003269FE" w:rsidRDefault="00075842" w:rsidP="003269FE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3269FE" w:rsidRPr="003269F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3269FE" w:rsidRPr="003269F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3269FE" w:rsidRPr="003269FE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3269FE" w:rsidRPr="003269FE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3269FE" w:rsidRPr="003269FE">
        <w:rPr>
          <w:rFonts w:ascii="Tahoma" w:hAnsi="Tahoma" w:cs="Tahoma"/>
          <w:sz w:val="24"/>
          <w:szCs w:val="24"/>
          <w:lang w:val="sr-Cyrl-CS"/>
        </w:rPr>
        <w:t>V</w:t>
      </w:r>
      <w:r w:rsidR="003269FE" w:rsidRPr="003269FE">
        <w:rPr>
          <w:rFonts w:ascii="Tahoma" w:hAnsi="Tahoma" w:cs="Tahoma"/>
          <w:sz w:val="24"/>
          <w:szCs w:val="24"/>
        </w:rPr>
        <w:t>II</w:t>
      </w:r>
      <w:r w:rsidR="003269FE" w:rsidRPr="003269FE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3269FE" w:rsidRPr="003269FE">
        <w:rPr>
          <w:rFonts w:ascii="Tahoma" w:hAnsi="Tahoma" w:cs="Tahoma"/>
          <w:sz w:val="24"/>
          <w:szCs w:val="24"/>
          <w:lang w:val="sr-Cyrl-CS"/>
        </w:rPr>
        <w:t>12</w:t>
      </w:r>
      <w:r w:rsidR="003269FE" w:rsidRPr="003269FE">
        <w:rPr>
          <w:rFonts w:ascii="Tahoma" w:hAnsi="Tahoma" w:cs="Tahoma"/>
          <w:sz w:val="24"/>
          <w:szCs w:val="24"/>
          <w:lang w:val="sr-Latn-BA"/>
        </w:rPr>
        <w:t>/</w:t>
      </w:r>
      <w:r w:rsidR="003269FE" w:rsidRPr="003269FE">
        <w:rPr>
          <w:rFonts w:ascii="Tahoma" w:hAnsi="Tahoma" w:cs="Tahoma"/>
          <w:bCs/>
          <w:sz w:val="24"/>
          <w:szCs w:val="24"/>
        </w:rPr>
        <w:sym w:font="Symbol" w:char="F0C6"/>
      </w:r>
      <w:r w:rsidR="003269FE" w:rsidRPr="003269FE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3269FE" w:rsidRPr="003269FE">
        <w:rPr>
          <w:rFonts w:ascii="Tahoma" w:hAnsi="Tahoma" w:cs="Tahoma"/>
          <w:bCs/>
          <w:sz w:val="24"/>
          <w:szCs w:val="24"/>
          <w:lang w:val="ru-RU"/>
        </w:rPr>
        <w:t>2011.</w:t>
      </w:r>
      <w:r w:rsidR="003269FE" w:rsidRPr="003269FE">
        <w:rPr>
          <w:rFonts w:ascii="Tahoma" w:hAnsi="Tahoma" w:cs="Tahoma"/>
          <w:bCs/>
          <w:sz w:val="24"/>
          <w:szCs w:val="24"/>
          <w:lang w:val="hr-HR"/>
        </w:rPr>
        <w:t>)</w:t>
      </w:r>
      <w:r w:rsidR="003269FE" w:rsidRPr="003269FE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3269FE" w:rsidRPr="003269FE">
        <w:rPr>
          <w:rFonts w:ascii="Tahoma" w:hAnsi="Tahoma" w:cs="Tahoma"/>
          <w:sz w:val="24"/>
          <w:szCs w:val="24"/>
          <w:lang w:val="ru-RU"/>
        </w:rPr>
        <w:t xml:space="preserve"> </w:t>
      </w:r>
      <w:r w:rsidR="003269FE" w:rsidRPr="003269FE">
        <w:rPr>
          <w:rFonts w:ascii="Tahoma" w:hAnsi="Tahoma" w:cs="Tahoma"/>
          <w:sz w:val="24"/>
          <w:szCs w:val="24"/>
          <w:lang w:val="sr-Cyrl-CS"/>
        </w:rPr>
        <w:t>0</w:t>
      </w:r>
      <w:r w:rsidR="003269FE" w:rsidRPr="003269FE">
        <w:rPr>
          <w:rFonts w:ascii="Tahoma" w:hAnsi="Tahoma" w:cs="Tahoma"/>
          <w:sz w:val="24"/>
          <w:szCs w:val="24"/>
          <w:lang w:val="sr-Cyrl-BA"/>
        </w:rPr>
        <w:t>,7</w:t>
      </w:r>
      <w:r w:rsidR="003269FE" w:rsidRPr="003269FE">
        <w:rPr>
          <w:rFonts w:ascii="Tahoma" w:hAnsi="Tahoma" w:cs="Tahoma"/>
          <w:sz w:val="24"/>
          <w:szCs w:val="24"/>
          <w:lang w:val="ru-RU"/>
        </w:rPr>
        <w:t>%</w:t>
      </w:r>
    </w:p>
    <w:p w:rsidR="00F61225" w:rsidRPr="003269FE" w:rsidRDefault="00F61225" w:rsidP="00F61225">
      <w:pPr>
        <w:tabs>
          <w:tab w:val="left" w:pos="0"/>
          <w:tab w:val="left" w:pos="1100"/>
        </w:tabs>
        <w:jc w:val="both"/>
        <w:rPr>
          <w:lang w:val="sr-Latn-CS"/>
        </w:rPr>
      </w:pPr>
    </w:p>
    <w:p w:rsidR="00D84C68" w:rsidRPr="00AC0AD2" w:rsidRDefault="00075842" w:rsidP="00D84C68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D84C68" w:rsidRPr="00AC0AD2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6,9%,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8,4%</w:t>
      </w:r>
      <w:r w:rsidR="007C7676">
        <w:rPr>
          <w:rFonts w:ascii="Tahoma" w:hAnsi="Tahoma" w:cs="Tahoma"/>
          <w:sz w:val="18"/>
          <w:szCs w:val="18"/>
          <w:lang w:val="ru-RU"/>
        </w:rPr>
        <w:t>.</w:t>
      </w:r>
    </w:p>
    <w:p w:rsidR="00D84C68" w:rsidRPr="00AC0AD2" w:rsidRDefault="00075842" w:rsidP="00D84C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- </w:t>
      </w:r>
      <w:r>
        <w:rPr>
          <w:rFonts w:ascii="Tahoma" w:hAnsi="Tahoma" w:cs="Tahoma"/>
          <w:sz w:val="18"/>
          <w:szCs w:val="18"/>
          <w:lang w:val="sr-Cyrl-BA"/>
        </w:rPr>
        <w:t>jul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5,6%.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D84C68"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D84C68"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D84C68"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D84C68"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4,6%,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D84C68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D84C68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84C68" w:rsidRPr="00AC0AD2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D84C68"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5,0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D84C68" w:rsidRPr="00AC0AD2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6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,5%. </w:t>
      </w:r>
    </w:p>
    <w:p w:rsidR="00D84C68" w:rsidRPr="00AC0AD2" w:rsidRDefault="00D84C68" w:rsidP="00D84C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84C68" w:rsidRPr="00AC0AD2" w:rsidRDefault="00075842" w:rsidP="00D84C68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– </w:t>
      </w:r>
      <w:r>
        <w:rPr>
          <w:rFonts w:ascii="Tahoma" w:hAnsi="Tahoma" w:cs="Tahoma"/>
          <w:sz w:val="18"/>
          <w:szCs w:val="18"/>
          <w:lang w:val="ru-RU"/>
        </w:rPr>
        <w:t>jul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0,2%,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5,1%,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7,7%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7,8%,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84C68" w:rsidRPr="00AC0AD2">
        <w:rPr>
          <w:rFonts w:ascii="Tahoma" w:hAnsi="Tahoma" w:cs="Tahoma"/>
          <w:sz w:val="18"/>
          <w:szCs w:val="18"/>
          <w:lang w:val="sr-Cyrl-CS"/>
        </w:rPr>
        <w:t xml:space="preserve"> 5,9</w:t>
      </w:r>
      <w:r w:rsidR="00D84C68" w:rsidRPr="00AC0AD2">
        <w:rPr>
          <w:rFonts w:ascii="Tahoma" w:hAnsi="Tahoma" w:cs="Tahoma"/>
          <w:sz w:val="18"/>
          <w:szCs w:val="18"/>
          <w:lang w:val="sr-Cyrl-BA"/>
        </w:rPr>
        <w:t>%.</w:t>
      </w:r>
      <w:r w:rsidR="00D84C68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F61225" w:rsidRDefault="00F61225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3269FE" w:rsidRPr="003269FE" w:rsidRDefault="00075842" w:rsidP="003269FE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3269FE" w:rsidRPr="003269F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3269FE" w:rsidRPr="003269F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3269FE" w:rsidRPr="003269FE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julu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0,5%.</w:t>
      </w:r>
    </w:p>
    <w:p w:rsidR="003269FE" w:rsidRPr="003269FE" w:rsidRDefault="003269FE" w:rsidP="003269FE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3269FE" w:rsidRPr="003269FE" w:rsidRDefault="00075842" w:rsidP="003269FE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jul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1,7%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3269FE" w:rsidRPr="003269F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3269FE" w:rsidRPr="003269F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3269FE" w:rsidRPr="003269FE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,4%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3269FE" w:rsidRPr="003269FE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2,0%,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3269FE" w:rsidRPr="003269FE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3269FE" w:rsidRPr="003269FE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3269FE" w:rsidRPr="003269FE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3269FE" w:rsidRPr="003269FE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3269FE" w:rsidRPr="003269FE">
        <w:rPr>
          <w:rFonts w:ascii="Tahoma" w:hAnsi="Tahoma" w:cs="Tahoma"/>
          <w:sz w:val="18"/>
          <w:szCs w:val="18"/>
          <w:lang w:val="sr-Cyrl-CS"/>
        </w:rPr>
        <w:t xml:space="preserve"> 0,1</w:t>
      </w:r>
      <w:r w:rsidR="003269FE" w:rsidRPr="003269FE">
        <w:rPr>
          <w:rFonts w:ascii="Tahoma" w:hAnsi="Tahoma" w:cs="Tahoma"/>
          <w:sz w:val="18"/>
          <w:szCs w:val="18"/>
          <w:lang w:val="ru-RU"/>
        </w:rPr>
        <w:t>%.</w:t>
      </w:r>
    </w:p>
    <w:p w:rsidR="003269FE" w:rsidRPr="003269FE" w:rsidRDefault="003269FE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03889" w:rsidRPr="00AC0AD2" w:rsidRDefault="00075842" w:rsidP="007C7676">
      <w:pPr>
        <w:rPr>
          <w:rFonts w:ascii="Tahoma" w:hAnsi="Tahoma" w:cs="Tahoma"/>
          <w:b/>
          <w:bCs/>
          <w:sz w:val="22"/>
          <w:szCs w:val="22"/>
          <w:lang w:val="ru-RU"/>
        </w:rPr>
      </w:pPr>
      <w:r>
        <w:rPr>
          <w:rFonts w:ascii="Tahoma" w:hAnsi="Tahoma" w:cs="Tahoma"/>
          <w:b/>
          <w:bCs/>
          <w:sz w:val="22"/>
          <w:szCs w:val="22"/>
          <w:lang w:val="ru-RU"/>
        </w:rPr>
        <w:t>KONAČNI</w:t>
      </w:r>
      <w:r w:rsidR="00A03889" w:rsidRPr="00AC0AD2">
        <w:rPr>
          <w:rFonts w:ascii="Tahoma" w:hAnsi="Tahoma" w:cs="Tahoma"/>
          <w:b/>
          <w:bCs/>
          <w:sz w:val="22"/>
          <w:szCs w:val="22"/>
          <w:lang w:val="ru-RU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ru-RU"/>
        </w:rPr>
        <w:t>PODACI</w:t>
      </w:r>
    </w:p>
    <w:p w:rsidR="00A03889" w:rsidRPr="00AC0AD2" w:rsidRDefault="00075842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A03889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A03889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A03889" w:rsidRPr="00AC0AD2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A03889" w:rsidRPr="00AC0AD2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A03889" w:rsidRPr="00AC0AD2">
        <w:rPr>
          <w:rFonts w:ascii="Tahoma" w:hAnsi="Tahoma" w:cs="Tahoma"/>
          <w:b/>
          <w:sz w:val="28"/>
          <w:szCs w:val="28"/>
        </w:rPr>
        <w:t>1</w:t>
      </w:r>
      <w:r w:rsidR="00A03889" w:rsidRPr="00AC0AD2">
        <w:rPr>
          <w:rFonts w:ascii="Tahoma" w:hAnsi="Tahoma" w:cs="Tahoma"/>
          <w:b/>
          <w:sz w:val="28"/>
          <w:szCs w:val="28"/>
          <w:lang w:val="ru-RU"/>
        </w:rPr>
        <w:t>.</w:t>
      </w:r>
      <w:r w:rsidR="00A03889" w:rsidRPr="00AC0AD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godini</w:t>
      </w:r>
      <w:r w:rsidR="00A03889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A03889" w:rsidRPr="00AC0AD2">
        <w:rPr>
          <w:rFonts w:ascii="Tahoma" w:hAnsi="Tahoma" w:cs="Tahoma"/>
          <w:b/>
          <w:sz w:val="28"/>
          <w:szCs w:val="28"/>
          <w:lang w:val="hr-HR"/>
        </w:rPr>
        <w:t>55</w:t>
      </w:r>
      <w:r w:rsidR="00A03889" w:rsidRPr="00AC0AD2">
        <w:rPr>
          <w:rFonts w:ascii="Tahoma" w:hAnsi="Tahoma" w:cs="Tahoma"/>
          <w:b/>
          <w:sz w:val="28"/>
          <w:szCs w:val="28"/>
          <w:lang w:val="ru-RU"/>
        </w:rPr>
        <w:t>,</w:t>
      </w:r>
      <w:r w:rsidR="00A03889" w:rsidRPr="00AC0AD2">
        <w:rPr>
          <w:rFonts w:ascii="Tahoma" w:hAnsi="Tahoma" w:cs="Tahoma"/>
          <w:b/>
          <w:sz w:val="28"/>
          <w:szCs w:val="28"/>
        </w:rPr>
        <w:t>9</w:t>
      </w:r>
      <w:r w:rsidR="00A03889" w:rsidRPr="00AC0AD2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A03889" w:rsidRPr="00AC0AD2" w:rsidRDefault="00075842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A03889"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A03889" w:rsidRPr="00AC0AD2">
        <w:rPr>
          <w:rFonts w:ascii="Tahoma" w:hAnsi="Tahoma" w:cs="Tahoma"/>
          <w:sz w:val="24"/>
          <w:szCs w:val="24"/>
          <w:lang w:val="hr-HR"/>
        </w:rPr>
        <w:t>(2011/2010</w:t>
      </w:r>
      <w:r w:rsidR="00A03889" w:rsidRPr="00AC0AD2">
        <w:rPr>
          <w:rFonts w:ascii="Tahoma" w:hAnsi="Tahoma" w:cs="Tahoma"/>
          <w:sz w:val="24"/>
          <w:szCs w:val="24"/>
          <w:lang w:val="sr-Cyrl-CS"/>
        </w:rPr>
        <w:t>.</w:t>
      </w:r>
      <w:r w:rsidR="00A03889" w:rsidRPr="00AC0AD2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A03889" w:rsidRPr="00AC0AD2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A03889" w:rsidRPr="00AC0AD2">
        <w:rPr>
          <w:rFonts w:ascii="Tahoma" w:hAnsi="Tahoma" w:cs="Tahoma"/>
          <w:sz w:val="24"/>
          <w:szCs w:val="24"/>
        </w:rPr>
        <w:t>17</w:t>
      </w:r>
      <w:r w:rsidR="00A03889" w:rsidRPr="00AC0AD2">
        <w:rPr>
          <w:rFonts w:ascii="Tahoma" w:hAnsi="Tahoma" w:cs="Tahoma"/>
          <w:sz w:val="24"/>
          <w:szCs w:val="24"/>
          <w:lang w:val="ru-RU"/>
        </w:rPr>
        <w:t>,</w:t>
      </w:r>
      <w:r w:rsidR="00A03889" w:rsidRPr="00AC0AD2">
        <w:rPr>
          <w:rFonts w:ascii="Tahoma" w:hAnsi="Tahoma" w:cs="Tahoma"/>
          <w:sz w:val="24"/>
          <w:szCs w:val="24"/>
        </w:rPr>
        <w:t>6</w:t>
      </w:r>
      <w:r w:rsidR="00A03889" w:rsidRPr="00AC0AD2">
        <w:rPr>
          <w:rFonts w:ascii="Tahoma" w:hAnsi="Tahoma" w:cs="Tahoma"/>
          <w:sz w:val="24"/>
          <w:szCs w:val="24"/>
          <w:lang w:val="ru-RU"/>
        </w:rPr>
        <w:t>%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A03889" w:rsidRPr="00AC0AD2" w:rsidRDefault="00075842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A03889" w:rsidRPr="00AC0AD2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20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>1</w:t>
      </w:r>
      <w:r w:rsidR="00A03889" w:rsidRPr="00AC0AD2">
        <w:rPr>
          <w:rFonts w:ascii="Tahoma" w:hAnsi="Tahoma" w:cs="Tahoma"/>
          <w:sz w:val="18"/>
          <w:szCs w:val="18"/>
        </w:rPr>
        <w:t>1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>5</w:t>
      </w:r>
      <w:r w:rsidR="00A03889" w:rsidRPr="00AC0AD2">
        <w:rPr>
          <w:rFonts w:ascii="Tahoma" w:hAnsi="Tahoma" w:cs="Tahoma"/>
          <w:sz w:val="18"/>
          <w:szCs w:val="18"/>
        </w:rPr>
        <w:t>5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>,</w:t>
      </w:r>
      <w:r w:rsidR="00A03889" w:rsidRPr="00AC0AD2">
        <w:rPr>
          <w:rFonts w:ascii="Tahoma" w:hAnsi="Tahoma" w:cs="Tahoma"/>
          <w:sz w:val="18"/>
          <w:szCs w:val="18"/>
        </w:rPr>
        <w:t>9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A03889" w:rsidRPr="00AC0AD2">
        <w:rPr>
          <w:rFonts w:ascii="Tahoma" w:hAnsi="Tahoma" w:cs="Tahoma"/>
          <w:sz w:val="18"/>
          <w:szCs w:val="18"/>
        </w:rPr>
        <w:t xml:space="preserve"> 2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</w:t>
      </w:r>
      <w:r w:rsidR="00A03889" w:rsidRPr="00AC0AD2">
        <w:rPr>
          <w:rFonts w:ascii="Tahoma" w:hAnsi="Tahoma" w:cs="Tahoma"/>
          <w:sz w:val="18"/>
          <w:szCs w:val="18"/>
        </w:rPr>
        <w:t>e 17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>.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A03889" w:rsidRPr="00AC0AD2" w:rsidRDefault="00075842" w:rsidP="00A03889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>201</w:t>
      </w:r>
      <w:r w:rsidR="00A03889" w:rsidRPr="00AC0AD2">
        <w:rPr>
          <w:rFonts w:ascii="Tahoma" w:hAnsi="Tahoma" w:cs="Tahoma"/>
          <w:sz w:val="18"/>
          <w:szCs w:val="18"/>
        </w:rPr>
        <w:t>1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 2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03889" w:rsidRPr="00AC0AD2">
        <w:rPr>
          <w:rFonts w:ascii="Tahoma" w:hAnsi="Tahoma" w:cs="Tahoma"/>
          <w:sz w:val="18"/>
          <w:szCs w:val="18"/>
        </w:rPr>
        <w:t>561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03889" w:rsidRPr="00AC0AD2">
        <w:rPr>
          <w:rFonts w:ascii="Tahoma" w:hAnsi="Tahoma" w:cs="Tahoma"/>
          <w:sz w:val="18"/>
          <w:szCs w:val="18"/>
        </w:rPr>
        <w:t>17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>,</w:t>
      </w:r>
      <w:r w:rsidR="00A03889" w:rsidRPr="00AC0AD2">
        <w:rPr>
          <w:rFonts w:ascii="Tahoma" w:hAnsi="Tahoma" w:cs="Tahoma"/>
          <w:sz w:val="18"/>
          <w:szCs w:val="18"/>
        </w:rPr>
        <w:t>6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20</w:t>
      </w:r>
      <w:r w:rsidR="00A03889" w:rsidRPr="00AC0AD2">
        <w:rPr>
          <w:rFonts w:ascii="Tahoma" w:hAnsi="Tahoma" w:cs="Tahoma"/>
          <w:sz w:val="18"/>
          <w:szCs w:val="18"/>
        </w:rPr>
        <w:t>10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A03889" w:rsidRPr="00AC0AD2">
        <w:rPr>
          <w:rFonts w:ascii="Tahoma" w:hAnsi="Tahoma" w:cs="Tahoma"/>
          <w:sz w:val="18"/>
          <w:szCs w:val="18"/>
        </w:rPr>
        <w:t>1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4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5</w:t>
      </w:r>
      <w:r w:rsidR="00A03889" w:rsidRPr="00AC0AD2">
        <w:rPr>
          <w:rFonts w:ascii="Tahoma" w:hAnsi="Tahoma" w:cs="Tahoma"/>
          <w:sz w:val="18"/>
          <w:szCs w:val="18"/>
        </w:rPr>
        <w:t>78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A03889" w:rsidRPr="00AC0AD2">
        <w:rPr>
          <w:rFonts w:ascii="Tahoma" w:hAnsi="Tahoma" w:cs="Tahoma"/>
          <w:sz w:val="18"/>
          <w:szCs w:val="18"/>
        </w:rPr>
        <w:t>2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>,</w:t>
      </w:r>
      <w:r w:rsidR="00A03889" w:rsidRPr="00AC0AD2">
        <w:rPr>
          <w:rFonts w:ascii="Tahoma" w:hAnsi="Tahoma" w:cs="Tahoma"/>
          <w:sz w:val="18"/>
          <w:szCs w:val="18"/>
        </w:rPr>
        <w:t>9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20</w:t>
      </w:r>
      <w:r w:rsidR="00A03889" w:rsidRPr="00AC0AD2">
        <w:rPr>
          <w:rFonts w:ascii="Tahoma" w:hAnsi="Tahoma" w:cs="Tahoma"/>
          <w:sz w:val="18"/>
          <w:szCs w:val="18"/>
        </w:rPr>
        <w:t>10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A03889" w:rsidRPr="00AC0AD2" w:rsidRDefault="00075842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A03889" w:rsidRPr="00AC0AD2">
        <w:rPr>
          <w:rFonts w:ascii="Tahoma" w:hAnsi="Tahoma" w:cs="Tahoma"/>
          <w:szCs w:val="18"/>
        </w:rPr>
        <w:t>e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A03889" w:rsidRPr="00AC0AD2">
        <w:rPr>
          <w:rFonts w:ascii="Tahoma" w:hAnsi="Tahoma" w:cs="Tahoma"/>
          <w:szCs w:val="18"/>
        </w:rPr>
        <w:t>e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A03889" w:rsidRPr="00AC0AD2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A03889" w:rsidRPr="00AC0AD2">
        <w:rPr>
          <w:rFonts w:ascii="Tahoma" w:hAnsi="Tahoma" w:cs="Tahoma"/>
          <w:szCs w:val="18"/>
          <w:lang w:val="ru-RU"/>
        </w:rPr>
        <w:t xml:space="preserve"> </w:t>
      </w:r>
      <w:r w:rsidR="00A03889" w:rsidRPr="00AC0AD2">
        <w:rPr>
          <w:rFonts w:ascii="Tahoma" w:hAnsi="Tahoma" w:cs="Tahoma"/>
          <w:szCs w:val="18"/>
          <w:lang w:val="sr-Cyrl-CS"/>
        </w:rPr>
        <w:t>201</w:t>
      </w:r>
      <w:r w:rsidR="00A03889" w:rsidRPr="00AC0AD2">
        <w:rPr>
          <w:rFonts w:ascii="Tahoma" w:hAnsi="Tahoma" w:cs="Tahoma"/>
          <w:szCs w:val="18"/>
        </w:rPr>
        <w:t>1</w:t>
      </w:r>
      <w:r w:rsidR="00A03889" w:rsidRPr="00AC0AD2">
        <w:rPr>
          <w:rFonts w:ascii="Tahoma" w:hAnsi="Tahoma" w:cs="Tahoma"/>
          <w:szCs w:val="18"/>
          <w:lang w:val="sr-Cyrl-CS"/>
        </w:rPr>
        <w:t xml:space="preserve">. </w:t>
      </w:r>
      <w:r>
        <w:rPr>
          <w:rFonts w:ascii="Tahoma" w:hAnsi="Tahoma" w:cs="Tahoma"/>
          <w:szCs w:val="18"/>
          <w:lang w:val="sr-Cyrl-CS"/>
        </w:rPr>
        <w:t>godini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najviše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4</w:t>
      </w:r>
      <w:r w:rsidR="00A03889" w:rsidRPr="00AC0AD2">
        <w:rPr>
          <w:rFonts w:ascii="Tahoma" w:hAnsi="Tahoma" w:cs="Tahoma"/>
          <w:szCs w:val="18"/>
        </w:rPr>
        <w:t>78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A03889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1</w:t>
      </w:r>
      <w:r w:rsidR="00A03889" w:rsidRPr="00AC0AD2">
        <w:rPr>
          <w:rFonts w:ascii="Tahoma" w:hAnsi="Tahoma" w:cs="Tahoma"/>
          <w:szCs w:val="18"/>
        </w:rPr>
        <w:t>8</w:t>
      </w:r>
      <w:r w:rsidR="00A03889" w:rsidRPr="00AC0AD2">
        <w:rPr>
          <w:rFonts w:ascii="Tahoma" w:hAnsi="Tahoma" w:cs="Tahoma"/>
          <w:szCs w:val="18"/>
          <w:lang w:val="sr-Cyrl-CS"/>
        </w:rPr>
        <w:t>,6%</w:t>
      </w:r>
      <w:r w:rsidR="00A03889" w:rsidRPr="00AC0AD2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A03889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3</w:t>
      </w:r>
      <w:r w:rsidR="00A03889" w:rsidRPr="00AC0AD2">
        <w:rPr>
          <w:rFonts w:ascii="Tahoma" w:hAnsi="Tahoma" w:cs="Tahoma"/>
          <w:szCs w:val="18"/>
        </w:rPr>
        <w:t>73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A03889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1</w:t>
      </w:r>
      <w:r w:rsidR="00A03889" w:rsidRPr="00AC0AD2">
        <w:rPr>
          <w:rFonts w:ascii="Tahoma" w:hAnsi="Tahoma" w:cs="Tahoma"/>
          <w:szCs w:val="18"/>
        </w:rPr>
        <w:t>4</w:t>
      </w:r>
      <w:r w:rsidR="00A03889" w:rsidRPr="00AC0AD2">
        <w:rPr>
          <w:rFonts w:ascii="Tahoma" w:hAnsi="Tahoma" w:cs="Tahoma"/>
          <w:szCs w:val="18"/>
          <w:lang w:val="sr-Cyrl-CS"/>
        </w:rPr>
        <w:t xml:space="preserve">,6% </w:t>
      </w:r>
      <w:r>
        <w:rPr>
          <w:rFonts w:ascii="Tahoma" w:hAnsi="Tahoma" w:cs="Tahoma"/>
          <w:szCs w:val="18"/>
          <w:lang w:val="sr-Cyrl-CS"/>
        </w:rPr>
        <w:t>od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A03889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A03889" w:rsidRPr="00AC0AD2">
        <w:rPr>
          <w:rFonts w:ascii="Tahoma" w:hAnsi="Tahoma" w:cs="Tahoma"/>
          <w:szCs w:val="18"/>
          <w:lang w:val="sr-Cyrl-CS"/>
        </w:rPr>
        <w:t>.</w:t>
      </w:r>
    </w:p>
    <w:p w:rsidR="00A03889" w:rsidRPr="00AC0AD2" w:rsidRDefault="00A03889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A03889" w:rsidRPr="00AC0AD2" w:rsidRDefault="00075842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201</w:t>
      </w:r>
      <w:r w:rsidR="00A03889" w:rsidRPr="00AC0AD2">
        <w:rPr>
          <w:rFonts w:ascii="Tahoma" w:hAnsi="Tahoma" w:cs="Tahoma"/>
          <w:sz w:val="18"/>
          <w:szCs w:val="18"/>
        </w:rPr>
        <w:t>1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milijardu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03889" w:rsidRPr="00AC0AD2">
        <w:rPr>
          <w:rFonts w:ascii="Tahoma" w:hAnsi="Tahoma" w:cs="Tahoma"/>
          <w:sz w:val="18"/>
          <w:szCs w:val="18"/>
        </w:rPr>
        <w:t xml:space="preserve"> 309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28,6%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823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18,0%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A03889" w:rsidRPr="00AC0AD2" w:rsidRDefault="00A03889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03889" w:rsidRPr="00AC0AD2" w:rsidRDefault="00075842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bCs/>
          <w:sz w:val="18"/>
          <w:szCs w:val="18"/>
          <w:lang w:val="sr-Cyrl-CS"/>
        </w:rPr>
        <w:t xml:space="preserve"> 2011.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najviše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izvozila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dobivena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>)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377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14,7%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A03889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dobivena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A03889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milijardu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287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28,1%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A03889" w:rsidRPr="00AC0AD2">
        <w:rPr>
          <w:rFonts w:ascii="Tahoma" w:hAnsi="Tahoma" w:cs="Tahoma"/>
          <w:sz w:val="18"/>
          <w:szCs w:val="18"/>
          <w:lang w:val="sr-Cyrl-BA"/>
        </w:rPr>
        <w:t>.</w:t>
      </w:r>
    </w:p>
    <w:p w:rsidR="00A03889" w:rsidRPr="00AC0AD2" w:rsidRDefault="00A03889" w:rsidP="00A03889">
      <w:pPr>
        <w:rPr>
          <w:rFonts w:ascii="Tahoma" w:hAnsi="Tahoma" w:cs="Tahoma"/>
          <w:b/>
          <w:sz w:val="28"/>
          <w:szCs w:val="28"/>
          <w:lang w:val="bs-Cyrl-BA"/>
        </w:rPr>
      </w:pPr>
    </w:p>
    <w:p w:rsidR="00CF3C50" w:rsidRPr="00AC0AD2" w:rsidRDefault="00075842" w:rsidP="00A03889">
      <w:pPr>
        <w:rPr>
          <w:rFonts w:ascii="Tahoma" w:hAnsi="Tahoma" w:cs="Tahoma"/>
          <w:b/>
          <w:sz w:val="28"/>
          <w:szCs w:val="28"/>
          <w:lang w:val="bs-Cyrl-BA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CF3C50" w:rsidRPr="00AC0AD2">
        <w:rPr>
          <w:rFonts w:ascii="Tahoma" w:hAnsi="Tahoma" w:cs="Tahoma"/>
          <w:b/>
          <w:sz w:val="28"/>
          <w:szCs w:val="28"/>
        </w:rPr>
        <w:t>I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>–</w:t>
      </w:r>
      <w:r w:rsidR="00CF3C50" w:rsidRPr="00AC0AD2">
        <w:rPr>
          <w:rFonts w:ascii="Tahoma" w:hAnsi="Tahoma" w:cs="Tahoma"/>
          <w:b/>
          <w:sz w:val="28"/>
          <w:szCs w:val="28"/>
        </w:rPr>
        <w:t>VII</w:t>
      </w:r>
      <w:r w:rsidR="00CF3C50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>201</w:t>
      </w:r>
      <w:r w:rsidR="00CF3C50" w:rsidRPr="00AC0AD2">
        <w:rPr>
          <w:rFonts w:ascii="Tahoma" w:hAnsi="Tahoma" w:cs="Tahoma"/>
          <w:b/>
          <w:sz w:val="28"/>
          <w:szCs w:val="28"/>
          <w:lang w:val="sr-Cyrl-CS"/>
        </w:rPr>
        <w:t>2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>.</w:t>
      </w:r>
      <w:r w:rsidR="00CF3C50" w:rsidRPr="00AC0AD2">
        <w:rPr>
          <w:rFonts w:ascii="Tahoma" w:hAnsi="Tahoma" w:cs="Tahoma"/>
          <w:b/>
          <w:sz w:val="28"/>
          <w:szCs w:val="28"/>
          <w:lang w:val="sr-Cyrl-BA"/>
        </w:rPr>
        <w:t>)</w:t>
      </w:r>
      <w:r w:rsidR="00CF3C50" w:rsidRPr="00AC0AD2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CF3C50" w:rsidRPr="00AC0AD2">
        <w:rPr>
          <w:rFonts w:ascii="Tahoma" w:hAnsi="Tahoma" w:cs="Tahoma"/>
          <w:b/>
          <w:sz w:val="28"/>
          <w:szCs w:val="28"/>
          <w:lang w:val="hr-HR"/>
        </w:rPr>
        <w:t>54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>,</w:t>
      </w:r>
      <w:r w:rsidR="00CF3C50" w:rsidRPr="00AC0AD2">
        <w:rPr>
          <w:rFonts w:ascii="Tahoma" w:hAnsi="Tahoma" w:cs="Tahoma"/>
          <w:b/>
          <w:sz w:val="28"/>
          <w:szCs w:val="28"/>
        </w:rPr>
        <w:t>4</w:t>
      </w:r>
      <w:r w:rsidR="00CF3C50" w:rsidRPr="00AC0AD2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CF3C50" w:rsidRPr="00AC0AD2" w:rsidRDefault="00075842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CF3C50" w:rsidRPr="00AC0AD2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CF3C50" w:rsidRPr="00AC0AD2">
        <w:rPr>
          <w:rFonts w:ascii="Tahoma" w:hAnsi="Tahoma" w:cs="Tahoma"/>
          <w:sz w:val="24"/>
          <w:szCs w:val="24"/>
          <w:lang w:val="hr-HR"/>
        </w:rPr>
        <w:t>(I-VII 2012/I-VII 2011</w:t>
      </w:r>
      <w:r w:rsidR="00CF3C50" w:rsidRPr="00AC0AD2">
        <w:rPr>
          <w:rFonts w:ascii="Tahoma" w:hAnsi="Tahoma" w:cs="Tahoma"/>
          <w:sz w:val="24"/>
          <w:szCs w:val="24"/>
          <w:lang w:val="sr-Cyrl-CS"/>
        </w:rPr>
        <w:t>.</w:t>
      </w:r>
      <w:r w:rsidR="00CF3C50" w:rsidRPr="00AC0AD2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CF3C50" w:rsidRPr="00AC0AD2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CF3C50" w:rsidRPr="00AC0AD2">
        <w:rPr>
          <w:rFonts w:ascii="Tahoma" w:hAnsi="Tahoma" w:cs="Tahoma"/>
          <w:sz w:val="24"/>
          <w:szCs w:val="24"/>
        </w:rPr>
        <w:t>3</w:t>
      </w:r>
      <w:r w:rsidR="00CF3C50" w:rsidRPr="00AC0AD2">
        <w:rPr>
          <w:rFonts w:ascii="Tahoma" w:hAnsi="Tahoma" w:cs="Tahoma"/>
          <w:sz w:val="24"/>
          <w:szCs w:val="24"/>
          <w:lang w:val="ru-RU"/>
        </w:rPr>
        <w:t>,</w:t>
      </w:r>
      <w:r w:rsidR="00CF3C50" w:rsidRPr="00AC0AD2">
        <w:rPr>
          <w:rFonts w:ascii="Tahoma" w:hAnsi="Tahoma" w:cs="Tahoma"/>
          <w:sz w:val="24"/>
          <w:szCs w:val="24"/>
        </w:rPr>
        <w:t>1</w:t>
      </w:r>
      <w:r w:rsidR="00CF3C50" w:rsidRPr="00AC0AD2">
        <w:rPr>
          <w:rFonts w:ascii="Tahoma" w:hAnsi="Tahoma" w:cs="Tahoma"/>
          <w:sz w:val="24"/>
          <w:szCs w:val="24"/>
          <w:lang w:val="ru-RU"/>
        </w:rPr>
        <w:t>%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CF3C50" w:rsidRPr="00AC0AD2" w:rsidRDefault="00075842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219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428 </w:t>
      </w:r>
      <w:r>
        <w:rPr>
          <w:rFonts w:ascii="Tahoma" w:hAnsi="Tahoma" w:cs="Tahoma"/>
          <w:sz w:val="18"/>
          <w:szCs w:val="18"/>
          <w:lang w:val="sr-Cyrl-BA"/>
        </w:rPr>
        <w:t>milion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>.</w:t>
      </w:r>
    </w:p>
    <w:p w:rsidR="00CF3C50" w:rsidRPr="00AC0AD2" w:rsidRDefault="00CF3C50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F3C50" w:rsidRPr="00AC0AD2" w:rsidRDefault="00075842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CF3C50" w:rsidRPr="00AC0AD2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julu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51,1%.</w:t>
      </w:r>
    </w:p>
    <w:p w:rsidR="00CF3C50" w:rsidRPr="00AC0AD2" w:rsidRDefault="00CF3C50" w:rsidP="00A03889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CF3C50" w:rsidRPr="00AC0AD2" w:rsidRDefault="00075842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jul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399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3,1%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Uvoz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2 </w:t>
      </w:r>
      <w:r>
        <w:rPr>
          <w:rFonts w:ascii="Tahoma" w:hAnsi="Tahoma" w:cs="Tahoma"/>
          <w:sz w:val="18"/>
          <w:szCs w:val="18"/>
          <w:lang w:val="ru-RU"/>
        </w:rPr>
        <w:t>milijarde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572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1,5%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>.</w:t>
      </w:r>
    </w:p>
    <w:p w:rsidR="00CF3C50" w:rsidRPr="00AC0AD2" w:rsidRDefault="00CF3C50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F3C50" w:rsidRPr="00AC0AD2" w:rsidRDefault="00075842" w:rsidP="00A03889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sedam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54,4%,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173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>.</w:t>
      </w:r>
    </w:p>
    <w:p w:rsidR="00CF3C50" w:rsidRPr="00AC0AD2" w:rsidRDefault="00CF3C50" w:rsidP="00A03889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CF3C50" w:rsidRPr="00AC0AD2" w:rsidRDefault="00075842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CF3C50" w:rsidRPr="00AC0AD2">
        <w:rPr>
          <w:rFonts w:ascii="Tahoma" w:hAnsi="Tahoma" w:cs="Tahoma"/>
          <w:szCs w:val="18"/>
        </w:rPr>
        <w:t>e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CF3C50" w:rsidRPr="00AC0AD2">
        <w:rPr>
          <w:rFonts w:ascii="Tahoma" w:hAnsi="Tahoma" w:cs="Tahoma"/>
          <w:szCs w:val="18"/>
        </w:rPr>
        <w:t>e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CF3C50" w:rsidRPr="00AC0AD2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CF3C50" w:rsidRPr="00AC0AD2">
        <w:rPr>
          <w:rFonts w:ascii="Tahoma" w:hAnsi="Tahoma" w:cs="Tahoma"/>
          <w:szCs w:val="18"/>
          <w:lang w:val="ru-RU"/>
        </w:rPr>
        <w:t xml:space="preserve"> - </w:t>
      </w:r>
      <w:r>
        <w:rPr>
          <w:rFonts w:ascii="Tahoma" w:hAnsi="Tahoma" w:cs="Tahoma"/>
          <w:szCs w:val="18"/>
          <w:lang w:val="ru-RU"/>
        </w:rPr>
        <w:t>jul</w:t>
      </w:r>
      <w:r w:rsidR="00CF3C50" w:rsidRPr="00AC0AD2">
        <w:rPr>
          <w:rFonts w:ascii="Tahoma" w:hAnsi="Tahoma" w:cs="Tahoma"/>
          <w:szCs w:val="18"/>
          <w:lang w:val="ru-RU"/>
        </w:rPr>
        <w:t xml:space="preserve"> </w:t>
      </w:r>
      <w:r w:rsidR="00CF3C50" w:rsidRPr="00AC0AD2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CF3C50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222 </w:t>
      </w:r>
      <w:r>
        <w:rPr>
          <w:rFonts w:ascii="Tahoma" w:hAnsi="Tahoma" w:cs="Tahoma"/>
          <w:szCs w:val="18"/>
          <w:lang w:val="sr-Cyrl-CS"/>
        </w:rPr>
        <w:t>miliona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CF3C50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15,9%</w:t>
      </w:r>
      <w:r w:rsidR="00CF3C50" w:rsidRPr="00AC0AD2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CF3C50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219 </w:t>
      </w:r>
      <w:r>
        <w:rPr>
          <w:rFonts w:ascii="Tahoma" w:hAnsi="Tahoma" w:cs="Tahoma"/>
          <w:szCs w:val="18"/>
          <w:lang w:val="sr-Cyrl-CS"/>
        </w:rPr>
        <w:t>miliona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CF3C50" w:rsidRPr="00AC0AD2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15,6% </w:t>
      </w:r>
      <w:r>
        <w:rPr>
          <w:rFonts w:ascii="Tahoma" w:hAnsi="Tahoma" w:cs="Tahoma"/>
          <w:szCs w:val="18"/>
          <w:lang w:val="sr-Cyrl-CS"/>
        </w:rPr>
        <w:t>od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CF3C50" w:rsidRPr="00AC0AD2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CF3C50" w:rsidRPr="00AC0AD2">
        <w:rPr>
          <w:rFonts w:ascii="Tahoma" w:hAnsi="Tahoma" w:cs="Tahoma"/>
          <w:szCs w:val="18"/>
          <w:lang w:val="sr-Cyrl-CS"/>
        </w:rPr>
        <w:t>.</w:t>
      </w:r>
    </w:p>
    <w:p w:rsidR="00CF3C50" w:rsidRPr="00AC0AD2" w:rsidRDefault="00CF3C50" w:rsidP="00A03889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CF3C50" w:rsidRPr="00AC0AD2" w:rsidRDefault="00075842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675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26,2%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429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16,7%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CF3C50" w:rsidRPr="00AC0AD2" w:rsidRDefault="00CF3C50" w:rsidP="00CF3C5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Pr="00075842" w:rsidRDefault="00075842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CF3C50" w:rsidRPr="00AC0AD2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CF3C50" w:rsidRPr="00AC0AD2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CF3C50" w:rsidRPr="00AC0AD2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CF3C50" w:rsidRPr="00AC0AD2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CF3C50" w:rsidRPr="00AC0AD2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CF3C50" w:rsidRPr="00AC0AD2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 - </w:t>
      </w:r>
      <w:r>
        <w:rPr>
          <w:rFonts w:ascii="Tahoma" w:hAnsi="Tahoma" w:cs="Tahoma"/>
          <w:sz w:val="18"/>
          <w:szCs w:val="18"/>
          <w:lang w:val="ru-RU"/>
        </w:rPr>
        <w:t>jul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>)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200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14,3%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CF3C50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CF3C50" w:rsidRPr="00AC0AD2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712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27,7%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CF3C50" w:rsidRPr="00AC0AD2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>
        <w:rPr>
          <w:rFonts w:ascii="Tahoma" w:hAnsi="Tahoma" w:cs="Tahoma"/>
          <w:sz w:val="18"/>
          <w:szCs w:val="18"/>
          <w:lang w:val="sr-Latn-CS"/>
        </w:rPr>
        <w:t>.</w:t>
      </w: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63019" w:rsidRDefault="00075842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114C45">
        <w:rPr>
          <w:rFonts w:ascii="Tahoma" w:hAnsi="Tahoma" w:cs="Tahoma"/>
          <w:b/>
          <w:noProof/>
          <w:sz w:val="16"/>
          <w:szCs w:val="16"/>
        </w:rPr>
        <w:pict>
          <v:shape id="_x0000_s1077" type="#_x0000_t202" style="position:absolute;left:0;text-align:left;margin-left:357.45pt;margin-top:6.1pt;width:61.35pt;height:23.55pt;z-index:251670528" stroked="f">
            <v:textbox>
              <w:txbxContent>
                <w:p w:rsidR="00075842" w:rsidRPr="00075842" w:rsidRDefault="00075842">
                  <w:pPr>
                    <w:rPr>
                      <w:rFonts w:ascii="Tahoma" w:hAnsi="Tahoma" w:cs="Tahoma"/>
                      <w:sz w:val="18"/>
                      <w:szCs w:val="18"/>
                      <w:lang w:val="sr-Latn-C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Latn-CS"/>
                    </w:rPr>
                    <w:t>hilj. KM</w:t>
                  </w:r>
                </w:p>
              </w:txbxContent>
            </v:textbox>
          </v:shape>
        </w:pict>
      </w:r>
    </w:p>
    <w:p w:rsidR="00B63019" w:rsidRPr="00B63019" w:rsidRDefault="00B63019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AC0AD2" w:rsidRDefault="00DD3EF8" w:rsidP="00B9759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6"/>
          <w:szCs w:val="16"/>
        </w:rPr>
        <w:pict>
          <v:shape id="_x0000_s1079" type="#_x0000_t202" style="position:absolute;left:0;text-align:left;margin-left:411.35pt;margin-top:83.8pt;width:52.65pt;height:19.4pt;z-index:251671552" stroked="f">
            <v:textbox>
              <w:txbxContent>
                <w:p w:rsidR="00DD3EF8" w:rsidRPr="00DD3EF8" w:rsidRDefault="00DD3EF8">
                  <w:pPr>
                    <w:rPr>
                      <w:rFonts w:ascii="Tahoma" w:hAnsi="Tahoma" w:cs="Tahoma"/>
                      <w:sz w:val="18"/>
                      <w:szCs w:val="18"/>
                      <w:lang w:val="sr-Latn-CS"/>
                    </w:rPr>
                  </w:pPr>
                  <w:r w:rsidRPr="00DD3EF8">
                    <w:rPr>
                      <w:rFonts w:ascii="Tahoma" w:hAnsi="Tahoma" w:cs="Tahoma"/>
                      <w:sz w:val="18"/>
                      <w:szCs w:val="18"/>
                      <w:lang w:val="sr-Latn-CS"/>
                    </w:rPr>
                    <w:t>uvoz</w:t>
                  </w:r>
                </w:p>
              </w:txbxContent>
            </v:textbox>
          </v:shape>
        </w:pict>
      </w:r>
      <w:r w:rsidR="00114C45" w:rsidRPr="00114C45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57.2pt;margin-top:187.5pt;width:188.35pt;height:22.2pt;z-index:251657216;mso-width-relative:margin;mso-height-relative:margin" stroked="f">
            <v:textbox style="mso-next-textbox:#_x0000_s1061">
              <w:txbxContent>
                <w:p w:rsidR="00075842" w:rsidRPr="0095396E" w:rsidRDefault="00075842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CF3C50" w:rsidRPr="00AC0AD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422789" cy="2743200"/>
            <wp:effectExtent l="0" t="0" r="6461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7590" w:rsidRPr="00AC0AD2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AC0AD2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AC0AD2" w:rsidRDefault="00075842" w:rsidP="00DB54D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</w:t>
      </w:r>
      <w:r w:rsidR="00445E3A" w:rsidRPr="00AC0AD2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  <w:lang w:val="ru-RU"/>
        </w:rPr>
        <w:t>fikon</w:t>
      </w:r>
      <w:r w:rsidR="00962251" w:rsidRPr="00AC0AD2">
        <w:rPr>
          <w:rFonts w:ascii="Tahoma" w:hAnsi="Tahoma" w:cs="Tahoma"/>
          <w:sz w:val="18"/>
          <w:szCs w:val="18"/>
          <w:lang w:val="ru-RU"/>
        </w:rPr>
        <w:t xml:space="preserve"> 3</w:t>
      </w:r>
      <w:r w:rsidR="00B97590" w:rsidRPr="00AC0AD2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AC0AD2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AC0AD2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AC0AD2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DD2BD3" w:rsidRPr="00B63019" w:rsidRDefault="00075842" w:rsidP="00DD2BD3">
      <w:pPr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Krivična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djela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protiv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imovine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najbrojnija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DD2BD3" w:rsidRPr="00B63019">
        <w:rPr>
          <w:rFonts w:ascii="Tahoma" w:hAnsi="Tahoma" w:cs="Tahoma"/>
          <w:b/>
          <w:sz w:val="28"/>
          <w:szCs w:val="28"/>
          <w:lang w:val="sr-Cyrl-CS"/>
        </w:rPr>
        <w:t xml:space="preserve"> 2011. </w:t>
      </w:r>
      <w:r>
        <w:rPr>
          <w:rFonts w:ascii="Tahoma" w:hAnsi="Tahoma" w:cs="Tahoma"/>
          <w:b/>
          <w:sz w:val="28"/>
          <w:szCs w:val="28"/>
          <w:lang w:val="sr-Cyrl-CS"/>
        </w:rPr>
        <w:t>godini</w:t>
      </w:r>
    </w:p>
    <w:p w:rsidR="00DD2BD3" w:rsidRPr="00AC0AD2" w:rsidRDefault="00DD2BD3" w:rsidP="00DD2BD3">
      <w:pPr>
        <w:rPr>
          <w:rFonts w:ascii="Tahoma" w:hAnsi="Tahoma" w:cs="Tahoma"/>
          <w:b/>
          <w:sz w:val="18"/>
          <w:szCs w:val="18"/>
        </w:rPr>
      </w:pPr>
    </w:p>
    <w:p w:rsidR="00DD2BD3" w:rsidRPr="00AC0AD2" w:rsidRDefault="00075842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Republički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zavod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statistiku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prvi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put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objavljuje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podatke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prijavljenim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optuženim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osuđenim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punoljetnim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Srspkoj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Podaci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obuhvataju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završeni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postupci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tužilaštvima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donesene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prvostepene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pravosnažne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odluke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strane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sudova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DD2BD3" w:rsidRPr="00AC0AD2" w:rsidRDefault="00075842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osnovu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analiza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došlo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zaključka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punoljetnih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imovinska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najbrojnija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216 </w:t>
      </w:r>
      <w:r>
        <w:rPr>
          <w:rFonts w:ascii="Tahoma" w:hAnsi="Tahoma" w:cs="Tahoma"/>
          <w:sz w:val="18"/>
          <w:szCs w:val="18"/>
          <w:lang w:val="sr-Cyrl-CS"/>
        </w:rPr>
        <w:t>riješenih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prijava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protiv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73,6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odnosilo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imovinska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punoljetnih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13 169 </w:t>
      </w:r>
      <w:r>
        <w:rPr>
          <w:rFonts w:ascii="Tahoma" w:hAnsi="Tahoma" w:cs="Tahoma"/>
          <w:sz w:val="18"/>
          <w:szCs w:val="18"/>
          <w:lang w:val="sr-Cyrl-CS"/>
        </w:rPr>
        <w:t>rješenih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prijava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49,1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odnosilo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imovinu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DD2BD3" w:rsidRPr="00AC0AD2" w:rsidRDefault="00075842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donesene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102 </w:t>
      </w:r>
      <w:r>
        <w:rPr>
          <w:rFonts w:ascii="Tahoma" w:hAnsi="Tahoma" w:cs="Tahoma"/>
          <w:sz w:val="18"/>
          <w:szCs w:val="18"/>
          <w:lang w:val="sr-Cyrl-CS"/>
        </w:rPr>
        <w:t>odluke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optužbe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čega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polovini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optuženih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izrečena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sankcija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Najzastupljenija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sankcija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vaspitna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mjera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izrečena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98,0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slučajeva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ukupan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preostalih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2,0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slučajeva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izrečena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kazna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maloljetničkog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zatvora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>.</w:t>
      </w:r>
    </w:p>
    <w:p w:rsidR="00DD2BD3" w:rsidRPr="00AC0AD2" w:rsidRDefault="00075842" w:rsidP="00DD2BD3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protekloj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optuženo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4 426,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osuđena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4 072 </w:t>
      </w:r>
      <w:r>
        <w:rPr>
          <w:rFonts w:ascii="Tahoma" w:hAnsi="Tahoma" w:cs="Tahoma"/>
          <w:sz w:val="18"/>
          <w:szCs w:val="18"/>
          <w:lang w:val="sr-Cyrl-CS"/>
        </w:rPr>
        <w:t>punoljetna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lica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čega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92,7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muškog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Najčešće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izricane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krivične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sankcije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ukupan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osuđenih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bile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uslovna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zatvorska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kazna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59,2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slučajeva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novčana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kazna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 20,6 </w:t>
      </w:r>
      <w:r>
        <w:rPr>
          <w:rFonts w:ascii="Tahoma" w:hAnsi="Tahoma" w:cs="Tahoma"/>
          <w:sz w:val="18"/>
          <w:szCs w:val="18"/>
          <w:lang w:val="sr-Cyrl-CS"/>
        </w:rPr>
        <w:t>odsto</w:t>
      </w:r>
      <w:r w:rsidR="00DD2BD3" w:rsidRPr="00AC0AD2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DB6D76" w:rsidRPr="00AC0AD2" w:rsidRDefault="00372FAD" w:rsidP="00E011F4">
      <w:pPr>
        <w:rPr>
          <w:rFonts w:ascii="Tahoma" w:hAnsi="Tahoma" w:cs="Tahoma"/>
          <w:b/>
          <w:sz w:val="28"/>
          <w:szCs w:val="28"/>
        </w:rPr>
      </w:pPr>
      <w:r w:rsidRPr="00AC0AD2">
        <w:rPr>
          <w:rFonts w:ascii="Tahoma" w:hAnsi="Tahoma" w:cs="Tahoma"/>
          <w:b/>
          <w:sz w:val="28"/>
          <w:szCs w:val="28"/>
        </w:rPr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AC0AD2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075842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AC0AD2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AC0AD2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AC0AD2" w:rsidTr="00E011F4">
        <w:trPr>
          <w:trHeight w:val="69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AC0AD2" w:rsidRDefault="00075842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Pr="00AC0AD2" w:rsidRDefault="00075842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 w:rsidRPr="00AC0AD2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E011F4" w:rsidRPr="00AC0AD2" w:rsidRDefault="00114C45" w:rsidP="00542A21">
            <w:hyperlink r:id="rId12" w:history="1">
              <w:r w:rsidR="00205D07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biljana.glisic@rzs.rs.ba</w:t>
              </w:r>
            </w:hyperlink>
          </w:p>
          <w:p w:rsidR="008C3261" w:rsidRPr="00AC0AD2" w:rsidRDefault="00075842" w:rsidP="00542A2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Vladimir</w:t>
            </w:r>
            <w:r w:rsidR="00E011F4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Koprivica</w:t>
            </w:r>
          </w:p>
          <w:p w:rsidR="00E011F4" w:rsidRPr="00AC0AD2" w:rsidRDefault="00114C45" w:rsidP="00542A21">
            <w:pPr>
              <w:rPr>
                <w:rFonts w:ascii="Tahoma" w:hAnsi="Tahoma" w:cs="Tahoma"/>
                <w:sz w:val="16"/>
                <w:lang w:val="sr-Latn-CS"/>
              </w:rPr>
            </w:pPr>
            <w:hyperlink r:id="rId13" w:history="1">
              <w:r w:rsidR="00E011F4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vladimir.koprivica@rzs.rs.ba</w:t>
              </w:r>
            </w:hyperlink>
          </w:p>
        </w:tc>
      </w:tr>
      <w:tr w:rsidR="008C3261" w:rsidRPr="00AC0AD2" w:rsidTr="004F3522">
        <w:trPr>
          <w:trHeight w:hRule="exact" w:val="96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075842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AC0AD2" w:rsidRDefault="00075842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AC0AD2" w:rsidRDefault="00114C45" w:rsidP="00542A21">
            <w:pPr>
              <w:rPr>
                <w:rFonts w:ascii="Tahoma" w:hAnsi="Tahoma" w:cs="Tahoma"/>
                <w:sz w:val="16"/>
              </w:rPr>
            </w:pPr>
            <w:hyperlink r:id="rId14" w:history="1">
              <w:r w:rsidR="00205D07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biljana.tesic@rzs.rs.ba</w:t>
              </w:r>
            </w:hyperlink>
            <w:r w:rsidR="00205D07" w:rsidRPr="00AC0AD2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AC0AD2" w:rsidRDefault="00075842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AC0AD2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4F3522" w:rsidRDefault="00114C45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jasminka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milic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</w:tc>
      </w:tr>
      <w:tr w:rsidR="004F3522" w:rsidRPr="00AC0AD2" w:rsidTr="004F3522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075842" w:rsidP="004F3522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4F3522" w:rsidRPr="00AC0AD2" w:rsidRDefault="00075842" w:rsidP="004F3522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4F3522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4F3522" w:rsidRPr="00AC0AD2" w:rsidRDefault="00114C45" w:rsidP="004F3522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mirjana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bandur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4F3522" w:rsidRPr="00AC0AD2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F3522" w:rsidRPr="00AC0AD2" w:rsidTr="004F3522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075842" w:rsidP="004F3522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4F3522" w:rsidRPr="00AC0AD2" w:rsidRDefault="00075842" w:rsidP="004F3522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4F3522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4F3522" w:rsidRPr="00AC0AD2" w:rsidRDefault="00114C45" w:rsidP="004F3522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stojcevic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4F3522" w:rsidRPr="00AC0AD2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F3522" w:rsidRPr="00AC0AD2" w:rsidTr="00A03889">
        <w:trPr>
          <w:trHeight w:hRule="exact" w:val="62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075842" w:rsidP="004F3522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Anketa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o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potrošnji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domaćinstava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4F3522" w:rsidRPr="00AC0AD2" w:rsidRDefault="00075842" w:rsidP="004F3522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4F3522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Panić</w:t>
            </w:r>
          </w:p>
          <w:p w:rsidR="004F3522" w:rsidRPr="00AC0AD2" w:rsidRDefault="004F3522" w:rsidP="004F3522">
            <w:pPr>
              <w:rPr>
                <w:rFonts w:ascii="Tahoma" w:hAnsi="Tahoma" w:cs="Tahoma"/>
                <w:sz w:val="16"/>
                <w:lang w:val="sr-Latn-CS"/>
              </w:rPr>
            </w:pPr>
            <w:r w:rsidRPr="00AC0AD2">
              <w:rPr>
                <w:rFonts w:ascii="Tahoma" w:hAnsi="Tahoma" w:cs="Tahoma"/>
                <w:sz w:val="16"/>
                <w:lang w:val="sr-Latn-CS"/>
              </w:rPr>
              <w:t>sanja.panic@rzs.rs.ba</w:t>
            </w:r>
          </w:p>
        </w:tc>
      </w:tr>
      <w:tr w:rsidR="004F3522" w:rsidRPr="00AC0AD2" w:rsidTr="00126DC0">
        <w:trPr>
          <w:trHeight w:val="62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075842" w:rsidP="00A03889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strukturnih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poslovnih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4F3522" w:rsidRPr="00AC0AD2" w:rsidRDefault="00075842" w:rsidP="00126DC0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Slađana</w:t>
            </w:r>
            <w:r w:rsidR="004F3522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Nikić</w:t>
            </w:r>
          </w:p>
          <w:p w:rsidR="004F3522" w:rsidRPr="00AC0AD2" w:rsidRDefault="004F3522" w:rsidP="00126DC0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</w:rPr>
              <w:t>sladjana.sebez@rzs.rs.ba</w:t>
            </w:r>
          </w:p>
          <w:p w:rsidR="004F3522" w:rsidRPr="00AC0AD2" w:rsidRDefault="00075842" w:rsidP="00126DC0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Danica</w:t>
            </w:r>
            <w:r w:rsidR="004F3522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Babić</w:t>
            </w:r>
          </w:p>
          <w:p w:rsidR="004F3522" w:rsidRPr="00AC0AD2" w:rsidRDefault="004F3522" w:rsidP="00126DC0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</w:rPr>
              <w:t>danica.babic@rzs.rs.ba</w:t>
            </w:r>
          </w:p>
        </w:tc>
      </w:tr>
      <w:tr w:rsidR="004F3522" w:rsidRPr="00AC0AD2" w:rsidTr="004F3522">
        <w:trPr>
          <w:trHeight w:hRule="exact" w:val="56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AC0AD2" w:rsidRDefault="00075842" w:rsidP="00A03889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4F3522" w:rsidRPr="00AC0AD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kriminaliteta</w:t>
            </w:r>
          </w:p>
          <w:p w:rsidR="004F3522" w:rsidRPr="00AC0AD2" w:rsidRDefault="00075842" w:rsidP="00A03889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Vanja</w:t>
            </w:r>
            <w:r w:rsidR="004F3522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Vilipić</w:t>
            </w:r>
          </w:p>
          <w:p w:rsidR="004F3522" w:rsidRPr="00AC0AD2" w:rsidRDefault="004F3522" w:rsidP="00A03889">
            <w:pPr>
              <w:rPr>
                <w:rFonts w:ascii="Tahoma" w:hAnsi="Tahoma" w:cs="Tahoma"/>
                <w:sz w:val="16"/>
              </w:rPr>
            </w:pPr>
            <w:r w:rsidRPr="00AC0AD2">
              <w:rPr>
                <w:rFonts w:ascii="Tahoma" w:hAnsi="Tahoma" w:cs="Tahoma"/>
                <w:sz w:val="16"/>
              </w:rPr>
              <w:t>vanja.vilipic@rzs.rs.ba</w:t>
            </w:r>
          </w:p>
        </w:tc>
      </w:tr>
    </w:tbl>
    <w:p w:rsidR="00C14E1B" w:rsidRPr="00AC0AD2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C0AD2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075842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AC0AD2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AC0AD2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AC0AD2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AC0AD2">
              <w:rPr>
                <w:rFonts w:ascii="Tahoma" w:hAnsi="Tahoma" w:cs="Tahoma"/>
                <w:b/>
                <w:bCs/>
              </w:rPr>
              <w:sym w:font="Symbol" w:char="00C6"/>
            </w:r>
            <w:r w:rsidRPr="00AC0AD2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AC0AD2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075842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AC0AD2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AC0AD2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AC0AD2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AC0AD2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AC0AD2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AC0AD2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AC0AD2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AC0AD2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AC0AD2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05D07" w:rsidRPr="00AC0AD2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111ED2" w:rsidRPr="00AC0AD2" w:rsidRDefault="00111ED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111ED2" w:rsidRPr="003269FE" w:rsidRDefault="00111ED2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8C3261" w:rsidRPr="00AC0AD2" w:rsidRDefault="00114C4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  <w:r w:rsidRPr="00114C45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AC0AD2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AC0AD2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AC0AD2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AC0AD2" w:rsidRDefault="00075842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AC0AD2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AC0AD2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AC0AD2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AC0AD2" w:rsidRDefault="0007584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AC0AD2" w:rsidRDefault="0007584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AC0AD2" w:rsidRDefault="0007584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AC0AD2" w:rsidRDefault="0007584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AC0AD2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AC0AD2" w:rsidRDefault="0007584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AC0AD2" w:rsidRDefault="00075842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AC0AD2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AC0AD2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AC0AD2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AC0AD2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AC0AD2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AC0AD2" w:rsidRDefault="00075842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AC0AD2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AC0AD2" w:rsidRDefault="00114C45" w:rsidP="008C3261">
      <w:pPr>
        <w:rPr>
          <w:lang w:val="sr-Cyrl-BA"/>
        </w:rPr>
      </w:pPr>
      <w:r w:rsidRPr="00114C45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AC0AD2" w:rsidRDefault="00657939" w:rsidP="008C3261">
      <w:pPr>
        <w:rPr>
          <w:lang w:val="sr-Cyrl-BA"/>
        </w:rPr>
      </w:pPr>
    </w:p>
    <w:sectPr w:rsidR="00657939" w:rsidRPr="00AC0AD2" w:rsidSect="00EB450E">
      <w:headerReference w:type="default" r:id="rId19"/>
      <w:head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42" w:rsidRDefault="00075842">
      <w:r>
        <w:separator/>
      </w:r>
    </w:p>
  </w:endnote>
  <w:endnote w:type="continuationSeparator" w:id="0">
    <w:p w:rsidR="00075842" w:rsidRDefault="0007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42" w:rsidRDefault="00075842">
      <w:r>
        <w:separator/>
      </w:r>
    </w:p>
  </w:footnote>
  <w:footnote w:type="continuationSeparator" w:id="0">
    <w:p w:rsidR="00075842" w:rsidRDefault="00075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075842" w:rsidTr="00111ED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75842" w:rsidRDefault="00075842" w:rsidP="00111ED2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Republički</w:t>
          </w: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zavod</w:t>
          </w: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</w:t>
          </w: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statistiku</w:t>
          </w:r>
        </w:p>
        <w:p w:rsidR="00075842" w:rsidRPr="00460A5B" w:rsidRDefault="00DD3EF8" w:rsidP="00111ED2">
          <w:pPr>
            <w:pStyle w:val="Header"/>
            <w:rPr>
              <w:color w:val="FFFFFF"/>
              <w:lang w:val="ru-RU"/>
            </w:rPr>
          </w:pPr>
          <w:r>
            <w:rPr>
              <w:rFonts w:ascii="Tahoma" w:hAnsi="Tahoma" w:cs="Tahoma"/>
              <w:b/>
              <w:color w:val="FFFFFF"/>
              <w:lang w:val="sr-Cyrl-BA"/>
            </w:rPr>
            <w:t>SAOPŠTEN</w:t>
          </w:r>
          <w:r>
            <w:rPr>
              <w:rFonts w:ascii="Tahoma" w:hAnsi="Tahoma" w:cs="Tahoma"/>
              <w:b/>
              <w:color w:val="FFFFFF"/>
              <w:lang w:val="sr-Latn-CS"/>
            </w:rPr>
            <w:t>J</w:t>
          </w:r>
          <w:r w:rsidR="00075842">
            <w:rPr>
              <w:rFonts w:ascii="Tahoma" w:hAnsi="Tahoma" w:cs="Tahoma"/>
              <w:b/>
              <w:color w:val="FFFFFF"/>
              <w:lang w:val="sr-Cyrl-BA"/>
            </w:rPr>
            <w:t>E</w:t>
          </w:r>
          <w:r w:rsidR="00075842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 w:rsidR="00075842">
            <w:rPr>
              <w:rFonts w:ascii="Tahoma" w:hAnsi="Tahoma" w:cs="Tahoma"/>
              <w:b/>
              <w:color w:val="FFFFFF"/>
              <w:lang w:val="sr-Cyrl-BA"/>
            </w:rPr>
            <w:t>ZA</w:t>
          </w:r>
          <w:r w:rsidR="00075842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 w:rsidR="00075842">
            <w:rPr>
              <w:rFonts w:ascii="Tahoma" w:hAnsi="Tahoma" w:cs="Tahoma"/>
              <w:b/>
              <w:color w:val="FFFFFF"/>
              <w:lang w:val="sr-Cyrl-BA"/>
            </w:rPr>
            <w:t>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75842" w:rsidRPr="005D5311" w:rsidRDefault="00075842" w:rsidP="00111ED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23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avgust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</w: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DD3EF8">
            <w:rPr>
              <w:rStyle w:val="PageNumber"/>
              <w:rFonts w:ascii="Tahoma" w:hAnsi="Tahoma"/>
              <w:b/>
              <w:noProof/>
              <w:color w:val="0070C0"/>
            </w:rPr>
            <w:t>4</w: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075842" w:rsidRDefault="00075842" w:rsidP="006D0CE1">
    <w:pPr>
      <w:pStyle w:val="Header"/>
      <w:ind w:right="360"/>
      <w:rPr>
        <w:rFonts w:ascii="Tahoma" w:hAnsi="Tahoma" w:cs="Tahoma"/>
        <w:sz w:val="16"/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75842" w:rsidRPr="00EB450E" w:rsidRDefault="00075842">
        <w:pPr>
          <w:pStyle w:val="Header"/>
          <w:jc w:val="right"/>
          <w:rPr>
            <w:color w:val="FFFFFF" w:themeColor="background1"/>
          </w:rPr>
        </w:pPr>
        <w:r w:rsidRPr="00EB450E">
          <w:rPr>
            <w:color w:val="FFFFFF" w:themeColor="background1"/>
          </w:rPr>
          <w:fldChar w:fldCharType="begin"/>
        </w:r>
        <w:r w:rsidRPr="00EB450E">
          <w:rPr>
            <w:color w:val="FFFFFF" w:themeColor="background1"/>
          </w:rPr>
          <w:instrText xml:space="preserve"> PAGE   \* MERGEFORMAT </w:instrText>
        </w:r>
        <w:r w:rsidRPr="00EB450E">
          <w:rPr>
            <w:color w:val="FFFFFF" w:themeColor="background1"/>
          </w:rPr>
          <w:fldChar w:fldCharType="separate"/>
        </w:r>
        <w:r w:rsidR="00DD3EF8">
          <w:rPr>
            <w:noProof/>
            <w:color w:val="FFFFFF" w:themeColor="background1"/>
          </w:rPr>
          <w:t>1</w:t>
        </w:r>
        <w:r w:rsidRPr="00EB450E">
          <w:rPr>
            <w:color w:val="FFFFFF" w:themeColor="background1"/>
          </w:rPr>
          <w:fldChar w:fldCharType="end"/>
        </w:r>
      </w:p>
    </w:sdtContent>
  </w:sdt>
  <w:p w:rsidR="00075842" w:rsidRDefault="00075842">
    <w:pPr>
      <w:pStyle w:val="Header"/>
    </w:pPr>
  </w:p>
  <w:p w:rsidR="00075842" w:rsidRDefault="000758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1F1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7E"/>
    <w:rsid w:val="000677B4"/>
    <w:rsid w:val="00070140"/>
    <w:rsid w:val="00070149"/>
    <w:rsid w:val="00070643"/>
    <w:rsid w:val="00072832"/>
    <w:rsid w:val="000728BB"/>
    <w:rsid w:val="0007308C"/>
    <w:rsid w:val="0007340D"/>
    <w:rsid w:val="00073AB3"/>
    <w:rsid w:val="00073DC1"/>
    <w:rsid w:val="00075147"/>
    <w:rsid w:val="00075842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1CF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4AD"/>
    <w:rsid w:val="001115AF"/>
    <w:rsid w:val="00111BA9"/>
    <w:rsid w:val="00111ED2"/>
    <w:rsid w:val="001121DC"/>
    <w:rsid w:val="0011255B"/>
    <w:rsid w:val="00113CFD"/>
    <w:rsid w:val="00114426"/>
    <w:rsid w:val="00114976"/>
    <w:rsid w:val="001149E4"/>
    <w:rsid w:val="00114AA6"/>
    <w:rsid w:val="00114C45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6DC0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0E"/>
    <w:rsid w:val="001342E2"/>
    <w:rsid w:val="001343EF"/>
    <w:rsid w:val="00134484"/>
    <w:rsid w:val="00134E6F"/>
    <w:rsid w:val="001359AE"/>
    <w:rsid w:val="001361D7"/>
    <w:rsid w:val="001364A2"/>
    <w:rsid w:val="001364A4"/>
    <w:rsid w:val="001368CA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8A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57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D40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9D3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09B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00F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8CE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368"/>
    <w:rsid w:val="00270462"/>
    <w:rsid w:val="0027151F"/>
    <w:rsid w:val="00271A5A"/>
    <w:rsid w:val="0027269C"/>
    <w:rsid w:val="00272A1A"/>
    <w:rsid w:val="00272E9A"/>
    <w:rsid w:val="00272FE5"/>
    <w:rsid w:val="0027310B"/>
    <w:rsid w:val="00273A0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510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235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9FE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C96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A0D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587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56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283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4C56"/>
    <w:rsid w:val="00445324"/>
    <w:rsid w:val="004459B2"/>
    <w:rsid w:val="00445CA0"/>
    <w:rsid w:val="00445E3A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674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6AD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044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DEB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522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3EDA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4EC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0C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B4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0F3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3CB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3A2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3DF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5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2E2C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D7F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58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84A"/>
    <w:rsid w:val="006E5E5C"/>
    <w:rsid w:val="006E6056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3BB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A6F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24B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4DE1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676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4B95"/>
    <w:rsid w:val="008351E6"/>
    <w:rsid w:val="008357BB"/>
    <w:rsid w:val="0083591D"/>
    <w:rsid w:val="00835F0E"/>
    <w:rsid w:val="00836650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16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87DF8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2B0F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049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0F00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436"/>
    <w:rsid w:val="00960D5C"/>
    <w:rsid w:val="009617F0"/>
    <w:rsid w:val="00961A67"/>
    <w:rsid w:val="00961F64"/>
    <w:rsid w:val="0096204E"/>
    <w:rsid w:val="00962251"/>
    <w:rsid w:val="00962A95"/>
    <w:rsid w:val="009631B1"/>
    <w:rsid w:val="00963DD2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6EE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43E9"/>
    <w:rsid w:val="009B5105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5CC"/>
    <w:rsid w:val="009C76C4"/>
    <w:rsid w:val="009C7772"/>
    <w:rsid w:val="009C778C"/>
    <w:rsid w:val="009C7BE3"/>
    <w:rsid w:val="009D0100"/>
    <w:rsid w:val="009D03D9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889"/>
    <w:rsid w:val="00A0393A"/>
    <w:rsid w:val="00A03E6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07DA4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C64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5DA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AD2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3EC9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16F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87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3019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4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466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0F6F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9FD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B6A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8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5F09"/>
    <w:rsid w:val="00CB64C8"/>
    <w:rsid w:val="00CB70FD"/>
    <w:rsid w:val="00CB71CE"/>
    <w:rsid w:val="00CB75F7"/>
    <w:rsid w:val="00CB76E6"/>
    <w:rsid w:val="00CB7902"/>
    <w:rsid w:val="00CC018B"/>
    <w:rsid w:val="00CC0AAB"/>
    <w:rsid w:val="00CC1A3A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0EA0"/>
    <w:rsid w:val="00CF1D6A"/>
    <w:rsid w:val="00CF2564"/>
    <w:rsid w:val="00CF2851"/>
    <w:rsid w:val="00CF2D6E"/>
    <w:rsid w:val="00CF2EEB"/>
    <w:rsid w:val="00CF3107"/>
    <w:rsid w:val="00CF3676"/>
    <w:rsid w:val="00CF3C50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293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C6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109"/>
    <w:rsid w:val="00DA160B"/>
    <w:rsid w:val="00DA1E57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4DA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2BD3"/>
    <w:rsid w:val="00DD3069"/>
    <w:rsid w:val="00DD3DFD"/>
    <w:rsid w:val="00DD3EF8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1F4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10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3D9"/>
    <w:rsid w:val="00E35B1A"/>
    <w:rsid w:val="00E35DA4"/>
    <w:rsid w:val="00E366FD"/>
    <w:rsid w:val="00E37315"/>
    <w:rsid w:val="00E37827"/>
    <w:rsid w:val="00E379D6"/>
    <w:rsid w:val="00E37D8A"/>
    <w:rsid w:val="00E401CC"/>
    <w:rsid w:val="00E40476"/>
    <w:rsid w:val="00E40E57"/>
    <w:rsid w:val="00E4140F"/>
    <w:rsid w:val="00E41925"/>
    <w:rsid w:val="00E4210D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3C3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94C"/>
    <w:rsid w:val="00EB1C9A"/>
    <w:rsid w:val="00EB2360"/>
    <w:rsid w:val="00EB2851"/>
    <w:rsid w:val="00EB450E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2C01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87A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1945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225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0B68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4FD6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A56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5C0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40C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paragraph" w:styleId="NormalWeb">
    <w:name w:val="Normal (Web)"/>
    <w:basedOn w:val="Normal"/>
    <w:uiPriority w:val="99"/>
    <w:unhideWhenUsed/>
    <w:rsid w:val="00B206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jana.gli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jvanve\Desktop\Grafikoni%20za%20skra&#263;eno%20saop&#353;tenj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stojcevicsa.RZS\Desktop\SANJA\SPOLJNA%20TRGOVINA\za%20medije\Prezentacija,%20od%20avg2011\jul%202012\za%20Graf%20I-V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32083333333333336"/>
          <c:y val="0.11342592592592635"/>
          <c:w val="0.39166666666667593"/>
          <c:h val="0.6527777777777892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0175240594925652"/>
                  <c:y val="1.220071449402158E-2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0-19 </a:t>
                    </a:r>
                    <a:r>
                      <a:rPr lang="en-US"/>
                      <a:t>zapsolenih</a:t>
                    </a:r>
                    <a:r>
                      <a:rPr lang="en-US" baseline="0"/>
                      <a:t> lica</a:t>
                    </a:r>
                    <a:r>
                      <a:rPr lang="sr-Cyrl-BA"/>
                      <a:t>; 29,4%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0462992125984252"/>
                  <c:y val="-8.2786526684164525E-4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20-49 </a:t>
                    </a:r>
                    <a:r>
                      <a:rPr lang="sr-Latn-CS"/>
                      <a:t>zaposlenih lica</a:t>
                    </a:r>
                    <a:r>
                      <a:rPr lang="sr-Cyrl-BA"/>
                      <a:t>; 17,0%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7.7292104111986767E-2"/>
                  <c:y val="-9.2249927092447007E-3"/>
                </c:manualLayout>
              </c:layout>
              <c:tx>
                <c:rich>
                  <a:bodyPr/>
                  <a:lstStyle/>
                  <a:p>
                    <a:r>
                      <a:rPr lang="sr-Cyrl-BA"/>
                      <a:t>50 </a:t>
                    </a:r>
                    <a:r>
                      <a:rPr lang="en-US"/>
                      <a:t>i vi</a:t>
                    </a:r>
                    <a:r>
                      <a:rPr lang="sr-Latn-CS"/>
                      <a:t>še zaposlenih lica</a:t>
                    </a:r>
                    <a:r>
                      <a:rPr lang="sr-Cyrl-BA"/>
                      <a:t>; 53,6%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80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Val val="1"/>
            <c:showCatName val="1"/>
            <c:showLeaderLines val="1"/>
          </c:dLbls>
          <c:cat>
            <c:strRef>
              <c:f>Sheet1!$A$14:$A$16</c:f>
              <c:strCache>
                <c:ptCount val="3"/>
                <c:pt idx="0">
                  <c:v>0-19 запослених лица</c:v>
                </c:pt>
                <c:pt idx="1">
                  <c:v>20-49 запослених лица</c:v>
                </c:pt>
                <c:pt idx="2">
                  <c:v>50 и више запослених лица</c:v>
                </c:pt>
              </c:strCache>
            </c:strRef>
          </c:cat>
          <c:val>
            <c:numRef>
              <c:f>Sheet1!$B$14:$B$16</c:f>
              <c:numCache>
                <c:formatCode>0.0</c:formatCode>
                <c:ptCount val="3"/>
                <c:pt idx="0">
                  <c:v>29.4</c:v>
                </c:pt>
                <c:pt idx="1">
                  <c:v>17</c:v>
                </c:pt>
                <c:pt idx="2">
                  <c:v>53.6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2403861341992296"/>
          <c:y val="0.15095117177046108"/>
          <c:w val="0.65206660337670563"/>
          <c:h val="0.63953458207909863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lll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811</c:v>
                </c:pt>
                <c:pt idx="1">
                  <c:v>813</c:v>
                </c:pt>
                <c:pt idx="2">
                  <c:v>807</c:v>
                </c:pt>
                <c:pt idx="3">
                  <c:v>802</c:v>
                </c:pt>
                <c:pt idx="4">
                  <c:v>813</c:v>
                </c:pt>
                <c:pt idx="5">
                  <c:v>815</c:v>
                </c:pt>
                <c:pt idx="6">
                  <c:v>819</c:v>
                </c:pt>
                <c:pt idx="7">
                  <c:v>821</c:v>
                </c:pt>
                <c:pt idx="8">
                  <c:v>814</c:v>
                </c:pt>
                <c:pt idx="9">
                  <c:v>817</c:v>
                </c:pt>
                <c:pt idx="10">
                  <c:v>826</c:v>
                </c:pt>
                <c:pt idx="11">
                  <c:v>818</c:v>
                </c:pt>
                <c:pt idx="12">
                  <c:v>823</c:v>
                </c:pt>
              </c:numCache>
            </c:numRef>
          </c:val>
        </c:ser>
        <c:marker val="1"/>
        <c:axId val="40591360"/>
        <c:axId val="40592896"/>
      </c:lineChart>
      <c:catAx>
        <c:axId val="40591360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40592896"/>
        <c:crosses val="autoZero"/>
        <c:lblAlgn val="ctr"/>
        <c:lblOffset val="100"/>
      </c:catAx>
      <c:valAx>
        <c:axId val="40592896"/>
        <c:scaling>
          <c:orientation val="minMax"/>
          <c:max val="84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tx1"/>
            </a:solidFill>
          </a:ln>
        </c:spPr>
        <c:crossAx val="40591360"/>
        <c:crosses val="autoZero"/>
        <c:crossBetween val="between"/>
        <c:majorUnit val="40"/>
      </c:valAx>
      <c:spPr>
        <a:ln w="3175">
          <a:solidFill>
            <a:sysClr val="window" lastClr="FFFFFF">
              <a:lumMod val="75000"/>
            </a:sysClr>
          </a:solidFill>
        </a:ln>
      </c:spPr>
    </c:plotArea>
    <c:legend>
      <c:legendPos val="r"/>
      <c:layout>
        <c:manualLayout>
          <c:xMode val="edge"/>
          <c:yMode val="edge"/>
          <c:x val="0.77084375787154891"/>
          <c:y val="0.36007524389641232"/>
          <c:w val="0.21391082390681643"/>
          <c:h val="0.19938492106233544"/>
        </c:manualLayout>
      </c:layout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064641460326047"/>
          <c:h val="0.7168788276465472"/>
        </c:manualLayout>
      </c:layout>
      <c:lineChart>
        <c:grouping val="standard"/>
        <c:ser>
          <c:idx val="0"/>
          <c:order val="0"/>
          <c:tx>
            <c:strRef>
              <c:f>zaJul2012!$A$2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zaJul2012!$B$1:$N$1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zaJul2012!$B$2:$N$2</c:f>
              <c:numCache>
                <c:formatCode>General</c:formatCode>
                <c:ptCount val="13"/>
                <c:pt idx="0">
                  <c:v>408126</c:v>
                </c:pt>
                <c:pt idx="1">
                  <c:v>375252</c:v>
                </c:pt>
                <c:pt idx="2">
                  <c:v>423131</c:v>
                </c:pt>
                <c:pt idx="3">
                  <c:v>395756</c:v>
                </c:pt>
                <c:pt idx="4">
                  <c:v>393355</c:v>
                </c:pt>
                <c:pt idx="5">
                  <c:v>456660</c:v>
                </c:pt>
                <c:pt idx="6">
                  <c:v>290628</c:v>
                </c:pt>
                <c:pt idx="7">
                  <c:v>242652</c:v>
                </c:pt>
                <c:pt idx="8">
                  <c:v>474051</c:v>
                </c:pt>
                <c:pt idx="9">
                  <c:v>372455</c:v>
                </c:pt>
                <c:pt idx="10">
                  <c:v>382972</c:v>
                </c:pt>
                <c:pt idx="11">
                  <c:v>381176</c:v>
                </c:pt>
                <c:pt idx="12">
                  <c:v>427911</c:v>
                </c:pt>
              </c:numCache>
            </c:numRef>
          </c:val>
        </c:ser>
        <c:ser>
          <c:idx val="1"/>
          <c:order val="1"/>
          <c:tx>
            <c:strRef>
              <c:f>zaJul2012!$A$3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zaJul2012!$B$1:$N$1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zaJul2012!$B$3:$N$3</c:f>
              <c:numCache>
                <c:formatCode>General</c:formatCode>
                <c:ptCount val="13"/>
                <c:pt idx="0">
                  <c:v>214197</c:v>
                </c:pt>
                <c:pt idx="1">
                  <c:v>218421</c:v>
                </c:pt>
                <c:pt idx="2">
                  <c:v>248916</c:v>
                </c:pt>
                <c:pt idx="3">
                  <c:v>220845</c:v>
                </c:pt>
                <c:pt idx="4">
                  <c:v>225498</c:v>
                </c:pt>
                <c:pt idx="5">
                  <c:v>203576</c:v>
                </c:pt>
                <c:pt idx="6">
                  <c:v>158330</c:v>
                </c:pt>
                <c:pt idx="7">
                  <c:v>161327</c:v>
                </c:pt>
                <c:pt idx="8">
                  <c:v>214070</c:v>
                </c:pt>
                <c:pt idx="9">
                  <c:v>204803</c:v>
                </c:pt>
                <c:pt idx="10">
                  <c:v>227243</c:v>
                </c:pt>
                <c:pt idx="11">
                  <c:v>214185</c:v>
                </c:pt>
                <c:pt idx="12">
                  <c:v>218572</c:v>
                </c:pt>
              </c:numCache>
            </c:numRef>
          </c:val>
        </c:ser>
        <c:marker val="1"/>
        <c:axId val="40776064"/>
        <c:axId val="40777600"/>
      </c:lineChart>
      <c:catAx>
        <c:axId val="40776064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40777600"/>
        <c:crosses val="autoZero"/>
        <c:auto val="1"/>
        <c:lblAlgn val="ctr"/>
        <c:lblOffset val="100"/>
      </c:catAx>
      <c:valAx>
        <c:axId val="40777600"/>
        <c:scaling>
          <c:orientation val="minMax"/>
        </c:scaling>
        <c:axPos val="l"/>
        <c:majorGridlines>
          <c:spPr>
            <a:ln w="3175">
              <a:solidFill>
                <a:sysClr val="window" lastClr="FFFFFF">
                  <a:lumMod val="75000"/>
                </a:sysClr>
              </a:solidFill>
            </a:ln>
          </c:spPr>
        </c:majorGridlines>
        <c:numFmt formatCode="#\ ##0;\-#\ ##0" sourceLinked="0"/>
        <c:tickLblPos val="nextTo"/>
        <c:spPr>
          <a:ln w="6350">
            <a:solidFill>
              <a:schemeClr val="tx1"/>
            </a:solidFill>
          </a:ln>
        </c:spPr>
        <c:crossAx val="40776064"/>
        <c:crosses val="autoZero"/>
        <c:crossBetween val="between"/>
      </c:valAx>
      <c:spPr>
        <a:ln w="3175"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279024501967534"/>
          <c:y val="0.39776428988043161"/>
          <c:w val="0.13669099874979726"/>
          <c:h val="0.16743438320210213"/>
        </c:manualLayout>
      </c:layout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0.85179</cdr:x>
      <cdr:y>0.36364</cdr:y>
    </cdr:from>
    <cdr:to>
      <cdr:x>1</cdr:x>
      <cdr:y>0.54252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58532" y="985961"/>
          <a:ext cx="723569" cy="485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0.84853</cdr:x>
      <cdr:y>0.38123</cdr:y>
    </cdr:from>
    <cdr:to>
      <cdr:x>1</cdr:x>
      <cdr:y>0.60997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142630" y="1033669"/>
          <a:ext cx="739471" cy="6202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900">
              <a:latin typeface="Tahoma" pitchFamily="34" charset="0"/>
              <a:ea typeface="Tahoma" pitchFamily="34" charset="0"/>
              <a:cs typeface="Tahoma" pitchFamily="34" charset="0"/>
            </a:rPr>
            <a:t>Prosječne</a:t>
          </a:r>
          <a:r>
            <a:rPr lang="sr-Latn-CS" sz="900" baseline="0">
              <a:latin typeface="Tahoma" pitchFamily="34" charset="0"/>
              <a:ea typeface="Tahoma" pitchFamily="34" charset="0"/>
              <a:cs typeface="Tahoma" pitchFamily="34" charset="0"/>
            </a:rPr>
            <a:t> plate zaposlenih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0.91531</cdr:x>
      <cdr:y>0.53333</cdr:y>
    </cdr:from>
    <cdr:to>
      <cdr:x>1</cdr:x>
      <cdr:y>0.58261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77801" y="1463040"/>
          <a:ext cx="389614" cy="1351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0.87097</cdr:x>
      <cdr:y>0.47536</cdr:y>
    </cdr:from>
    <cdr:to>
      <cdr:x>1</cdr:x>
      <cdr:y>0.57101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23076" y="1304014"/>
          <a:ext cx="699714" cy="26239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900">
              <a:latin typeface="Tahoma" pitchFamily="34" charset="0"/>
              <a:ea typeface="Tahoma" pitchFamily="34" charset="0"/>
              <a:cs typeface="Tahoma" pitchFamily="34" charset="0"/>
            </a:rPr>
            <a:t>izvoz</a:t>
          </a:r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F48A-F368-4B1F-A1EB-553B07C3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3120</Words>
  <Characters>18875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21952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15</cp:revision>
  <cp:lastPrinted>2012-08-23T07:34:00Z</cp:lastPrinted>
  <dcterms:created xsi:type="dcterms:W3CDTF">2012-08-20T08:54:00Z</dcterms:created>
  <dcterms:modified xsi:type="dcterms:W3CDTF">2012-08-23T09:54:00Z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