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AC0AD2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C0AD2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</w:rPr>
              <w:br w:type="column"/>
            </w:r>
            <w:r w:rsidRPr="00AC0AD2">
              <w:rPr>
                <w:rFonts w:ascii="Tahoma" w:hAnsi="Tahoma" w:cs="Tahoma"/>
              </w:rPr>
              <w:br w:type="column"/>
            </w:r>
            <w:r w:rsidRPr="00AC0AD2">
              <w:rPr>
                <w:rFonts w:ascii="Tahoma" w:hAnsi="Tahoma" w:cs="Tahoma"/>
              </w:rPr>
              <w:br w:type="page"/>
            </w:r>
            <w:r w:rsidRPr="00AC0AD2">
              <w:rPr>
                <w:rFonts w:ascii="Tahoma" w:hAnsi="Tahoma" w:cs="Tahoma"/>
              </w:rPr>
              <w:br w:type="page"/>
            </w:r>
            <w:r w:rsidR="00B97590" w:rsidRPr="00AC0AD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AC0AD2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AC0AD2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AC0AD2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D2BD3" w:rsidRDefault="005D5311" w:rsidP="00111ED2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111ED2" w:rsidRPr="00DD2BD3">
              <w:rPr>
                <w:rFonts w:ascii="Tahoma" w:hAnsi="Tahoma" w:cs="Tahoma"/>
                <w:color w:val="1F497D" w:themeColor="text2"/>
                <w:sz w:val="16"/>
              </w:rPr>
              <w:t>23</w:t>
            </w:r>
            <w:r w:rsidRPr="00DD2BD3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111ED2" w:rsidRPr="00DD2BD3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август</w:t>
            </w:r>
            <w:r w:rsidR="00AA6475" w:rsidRPr="00DD2BD3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111ED2"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8</w:t>
            </w:r>
            <w:r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AC0AD2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AC0AD2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AC0AD2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AC0AD2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AC0AD2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D2BD3" w:rsidRDefault="007E158B" w:rsidP="00111ED2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111ED2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август</w:t>
            </w:r>
            <w:r w:rsidR="00DB54DA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AC0AD2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D2BD3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DD2BD3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CF0EA0" w:rsidRPr="00AC0AD2" w:rsidRDefault="00CF0EA0" w:rsidP="00A03889">
      <w:pPr>
        <w:rPr>
          <w:rFonts w:ascii="Tahoma" w:hAnsi="Tahoma" w:cs="Tahoma"/>
          <w:b/>
          <w:sz w:val="28"/>
          <w:szCs w:val="28"/>
        </w:rPr>
      </w:pPr>
    </w:p>
    <w:p w:rsidR="00DD2BD3" w:rsidRPr="00B63019" w:rsidRDefault="00DD2BD3" w:rsidP="009966EE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proofErr w:type="gramStart"/>
      <w:r w:rsidRPr="00B63019">
        <w:rPr>
          <w:rFonts w:ascii="Tahoma" w:hAnsi="Tahoma" w:cs="Tahoma"/>
          <w:b/>
          <w:sz w:val="28"/>
          <w:szCs w:val="28"/>
        </w:rPr>
        <w:t>П</w:t>
      </w:r>
      <w:r w:rsidRPr="00B63019">
        <w:rPr>
          <w:rFonts w:ascii="Tahoma" w:hAnsi="Tahoma" w:cs="Tahoma"/>
          <w:b/>
          <w:sz w:val="28"/>
          <w:szCs w:val="28"/>
          <w:lang w:val="sr-Cyrl-CS"/>
        </w:rPr>
        <w:t>росјечни</w:t>
      </w:r>
      <w:r w:rsidRPr="00B63019">
        <w:rPr>
          <w:rFonts w:ascii="Tahoma" w:hAnsi="Tahoma" w:cs="Tahoma"/>
          <w:b/>
          <w:sz w:val="28"/>
          <w:szCs w:val="28"/>
        </w:rPr>
        <w:t xml:space="preserve"> </w:t>
      </w:r>
      <w:r w:rsidRPr="00B63019">
        <w:rPr>
          <w:rFonts w:ascii="Tahoma" w:hAnsi="Tahoma" w:cs="Tahoma"/>
          <w:b/>
          <w:sz w:val="28"/>
          <w:szCs w:val="28"/>
          <w:lang w:val="sr-Cyrl-CS"/>
        </w:rPr>
        <w:t>мјесечни</w:t>
      </w:r>
      <w:r w:rsidRPr="00B63019">
        <w:rPr>
          <w:rFonts w:ascii="Tahoma" w:hAnsi="Tahoma" w:cs="Tahoma"/>
          <w:b/>
          <w:sz w:val="28"/>
          <w:szCs w:val="28"/>
        </w:rPr>
        <w:t xml:space="preserve"> </w:t>
      </w:r>
      <w:r w:rsidRPr="00B63019">
        <w:rPr>
          <w:rFonts w:ascii="Tahoma" w:hAnsi="Tahoma" w:cs="Tahoma"/>
          <w:b/>
          <w:sz w:val="28"/>
          <w:szCs w:val="28"/>
          <w:lang w:val="sr-Cyrl-CS"/>
        </w:rPr>
        <w:t xml:space="preserve">издаци </w:t>
      </w:r>
      <w:r w:rsidR="009966EE">
        <w:rPr>
          <w:rFonts w:ascii="Tahoma" w:hAnsi="Tahoma" w:cs="Tahoma"/>
          <w:b/>
          <w:sz w:val="28"/>
          <w:szCs w:val="28"/>
          <w:lang w:val="sr-Cyrl-CS"/>
        </w:rPr>
        <w:t>за потрошњу домаћинства у 2011.</w:t>
      </w:r>
      <w:proofErr w:type="gramEnd"/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63019">
        <w:rPr>
          <w:rFonts w:ascii="Tahoma" w:hAnsi="Tahoma" w:cs="Tahoma"/>
          <w:b/>
          <w:sz w:val="28"/>
          <w:szCs w:val="28"/>
          <w:lang w:val="sr-Cyrl-CS"/>
        </w:rPr>
        <w:t>години су износили 1</w:t>
      </w:r>
      <w:r w:rsidRPr="00B63019">
        <w:rPr>
          <w:rFonts w:ascii="Tahoma" w:hAnsi="Tahoma" w:cs="Tahoma"/>
          <w:b/>
          <w:sz w:val="28"/>
          <w:szCs w:val="28"/>
        </w:rPr>
        <w:t xml:space="preserve"> </w:t>
      </w:r>
      <w:r w:rsidRPr="00B63019">
        <w:rPr>
          <w:rFonts w:ascii="Tahoma" w:hAnsi="Tahoma" w:cs="Tahoma"/>
          <w:b/>
          <w:sz w:val="28"/>
          <w:szCs w:val="28"/>
          <w:lang w:val="sr-Cyrl-CS"/>
        </w:rPr>
        <w:t xml:space="preserve">381,45 КМ (претходни подаци) </w:t>
      </w:r>
    </w:p>
    <w:p w:rsidR="00DD2BD3" w:rsidRPr="00AC0AD2" w:rsidRDefault="00DD2BD3" w:rsidP="009966EE">
      <w:pPr>
        <w:rPr>
          <w:rFonts w:ascii="Tahoma" w:hAnsi="Tahoma" w:cs="Tahoma"/>
          <w:sz w:val="18"/>
          <w:szCs w:val="18"/>
        </w:rPr>
      </w:pPr>
    </w:p>
    <w:p w:rsidR="009966EE" w:rsidRPr="009966EE" w:rsidRDefault="009966EE" w:rsidP="009966E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9966EE">
        <w:rPr>
          <w:rFonts w:ascii="Tahoma" w:hAnsi="Tahoma" w:cs="Tahoma"/>
          <w:sz w:val="18"/>
          <w:szCs w:val="18"/>
          <w:lang w:val="sr-Cyrl-CS"/>
        </w:rPr>
        <w:t xml:space="preserve">Анкета о потрошњи домаћинстава је статистичко истраживање којим се од анкетираних домаћинстава прикупљају прије свега подаци о издацима за потрошњу, потрошњи из властите производње, али и подаци о другим индикаторима животног стандарда, основним демографским, економским и социјалним карактеристикама домаћинстава. </w:t>
      </w:r>
    </w:p>
    <w:p w:rsidR="009966EE" w:rsidRPr="009966EE" w:rsidRDefault="009966EE" w:rsidP="009966E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9966EE">
        <w:rPr>
          <w:rFonts w:ascii="Tahoma" w:hAnsi="Tahoma" w:cs="Tahoma"/>
          <w:sz w:val="18"/>
          <w:szCs w:val="18"/>
          <w:lang w:val="ru-RU"/>
        </w:rPr>
        <w:t>Јединица посматрања је свако домаћинство изабрано у узорак. Анкетом се не обухватају тзв. колективна домаћинства (домови за збрињавање и његу, болнице, самостани, манастири, студентски домови, интернати, затвори и сл.) у којима људи бораве трајно или годину и више непрекидно.</w:t>
      </w:r>
    </w:p>
    <w:p w:rsidR="00B20687" w:rsidRPr="00B20687" w:rsidRDefault="009966EE" w:rsidP="00B20687">
      <w:pPr>
        <w:jc w:val="both"/>
        <w:rPr>
          <w:rFonts w:ascii="Tahoma" w:hAnsi="Tahoma" w:cs="Tahoma"/>
          <w:sz w:val="18"/>
          <w:szCs w:val="18"/>
        </w:rPr>
      </w:pPr>
      <w:r w:rsidRPr="009966EE">
        <w:rPr>
          <w:rFonts w:ascii="Tahoma" w:hAnsi="Tahoma" w:cs="Tahoma"/>
          <w:sz w:val="18"/>
          <w:szCs w:val="18"/>
          <w:lang w:val="sr-Cyrl-CS"/>
        </w:rPr>
        <w:t>Републички завод за статистику Републике Српске провео је Анкету о потрошњи домаћинстава у 2004., 2007. и 2011. години.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Анкета </w:t>
      </w:r>
      <w:r w:rsidR="00B20687" w:rsidRPr="00AC0AD2">
        <w:rPr>
          <w:rFonts w:ascii="Tahoma" w:hAnsi="Tahoma" w:cs="Tahoma"/>
          <w:sz w:val="18"/>
          <w:szCs w:val="18"/>
          <w:lang w:val="sr-Cyrl-CS"/>
        </w:rPr>
        <w:t xml:space="preserve">у 2011. години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је континуирано проведена током 12 мјесеци, у складу са методолошким препорукама ЕУ и међународним стандардима, чиме </w:t>
      </w:r>
      <w:r w:rsidR="00DD2BD3" w:rsidRPr="00AC0AD2">
        <w:rPr>
          <w:rFonts w:ascii="Tahoma" w:hAnsi="Tahoma" w:cs="Tahoma"/>
          <w:sz w:val="18"/>
          <w:szCs w:val="18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обезбиј</w:t>
      </w:r>
      <w:r w:rsidR="00DD2BD3" w:rsidRPr="00AC0AD2">
        <w:rPr>
          <w:rFonts w:ascii="Tahoma" w:hAnsi="Tahoma" w:cs="Tahoma"/>
          <w:sz w:val="18"/>
          <w:szCs w:val="18"/>
        </w:rPr>
        <w:t>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ђена међународна упоредивост података. 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Од 3 091 домаћинства предвиђеног за анкетирање у Републици Српској, анкетирано је 2 437 домаћинстава.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Сви подаци </w:t>
      </w:r>
      <w:r w:rsidR="00B20687">
        <w:rPr>
          <w:rFonts w:ascii="Tahoma" w:hAnsi="Tahoma" w:cs="Tahoma"/>
          <w:sz w:val="18"/>
          <w:szCs w:val="18"/>
          <w:lang w:val="sr-Cyrl-CS"/>
        </w:rPr>
        <w:t>су претходни подаци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DD2BD3" w:rsidRPr="00AC0AD2" w:rsidRDefault="00B20687" w:rsidP="00B2068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20687">
        <w:rPr>
          <w:rFonts w:ascii="Tahoma" w:hAnsi="Tahoma" w:cs="Tahoma"/>
          <w:sz w:val="18"/>
          <w:szCs w:val="18"/>
          <w:lang w:val="sr-Cyrl-CS"/>
        </w:rPr>
        <w:t xml:space="preserve">Просјечан број чланова у домаћинству био је 2,95. 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У просјеку, једно домаћинство је трошило 469,18 КМ на храну и пића, док су издаци за непрехрамбене производе и услуге износили 912,27 КМ. Више од трећине укупних мјесечних издатака се односи на храну и пиће (34,0%), док скоро једна четвртина одлази на одржавање стамбене јединице и режијске издатке (24,8%). За превоз и комуникације се издвајало 14,4%, за одјећу и обућу 5,1%, за намјештај, опрему и услуге у домаћинству 4,7%, за здравство 3,4% и преосталих 13,7% на остале производе и услуге (дуван, рекреација, образовање, угоститељске услуге, услуге смјештаја, итд.).</w:t>
      </w:r>
    </w:p>
    <w:p w:rsidR="00FD35C0" w:rsidRDefault="00DD2BD3" w:rsidP="00B20687">
      <w:pPr>
        <w:jc w:val="both"/>
        <w:rPr>
          <w:rFonts w:ascii="Tahoma" w:hAnsi="Tahoma" w:cs="Tahoma"/>
          <w:sz w:val="18"/>
          <w:szCs w:val="18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У међуградским и сеоским насељима живи 61,1% домаћинстава и они у просјеку мјесечно троше 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1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299,38 КМ, док </w:t>
      </w:r>
      <w:r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Pr="00AC0AD2">
        <w:rPr>
          <w:rFonts w:ascii="Tahoma" w:hAnsi="Tahoma" w:cs="Tahoma"/>
          <w:sz w:val="18"/>
          <w:szCs w:val="18"/>
          <w:lang w:val="sr-Cyrl-CS"/>
        </w:rPr>
        <w:t>домаћинства у градским насељима просјечни мјесечни издаци износе 1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510,48 КМ.</w:t>
      </w:r>
      <w:r w:rsidR="00FD35C0">
        <w:rPr>
          <w:rFonts w:ascii="Tahoma" w:hAnsi="Tahoma" w:cs="Tahoma"/>
          <w:sz w:val="18"/>
          <w:szCs w:val="18"/>
        </w:rPr>
        <w:t xml:space="preserve"> </w:t>
      </w:r>
    </w:p>
    <w:p w:rsidR="00DD2BD3" w:rsidRPr="00FD35C0" w:rsidRDefault="00FD35C0" w:rsidP="00B20687">
      <w:pPr>
        <w:jc w:val="both"/>
        <w:rPr>
          <w:rFonts w:ascii="Tahoma" w:hAnsi="Tahoma" w:cs="Tahoma"/>
          <w:sz w:val="18"/>
          <w:szCs w:val="18"/>
        </w:rPr>
      </w:pPr>
      <w:r w:rsidRPr="00FD35C0">
        <w:rPr>
          <w:rFonts w:ascii="Tahoma" w:hAnsi="Tahoma" w:cs="Tahoma"/>
          <w:sz w:val="18"/>
          <w:szCs w:val="18"/>
          <w:lang w:val="sr-Cyrl-CS"/>
        </w:rPr>
        <w:t>Процијењени издатак за потрошњу из властите производње је 146, 32 КМ и чини 10,26% од укупних просјечних мјесечних издатака</w:t>
      </w: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DD2BD3" w:rsidP="00DD2BD3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AC0AD2">
        <w:rPr>
          <w:rFonts w:ascii="Tahoma" w:hAnsi="Tahoma" w:cs="Tahoma"/>
          <w:b/>
          <w:sz w:val="18"/>
          <w:szCs w:val="18"/>
          <w:lang w:val="sr-Cyrl-CS"/>
        </w:rPr>
        <w:t>Расте број корисника персоналних рачунара, а свако четврто домаћинство има и интернет прикључак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b/>
          <w:sz w:val="18"/>
          <w:szCs w:val="18"/>
          <w:lang w:val="sr-Cyrl-CS"/>
        </w:rPr>
        <w:t xml:space="preserve">(претходни подаци) </w:t>
      </w:r>
    </w:p>
    <w:p w:rsidR="00FD35C0" w:rsidRDefault="00FD35C0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Телефон има 70,2% домаћинстава, док мобилни телефон посједује 76% домаћинстава.</w:t>
      </w:r>
    </w:p>
    <w:p w:rsidR="00B20687" w:rsidRPr="00AC0AD2" w:rsidRDefault="00B20687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20687">
        <w:rPr>
          <w:rFonts w:ascii="Tahoma" w:hAnsi="Tahoma" w:cs="Tahoma"/>
          <w:sz w:val="18"/>
          <w:szCs w:val="18"/>
          <w:lang w:val="sr-Cyrl-CS"/>
        </w:rPr>
        <w:t>Значајно се повећао број домаћинстава која имају машину за суђе (11%), као и број инсталираних клима уређаја (9,9%).</w:t>
      </w:r>
    </w:p>
    <w:p w:rsidR="00DD2BD3" w:rsidRDefault="00DD2BD3" w:rsidP="00DD2BD3">
      <w:pPr>
        <w:jc w:val="both"/>
        <w:rPr>
          <w:rFonts w:ascii="Tahoma" w:hAnsi="Tahoma" w:cs="Tahoma"/>
          <w:sz w:val="18"/>
          <w:szCs w:val="18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Персонални рачунар има више од трећине домаћинстава (34,4%), док интернет прикључак има 25,5% домаћинстава.</w:t>
      </w:r>
    </w:p>
    <w:p w:rsidR="00FD35C0" w:rsidRPr="00FD35C0" w:rsidRDefault="00FD35C0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DD2BD3" w:rsidP="00DD2BD3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AC0AD2">
        <w:rPr>
          <w:rFonts w:ascii="Tahoma" w:hAnsi="Tahoma" w:cs="Tahoma"/>
          <w:b/>
          <w:sz w:val="18"/>
          <w:szCs w:val="18"/>
          <w:lang w:val="sr-Cyrl-CS"/>
        </w:rPr>
        <w:t>Граница релативног сиромаштва у Републици Српској износи 381,09 КМ мјесечно по прилагођеном члану домаћинства (претходни подаци)</w:t>
      </w:r>
    </w:p>
    <w:p w:rsidR="00DD2BD3" w:rsidRPr="00AC0AD2" w:rsidRDefault="00FD35C0" w:rsidP="00DD2BD3">
      <w:pPr>
        <w:jc w:val="both"/>
        <w:rPr>
          <w:rFonts w:ascii="Tahoma" w:hAnsi="Tahoma" w:cs="Tahoma"/>
          <w:sz w:val="18"/>
          <w:szCs w:val="18"/>
        </w:rPr>
      </w:pPr>
      <w:r w:rsidRPr="00FD35C0">
        <w:rPr>
          <w:rFonts w:ascii="Tahoma" w:hAnsi="Tahoma" w:cs="Tahoma"/>
          <w:b/>
          <w:sz w:val="18"/>
          <w:szCs w:val="18"/>
          <w:lang w:val="ru-RU"/>
        </w:rPr>
        <w:t>Релативно сиромаштво</w:t>
      </w:r>
      <w:r w:rsidRPr="00FD35C0">
        <w:rPr>
          <w:rFonts w:ascii="Tahoma" w:hAnsi="Tahoma" w:cs="Tahoma"/>
          <w:sz w:val="18"/>
          <w:szCs w:val="18"/>
          <w:lang w:val="ru-RU"/>
        </w:rPr>
        <w:t xml:space="preserve"> се дефинише као ниво издатака за потрошњу кој</w:t>
      </w:r>
      <w:r w:rsidRPr="00FD35C0">
        <w:rPr>
          <w:rFonts w:ascii="Tahoma" w:hAnsi="Tahoma" w:cs="Tahoma"/>
          <w:sz w:val="18"/>
          <w:szCs w:val="18"/>
          <w:lang w:val="sr-Cyrl-CS"/>
        </w:rPr>
        <w:t>и</w:t>
      </w:r>
      <w:r w:rsidRPr="00FD35C0">
        <w:rPr>
          <w:rFonts w:ascii="Tahoma" w:hAnsi="Tahoma" w:cs="Tahoma"/>
          <w:sz w:val="18"/>
          <w:szCs w:val="18"/>
          <w:lang w:val="ru-RU"/>
        </w:rPr>
        <w:t xml:space="preserve"> је испод 60% медијане вриједности потрошње</w:t>
      </w:r>
      <w:r w:rsidRPr="00FD35C0">
        <w:rPr>
          <w:rFonts w:ascii="Tahoma" w:hAnsi="Tahoma" w:cs="Tahoma"/>
          <w:sz w:val="18"/>
          <w:szCs w:val="18"/>
          <w:lang w:val="sr-Cyrl-CS"/>
        </w:rPr>
        <w:t>. Релативна линија сиромаштва по прилагођеном члану домаћинства  израчуната је у складу са</w:t>
      </w:r>
      <w:r w:rsidRPr="00FD35C0">
        <w:rPr>
          <w:rFonts w:ascii="Tahoma" w:hAnsi="Tahoma" w:cs="Tahoma"/>
          <w:sz w:val="18"/>
          <w:szCs w:val="18"/>
          <w:lang w:val="ru-RU"/>
        </w:rPr>
        <w:t xml:space="preserve"> Европском методологијом (тзв. модификована</w:t>
      </w:r>
      <w:r w:rsidRPr="00FD35C0">
        <w:rPr>
          <w:rFonts w:ascii="Tahoma" w:hAnsi="Tahoma" w:cs="Tahoma"/>
          <w:sz w:val="18"/>
          <w:szCs w:val="18"/>
          <w:lang w:val="sr-Cyrl-CS"/>
        </w:rPr>
        <w:t xml:space="preserve"> OECD</w:t>
      </w:r>
      <w:r w:rsidRPr="00FD35C0">
        <w:rPr>
          <w:rFonts w:ascii="Tahoma" w:hAnsi="Tahoma" w:cs="Tahoma"/>
          <w:sz w:val="18"/>
          <w:szCs w:val="18"/>
          <w:lang w:val="ru-RU"/>
        </w:rPr>
        <w:t xml:space="preserve">  скала 1.0, 0.5,</w:t>
      </w:r>
      <w:r w:rsidRPr="00FD35C0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0.3)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и износи 381,09 КМ мјесечно</w:t>
      </w:r>
      <w:r>
        <w:rPr>
          <w:rFonts w:ascii="Tahoma" w:hAnsi="Tahoma" w:cs="Tahoma"/>
          <w:sz w:val="18"/>
          <w:szCs w:val="18"/>
          <w:lang w:val="sr-Cyrl-CS"/>
        </w:rPr>
        <w:t>.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Домаћинства која имају прилагођену просјечну мјесечну потрошњу испод тог прага сматрају се сиромашним (14,8%).</w:t>
      </w:r>
    </w:p>
    <w:p w:rsidR="00091CFB" w:rsidRPr="00AC0AD2" w:rsidRDefault="00091CFB" w:rsidP="00091CFB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</w:p>
    <w:p w:rsidR="007C7676" w:rsidRDefault="007153BB" w:rsidP="007C7676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Најпрофитабилнија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 xml:space="preserve"> подручја у 2010. години</w:t>
      </w:r>
      <w:r>
        <w:rPr>
          <w:rFonts w:ascii="Tahoma" w:hAnsi="Tahoma" w:cs="Tahoma"/>
          <w:b/>
          <w:sz w:val="28"/>
          <w:szCs w:val="28"/>
          <w:lang w:val="sr-Cyrl-BA"/>
        </w:rPr>
        <w:t xml:space="preserve"> П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>ословање некр</w:t>
      </w:r>
      <w:r>
        <w:rPr>
          <w:rFonts w:ascii="Tahoma" w:hAnsi="Tahoma" w:cs="Tahoma"/>
          <w:b/>
          <w:sz w:val="28"/>
          <w:szCs w:val="28"/>
          <w:lang w:val="sr-Cyrl-BA"/>
        </w:rPr>
        <w:t>етнинама, Вађење руда и камена и Грађевинарство</w:t>
      </w:r>
    </w:p>
    <w:p w:rsidR="007C7676" w:rsidRDefault="007153BB" w:rsidP="007C7676">
      <w:pPr>
        <w:jc w:val="both"/>
        <w:rPr>
          <w:rFonts w:ascii="Tahoma" w:hAnsi="Tahoma" w:cs="Tahoma"/>
          <w:b/>
          <w:sz w:val="24"/>
          <w:szCs w:val="24"/>
          <w:lang w:val="sr-Cyrl-BA"/>
        </w:rPr>
      </w:pPr>
      <w:r>
        <w:rPr>
          <w:rFonts w:ascii="Tahoma" w:hAnsi="Tahoma" w:cs="Tahoma"/>
          <w:b/>
          <w:sz w:val="24"/>
          <w:szCs w:val="24"/>
          <w:lang w:val="sr-Cyrl-BA"/>
        </w:rPr>
        <w:t xml:space="preserve">Највећа продуктивност рада у Производњи и снабдијевању електричном енергијом </w:t>
      </w:r>
    </w:p>
    <w:p w:rsidR="007C7676" w:rsidRDefault="007C7676" w:rsidP="007C7676">
      <w:pPr>
        <w:jc w:val="both"/>
        <w:rPr>
          <w:rFonts w:ascii="Tahoma" w:hAnsi="Tahoma" w:cs="Tahoma"/>
          <w:b/>
          <w:sz w:val="24"/>
          <w:szCs w:val="24"/>
          <w:lang w:val="sr-Cyrl-BA"/>
        </w:rPr>
      </w:pPr>
    </w:p>
    <w:p w:rsidR="007C7676" w:rsidRPr="006F6015" w:rsidRDefault="007C7676" w:rsidP="007C7676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Републички завод за статистику Републике Српске први пут објављује саопштење „Основни структурни пословни показатељи пословања предузећа“ као резултат истраживања „Годишње структурно пословно статистичко истраживање за предузећа за 2010. годину“. </w:t>
      </w:r>
    </w:p>
    <w:p w:rsidR="007C7676" w:rsidRPr="008B6C68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8B6C68">
        <w:rPr>
          <w:rFonts w:ascii="Tahoma" w:hAnsi="Tahoma" w:cs="Tahoma"/>
          <w:sz w:val="18"/>
          <w:szCs w:val="18"/>
          <w:lang w:val="sr-Cyrl-BA"/>
        </w:rPr>
        <w:t xml:space="preserve">Истраживање је засновано на регулативама </w:t>
      </w:r>
      <w:r w:rsidRPr="008B6C68">
        <w:rPr>
          <w:rFonts w:ascii="Tahoma" w:hAnsi="Tahoma" w:cs="Tahoma"/>
          <w:sz w:val="18"/>
          <w:szCs w:val="18"/>
          <w:lang w:val="sr-Cyrl-CS"/>
        </w:rPr>
        <w:t>Статистичке канцеларије Европске уније (EUROSTAT) чиме је обезбијеђена међународна упоредивост података у области структурних пословних статистика.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F80B68">
        <w:rPr>
          <w:rFonts w:ascii="Tahoma" w:hAnsi="Tahoma" w:cs="Tahoma"/>
          <w:sz w:val="18"/>
          <w:szCs w:val="18"/>
          <w:lang w:val="sr-Cyrl-BA"/>
        </w:rPr>
        <w:t>саопштењу су дате оцјене основн</w:t>
      </w:r>
      <w:r w:rsidR="00F80B68">
        <w:rPr>
          <w:rFonts w:ascii="Tahoma" w:hAnsi="Tahoma" w:cs="Tahoma"/>
          <w:sz w:val="18"/>
          <w:szCs w:val="18"/>
          <w:lang w:val="sr-Cyrl-CS"/>
        </w:rPr>
        <w:t>и</w:t>
      </w:r>
      <w:r>
        <w:rPr>
          <w:rFonts w:ascii="Tahoma" w:hAnsi="Tahoma" w:cs="Tahoma"/>
          <w:sz w:val="18"/>
          <w:szCs w:val="18"/>
          <w:lang w:val="sr-Cyrl-BA"/>
        </w:rPr>
        <w:t xml:space="preserve">х података о пословању предузећа према </w:t>
      </w:r>
      <w:r w:rsidRPr="00BB73AA">
        <w:rPr>
          <w:rFonts w:ascii="Tahoma" w:hAnsi="Tahoma" w:cs="Tahoma"/>
          <w:b/>
          <w:sz w:val="18"/>
          <w:szCs w:val="18"/>
          <w:lang w:val="sr-Cyrl-BA"/>
        </w:rPr>
        <w:t xml:space="preserve">подручјима дјелатности </w:t>
      </w:r>
      <w:r w:rsidRPr="00BB73AA">
        <w:rPr>
          <w:rFonts w:ascii="Tahoma" w:hAnsi="Tahoma" w:cs="Tahoma"/>
          <w:sz w:val="18"/>
          <w:szCs w:val="18"/>
          <w:lang w:val="sr-Cyrl-BA"/>
        </w:rPr>
        <w:t>(</w:t>
      </w:r>
      <w:r w:rsidRPr="00BB73AA">
        <w:rPr>
          <w:rFonts w:ascii="Tahoma" w:hAnsi="Tahoma" w:cs="Tahoma"/>
          <w:sz w:val="18"/>
          <w:szCs w:val="18"/>
          <w:lang w:val="sr-Latn-BA"/>
        </w:rPr>
        <w:t xml:space="preserve">B, C, D, E, F, G, H, I </w:t>
      </w:r>
      <w:r w:rsidRPr="00BB73AA">
        <w:rPr>
          <w:rFonts w:ascii="Tahoma" w:hAnsi="Tahoma" w:cs="Tahoma"/>
          <w:sz w:val="18"/>
          <w:szCs w:val="18"/>
          <w:lang w:val="sr-Cyrl-BA"/>
        </w:rPr>
        <w:t>и</w:t>
      </w:r>
      <w:r w:rsidRPr="00BB73AA">
        <w:rPr>
          <w:rFonts w:ascii="Tahoma" w:hAnsi="Tahoma" w:cs="Tahoma"/>
          <w:sz w:val="18"/>
          <w:szCs w:val="18"/>
          <w:lang w:val="sr-Latn-BA"/>
        </w:rPr>
        <w:t xml:space="preserve"> L)</w:t>
      </w:r>
      <w:r>
        <w:rPr>
          <w:rFonts w:ascii="Tahoma" w:hAnsi="Tahoma" w:cs="Tahoma"/>
          <w:sz w:val="18"/>
          <w:szCs w:val="18"/>
          <w:lang w:val="sr-Cyrl-BA"/>
        </w:rPr>
        <w:t xml:space="preserve"> према</w:t>
      </w:r>
      <w:r w:rsidRPr="00BB73AA">
        <w:rPr>
          <w:rFonts w:ascii="Tahoma" w:hAnsi="Tahoma" w:cs="Tahoma"/>
          <w:sz w:val="18"/>
          <w:szCs w:val="18"/>
          <w:lang w:val="sr-Cyrl-BA"/>
        </w:rPr>
        <w:t xml:space="preserve"> КД БиХ 2010.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(</w:t>
      </w:r>
      <w:r w:rsidRPr="00BB73AA">
        <w:rPr>
          <w:rFonts w:ascii="Tahoma" w:hAnsi="Tahoma" w:cs="Tahoma"/>
          <w:sz w:val="18"/>
          <w:szCs w:val="18"/>
          <w:lang w:val="sr-Latn-BA"/>
        </w:rPr>
        <w:t>NACE Rev.2</w:t>
      </w:r>
      <w:r>
        <w:rPr>
          <w:rFonts w:ascii="Tahoma" w:hAnsi="Tahoma" w:cs="Tahoma"/>
          <w:sz w:val="18"/>
          <w:szCs w:val="18"/>
          <w:lang w:val="sr-Latn-BA"/>
        </w:rPr>
        <w:t>)</w:t>
      </w:r>
      <w:r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 xml:space="preserve"> и према </w:t>
      </w:r>
      <w:r w:rsidRPr="00BB73AA">
        <w:rPr>
          <w:rFonts w:ascii="Tahoma" w:hAnsi="Tahoma" w:cs="Tahoma"/>
          <w:b/>
          <w:sz w:val="18"/>
          <w:szCs w:val="18"/>
          <w:lang w:val="sr-Cyrl-BA"/>
        </w:rPr>
        <w:t>класама запослених</w:t>
      </w:r>
      <w:r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 w:rsidRPr="00BB73AA">
        <w:rPr>
          <w:rFonts w:ascii="Tahoma" w:hAnsi="Tahoma" w:cs="Tahoma"/>
          <w:sz w:val="18"/>
          <w:szCs w:val="18"/>
          <w:lang w:val="sr-Cyrl-BA"/>
        </w:rPr>
        <w:t>(0-19, 20-49 и 50 и више запослених лица)</w:t>
      </w:r>
      <w:r>
        <w:rPr>
          <w:rFonts w:ascii="Tahoma" w:hAnsi="Tahoma" w:cs="Tahoma"/>
          <w:sz w:val="18"/>
          <w:szCs w:val="18"/>
          <w:lang w:val="sr-Cyrl-BA"/>
        </w:rPr>
        <w:t>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У 2010. години, у посматраним подручјима дјелатности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 xml:space="preserve">више од половине </w:t>
      </w:r>
      <w:r w:rsidR="007153BB">
        <w:rPr>
          <w:rFonts w:ascii="Tahoma" w:hAnsi="Tahoma" w:cs="Tahoma"/>
          <w:sz w:val="18"/>
          <w:szCs w:val="18"/>
          <w:lang w:val="sr-Cyrl-BA"/>
        </w:rPr>
        <w:t>активних предузећа било је</w:t>
      </w:r>
      <w:r>
        <w:rPr>
          <w:rFonts w:ascii="Tahoma" w:hAnsi="Tahoma" w:cs="Tahoma"/>
          <w:sz w:val="18"/>
          <w:szCs w:val="18"/>
          <w:lang w:val="sr-Cyrl-BA"/>
        </w:rPr>
        <w:t xml:space="preserve"> у подручју Трговина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 (51,3%)</w:t>
      </w:r>
      <w:r>
        <w:rPr>
          <w:rFonts w:ascii="Tahoma" w:hAnsi="Tahoma" w:cs="Tahoma"/>
          <w:sz w:val="18"/>
          <w:szCs w:val="18"/>
          <w:lang w:val="sr-Cyrl-BA"/>
        </w:rPr>
        <w:t>, а најмање у подручју Производња и снабдијевање електричном енергијом (0,6%).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lastRenderedPageBreak/>
        <w:t xml:space="preserve">Од </w:t>
      </w:r>
      <w:r w:rsidRPr="00E77288">
        <w:rPr>
          <w:rFonts w:ascii="Tahoma" w:hAnsi="Tahoma" w:cs="Tahoma"/>
          <w:b/>
          <w:sz w:val="18"/>
          <w:szCs w:val="18"/>
          <w:lang w:val="sr-Cyrl-BA"/>
        </w:rPr>
        <w:t>126 хиљада запослених лица</w:t>
      </w:r>
      <w:r>
        <w:rPr>
          <w:rFonts w:ascii="Tahoma" w:hAnsi="Tahoma" w:cs="Tahoma"/>
          <w:sz w:val="18"/>
          <w:szCs w:val="18"/>
          <w:lang w:val="sr-Cyrl-BA"/>
        </w:rPr>
        <w:t>, колико је било у 2010. години у посматраним подручјима дјелатности, 52,4% је ангажовано у индустријским дјелатностима (</w:t>
      </w:r>
      <w:r w:rsidRPr="00BB73AA">
        <w:rPr>
          <w:rFonts w:ascii="Tahoma" w:hAnsi="Tahoma" w:cs="Tahoma"/>
          <w:sz w:val="18"/>
          <w:szCs w:val="18"/>
          <w:lang w:val="sr-Latn-BA"/>
        </w:rPr>
        <w:t>B, C, D, E</w:t>
      </w:r>
      <w:r>
        <w:rPr>
          <w:rFonts w:ascii="Tahoma" w:hAnsi="Tahoma" w:cs="Tahoma"/>
          <w:sz w:val="18"/>
          <w:szCs w:val="18"/>
          <w:lang w:val="sr-Cyrl-BA"/>
        </w:rPr>
        <w:t>), 26% у Трговини (</w:t>
      </w:r>
      <w:r>
        <w:rPr>
          <w:rFonts w:ascii="Tahoma" w:hAnsi="Tahoma" w:cs="Tahoma"/>
          <w:sz w:val="18"/>
          <w:szCs w:val="18"/>
          <w:lang w:val="sr-Latn-BA"/>
        </w:rPr>
        <w:t>G</w:t>
      </w:r>
      <w:r>
        <w:rPr>
          <w:rFonts w:ascii="Tahoma" w:hAnsi="Tahoma" w:cs="Tahoma"/>
          <w:sz w:val="18"/>
          <w:szCs w:val="18"/>
          <w:lang w:val="sr-Cyrl-BA"/>
        </w:rPr>
        <w:t>), 11,1% у услужним дјелатностима (</w:t>
      </w:r>
      <w:r w:rsidRPr="00BB73AA">
        <w:rPr>
          <w:rFonts w:ascii="Tahoma" w:hAnsi="Tahoma" w:cs="Tahoma"/>
          <w:sz w:val="18"/>
          <w:szCs w:val="18"/>
          <w:lang w:val="sr-Latn-BA"/>
        </w:rPr>
        <w:t xml:space="preserve">H, I </w:t>
      </w:r>
      <w:r w:rsidRPr="00BB73AA">
        <w:rPr>
          <w:rFonts w:ascii="Tahoma" w:hAnsi="Tahoma" w:cs="Tahoma"/>
          <w:sz w:val="18"/>
          <w:szCs w:val="18"/>
          <w:lang w:val="sr-Cyrl-BA"/>
        </w:rPr>
        <w:t>и</w:t>
      </w:r>
      <w:r w:rsidRPr="00BB73AA">
        <w:rPr>
          <w:rFonts w:ascii="Tahoma" w:hAnsi="Tahoma" w:cs="Tahoma"/>
          <w:sz w:val="18"/>
          <w:szCs w:val="18"/>
          <w:lang w:val="sr-Latn-BA"/>
        </w:rPr>
        <w:t xml:space="preserve"> L</w:t>
      </w:r>
      <w:r>
        <w:rPr>
          <w:rFonts w:ascii="Tahoma" w:hAnsi="Tahoma" w:cs="Tahoma"/>
          <w:sz w:val="18"/>
          <w:szCs w:val="18"/>
          <w:lang w:val="sr-Cyrl-BA"/>
        </w:rPr>
        <w:t>) и 10,6% у Грађевинарству (</w:t>
      </w:r>
      <w:r w:rsidRPr="00BB73AA">
        <w:rPr>
          <w:rFonts w:ascii="Tahoma" w:hAnsi="Tahoma" w:cs="Tahoma"/>
          <w:sz w:val="18"/>
          <w:szCs w:val="18"/>
          <w:lang w:val="sr-Latn-BA"/>
        </w:rPr>
        <w:t>F</w:t>
      </w:r>
      <w:r>
        <w:rPr>
          <w:rFonts w:ascii="Tahoma" w:hAnsi="Tahoma" w:cs="Tahoma"/>
          <w:sz w:val="18"/>
          <w:szCs w:val="18"/>
          <w:lang w:val="sr-Cyrl-BA"/>
        </w:rPr>
        <w:t>).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Подручје Производња и снабдијевање електричном енергијом имало је највеће </w:t>
      </w:r>
      <w:r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57591C">
        <w:rPr>
          <w:rFonts w:ascii="Tahoma" w:hAnsi="Tahoma" w:cs="Tahoma"/>
          <w:b/>
          <w:sz w:val="18"/>
          <w:szCs w:val="18"/>
          <w:lang w:val="sr-Cyrl-BA"/>
        </w:rPr>
        <w:t>росјечне трошкове запослених</w:t>
      </w:r>
      <w:r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F0510">
        <w:rPr>
          <w:rFonts w:ascii="Tahoma" w:hAnsi="Tahoma" w:cs="Tahoma"/>
          <w:sz w:val="18"/>
          <w:szCs w:val="18"/>
          <w:lang w:val="sr-Cyrl-BA"/>
        </w:rPr>
        <w:t xml:space="preserve">    </w:t>
      </w:r>
      <w:r>
        <w:rPr>
          <w:rFonts w:ascii="Tahoma" w:hAnsi="Tahoma" w:cs="Tahoma"/>
          <w:sz w:val="18"/>
          <w:szCs w:val="18"/>
          <w:lang w:val="sr-Cyrl-BA"/>
        </w:rPr>
        <w:t>24 422 КМ</w:t>
      </w:r>
      <w:r>
        <w:rPr>
          <w:rFonts w:ascii="Tahoma" w:hAnsi="Tahoma" w:cs="Tahoma"/>
          <w:b/>
          <w:sz w:val="18"/>
          <w:szCs w:val="18"/>
          <w:lang w:val="sr-Cyrl-BA"/>
        </w:rPr>
        <w:t xml:space="preserve">, </w:t>
      </w:r>
      <w:r w:rsidRPr="009A594C">
        <w:rPr>
          <w:rFonts w:ascii="Tahoma" w:hAnsi="Tahoma" w:cs="Tahoma"/>
          <w:sz w:val="18"/>
          <w:szCs w:val="18"/>
          <w:lang w:val="sr-Cyrl-BA"/>
        </w:rPr>
        <w:t>док су</w:t>
      </w:r>
      <w:r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најмањи били у подручју Прерађивачка индустрија 8 417 КМ.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Пословање предузећа у 2010. години, за резултат је имало </w:t>
      </w:r>
      <w:r w:rsidRPr="0057591C">
        <w:rPr>
          <w:rFonts w:ascii="Tahoma" w:hAnsi="Tahoma" w:cs="Tahoma"/>
          <w:b/>
          <w:sz w:val="18"/>
          <w:szCs w:val="18"/>
          <w:lang w:val="sr-Cyrl-BA"/>
        </w:rPr>
        <w:t>промет</w:t>
      </w:r>
      <w:r>
        <w:rPr>
          <w:rFonts w:ascii="Tahoma" w:hAnsi="Tahoma" w:cs="Tahoma"/>
          <w:sz w:val="18"/>
          <w:szCs w:val="18"/>
          <w:lang w:val="sr-Cyrl-BA"/>
        </w:rPr>
        <w:t xml:space="preserve"> од 12 милијарди 847 милиона КМ, од чега је 50,6% остварено у подручју Трговина, 37,7% у индустријским дјелатностима, 7,7% у Грађевинарству и 4% у услужним дјелатностима. </w:t>
      </w:r>
    </w:p>
    <w:p w:rsidR="007C7676" w:rsidRPr="00F27720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Структура </w:t>
      </w:r>
      <w:r w:rsidRPr="00077693">
        <w:rPr>
          <w:rFonts w:ascii="Tahoma" w:hAnsi="Tahoma" w:cs="Tahoma"/>
          <w:b/>
          <w:sz w:val="18"/>
          <w:szCs w:val="18"/>
          <w:lang w:val="sr-Cyrl-BA"/>
        </w:rPr>
        <w:t>промета</w:t>
      </w:r>
      <w:r>
        <w:rPr>
          <w:rFonts w:ascii="Tahoma" w:hAnsi="Tahoma" w:cs="Tahoma"/>
          <w:sz w:val="18"/>
          <w:szCs w:val="18"/>
          <w:lang w:val="sr-Cyrl-BA"/>
        </w:rPr>
        <w:t xml:space="preserve"> према класама запослених, представљена графиком 1., показује да су највеће учешће у промету (53,6%) имала предузећа са 50 и више запослених лица.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Према резултатима структурних пословних статистика у укупној </w:t>
      </w:r>
      <w:r w:rsidRPr="007918E9">
        <w:rPr>
          <w:rFonts w:ascii="Tahoma" w:hAnsi="Tahoma" w:cs="Tahoma"/>
          <w:b/>
          <w:sz w:val="18"/>
          <w:szCs w:val="18"/>
          <w:lang w:val="sr-Cyrl-BA"/>
        </w:rPr>
        <w:t>додатој вриједности по факторским трошковима</w:t>
      </w:r>
      <w:r>
        <w:rPr>
          <w:rFonts w:ascii="Tahoma" w:hAnsi="Tahoma" w:cs="Tahoma"/>
          <w:sz w:val="18"/>
          <w:szCs w:val="18"/>
          <w:lang w:val="sr-Cyrl-BA"/>
        </w:rPr>
        <w:t>, која је у посматраним дјелатностима износила 2 милијарде 292 милиона КМ, највеће учешће имала су индустријска предузећа 42,2%, затим Трговина 32,8%, Грађевинарство 14,6% и услужна предузећа 10,4%.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Највећа додата вриједност по запосленом лицу, као мјера </w:t>
      </w:r>
      <w:r w:rsidRPr="000062A9">
        <w:rPr>
          <w:rFonts w:ascii="Tahoma" w:hAnsi="Tahoma" w:cs="Tahoma"/>
          <w:b/>
          <w:sz w:val="18"/>
          <w:szCs w:val="18"/>
          <w:lang w:val="sr-Cyrl-BA"/>
        </w:rPr>
        <w:t>продуктивности рада</w:t>
      </w:r>
      <w:r>
        <w:rPr>
          <w:rFonts w:ascii="Tahoma" w:hAnsi="Tahoma" w:cs="Tahoma"/>
          <w:sz w:val="18"/>
          <w:szCs w:val="18"/>
          <w:lang w:val="sr-Cyrl-BA"/>
        </w:rPr>
        <w:t>, остварена је у подручју Производња и снабдијевање електричном енергијом 49 562 КМ, затим у подручју Вађење руда и камена 36 251 КМ и у Пословању некретнинама 29 651 КМ.</w:t>
      </w:r>
    </w:p>
    <w:p w:rsidR="007C7676" w:rsidRDefault="007C7676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 xml:space="preserve">Највећа стопа </w:t>
      </w:r>
      <w:r w:rsidRPr="00613E33">
        <w:rPr>
          <w:rFonts w:ascii="Tahoma" w:hAnsi="Tahoma" w:cs="Tahoma"/>
          <w:b/>
          <w:sz w:val="18"/>
          <w:szCs w:val="18"/>
          <w:lang w:val="sr-Cyrl-BA"/>
        </w:rPr>
        <w:t>профитабилност</w:t>
      </w:r>
      <w:r>
        <w:rPr>
          <w:rFonts w:ascii="Tahoma" w:hAnsi="Tahoma" w:cs="Tahoma"/>
          <w:b/>
          <w:sz w:val="18"/>
          <w:szCs w:val="18"/>
          <w:lang w:val="sr-Cyrl-BA"/>
        </w:rPr>
        <w:t>и</w:t>
      </w:r>
      <w:r>
        <w:rPr>
          <w:rFonts w:ascii="Tahoma" w:hAnsi="Tahoma" w:cs="Tahoma"/>
          <w:sz w:val="18"/>
          <w:szCs w:val="18"/>
          <w:lang w:val="sr-Cyrl-BA"/>
        </w:rPr>
        <w:t xml:space="preserve"> у 2010. години, као показатељ зарађивачке способности и конкурентности предузећа, постигнута је у подручју Пословање некретнинама  29%, затим у подручју Вађење руда и камена 22% и у Грађевинарству 20%.</w:t>
      </w:r>
    </w:p>
    <w:p w:rsidR="00091CFB" w:rsidRPr="00AC0AD2" w:rsidRDefault="00091CFB" w:rsidP="00091CFB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229100" cy="24765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1CFB" w:rsidRPr="00AC0AD2" w:rsidRDefault="00091CFB" w:rsidP="00091CFB">
      <w:pPr>
        <w:spacing w:before="28"/>
        <w:ind w:left="1170" w:right="1471"/>
        <w:jc w:val="center"/>
        <w:rPr>
          <w:rFonts w:ascii="Tahoma" w:eastAsia="Arial" w:hAnsi="Tahoma" w:cs="Tahoma"/>
          <w:noProof/>
          <w:sz w:val="16"/>
          <w:szCs w:val="16"/>
          <w:lang w:val="sr-Cyrl-BA"/>
        </w:rPr>
      </w:pPr>
      <w:r w:rsidRPr="00AC0AD2">
        <w:rPr>
          <w:rFonts w:ascii="Tahoma" w:eastAsia="Arial" w:hAnsi="Tahoma" w:cs="Tahoma"/>
          <w:noProof/>
          <w:spacing w:val="1"/>
          <w:sz w:val="16"/>
          <w:szCs w:val="16"/>
          <w:lang w:val="sr-Cyrl-BA"/>
        </w:rPr>
        <w:t>Г</w:t>
      </w:r>
      <w:r w:rsidRPr="00AC0AD2">
        <w:rPr>
          <w:rFonts w:ascii="Tahoma" w:eastAsia="Arial" w:hAnsi="Tahoma" w:cs="Tahoma"/>
          <w:noProof/>
          <w:sz w:val="16"/>
          <w:szCs w:val="16"/>
          <w:lang w:val="sr-Cyrl-BA"/>
        </w:rPr>
        <w:t xml:space="preserve">рафикон </w:t>
      </w:r>
      <w:r w:rsidRPr="00AC0AD2">
        <w:rPr>
          <w:rFonts w:ascii="Tahoma" w:eastAsia="Arial" w:hAnsi="Tahoma" w:cs="Tahoma"/>
          <w:noProof/>
          <w:spacing w:val="2"/>
          <w:sz w:val="16"/>
          <w:szCs w:val="16"/>
          <w:lang w:val="sr-Cyrl-BA"/>
        </w:rPr>
        <w:t xml:space="preserve"> 1</w:t>
      </w:r>
      <w:r w:rsidRPr="00AC0AD2">
        <w:rPr>
          <w:rFonts w:ascii="Tahoma" w:eastAsia="Arial" w:hAnsi="Tahoma" w:cs="Tahoma"/>
          <w:noProof/>
          <w:sz w:val="16"/>
          <w:szCs w:val="16"/>
          <w:lang w:val="sr-Cyrl-BA"/>
        </w:rPr>
        <w:t>.</w:t>
      </w:r>
      <w:r w:rsidRPr="00AC0AD2">
        <w:rPr>
          <w:rFonts w:ascii="Tahoma" w:eastAsia="Arial" w:hAnsi="Tahoma" w:cs="Tahoma"/>
          <w:noProof/>
          <w:spacing w:val="-1"/>
          <w:sz w:val="16"/>
          <w:szCs w:val="16"/>
          <w:lang w:val="sr-Cyrl-BA"/>
        </w:rPr>
        <w:t xml:space="preserve"> </w:t>
      </w:r>
      <w:r w:rsidRPr="00AC0AD2">
        <w:rPr>
          <w:rFonts w:ascii="Tahoma" w:eastAsia="Arial" w:hAnsi="Tahoma" w:cs="Tahoma"/>
          <w:noProof/>
          <w:spacing w:val="-1"/>
          <w:w w:val="109"/>
          <w:sz w:val="16"/>
          <w:szCs w:val="16"/>
          <w:lang w:val="sr-Cyrl-BA"/>
        </w:rPr>
        <w:t>С</w:t>
      </w:r>
      <w:r w:rsidRPr="00AC0AD2">
        <w:rPr>
          <w:rFonts w:ascii="Tahoma" w:eastAsia="Arial" w:hAnsi="Tahoma" w:cs="Tahoma"/>
          <w:noProof/>
          <w:spacing w:val="1"/>
          <w:w w:val="109"/>
          <w:sz w:val="16"/>
          <w:szCs w:val="16"/>
          <w:lang w:val="sr-Cyrl-BA"/>
        </w:rPr>
        <w:t>т</w:t>
      </w:r>
      <w:r w:rsidRPr="00AC0AD2">
        <w:rPr>
          <w:rFonts w:ascii="Tahoma" w:eastAsia="Arial" w:hAnsi="Tahoma" w:cs="Tahoma"/>
          <w:noProof/>
          <w:w w:val="109"/>
          <w:sz w:val="16"/>
          <w:szCs w:val="16"/>
          <w:lang w:val="sr-Cyrl-BA"/>
        </w:rPr>
        <w:t>руктура</w:t>
      </w:r>
      <w:r w:rsidRPr="00AC0AD2">
        <w:rPr>
          <w:rFonts w:ascii="Tahoma" w:eastAsia="Arial" w:hAnsi="Tahoma" w:cs="Tahoma"/>
          <w:noProof/>
          <w:spacing w:val="-2"/>
          <w:w w:val="109"/>
          <w:sz w:val="16"/>
          <w:szCs w:val="16"/>
          <w:lang w:val="sr-Cyrl-BA"/>
        </w:rPr>
        <w:t xml:space="preserve"> промета</w:t>
      </w:r>
      <w:r w:rsidRPr="00AC0AD2">
        <w:rPr>
          <w:rFonts w:ascii="Tahoma" w:eastAsia="Arial" w:hAnsi="Tahoma" w:cs="Tahoma"/>
          <w:noProof/>
          <w:spacing w:val="7"/>
          <w:w w:val="109"/>
          <w:sz w:val="16"/>
          <w:szCs w:val="16"/>
          <w:lang w:val="sr-Cyrl-BA"/>
        </w:rPr>
        <w:t xml:space="preserve"> </w:t>
      </w:r>
      <w:r w:rsidRPr="00AC0AD2">
        <w:rPr>
          <w:rFonts w:ascii="Tahoma" w:eastAsia="Arial" w:hAnsi="Tahoma" w:cs="Tahoma"/>
          <w:noProof/>
          <w:sz w:val="16"/>
          <w:szCs w:val="16"/>
          <w:lang w:val="sr-Cyrl-BA"/>
        </w:rPr>
        <w:t>према</w:t>
      </w:r>
      <w:r w:rsidRPr="00AC0AD2">
        <w:rPr>
          <w:rFonts w:ascii="Tahoma" w:eastAsia="Arial" w:hAnsi="Tahoma" w:cs="Tahoma"/>
          <w:noProof/>
          <w:spacing w:val="22"/>
          <w:sz w:val="16"/>
          <w:szCs w:val="16"/>
          <w:lang w:val="sr-Cyrl-BA"/>
        </w:rPr>
        <w:t xml:space="preserve"> </w:t>
      </w:r>
      <w:r w:rsidRPr="00AC0AD2">
        <w:rPr>
          <w:rFonts w:ascii="Tahoma" w:eastAsia="Arial" w:hAnsi="Tahoma" w:cs="Tahoma"/>
          <w:noProof/>
          <w:sz w:val="16"/>
          <w:szCs w:val="16"/>
          <w:lang w:val="sr-Cyrl-BA"/>
        </w:rPr>
        <w:t>класама</w:t>
      </w:r>
      <w:r w:rsidRPr="00AC0AD2">
        <w:rPr>
          <w:rFonts w:ascii="Tahoma" w:eastAsia="Arial" w:hAnsi="Tahoma" w:cs="Tahoma"/>
          <w:noProof/>
          <w:spacing w:val="31"/>
          <w:sz w:val="16"/>
          <w:szCs w:val="16"/>
          <w:lang w:val="sr-Cyrl-BA"/>
        </w:rPr>
        <w:t xml:space="preserve"> </w:t>
      </w:r>
      <w:r w:rsidRPr="00AC0AD2">
        <w:rPr>
          <w:rFonts w:ascii="Tahoma" w:eastAsia="Arial" w:hAnsi="Tahoma" w:cs="Tahoma"/>
          <w:noProof/>
          <w:spacing w:val="1"/>
          <w:sz w:val="16"/>
          <w:szCs w:val="16"/>
          <w:lang w:val="sr-Cyrl-BA"/>
        </w:rPr>
        <w:t>з</w:t>
      </w:r>
      <w:r w:rsidRPr="00AC0AD2">
        <w:rPr>
          <w:rFonts w:ascii="Tahoma" w:eastAsia="Arial" w:hAnsi="Tahoma" w:cs="Tahoma"/>
          <w:noProof/>
          <w:sz w:val="16"/>
          <w:szCs w:val="16"/>
          <w:lang w:val="sr-Cyrl-BA"/>
        </w:rPr>
        <w:t>апослених лица</w:t>
      </w:r>
    </w:p>
    <w:p w:rsidR="00091CFB" w:rsidRPr="00AC0AD2" w:rsidRDefault="00091CFB" w:rsidP="00091CFB">
      <w:pPr>
        <w:tabs>
          <w:tab w:val="left" w:pos="3165"/>
        </w:tabs>
        <w:rPr>
          <w:rFonts w:ascii="Tahoma" w:hAnsi="Tahoma" w:cs="Tahoma"/>
          <w:sz w:val="18"/>
          <w:szCs w:val="18"/>
          <w:lang w:val="sr-Cyrl-BA"/>
        </w:rPr>
      </w:pPr>
    </w:p>
    <w:p w:rsidR="009B5105" w:rsidRPr="00AC0AD2" w:rsidRDefault="009B5105" w:rsidP="009B5105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1ED2" w:rsidRPr="00AC0AD2" w:rsidRDefault="00111ED2" w:rsidP="00111ED2">
      <w:pPr>
        <w:outlineLvl w:val="0"/>
        <w:rPr>
          <w:rFonts w:ascii="Tahoma" w:hAnsi="Tahoma" w:cs="Tahoma"/>
          <w:b/>
          <w:spacing w:val="-8"/>
          <w:sz w:val="28"/>
          <w:szCs w:val="28"/>
          <w:lang w:val="sr-Cyrl-CS"/>
        </w:rPr>
      </w:pPr>
      <w:r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Индикатори радне снаге, према резултатима анкете о радној снази </w:t>
      </w:r>
    </w:p>
    <w:p w:rsidR="00111ED2" w:rsidRPr="00AC0AD2" w:rsidRDefault="00111ED2" w:rsidP="00111ED2">
      <w:pPr>
        <w:outlineLvl w:val="0"/>
        <w:rPr>
          <w:rFonts w:ascii="Tahoma" w:hAnsi="Tahoma" w:cs="Tahoma"/>
          <w:b/>
          <w:spacing w:val="-8"/>
          <w:sz w:val="18"/>
          <w:szCs w:val="18"/>
          <w:lang w:val="ru-RU"/>
        </w:rPr>
      </w:pPr>
    </w:p>
    <w:p w:rsidR="00111ED2" w:rsidRPr="00AC0AD2" w:rsidRDefault="00111ED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b/>
          <w:sz w:val="18"/>
          <w:szCs w:val="18"/>
          <w:lang w:val="sr-Cyrl-CS"/>
        </w:rPr>
        <w:t>Анкета о радној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снази је заснована на препорукама и дефиницијама Међународне организације рада (ILO) и захтјевима Статистичке канцеларије Европске уније (EUROSTAT), чиме је обезбијеђена међународна упоредивост података у области статистике рада.</w:t>
      </w:r>
    </w:p>
    <w:p w:rsidR="00111ED2" w:rsidRPr="00AC0AD2" w:rsidRDefault="00111ED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Анкетом о радној снази у Републици Српској </w:t>
      </w:r>
      <w:r w:rsidRPr="00AC0AD2">
        <w:rPr>
          <w:rFonts w:ascii="Tahoma" w:hAnsi="Tahoma" w:cs="Tahoma"/>
          <w:sz w:val="18"/>
          <w:szCs w:val="18"/>
        </w:rPr>
        <w:t xml:space="preserve">je </w:t>
      </w:r>
      <w:r w:rsidRPr="00AC0AD2">
        <w:rPr>
          <w:rFonts w:ascii="Tahoma" w:hAnsi="Tahoma" w:cs="Tahoma"/>
          <w:sz w:val="18"/>
          <w:szCs w:val="18"/>
          <w:lang w:val="sr-Cyrl-CS"/>
        </w:rPr>
        <w:t>обухваћен</w:t>
      </w:r>
      <w:r w:rsidRPr="00AC0AD2">
        <w:rPr>
          <w:rFonts w:ascii="Tahoma" w:hAnsi="Tahoma" w:cs="Tahoma"/>
          <w:sz w:val="18"/>
          <w:szCs w:val="18"/>
        </w:rPr>
        <w:t>o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3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518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случајно изабраних домаћинстава. Реализована је у периоду од 16.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до </w:t>
      </w:r>
      <w:r w:rsidRPr="00AC0AD2">
        <w:rPr>
          <w:rFonts w:ascii="Tahoma" w:hAnsi="Tahoma" w:cs="Tahoma"/>
          <w:sz w:val="18"/>
          <w:szCs w:val="18"/>
        </w:rPr>
        <w:t>2</w:t>
      </w:r>
      <w:r w:rsidRPr="00AC0AD2">
        <w:rPr>
          <w:rFonts w:ascii="Tahoma" w:hAnsi="Tahoma" w:cs="Tahoma"/>
          <w:sz w:val="18"/>
          <w:szCs w:val="18"/>
          <w:lang w:val="sr-Cyrl-BA"/>
        </w:rPr>
        <w:t>9</w:t>
      </w:r>
      <w:r w:rsidRPr="00AC0AD2">
        <w:rPr>
          <w:rFonts w:ascii="Tahoma" w:hAnsi="Tahoma" w:cs="Tahoma"/>
          <w:sz w:val="18"/>
          <w:szCs w:val="18"/>
          <w:lang w:val="sr-Cyrl-CS"/>
        </w:rPr>
        <w:t>.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априла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Pr="00AC0AD2">
        <w:rPr>
          <w:rFonts w:ascii="Tahoma" w:hAnsi="Tahoma" w:cs="Tahoma"/>
          <w:sz w:val="18"/>
          <w:szCs w:val="18"/>
        </w:rPr>
        <w:t>1</w:t>
      </w:r>
      <w:r w:rsidRPr="00AC0AD2">
        <w:rPr>
          <w:rFonts w:ascii="Tahoma" w:hAnsi="Tahoma" w:cs="Tahoma"/>
          <w:sz w:val="18"/>
          <w:szCs w:val="18"/>
          <w:lang w:val="sr-Cyrl-BA"/>
        </w:rPr>
        <w:t>2</w:t>
      </w:r>
      <w:r w:rsidRPr="00AC0AD2">
        <w:rPr>
          <w:rFonts w:ascii="Tahoma" w:hAnsi="Tahoma" w:cs="Tahoma"/>
          <w:sz w:val="18"/>
          <w:szCs w:val="18"/>
          <w:lang w:val="sr-Cyrl-CS"/>
        </w:rPr>
        <w:t>. године, а референтна седмица је обухватила период од 09. до 15. априла 2012. године.</w:t>
      </w:r>
    </w:p>
    <w:p w:rsidR="00111ED2" w:rsidRPr="00AC0AD2" w:rsidRDefault="00111ED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Према резултатима Анкете о радној снази, стопа активности, која показује однос активног и радно способног становништва, у Републици Српској у 2012. години је 47</w:t>
      </w:r>
      <w:r w:rsidRPr="00AC0AD2">
        <w:rPr>
          <w:rFonts w:ascii="Tahoma" w:hAnsi="Tahoma" w:cs="Tahoma"/>
          <w:sz w:val="18"/>
          <w:szCs w:val="18"/>
          <w:lang w:val="ru-RU"/>
        </w:rPr>
        <w:t>,4</w:t>
      </w:r>
      <w:r w:rsidRPr="00AC0AD2">
        <w:rPr>
          <w:rFonts w:ascii="Tahoma" w:hAnsi="Tahoma" w:cs="Tahoma"/>
          <w:sz w:val="18"/>
          <w:szCs w:val="18"/>
          <w:lang w:val="sr-Cyrl-CS"/>
        </w:rPr>
        <w:t>%, стопа запослености, као однос запослених лица и радно способног становништва је 35</w:t>
      </w:r>
      <w:r w:rsidRPr="00AC0AD2">
        <w:rPr>
          <w:rFonts w:ascii="Tahoma" w:hAnsi="Tahoma" w:cs="Tahoma"/>
          <w:sz w:val="18"/>
          <w:szCs w:val="18"/>
          <w:lang w:val="ru-RU"/>
        </w:rPr>
        <w:t>,3</w:t>
      </w:r>
      <w:r w:rsidRPr="00AC0AD2">
        <w:rPr>
          <w:rFonts w:ascii="Tahoma" w:hAnsi="Tahoma" w:cs="Tahoma"/>
          <w:sz w:val="18"/>
          <w:szCs w:val="18"/>
          <w:lang w:val="sr-Cyrl-CS"/>
        </w:rPr>
        <w:t>%, а стопа незапослености, мјерена односом незапослених лица и активног становништва је 25,6%.</w:t>
      </w:r>
    </w:p>
    <w:p w:rsidR="00111ED2" w:rsidRPr="00AC0AD2" w:rsidRDefault="00111ED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У односу на 2011. годину, стопа активности је мања за 0,4 </w:t>
      </w:r>
      <w:r w:rsidR="00887DF8">
        <w:rPr>
          <w:rFonts w:ascii="Tahoma" w:hAnsi="Tahoma" w:cs="Tahoma"/>
          <w:sz w:val="18"/>
          <w:szCs w:val="18"/>
          <w:lang w:val="sr-Cyrl-BA"/>
        </w:rPr>
        <w:t>индексна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поена, стопа запослености за 0,</w:t>
      </w:r>
      <w:r w:rsidRPr="00AC0AD2">
        <w:rPr>
          <w:rFonts w:ascii="Tahoma" w:hAnsi="Tahoma" w:cs="Tahoma"/>
          <w:sz w:val="18"/>
          <w:szCs w:val="18"/>
        </w:rPr>
        <w:t>8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87DF8">
        <w:rPr>
          <w:rFonts w:ascii="Tahoma" w:hAnsi="Tahoma" w:cs="Tahoma"/>
          <w:sz w:val="18"/>
          <w:szCs w:val="18"/>
          <w:lang w:val="sr-Cyrl-BA"/>
        </w:rPr>
        <w:t>индексна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поена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док је стопа незапослености већа за 1,1 </w:t>
      </w:r>
      <w:r w:rsidR="00887DF8">
        <w:rPr>
          <w:rFonts w:ascii="Tahoma" w:hAnsi="Tahoma" w:cs="Tahoma"/>
          <w:sz w:val="18"/>
          <w:szCs w:val="18"/>
          <w:lang w:val="sr-Cyrl-BA"/>
        </w:rPr>
        <w:t>индексни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поен.</w:t>
      </w:r>
    </w:p>
    <w:p w:rsidR="00CF0EA0" w:rsidRPr="00AC0AD2" w:rsidRDefault="00111ED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Наглашавамо да податке из Анкете о радној снази није методолошки исправно поредити са подацима који се добијају из други</w:t>
      </w:r>
      <w:r w:rsidRPr="00AC0AD2">
        <w:rPr>
          <w:rFonts w:ascii="Tahoma" w:hAnsi="Tahoma" w:cs="Tahoma"/>
          <w:sz w:val="18"/>
          <w:szCs w:val="18"/>
          <w:lang w:val="ru-RU"/>
        </w:rPr>
        <w:t>х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статистичких или административних извора.</w:t>
      </w:r>
    </w:p>
    <w:p w:rsidR="00E40E57" w:rsidRPr="00E40E57" w:rsidRDefault="00E40E57" w:rsidP="00E40E57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40E57">
        <w:rPr>
          <w:rFonts w:ascii="Tahoma" w:hAnsi="Tahoma" w:cs="Tahoma"/>
          <w:sz w:val="18"/>
          <w:szCs w:val="18"/>
          <w:lang w:val="sr-Cyrl-BA"/>
        </w:rPr>
        <w:t>Посматрајући основне показатеље активности у земљама у окружењу  може се закључити да је њихово кретање слично као и у Републици Српској. У односу на 2011. годину у Србији је стопа запослености мања за 1,9 а у Хрватској за 2,1 индексни поен, док је стопа незапослености у Србији већа за 3 а у Хрватској за 2,1 индексни поен.</w:t>
      </w:r>
    </w:p>
    <w:p w:rsidR="00CF0EA0" w:rsidRPr="00AC0AD2" w:rsidRDefault="00CF0EA0" w:rsidP="00CF0EA0">
      <w:pPr>
        <w:rPr>
          <w:rFonts w:ascii="Tahoma" w:hAnsi="Tahoma" w:cs="Tahoma"/>
          <w:sz w:val="24"/>
          <w:szCs w:val="24"/>
        </w:rPr>
      </w:pPr>
    </w:p>
    <w:p w:rsidR="00E37D8A" w:rsidRPr="00AC0AD2" w:rsidRDefault="00E37D8A" w:rsidP="00E37D8A">
      <w:pPr>
        <w:jc w:val="both"/>
        <w:rPr>
          <w:rFonts w:ascii="Tahoma" w:hAnsi="Tahoma" w:cs="Tahoma"/>
          <w:lang w:val="sr-Cyrl-CS"/>
        </w:rPr>
      </w:pPr>
      <w:r w:rsidRPr="00AC0AD2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јулу 823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E37D8A" w:rsidRPr="00AC0AD2" w:rsidRDefault="00E37D8A" w:rsidP="00E37D8A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AC0AD2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AC0AD2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AC0AD2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AC0AD2">
        <w:rPr>
          <w:rFonts w:ascii="Tahoma" w:hAnsi="Tahoma" w:cs="Tahoma"/>
          <w:sz w:val="24"/>
          <w:szCs w:val="24"/>
          <w:lang w:val="sr-Cyrl-CS"/>
        </w:rPr>
        <w:t>279</w:t>
      </w:r>
      <w:r w:rsidRPr="00AC0AD2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AC0AD2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AC0AD2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AC0AD2">
        <w:rPr>
          <w:rFonts w:ascii="Tahoma" w:hAnsi="Tahoma" w:cs="Tahoma"/>
          <w:sz w:val="24"/>
          <w:szCs w:val="24"/>
          <w:lang w:val="sr-Cyrl-CS"/>
        </w:rPr>
        <w:t xml:space="preserve"> 557 КМ</w:t>
      </w:r>
    </w:p>
    <w:p w:rsidR="00E37D8A" w:rsidRPr="00AC0AD2" w:rsidRDefault="00E37D8A" w:rsidP="00E37D8A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b/>
          <w:sz w:val="18"/>
          <w:szCs w:val="18"/>
          <w:lang w:val="sr-Cyrl-BA"/>
        </w:rPr>
        <w:lastRenderedPageBreak/>
        <w:t>П</w:t>
      </w:r>
      <w:r w:rsidRPr="00AC0AD2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исплаћена у јулу 2012.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823 КМ</w:t>
      </w:r>
      <w:r w:rsidRPr="00AC0AD2">
        <w:rPr>
          <w:rFonts w:ascii="Tahoma" w:hAnsi="Tahoma" w:cs="Tahoma"/>
          <w:sz w:val="18"/>
          <w:szCs w:val="18"/>
          <w:lang w:val="hr-HR"/>
        </w:rPr>
        <w:t>,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AC0AD2">
        <w:rPr>
          <w:rFonts w:ascii="Tahoma" w:hAnsi="Tahoma" w:cs="Tahoma"/>
          <w:sz w:val="18"/>
          <w:szCs w:val="18"/>
          <w:lang w:val="sr-Cyrl-CS"/>
        </w:rPr>
        <w:t>росјечна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1 358 КМ. </w:t>
      </w: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јулу 2012. године у односу на јун 2012. године већа је номинално за 0,6% а реално за 1,0%. У односу на просјечну нето плату у 2011. години, просјечна нето плата у јулу 2012. године већа је номинално за 1,7%, а реално за 1,0%. У јулу 2012. године у односу на исти мјесец прошле године просјечна нето плата номинално је већа за 1,4% док је </w:t>
      </w:r>
      <w:r w:rsidRPr="00AC0AD2">
        <w:rPr>
          <w:rFonts w:ascii="Tahoma" w:hAnsi="Tahoma" w:cs="Tahoma"/>
          <w:sz w:val="18"/>
          <w:szCs w:val="18"/>
          <w:lang w:val="sr-Cyrl-BA"/>
        </w:rPr>
        <w:t>реално мања за 0,2%.</w:t>
      </w: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јулу 2012. године, посматрано по подручјима дјелатности, исплаћена је у подручју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и износи 1 279 КМ, а најнижа у подручју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557 КМ.</w:t>
      </w:r>
    </w:p>
    <w:p w:rsidR="00E37D8A" w:rsidRPr="00AC0AD2" w:rsidRDefault="00E37D8A" w:rsidP="00E37D8A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37D8A" w:rsidRPr="00AC0AD2" w:rsidRDefault="00E37D8A" w:rsidP="00E37D8A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У јулу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AC0AD2">
        <w:rPr>
          <w:rFonts w:ascii="Tahoma" w:hAnsi="Tahoma" w:cs="Tahoma"/>
          <w:sz w:val="18"/>
          <w:szCs w:val="18"/>
          <w:lang w:val="sr-Cyrl-CS"/>
        </w:rPr>
        <w:t>јун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AC0AD2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за 5,8%,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Образовање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за 5,0% и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Саобраћај, складиштење и комуникације </w:t>
      </w:r>
      <w:r w:rsidRPr="00AC0AD2">
        <w:rPr>
          <w:rFonts w:ascii="Tahoma" w:hAnsi="Tahoma" w:cs="Tahoma"/>
          <w:sz w:val="18"/>
          <w:szCs w:val="18"/>
          <w:lang w:val="sr-Cyrl-CS"/>
        </w:rPr>
        <w:t>за 2,9% док је номинално нижа плата у подручјима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 Здравствени и социјални рад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за 3,8%,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Угоститељство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за 2,8% и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Грађевинарство </w:t>
      </w:r>
      <w:r w:rsidRPr="00AC0AD2">
        <w:rPr>
          <w:rFonts w:ascii="Tahoma" w:hAnsi="Tahoma" w:cs="Tahoma"/>
          <w:sz w:val="18"/>
          <w:szCs w:val="18"/>
          <w:lang w:val="sr-Cyrl-CS"/>
        </w:rPr>
        <w:t>за 2,7%.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AC0AD2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03889" w:rsidRPr="00AC0AD2" w:rsidRDefault="00A03889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AC0AD2" w:rsidRDefault="009617F0" w:rsidP="00E16510">
      <w:pPr>
        <w:jc w:val="center"/>
        <w:rPr>
          <w:rFonts w:ascii="Tahoma" w:hAnsi="Tahoma" w:cs="Tahoma"/>
          <w:sz w:val="18"/>
          <w:szCs w:val="18"/>
        </w:rPr>
      </w:pPr>
      <w:r w:rsidRPr="009617F0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9.5pt;margin-top:187.45pt;width:195.4pt;height:23.95pt;z-index:251669504;mso-position-horizontal-relative:text;mso-position-vertical-relative:text;mso-width-relative:margin;mso-height-relative:margin" strokecolor="white [3212]">
            <v:textbox>
              <w:txbxContent>
                <w:p w:rsidR="00FD35C0" w:rsidRPr="00297CBC" w:rsidRDefault="00FD35C0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2012.</w:t>
                  </w:r>
                </w:p>
              </w:txbxContent>
            </v:textbox>
          </v:shape>
        </w:pict>
      </w:r>
      <w:r w:rsidRPr="009617F0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9.5pt;margin-top:1.4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FD35C0" w:rsidRPr="00B32263" w:rsidRDefault="00FD35C0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E37D8A"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882101" cy="271139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617F0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FD35C0" w:rsidRPr="00860DF8" w:rsidRDefault="00FD35C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AC0AD2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AC0AD2" w:rsidRDefault="000328B8" w:rsidP="00B32263">
      <w:pPr>
        <w:jc w:val="center"/>
        <w:outlineLvl w:val="0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962251" w:rsidRPr="00AC0AD2">
        <w:rPr>
          <w:rFonts w:ascii="Tahoma" w:hAnsi="Tahoma" w:cs="Tahoma"/>
          <w:sz w:val="18"/>
          <w:szCs w:val="18"/>
          <w:lang w:val="sr-Cyrl-BA"/>
        </w:rPr>
        <w:t>2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>.</w:t>
      </w:r>
      <w:r w:rsidR="005E0301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AC0AD2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AC0AD2">
        <w:rPr>
          <w:rFonts w:ascii="Tahoma" w:hAnsi="Tahoma" w:cs="Tahoma"/>
          <w:sz w:val="18"/>
          <w:szCs w:val="18"/>
        </w:rPr>
        <w:t>e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AC0AD2">
        <w:rPr>
          <w:rFonts w:ascii="Tahoma" w:hAnsi="Tahoma" w:cs="Tahoma"/>
          <w:sz w:val="18"/>
          <w:szCs w:val="18"/>
        </w:rPr>
        <w:t>e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A03889" w:rsidRPr="00AC0AD2" w:rsidRDefault="00A0388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B5F09" w:rsidRPr="00AC0AD2" w:rsidRDefault="00CB5F0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B5F09" w:rsidRPr="00AC0AD2" w:rsidRDefault="00CB5F0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F3C50" w:rsidRPr="003269FE" w:rsidRDefault="00CF3C50" w:rsidP="00CF3C50">
      <w:pPr>
        <w:rPr>
          <w:rFonts w:ascii="Tahoma" w:hAnsi="Tahoma" w:cs="Tahoma"/>
          <w:b/>
          <w:sz w:val="28"/>
          <w:szCs w:val="28"/>
          <w:lang w:val="sr-Cyrl-CS"/>
        </w:rPr>
      </w:pPr>
      <w:r w:rsidRPr="00AC0AD2">
        <w:rPr>
          <w:rFonts w:ascii="Tahoma" w:hAnsi="Tahoma" w:cs="Tahoma"/>
          <w:b/>
          <w:sz w:val="28"/>
          <w:szCs w:val="28"/>
          <w:lang w:val="sr-Cyrl-BA"/>
        </w:rPr>
        <w:t>Мјесечна инфлација у јулу 2012. године -0,4%</w:t>
      </w:r>
    </w:p>
    <w:p w:rsidR="00CF3C50" w:rsidRPr="00B63019" w:rsidRDefault="00D84C68" w:rsidP="00CF3C50">
      <w:pPr>
        <w:rPr>
          <w:rFonts w:ascii="Tahoma" w:hAnsi="Tahoma" w:cs="Tahoma"/>
          <w:sz w:val="24"/>
          <w:szCs w:val="24"/>
          <w:lang w:val="sr-Cyrl-BA"/>
        </w:rPr>
      </w:pPr>
      <w:r w:rsidRPr="00B63019">
        <w:rPr>
          <w:rFonts w:ascii="Tahoma" w:hAnsi="Tahoma" w:cs="Tahoma"/>
          <w:sz w:val="24"/>
          <w:szCs w:val="24"/>
          <w:lang w:val="sr-Cyrl-BA"/>
        </w:rPr>
        <w:t>Годишња инфлација (јул 2012/</w:t>
      </w:r>
      <w:r w:rsidR="00CF3C50" w:rsidRPr="00B63019">
        <w:rPr>
          <w:rFonts w:ascii="Tahoma" w:hAnsi="Tahoma" w:cs="Tahoma"/>
          <w:sz w:val="24"/>
          <w:szCs w:val="24"/>
          <w:lang w:val="sr-Cyrl-BA"/>
        </w:rPr>
        <w:t>јул 2011</w:t>
      </w:r>
      <w:r w:rsidR="00B63019">
        <w:rPr>
          <w:rFonts w:ascii="Tahoma" w:hAnsi="Tahoma" w:cs="Tahoma"/>
          <w:sz w:val="24"/>
          <w:szCs w:val="24"/>
          <w:lang w:val="sr-Cyrl-BA"/>
        </w:rPr>
        <w:t>.</w:t>
      </w:r>
      <w:r w:rsidR="00CF3C50" w:rsidRPr="00B63019">
        <w:rPr>
          <w:rFonts w:ascii="Tahoma" w:hAnsi="Tahoma" w:cs="Tahoma"/>
          <w:sz w:val="24"/>
          <w:szCs w:val="24"/>
          <w:lang w:val="sr-Cyrl-BA"/>
        </w:rPr>
        <w:t>) 1,6%</w:t>
      </w:r>
    </w:p>
    <w:p w:rsidR="00CF3C50" w:rsidRPr="00AC0AD2" w:rsidRDefault="00CF3C50" w:rsidP="00CF3C50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јулу 2012. године у односу на јун 2012. године, у просјеку су ниже за 0,4%.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Овакво кретање цијена резултирало је и овај мјесец појефтињењем појединих прехрамбених производа, па је у групи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>забиљежен пад цијена 1,0%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, те промјена правилника о оспособљавању возача за моторна возила узроковала је ниже цијене часова вожње и возачког испита за 10,6% и појефтињење свих врста горива за 1,1%, што је узроковало пад цијена у одјељку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Превоз  </w:t>
      </w:r>
      <w:r w:rsidRPr="00AC0AD2">
        <w:rPr>
          <w:rFonts w:ascii="Tahoma" w:hAnsi="Tahoma" w:cs="Tahoma"/>
          <w:sz w:val="18"/>
          <w:szCs w:val="18"/>
          <w:lang w:val="sr-Cyrl-BA"/>
        </w:rPr>
        <w:t>0,7%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</w:rPr>
      </w:pP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У одјељку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забиљежен је пад 1,0%, и то група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1,1%. Забиљежен</w:t>
      </w:r>
      <w:r w:rsidRPr="00AC0AD2">
        <w:rPr>
          <w:rFonts w:ascii="Tahoma" w:eastAsia="Calibri" w:hAnsi="Tahoma" w:cs="Tahoma"/>
          <w:sz w:val="18"/>
          <w:szCs w:val="18"/>
        </w:rPr>
        <w:t xml:space="preserve"> je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раст цијена меда 6,0%, као и повећањ</w:t>
      </w:r>
      <w:r w:rsidRPr="00AC0AD2">
        <w:rPr>
          <w:rFonts w:ascii="Tahoma" w:eastAsia="Calibri" w:hAnsi="Tahoma" w:cs="Tahoma"/>
          <w:sz w:val="18"/>
          <w:szCs w:val="18"/>
        </w:rPr>
        <w:t>e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цијен</w:t>
      </w:r>
      <w:r w:rsidRPr="00AC0AD2">
        <w:rPr>
          <w:rFonts w:ascii="Tahoma" w:eastAsia="Calibri" w:hAnsi="Tahoma" w:cs="Tahoma"/>
          <w:sz w:val="18"/>
          <w:szCs w:val="18"/>
        </w:rPr>
        <w:t>a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крема на бази какаа 1,5%, затим повећање цијена свјеже и замрзнуте рибе 0,4%, маслиновог уља 1,6%, јестивог уља 0,6%, као и риже 2,3%. На смањење цијена у групи </w:t>
      </w:r>
      <w:r w:rsidRPr="00AC0AD2">
        <w:rPr>
          <w:rFonts w:ascii="Tahoma" w:eastAsia="Calibri" w:hAnsi="Tahoma" w:cs="Tahoma"/>
          <w:sz w:val="18"/>
          <w:szCs w:val="18"/>
        </w:rPr>
        <w:t xml:space="preserve"> 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Храна утицало је смањење цијена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Поврћа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за 6,3%,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Воћа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за 5,9%, затим млијечних производа 2,0%, кокошијих јаја 5,6%, јунетине 0,1%, јагњетине  и пилетине 0,7%, кухињске соли 0,2%, као и прашка за пециво, квасца, концетроване супе за 2,8%. На смањење цијена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за 0,5% највише је утицало смањење цијена кафе 1,2%.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Пад цијена  0,2% који је забиљежен у одјељку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настао је због због нижих цијена производа за чишћење и одржавање куће за 1,1%.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CF3C50" w:rsidRPr="00AC0AD2" w:rsidRDefault="00CF3C50" w:rsidP="00CF3C50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Одјељак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Становање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0,1% и то због ниже цијене лигнита 2,0%, лож уља 1,5%. </w:t>
      </w:r>
    </w:p>
    <w:p w:rsidR="00CF3C50" w:rsidRPr="00AC0AD2" w:rsidRDefault="00CF3C50" w:rsidP="00CF3C50">
      <w:pPr>
        <w:jc w:val="both"/>
        <w:rPr>
          <w:rFonts w:ascii="Tahoma" w:hAnsi="Tahoma" w:cs="Tahoma"/>
          <w:b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Забиљежен је раст код 4 од укупно 12 одјељака. Раст цијена у јулу забиљежен је у одјељцима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>Алкохолна пића и дуван,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Рекреација и култура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>,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Ресторани и хотели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 и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CF3C50" w:rsidRPr="00AC0AD2" w:rsidRDefault="00CF3C50" w:rsidP="00CF3C50">
      <w:pPr>
        <w:jc w:val="both"/>
        <w:rPr>
          <w:rFonts w:ascii="Tahoma" w:hAnsi="Tahoma" w:cs="Tahoma"/>
          <w:i/>
          <w:sz w:val="18"/>
          <w:szCs w:val="18"/>
        </w:rPr>
      </w:pP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0,6%, и то група Алкохолна пића 0,9% усљед повећања цијене вина 1,5% и пива 0,4%, те група Дуван 0,4% усљед повећања цијене домаћих цигарета (Морава-меко паковање).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Рекреација и култура </w:t>
      </w:r>
      <w:r w:rsidRPr="00AC0AD2">
        <w:rPr>
          <w:rFonts w:ascii="Tahoma" w:hAnsi="Tahoma" w:cs="Tahoma"/>
          <w:sz w:val="18"/>
          <w:szCs w:val="18"/>
          <w:lang w:val="sr-Cyrl-BA"/>
        </w:rPr>
        <w:t>забиљежен је раст цијена 0,3% због повећања цијена путних аранжмана за 6,8% у сезони.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Ресторани и хотели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0,1% због повећања цијена јела и пића у ресторанима 0,3%.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И у одјељку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Остала добра и услуге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је забиљежен је раст цијена 0,1%, због повећања цијена неких производа за личну хигијену (тоалет сапун, шампон, креме, пасте за зубе и сл.) за 0,5%.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У одјељцима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Здравство, Комуникације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и </w:t>
      </w:r>
      <w:r w:rsidRPr="00AC0AD2">
        <w:rPr>
          <w:rFonts w:ascii="Tahoma" w:eastAsia="Calibri" w:hAnsi="Tahoma" w:cs="Tahoma"/>
          <w:i/>
          <w:sz w:val="18"/>
          <w:szCs w:val="18"/>
          <w:lang w:val="sr-Cyrl-BA"/>
        </w:rPr>
        <w:t>Образовање</w:t>
      </w:r>
      <w:r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цијене се у просјеку нису мијењале. 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CF3C50" w:rsidP="00CF3C50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AC0AD2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јулу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AC0AD2">
        <w:rPr>
          <w:rFonts w:ascii="Tahoma" w:hAnsi="Tahoma" w:cs="Tahoma"/>
          <w:sz w:val="18"/>
          <w:szCs w:val="18"/>
          <w:lang w:val="sr-Cyrl-BA"/>
        </w:rPr>
        <w:t>године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AC0AD2">
        <w:rPr>
          <w:rFonts w:ascii="Tahoma" w:hAnsi="Tahoma" w:cs="Tahoma"/>
          <w:sz w:val="18"/>
          <w:szCs w:val="18"/>
          <w:lang w:val="sr-Cyrl-BA"/>
        </w:rPr>
        <w:t>године,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за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CF3C50" w:rsidRPr="00AC0AD2" w:rsidRDefault="00CF3C50" w:rsidP="00CF3C50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јуну 2012. године у односу на јун 2011. године, највиши раст забиљежен је  код одјељка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9,0%,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4,2%,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2,8%,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1,6%</w:t>
      </w:r>
      <w:r w:rsidRPr="00AC0AD2">
        <w:rPr>
          <w:rFonts w:ascii="Tahoma" w:hAnsi="Tahoma" w:cs="Tahoma"/>
          <w:sz w:val="18"/>
          <w:szCs w:val="18"/>
          <w:lang w:val="sr-Cyrl-BA"/>
        </w:rPr>
        <w:t>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1,2%,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Pr="00AC0AD2">
        <w:rPr>
          <w:rFonts w:ascii="Tahoma" w:hAnsi="Tahoma" w:cs="Tahoma"/>
          <w:sz w:val="18"/>
          <w:szCs w:val="18"/>
          <w:lang w:val="sr-Cyrl-BA"/>
        </w:rPr>
        <w:t>и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услуге за 0,9%,  Становање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0,8%,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Здравство за 0,3%,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Образовање </w:t>
      </w:r>
      <w:r w:rsidRPr="00AC0AD2">
        <w:rPr>
          <w:rFonts w:ascii="Tahoma" w:hAnsi="Tahoma" w:cs="Tahoma"/>
          <w:sz w:val="18"/>
          <w:szCs w:val="18"/>
          <w:lang w:val="sr-Cyrl-BA"/>
        </w:rPr>
        <w:t>за 0,1%,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за 0,1%. Индекс одјељка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Рекрација и култура </w:t>
      </w:r>
      <w:r w:rsidRPr="00AC0AD2">
        <w:rPr>
          <w:rFonts w:ascii="Tahoma" w:hAnsi="Tahoma" w:cs="Tahoma"/>
          <w:sz w:val="18"/>
          <w:szCs w:val="18"/>
          <w:lang w:val="sr-Cyrl-BA"/>
        </w:rPr>
        <w:t>нижи је за 0,7%,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AC0AD2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нижи за 3,5%.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CF0EA0" w:rsidRPr="00AC0AD2" w:rsidRDefault="00CF0EA0" w:rsidP="00CF0EA0">
      <w:pPr>
        <w:rPr>
          <w:rFonts w:ascii="Tahoma" w:hAnsi="Tahoma" w:cs="Tahoma"/>
          <w:b/>
        </w:rPr>
      </w:pPr>
    </w:p>
    <w:p w:rsidR="004B0DEB" w:rsidRPr="00AC0AD2" w:rsidRDefault="004B0DEB" w:rsidP="004B0DEB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AC0AD2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AC0AD2">
        <w:rPr>
          <w:rFonts w:ascii="Tahoma" w:hAnsi="Tahoma" w:cs="Tahoma"/>
          <w:b/>
          <w:sz w:val="28"/>
          <w:szCs w:val="28"/>
        </w:rPr>
        <w:t>V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>II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>VI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>2</w:t>
      </w:r>
      <w:r w:rsidR="00B63019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AC0AD2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4B0DEB" w:rsidRPr="00AC0AD2" w:rsidRDefault="004B0DEB" w:rsidP="004B0DEB">
      <w:pPr>
        <w:jc w:val="both"/>
        <w:rPr>
          <w:rFonts w:ascii="Tahoma" w:hAnsi="Tahoma" w:cs="Tahoma"/>
          <w:lang w:val="sr-Cyrl-CS"/>
        </w:rPr>
      </w:pPr>
    </w:p>
    <w:p w:rsidR="004B0DEB" w:rsidRPr="00AC0AD2" w:rsidRDefault="004B0DEB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Цијен</w:t>
      </w:r>
      <w:r w:rsidRPr="00AC0AD2">
        <w:rPr>
          <w:rFonts w:ascii="Tahoma" w:hAnsi="Tahoma" w:cs="Tahoma"/>
          <w:sz w:val="18"/>
          <w:szCs w:val="18"/>
        </w:rPr>
        <w:t>e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AC0AD2">
        <w:rPr>
          <w:rFonts w:ascii="Tahoma" w:hAnsi="Tahoma" w:cs="Tahoma"/>
          <w:sz w:val="18"/>
          <w:szCs w:val="18"/>
        </w:rPr>
        <w:t xml:space="preserve">a </w:t>
      </w:r>
      <w:r w:rsidRPr="00AC0AD2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јулу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12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AC0AD2">
        <w:rPr>
          <w:rFonts w:ascii="Tahoma" w:hAnsi="Tahoma" w:cs="Tahoma"/>
          <w:sz w:val="18"/>
          <w:szCs w:val="18"/>
          <w:lang w:val="hr-HR"/>
        </w:rPr>
        <w:t>у односу 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јун</w:t>
      </w:r>
      <w:r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hr-HR"/>
        </w:rPr>
        <w:t>201</w:t>
      </w:r>
      <w:r w:rsidRPr="00AC0AD2">
        <w:rPr>
          <w:rFonts w:ascii="Tahoma" w:hAnsi="Tahoma" w:cs="Tahoma"/>
          <w:sz w:val="18"/>
          <w:szCs w:val="18"/>
          <w:lang w:val="sr-Cyrl-CS"/>
        </w:rPr>
        <w:t>2</w:t>
      </w:r>
      <w:r w:rsidRPr="00AC0AD2">
        <w:rPr>
          <w:rFonts w:ascii="Tahoma" w:hAnsi="Tahoma" w:cs="Tahoma"/>
          <w:sz w:val="18"/>
          <w:szCs w:val="18"/>
          <w:lang w:val="hr-HR"/>
        </w:rPr>
        <w:t>.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0,3%</w:t>
      </w:r>
      <w:r w:rsidRPr="00AC0AD2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у односу на јул 2011. године више су за </w:t>
      </w:r>
      <w:r w:rsidRPr="00AC0AD2">
        <w:rPr>
          <w:rFonts w:ascii="Tahoma" w:hAnsi="Tahoma" w:cs="Tahoma"/>
          <w:sz w:val="18"/>
          <w:szCs w:val="18"/>
          <w:lang w:val="sr-Latn-CS"/>
        </w:rPr>
        <w:t>0,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4% и у односу на децембар 2011. године више су за </w:t>
      </w:r>
      <w:r w:rsidRPr="00AC0AD2">
        <w:rPr>
          <w:rFonts w:ascii="Tahoma" w:hAnsi="Tahoma" w:cs="Tahoma"/>
          <w:sz w:val="18"/>
          <w:szCs w:val="18"/>
          <w:lang w:val="sr-Latn-CS"/>
        </w:rPr>
        <w:t>0,</w:t>
      </w:r>
      <w:r w:rsidRPr="00AC0AD2">
        <w:rPr>
          <w:rFonts w:ascii="Tahoma" w:hAnsi="Tahoma" w:cs="Tahoma"/>
          <w:sz w:val="18"/>
          <w:szCs w:val="18"/>
          <w:lang w:val="sr-Cyrl-CS"/>
        </w:rPr>
        <w:t>5%.</w:t>
      </w:r>
    </w:p>
    <w:p w:rsidR="004B0DEB" w:rsidRPr="00AC0AD2" w:rsidRDefault="004B0DEB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4B0DEB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hr-HR"/>
        </w:rPr>
        <w:t>Посматрано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AC0AD2">
        <w:rPr>
          <w:rFonts w:ascii="Tahoma" w:hAnsi="Tahoma" w:cs="Tahoma"/>
          <w:sz w:val="18"/>
          <w:szCs w:val="18"/>
          <w:lang w:val="hr-HR"/>
        </w:rPr>
        <w:t>о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AC0AD2">
        <w:rPr>
          <w:rFonts w:ascii="Tahoma" w:hAnsi="Tahoma" w:cs="Tahoma"/>
          <w:sz w:val="18"/>
          <w:szCs w:val="18"/>
          <w:lang w:val="hr-HR"/>
        </w:rPr>
        <w:t>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јулу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12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AC0AD2">
        <w:rPr>
          <w:rFonts w:ascii="Tahoma" w:hAnsi="Tahoma" w:cs="Tahoma"/>
          <w:sz w:val="18"/>
          <w:szCs w:val="18"/>
          <w:lang w:val="hr-HR"/>
        </w:rPr>
        <w:t>у односу 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јун</w:t>
      </w:r>
      <w:r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hr-HR"/>
        </w:rPr>
        <w:t>201</w:t>
      </w:r>
      <w:r w:rsidRPr="00AC0AD2">
        <w:rPr>
          <w:rFonts w:ascii="Tahoma" w:hAnsi="Tahoma" w:cs="Tahoma"/>
          <w:sz w:val="18"/>
          <w:szCs w:val="18"/>
          <w:lang w:val="sr-Cyrl-CS"/>
        </w:rPr>
        <w:t>2. године цијене енергије у просјеку</w:t>
      </w:r>
      <w:r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су више</w:t>
      </w:r>
      <w:r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за</w:t>
      </w:r>
      <w:r w:rsidRPr="00AC0AD2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AC0AD2">
        <w:rPr>
          <w:rFonts w:ascii="Tahoma" w:hAnsi="Tahoma" w:cs="Tahoma"/>
          <w:sz w:val="18"/>
          <w:szCs w:val="18"/>
          <w:lang w:val="sr-Cyrl-CS"/>
        </w:rPr>
        <w:t>5</w:t>
      </w:r>
      <w:r w:rsidRPr="00AC0AD2">
        <w:rPr>
          <w:rFonts w:ascii="Tahoma" w:hAnsi="Tahoma" w:cs="Tahoma"/>
          <w:sz w:val="18"/>
          <w:szCs w:val="18"/>
          <w:lang w:val="sr-Latn-CS"/>
        </w:rPr>
        <w:t>%</w:t>
      </w:r>
      <w:r w:rsidRPr="00AC0AD2">
        <w:rPr>
          <w:rFonts w:ascii="Tahoma" w:hAnsi="Tahoma" w:cs="Tahoma"/>
          <w:sz w:val="18"/>
          <w:szCs w:val="18"/>
          <w:lang w:val="sr-Cyrl-CS"/>
        </w:rPr>
        <w:t>, цијене интермедијарних производа за 0,1%, цијене капиталних прозвода у просјеку су ниже за 0,</w:t>
      </w:r>
      <w:r w:rsidRPr="00AC0AD2">
        <w:rPr>
          <w:rFonts w:ascii="Tahoma" w:hAnsi="Tahoma" w:cs="Tahoma"/>
          <w:sz w:val="18"/>
          <w:szCs w:val="18"/>
          <w:lang w:val="sr-Latn-CS"/>
        </w:rPr>
        <w:t>2</w:t>
      </w:r>
      <w:r w:rsidRPr="00AC0AD2">
        <w:rPr>
          <w:rFonts w:ascii="Tahoma" w:hAnsi="Tahoma" w:cs="Tahoma"/>
          <w:sz w:val="18"/>
          <w:szCs w:val="18"/>
          <w:lang w:val="sr-Cyrl-CS"/>
        </w:rPr>
        <w:t>%;</w:t>
      </w:r>
      <w:r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цијене нетрајних производа за широку потрошњу за 0,</w:t>
      </w:r>
      <w:r w:rsidRPr="00AC0AD2">
        <w:rPr>
          <w:rFonts w:ascii="Tahoma" w:hAnsi="Tahoma" w:cs="Tahoma"/>
          <w:sz w:val="18"/>
          <w:szCs w:val="18"/>
          <w:lang w:val="sr-Latn-CS"/>
        </w:rPr>
        <w:t>1</w:t>
      </w:r>
      <w:r w:rsidRPr="00AC0AD2">
        <w:rPr>
          <w:rFonts w:ascii="Tahoma" w:hAnsi="Tahoma" w:cs="Tahoma"/>
          <w:sz w:val="18"/>
          <w:szCs w:val="18"/>
          <w:lang w:val="sr-Cyrl-CS"/>
        </w:rPr>
        <w:t>%, док су цијене трајних производа за широку потрошњу у просјеку су остале на истом нивоу.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Цијене енергије, п</w:t>
      </w:r>
      <w:r w:rsidRPr="00AC0AD2">
        <w:rPr>
          <w:rFonts w:ascii="Tahoma" w:hAnsi="Tahoma" w:cs="Tahoma"/>
          <w:sz w:val="18"/>
          <w:szCs w:val="18"/>
          <w:lang w:val="hr-HR"/>
        </w:rPr>
        <w:t>осматрано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AC0AD2">
        <w:rPr>
          <w:rFonts w:ascii="Tahoma" w:hAnsi="Tahoma" w:cs="Tahoma"/>
          <w:sz w:val="18"/>
          <w:szCs w:val="18"/>
          <w:lang w:val="hr-HR"/>
        </w:rPr>
        <w:t>о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јулу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12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AC0AD2">
        <w:rPr>
          <w:rFonts w:ascii="Tahoma" w:hAnsi="Tahoma" w:cs="Tahoma"/>
          <w:sz w:val="18"/>
          <w:szCs w:val="18"/>
          <w:lang w:val="hr-HR"/>
        </w:rPr>
        <w:t>у односу 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 2011. године, у просјеку</w:t>
      </w:r>
      <w:r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су више</w:t>
      </w:r>
      <w:r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за 1,4%, цијене нетрајних производа за широку потрошњу за 0,7%, цијене трајних производа за широку потрошњу за 0,3%, док су цијене интермедијарних производа у просјеку</w:t>
      </w:r>
      <w:r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су ниже за 0,7% и цијене капиталних прозвода за 0,2%. 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4B0DEB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AC0AD2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AC0AD2">
        <w:rPr>
          <w:rFonts w:ascii="Tahoma" w:hAnsi="Tahoma" w:cs="Tahoma"/>
          <w:sz w:val="18"/>
          <w:szCs w:val="18"/>
          <w:lang w:val="sr-Cyrl-CS"/>
        </w:rPr>
        <w:t>PRODCOM</w:t>
      </w:r>
      <w:r w:rsidRPr="00AC0AD2">
        <w:rPr>
          <w:rFonts w:ascii="Tahoma" w:hAnsi="Tahoma" w:cs="Tahoma"/>
          <w:sz w:val="18"/>
          <w:szCs w:val="18"/>
          <w:lang w:val="hr-HR"/>
        </w:rPr>
        <w:t>)</w:t>
      </w:r>
      <w:r w:rsidRPr="00AC0AD2">
        <w:rPr>
          <w:rFonts w:ascii="Tahoma" w:hAnsi="Tahoma" w:cs="Tahoma"/>
          <w:sz w:val="18"/>
          <w:szCs w:val="18"/>
          <w:lang w:val="sr-Cyrl-CS"/>
        </w:rPr>
        <w:t>,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AC0AD2">
        <w:rPr>
          <w:rFonts w:ascii="Tahoma" w:hAnsi="Tahoma" w:cs="Tahoma"/>
          <w:sz w:val="18"/>
          <w:szCs w:val="18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AC0AD2">
        <w:rPr>
          <w:rFonts w:ascii="Tahoma" w:hAnsi="Tahoma" w:cs="Tahoma"/>
          <w:sz w:val="18"/>
          <w:szCs w:val="18"/>
          <w:lang w:val="hr-HR"/>
        </w:rPr>
        <w:t>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јулу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12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AC0AD2">
        <w:rPr>
          <w:rFonts w:ascii="Tahoma" w:hAnsi="Tahoma" w:cs="Tahoma"/>
          <w:sz w:val="18"/>
          <w:szCs w:val="18"/>
          <w:lang w:val="sr-Cyrl-CS"/>
        </w:rPr>
        <w:t>године у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јун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AC0AD2">
        <w:rPr>
          <w:rFonts w:ascii="Tahoma" w:hAnsi="Tahoma" w:cs="Tahoma"/>
          <w:sz w:val="18"/>
          <w:szCs w:val="18"/>
          <w:lang w:val="sr-Cyrl-CS"/>
        </w:rPr>
        <w:t>2</w:t>
      </w:r>
      <w:r w:rsidRPr="00AC0AD2">
        <w:rPr>
          <w:rFonts w:ascii="Tahoma" w:hAnsi="Tahoma" w:cs="Tahoma"/>
          <w:sz w:val="18"/>
          <w:szCs w:val="18"/>
          <w:lang w:val="hr-HR"/>
        </w:rPr>
        <w:t>.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1,6%, док су цијене подручја (Д) прерађивачка индустрија као и цијене подручја (Е)  производња и снабдијевање електричном енергијом, гасом и водом у просјеку остале на истом нивоу.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bs-Cyrl-BA"/>
        </w:rPr>
        <w:t>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јулу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12</w:t>
      </w:r>
      <w:r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AC0AD2">
        <w:rPr>
          <w:rFonts w:ascii="Tahoma" w:hAnsi="Tahoma" w:cs="Tahoma"/>
          <w:sz w:val="18"/>
          <w:szCs w:val="18"/>
          <w:lang w:val="hr-HR"/>
        </w:rPr>
        <w:t>у односу 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јул </w:t>
      </w:r>
      <w:r w:rsidRPr="00AC0AD2">
        <w:rPr>
          <w:rFonts w:ascii="Tahoma" w:hAnsi="Tahoma" w:cs="Tahoma"/>
          <w:sz w:val="18"/>
          <w:szCs w:val="18"/>
          <w:lang w:val="hr-HR"/>
        </w:rPr>
        <w:t>20</w:t>
      </w:r>
      <w:r w:rsidRPr="00AC0AD2">
        <w:rPr>
          <w:rFonts w:ascii="Tahoma" w:hAnsi="Tahoma" w:cs="Tahoma"/>
          <w:sz w:val="18"/>
          <w:szCs w:val="18"/>
          <w:lang w:val="sr-Cyrl-CS"/>
        </w:rPr>
        <w:t>11</w:t>
      </w:r>
      <w:r w:rsidRPr="00AC0AD2">
        <w:rPr>
          <w:rFonts w:ascii="Tahoma" w:hAnsi="Tahoma" w:cs="Tahoma"/>
          <w:sz w:val="18"/>
          <w:szCs w:val="18"/>
          <w:lang w:val="hr-HR"/>
        </w:rPr>
        <w:t>.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AC0AD2">
        <w:rPr>
          <w:rFonts w:ascii="Tahoma" w:hAnsi="Tahoma" w:cs="Tahoma"/>
          <w:sz w:val="18"/>
          <w:szCs w:val="18"/>
        </w:rPr>
        <w:t>j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2,1%, </w:t>
      </w:r>
      <w:r w:rsidRPr="00AC0AD2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AC0AD2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AC0AD2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за 0,5% и цијене подручја </w:t>
      </w:r>
      <w:r w:rsidRPr="00AC0AD2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AC0AD2">
        <w:rPr>
          <w:rFonts w:ascii="Tahoma" w:hAnsi="Tahoma" w:cs="Tahoma"/>
          <w:bCs/>
          <w:sz w:val="18"/>
          <w:szCs w:val="18"/>
          <w:lang w:val="sr-Cyrl-CS"/>
        </w:rPr>
        <w:t xml:space="preserve"> за 0,2%. </w:t>
      </w:r>
    </w:p>
    <w:p w:rsidR="00E011F4" w:rsidRPr="00AC0AD2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D84C68" w:rsidRPr="00AC0AD2" w:rsidRDefault="00D84C68" w:rsidP="00D84C68">
      <w:pPr>
        <w:tabs>
          <w:tab w:val="left" w:pos="0"/>
          <w:tab w:val="left" w:pos="1100"/>
        </w:tabs>
        <w:jc w:val="both"/>
        <w:rPr>
          <w:lang w:val="sr-Cyrl-CS"/>
        </w:rPr>
      </w:pPr>
      <w:r w:rsidRPr="00AC0AD2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AC0AD2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AC0AD2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A31C64">
        <w:rPr>
          <w:rFonts w:ascii="Tahoma" w:hAnsi="Tahoma" w:cs="Tahoma"/>
          <w:b/>
          <w:spacing w:val="-4"/>
          <w:sz w:val="28"/>
          <w:szCs w:val="28"/>
          <w:lang w:val="sr-Cyrl-CS"/>
        </w:rPr>
        <w:t>I-</w:t>
      </w:r>
      <w:r w:rsidRPr="00AC0AD2">
        <w:rPr>
          <w:rFonts w:ascii="Tahoma" w:hAnsi="Tahoma" w:cs="Tahoma"/>
          <w:b/>
          <w:spacing w:val="-4"/>
          <w:sz w:val="28"/>
          <w:szCs w:val="28"/>
        </w:rPr>
        <w:t>VII</w:t>
      </w:r>
      <w:r w:rsidRPr="00AC0AD2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A31C64" w:rsidRPr="00A31C6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A31C64">
        <w:rPr>
          <w:rFonts w:ascii="Tahoma" w:hAnsi="Tahoma" w:cs="Tahoma"/>
          <w:b/>
          <w:spacing w:val="-4"/>
          <w:sz w:val="28"/>
          <w:szCs w:val="28"/>
          <w:lang w:val="sr-Cyrl-CS"/>
        </w:rPr>
        <w:t>I-</w:t>
      </w:r>
      <w:r w:rsidR="00A31C64" w:rsidRPr="00AC0AD2">
        <w:rPr>
          <w:rFonts w:ascii="Tahoma" w:hAnsi="Tahoma" w:cs="Tahoma"/>
          <w:b/>
          <w:spacing w:val="-4"/>
          <w:sz w:val="28"/>
          <w:szCs w:val="28"/>
        </w:rPr>
        <w:t>VII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A31C64">
        <w:rPr>
          <w:rFonts w:ascii="Tahoma" w:hAnsi="Tahoma" w:cs="Tahoma"/>
          <w:b/>
          <w:bCs/>
          <w:spacing w:val="-4"/>
          <w:sz w:val="28"/>
          <w:szCs w:val="28"/>
        </w:rPr>
        <w:t>5</w:t>
      </w:r>
      <w:r w:rsidRPr="00AC0AD2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A31C64">
        <w:rPr>
          <w:rFonts w:ascii="Tahoma" w:hAnsi="Tahoma" w:cs="Tahoma"/>
          <w:b/>
          <w:bCs/>
          <w:spacing w:val="-4"/>
          <w:sz w:val="28"/>
          <w:szCs w:val="28"/>
        </w:rPr>
        <w:t>6</w:t>
      </w:r>
      <w:r w:rsidRPr="00AC0AD2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3269FE" w:rsidRPr="003269FE" w:rsidRDefault="003269FE" w:rsidP="003269FE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3269FE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3269FE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3269FE">
        <w:rPr>
          <w:rFonts w:ascii="Tahoma" w:hAnsi="Tahoma" w:cs="Tahoma"/>
          <w:sz w:val="24"/>
          <w:szCs w:val="24"/>
          <w:lang w:val="sr-Cyrl-CS"/>
        </w:rPr>
        <w:t>V</w:t>
      </w:r>
      <w:r w:rsidRPr="003269FE">
        <w:rPr>
          <w:rFonts w:ascii="Tahoma" w:hAnsi="Tahoma" w:cs="Tahoma"/>
          <w:sz w:val="24"/>
          <w:szCs w:val="24"/>
        </w:rPr>
        <w:t>II</w:t>
      </w:r>
      <w:r w:rsidRPr="003269FE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3269FE">
        <w:rPr>
          <w:rFonts w:ascii="Tahoma" w:hAnsi="Tahoma" w:cs="Tahoma"/>
          <w:sz w:val="24"/>
          <w:szCs w:val="24"/>
          <w:lang w:val="sr-Cyrl-CS"/>
        </w:rPr>
        <w:t>12</w:t>
      </w:r>
      <w:r w:rsidRPr="003269FE">
        <w:rPr>
          <w:rFonts w:ascii="Tahoma" w:hAnsi="Tahoma" w:cs="Tahoma"/>
          <w:sz w:val="24"/>
          <w:szCs w:val="24"/>
          <w:lang w:val="sr-Latn-BA"/>
        </w:rPr>
        <w:t>/</w:t>
      </w:r>
      <w:r w:rsidRPr="003269FE">
        <w:rPr>
          <w:rFonts w:ascii="Tahoma" w:hAnsi="Tahoma" w:cs="Tahoma"/>
          <w:bCs/>
          <w:sz w:val="24"/>
          <w:szCs w:val="24"/>
        </w:rPr>
        <w:sym w:font="Symbol" w:char="F0C6"/>
      </w:r>
      <w:r w:rsidRPr="003269FE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3269FE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3269FE">
        <w:rPr>
          <w:rFonts w:ascii="Tahoma" w:hAnsi="Tahoma" w:cs="Tahoma"/>
          <w:bCs/>
          <w:sz w:val="24"/>
          <w:szCs w:val="24"/>
          <w:lang w:val="hr-HR"/>
        </w:rPr>
        <w:t>)</w:t>
      </w:r>
      <w:r w:rsidRPr="003269FE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3269FE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3269FE">
        <w:rPr>
          <w:rFonts w:ascii="Tahoma" w:hAnsi="Tahoma" w:cs="Tahoma"/>
          <w:sz w:val="24"/>
          <w:szCs w:val="24"/>
          <w:lang w:val="sr-Cyrl-CS"/>
        </w:rPr>
        <w:t>0</w:t>
      </w:r>
      <w:r w:rsidRPr="003269FE">
        <w:rPr>
          <w:rFonts w:ascii="Tahoma" w:hAnsi="Tahoma" w:cs="Tahoma"/>
          <w:sz w:val="24"/>
          <w:szCs w:val="24"/>
          <w:lang w:val="sr-Cyrl-BA"/>
        </w:rPr>
        <w:t>,7</w:t>
      </w:r>
      <w:r w:rsidRPr="003269FE">
        <w:rPr>
          <w:rFonts w:ascii="Tahoma" w:hAnsi="Tahoma" w:cs="Tahoma"/>
          <w:sz w:val="24"/>
          <w:szCs w:val="24"/>
          <w:lang w:val="ru-RU"/>
        </w:rPr>
        <w:t>%</w:t>
      </w:r>
    </w:p>
    <w:p w:rsidR="00F61225" w:rsidRPr="003269FE" w:rsidRDefault="00F61225" w:rsidP="00F61225">
      <w:pPr>
        <w:tabs>
          <w:tab w:val="left" w:pos="0"/>
          <w:tab w:val="left" w:pos="1100"/>
        </w:tabs>
        <w:jc w:val="both"/>
        <w:rPr>
          <w:lang w:val="sr-Latn-CS"/>
        </w:rPr>
      </w:pPr>
    </w:p>
    <w:p w:rsidR="00D84C68" w:rsidRPr="00AC0AD2" w:rsidRDefault="00D84C68" w:rsidP="00D84C68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AC0AD2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AC0AD2">
        <w:rPr>
          <w:rFonts w:ascii="Tahoma" w:hAnsi="Tahoma" w:cs="Tahoma"/>
          <w:sz w:val="18"/>
          <w:szCs w:val="18"/>
          <w:lang w:val="sr-Cyrl-CS"/>
        </w:rPr>
        <w:t>јулу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претходни мјесец текуће године мања је за 6,9%, у односу на просјечну мјесечну производњу из 2011. године </w:t>
      </w:r>
      <w:r w:rsidRPr="00AC0AD2">
        <w:rPr>
          <w:rFonts w:ascii="Tahoma" w:hAnsi="Tahoma" w:cs="Tahoma"/>
          <w:sz w:val="18"/>
          <w:szCs w:val="18"/>
          <w:lang w:val="sr-Cyrl-BA"/>
        </w:rPr>
        <w:t>мања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је за 8,4%</w:t>
      </w:r>
      <w:r w:rsidR="007C7676">
        <w:rPr>
          <w:rFonts w:ascii="Tahoma" w:hAnsi="Tahoma" w:cs="Tahoma"/>
          <w:sz w:val="18"/>
          <w:szCs w:val="18"/>
          <w:lang w:val="ru-RU"/>
        </w:rPr>
        <w:t>.</w:t>
      </w:r>
    </w:p>
    <w:p w:rsidR="00D84C68" w:rsidRPr="00AC0AD2" w:rsidRDefault="00D84C68" w:rsidP="00D84C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јул 2012. године у односу на исти период </w:t>
      </w:r>
      <w:r w:rsidRPr="00AC0AD2">
        <w:rPr>
          <w:rFonts w:ascii="Tahoma" w:hAnsi="Tahoma" w:cs="Tahoma"/>
          <w:sz w:val="18"/>
          <w:szCs w:val="18"/>
          <w:lang w:val="ru-RU"/>
        </w:rPr>
        <w:t>прошле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године мања је за 5,6%. У истом периоду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AC0AD2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забиљежена је негативна стопа промјене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од 4,6%,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AC0AD2">
        <w:rPr>
          <w:rFonts w:ascii="Tahoma" w:hAnsi="Tahoma" w:cs="Tahoma"/>
          <w:sz w:val="18"/>
          <w:szCs w:val="18"/>
          <w:lang w:val="ru-RU"/>
        </w:rPr>
        <w:t>подручју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AC0AD2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>негативна стопа промјене од 5,0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AC0AD2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AC0AD2">
        <w:rPr>
          <w:rFonts w:ascii="Tahoma" w:hAnsi="Tahoma" w:cs="Tahoma"/>
          <w:sz w:val="18"/>
          <w:szCs w:val="18"/>
          <w:lang w:val="sr-Cyrl-BA"/>
        </w:rPr>
        <w:t>стопа промјене од 6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,5%. </w:t>
      </w:r>
    </w:p>
    <w:p w:rsidR="00D84C68" w:rsidRPr="00AC0AD2" w:rsidRDefault="00D84C68" w:rsidP="00D84C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84C68" w:rsidRPr="00AC0AD2" w:rsidRDefault="00D84C68" w:rsidP="00D84C68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– јул 2012. године у односу на исти период прошле године забиљежена је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трајних производа од 0,2%, енергије 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од 5,1%, </w:t>
      </w:r>
      <w:r w:rsidRPr="00AC0AD2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од 7,7% и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ru-RU"/>
        </w:rPr>
        <w:t>нетрајних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производа од 7,8%, </w:t>
      </w:r>
      <w:r w:rsidRPr="00AC0AD2">
        <w:rPr>
          <w:rFonts w:ascii="Tahoma" w:hAnsi="Tahoma" w:cs="Tahoma"/>
          <w:sz w:val="18"/>
          <w:szCs w:val="18"/>
          <w:lang w:val="sr-Cyrl-BA"/>
        </w:rPr>
        <w:t>док је код капиталних производа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AC0AD2">
        <w:rPr>
          <w:rFonts w:ascii="Tahoma" w:hAnsi="Tahoma" w:cs="Tahoma"/>
          <w:sz w:val="18"/>
          <w:szCs w:val="18"/>
          <w:lang w:val="ru-RU"/>
        </w:rPr>
        <w:t>од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5,9</w:t>
      </w:r>
      <w:r w:rsidRPr="00AC0AD2">
        <w:rPr>
          <w:rFonts w:ascii="Tahoma" w:hAnsi="Tahoma" w:cs="Tahoma"/>
          <w:sz w:val="18"/>
          <w:szCs w:val="18"/>
          <w:lang w:val="sr-Cyrl-BA"/>
        </w:rPr>
        <w:t>%.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F61225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3269FE" w:rsidRPr="003269FE" w:rsidRDefault="003269FE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3269FE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3269FE">
        <w:rPr>
          <w:rFonts w:ascii="Tahoma" w:hAnsi="Tahoma" w:cs="Tahoma"/>
          <w:sz w:val="18"/>
          <w:szCs w:val="18"/>
          <w:lang w:val="sr-Cyrl-CS"/>
        </w:rPr>
        <w:t>јулу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3269FE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3269FE">
        <w:rPr>
          <w:rFonts w:ascii="Tahoma" w:hAnsi="Tahoma" w:cs="Tahoma"/>
          <w:sz w:val="18"/>
          <w:szCs w:val="18"/>
          <w:lang w:val="ru-RU"/>
        </w:rPr>
        <w:t>односу на јун</w:t>
      </w:r>
      <w:r w:rsidRPr="003269FE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године већи је за 0,5%.</w:t>
      </w:r>
    </w:p>
    <w:p w:rsidR="003269FE" w:rsidRPr="003269FE" w:rsidRDefault="003269FE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3269FE" w:rsidRPr="003269FE" w:rsidRDefault="003269FE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3269FE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3269FE">
        <w:rPr>
          <w:rFonts w:ascii="Tahoma" w:hAnsi="Tahoma" w:cs="Tahoma"/>
          <w:sz w:val="18"/>
          <w:szCs w:val="18"/>
          <w:lang w:val="ru-RU"/>
        </w:rPr>
        <w:t>периоду јануар - јул</w:t>
      </w:r>
      <w:r w:rsidRPr="003269FE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1,7%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, при чему је у подручју </w:t>
      </w:r>
      <w:r w:rsidRPr="003269FE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3269FE">
        <w:rPr>
          <w:rFonts w:ascii="Tahoma" w:hAnsi="Tahoma" w:cs="Tahoma"/>
          <w:sz w:val="18"/>
          <w:szCs w:val="18"/>
          <w:lang w:val="sr-Cyrl-CS"/>
        </w:rPr>
        <w:t xml:space="preserve"> забиљежен пад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269FE">
        <w:rPr>
          <w:rFonts w:ascii="Tahoma" w:hAnsi="Tahoma" w:cs="Tahoma"/>
          <w:sz w:val="18"/>
          <w:szCs w:val="18"/>
          <w:lang w:val="sr-Cyrl-CS"/>
        </w:rPr>
        <w:t>од 1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,4% и у подручју </w:t>
      </w:r>
      <w:r w:rsidRPr="003269FE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пад од 2,0%, док је </w:t>
      </w:r>
      <w:r w:rsidRPr="003269FE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3269FE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269FE">
        <w:rPr>
          <w:rFonts w:ascii="Tahoma" w:hAnsi="Tahoma" w:cs="Tahoma"/>
          <w:sz w:val="18"/>
          <w:szCs w:val="18"/>
          <w:lang w:val="sr-Cyrl-CS"/>
        </w:rPr>
        <w:t>забиљежен раст броја запослених од 0,1</w:t>
      </w:r>
      <w:r w:rsidRPr="003269FE">
        <w:rPr>
          <w:rFonts w:ascii="Tahoma" w:hAnsi="Tahoma" w:cs="Tahoma"/>
          <w:sz w:val="18"/>
          <w:szCs w:val="18"/>
          <w:lang w:val="ru-RU"/>
        </w:rPr>
        <w:t>%.</w:t>
      </w:r>
    </w:p>
    <w:p w:rsidR="003269FE" w:rsidRPr="003269FE" w:rsidRDefault="003269FE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03889" w:rsidRPr="00AC0AD2" w:rsidRDefault="00A03889" w:rsidP="007C7676">
      <w:pPr>
        <w:rPr>
          <w:rFonts w:ascii="Tahoma" w:hAnsi="Tahoma" w:cs="Tahoma"/>
          <w:b/>
          <w:bCs/>
          <w:sz w:val="22"/>
          <w:szCs w:val="22"/>
          <w:lang w:val="ru-RU"/>
        </w:rPr>
      </w:pPr>
      <w:r w:rsidRPr="00AC0AD2">
        <w:rPr>
          <w:rFonts w:ascii="Tahoma" w:hAnsi="Tahoma" w:cs="Tahoma"/>
          <w:b/>
          <w:bCs/>
          <w:sz w:val="22"/>
          <w:szCs w:val="22"/>
          <w:lang w:val="ru-RU"/>
        </w:rPr>
        <w:t>КОНАЧНИ ПОДАЦИ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AC0AD2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AC0AD2">
        <w:rPr>
          <w:rFonts w:ascii="Tahoma" w:hAnsi="Tahoma" w:cs="Tahoma"/>
          <w:b/>
          <w:sz w:val="28"/>
          <w:szCs w:val="28"/>
          <w:lang w:val="sr-Cyrl-BA"/>
        </w:rPr>
        <w:t xml:space="preserve"> у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Pr="00AC0AD2">
        <w:rPr>
          <w:rFonts w:ascii="Tahoma" w:hAnsi="Tahoma" w:cs="Tahoma"/>
          <w:b/>
          <w:sz w:val="28"/>
          <w:szCs w:val="28"/>
        </w:rPr>
        <w:t>1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.</w:t>
      </w:r>
      <w:r w:rsidRPr="00AC0AD2">
        <w:rPr>
          <w:rFonts w:ascii="Tahoma" w:hAnsi="Tahoma" w:cs="Tahoma"/>
          <w:b/>
          <w:sz w:val="28"/>
          <w:szCs w:val="28"/>
        </w:rPr>
        <w:t xml:space="preserve"> 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 xml:space="preserve">години </w:t>
      </w:r>
      <w:r w:rsidRPr="00AC0AD2">
        <w:rPr>
          <w:rFonts w:ascii="Tahoma" w:hAnsi="Tahoma" w:cs="Tahoma"/>
          <w:b/>
          <w:sz w:val="28"/>
          <w:szCs w:val="28"/>
          <w:lang w:val="hr-HR"/>
        </w:rPr>
        <w:t>55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,</w:t>
      </w:r>
      <w:r w:rsidRPr="00AC0AD2">
        <w:rPr>
          <w:rFonts w:ascii="Tahoma" w:hAnsi="Tahoma" w:cs="Tahoma"/>
          <w:b/>
          <w:sz w:val="28"/>
          <w:szCs w:val="28"/>
        </w:rPr>
        <w:t>9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AC0AD2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AC0AD2">
        <w:rPr>
          <w:rFonts w:ascii="Tahoma" w:hAnsi="Tahoma" w:cs="Tahoma"/>
          <w:sz w:val="24"/>
          <w:szCs w:val="24"/>
          <w:lang w:val="hr-HR"/>
        </w:rPr>
        <w:t>(2011/2010</w:t>
      </w:r>
      <w:r w:rsidRPr="00AC0AD2">
        <w:rPr>
          <w:rFonts w:ascii="Tahoma" w:hAnsi="Tahoma" w:cs="Tahoma"/>
          <w:sz w:val="24"/>
          <w:szCs w:val="24"/>
          <w:lang w:val="sr-Cyrl-CS"/>
        </w:rPr>
        <w:t>.</w:t>
      </w:r>
      <w:r w:rsidRPr="00AC0AD2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AC0AD2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Pr="00AC0AD2">
        <w:rPr>
          <w:rFonts w:ascii="Tahoma" w:hAnsi="Tahoma" w:cs="Tahoma"/>
          <w:sz w:val="24"/>
          <w:szCs w:val="24"/>
        </w:rPr>
        <w:t>17</w:t>
      </w:r>
      <w:r w:rsidRPr="00AC0AD2">
        <w:rPr>
          <w:rFonts w:ascii="Tahoma" w:hAnsi="Tahoma" w:cs="Tahoma"/>
          <w:sz w:val="24"/>
          <w:szCs w:val="24"/>
          <w:lang w:val="ru-RU"/>
        </w:rPr>
        <w:t>,</w:t>
      </w:r>
      <w:r w:rsidRPr="00AC0AD2">
        <w:rPr>
          <w:rFonts w:ascii="Tahoma" w:hAnsi="Tahoma" w:cs="Tahoma"/>
          <w:sz w:val="24"/>
          <w:szCs w:val="24"/>
        </w:rPr>
        <w:t>6</w:t>
      </w:r>
      <w:r w:rsidRPr="00AC0AD2">
        <w:rPr>
          <w:rFonts w:ascii="Tahoma" w:hAnsi="Tahoma" w:cs="Tahoma"/>
          <w:sz w:val="24"/>
          <w:szCs w:val="24"/>
          <w:lang w:val="ru-RU"/>
        </w:rPr>
        <w:t>%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A03889" w:rsidRPr="00AC0AD2" w:rsidRDefault="00A03889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AC0AD2">
        <w:rPr>
          <w:rFonts w:ascii="Tahoma" w:hAnsi="Tahoma" w:cs="Tahoma"/>
          <w:sz w:val="18"/>
          <w:szCs w:val="18"/>
          <w:lang w:val="bs-Cyrl-BA"/>
        </w:rPr>
        <w:t>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AC0AD2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AC0AD2">
        <w:rPr>
          <w:rFonts w:ascii="Tahoma" w:hAnsi="Tahoma" w:cs="Tahoma"/>
          <w:sz w:val="18"/>
          <w:szCs w:val="18"/>
          <w:lang w:val="sr-Cyrl-BA"/>
        </w:rPr>
        <w:t>Српске са иностранством у 20</w:t>
      </w:r>
      <w:r w:rsidRPr="00AC0AD2">
        <w:rPr>
          <w:rFonts w:ascii="Tahoma" w:hAnsi="Tahoma" w:cs="Tahoma"/>
          <w:sz w:val="18"/>
          <w:szCs w:val="18"/>
          <w:lang w:val="ru-RU"/>
        </w:rPr>
        <w:t>1</w:t>
      </w:r>
      <w:r w:rsidRPr="00AC0AD2">
        <w:rPr>
          <w:rFonts w:ascii="Tahoma" w:hAnsi="Tahoma" w:cs="Tahoma"/>
          <w:sz w:val="18"/>
          <w:szCs w:val="18"/>
        </w:rPr>
        <w:t>1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. години, проценат покривености увоза извозом износио је </w:t>
      </w:r>
      <w:r w:rsidRPr="00AC0AD2">
        <w:rPr>
          <w:rFonts w:ascii="Tahoma" w:hAnsi="Tahoma" w:cs="Tahoma"/>
          <w:sz w:val="18"/>
          <w:szCs w:val="18"/>
          <w:lang w:val="ru-RU"/>
        </w:rPr>
        <w:t>5</w:t>
      </w:r>
      <w:r w:rsidRPr="00AC0AD2">
        <w:rPr>
          <w:rFonts w:ascii="Tahoma" w:hAnsi="Tahoma" w:cs="Tahoma"/>
          <w:sz w:val="18"/>
          <w:szCs w:val="18"/>
        </w:rPr>
        <w:t>5</w:t>
      </w:r>
      <w:r w:rsidRPr="00AC0AD2">
        <w:rPr>
          <w:rFonts w:ascii="Tahoma" w:hAnsi="Tahoma" w:cs="Tahoma"/>
          <w:sz w:val="18"/>
          <w:szCs w:val="18"/>
          <w:lang w:val="sr-Cyrl-BA"/>
        </w:rPr>
        <w:t>,</w:t>
      </w:r>
      <w:r w:rsidRPr="00AC0AD2">
        <w:rPr>
          <w:rFonts w:ascii="Tahoma" w:hAnsi="Tahoma" w:cs="Tahoma"/>
          <w:sz w:val="18"/>
          <w:szCs w:val="18"/>
        </w:rPr>
        <w:t>9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%. </w:t>
      </w:r>
      <w:r w:rsidRPr="00AC0AD2">
        <w:rPr>
          <w:rFonts w:ascii="Tahoma" w:hAnsi="Tahoma" w:cs="Tahoma"/>
          <w:sz w:val="18"/>
          <w:szCs w:val="18"/>
          <w:lang w:val="ru-RU"/>
        </w:rPr>
        <w:t>Спољнотрговински робни дефицит износио је</w:t>
      </w:r>
      <w:r w:rsidRPr="00AC0AD2">
        <w:rPr>
          <w:rFonts w:ascii="Tahoma" w:hAnsi="Tahoma" w:cs="Tahoma"/>
          <w:sz w:val="18"/>
          <w:szCs w:val="18"/>
        </w:rPr>
        <w:t xml:space="preserve"> 2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милијард</w:t>
      </w:r>
      <w:r w:rsidRPr="00AC0AD2">
        <w:rPr>
          <w:rFonts w:ascii="Tahoma" w:hAnsi="Tahoma" w:cs="Tahoma"/>
          <w:sz w:val="18"/>
          <w:szCs w:val="18"/>
        </w:rPr>
        <w:t>e 17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милиона КМ.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03889" w:rsidRPr="00AC0AD2" w:rsidRDefault="00A03889" w:rsidP="00A03889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Pr="00AC0AD2">
        <w:rPr>
          <w:rFonts w:ascii="Tahoma" w:hAnsi="Tahoma" w:cs="Tahoma"/>
          <w:sz w:val="18"/>
          <w:szCs w:val="18"/>
          <w:lang w:val="sr-Cyrl-CS"/>
        </w:rPr>
        <w:t>201</w:t>
      </w:r>
      <w:r w:rsidRPr="00AC0AD2">
        <w:rPr>
          <w:rFonts w:ascii="Tahoma" w:hAnsi="Tahoma" w:cs="Tahoma"/>
          <w:sz w:val="18"/>
          <w:szCs w:val="18"/>
        </w:rPr>
        <w:t>1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. години остварен је извоз у вриједности од  2 милијарде </w:t>
      </w:r>
      <w:r w:rsidRPr="00AC0AD2">
        <w:rPr>
          <w:rFonts w:ascii="Tahoma" w:hAnsi="Tahoma" w:cs="Tahoma"/>
          <w:sz w:val="18"/>
          <w:szCs w:val="18"/>
        </w:rPr>
        <w:t>561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милиона КМ, што је за </w:t>
      </w:r>
      <w:r w:rsidRPr="00AC0AD2">
        <w:rPr>
          <w:rFonts w:ascii="Tahoma" w:hAnsi="Tahoma" w:cs="Tahoma"/>
          <w:sz w:val="18"/>
          <w:szCs w:val="18"/>
        </w:rPr>
        <w:t>17</w:t>
      </w:r>
      <w:r w:rsidRPr="00AC0AD2">
        <w:rPr>
          <w:rFonts w:ascii="Tahoma" w:hAnsi="Tahoma" w:cs="Tahoma"/>
          <w:sz w:val="18"/>
          <w:szCs w:val="18"/>
          <w:lang w:val="sr-Cyrl-CS"/>
        </w:rPr>
        <w:t>,</w:t>
      </w:r>
      <w:r w:rsidRPr="00AC0AD2">
        <w:rPr>
          <w:rFonts w:ascii="Tahoma" w:hAnsi="Tahoma" w:cs="Tahoma"/>
          <w:sz w:val="18"/>
          <w:szCs w:val="18"/>
        </w:rPr>
        <w:t>6</w:t>
      </w:r>
      <w:r w:rsidRPr="00AC0AD2">
        <w:rPr>
          <w:rFonts w:ascii="Tahoma" w:hAnsi="Tahoma" w:cs="Tahoma"/>
          <w:sz w:val="18"/>
          <w:szCs w:val="18"/>
          <w:lang w:val="sr-Cyrl-CS"/>
        </w:rPr>
        <w:t>% више у односу на 20</w:t>
      </w:r>
      <w:r w:rsidRPr="00AC0AD2">
        <w:rPr>
          <w:rFonts w:ascii="Tahoma" w:hAnsi="Tahoma" w:cs="Tahoma"/>
          <w:sz w:val="18"/>
          <w:szCs w:val="18"/>
        </w:rPr>
        <w:t>10</w:t>
      </w:r>
      <w:r w:rsidRPr="00AC0AD2">
        <w:rPr>
          <w:rFonts w:ascii="Tahoma" w:hAnsi="Tahoma" w:cs="Tahoma"/>
          <w:sz w:val="18"/>
          <w:szCs w:val="18"/>
          <w:lang w:val="sr-Cyrl-CS"/>
        </w:rPr>
        <w:t>. годину. Увоз је, у 201</w:t>
      </w:r>
      <w:r w:rsidRPr="00AC0AD2">
        <w:rPr>
          <w:rFonts w:ascii="Tahoma" w:hAnsi="Tahoma" w:cs="Tahoma"/>
          <w:sz w:val="18"/>
          <w:szCs w:val="18"/>
        </w:rPr>
        <w:t>1</w:t>
      </w:r>
      <w:r w:rsidRPr="00AC0AD2">
        <w:rPr>
          <w:rFonts w:ascii="Tahoma" w:hAnsi="Tahoma" w:cs="Tahoma"/>
          <w:sz w:val="18"/>
          <w:szCs w:val="18"/>
          <w:lang w:val="sr-Cyrl-CS"/>
        </w:rPr>
        <w:t>. години износио 4 милијарде 5</w:t>
      </w:r>
      <w:r w:rsidRPr="00AC0AD2">
        <w:rPr>
          <w:rFonts w:ascii="Tahoma" w:hAnsi="Tahoma" w:cs="Tahoma"/>
          <w:sz w:val="18"/>
          <w:szCs w:val="18"/>
        </w:rPr>
        <w:t>78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милиона КМ, што је за 1</w:t>
      </w:r>
      <w:r w:rsidRPr="00AC0AD2">
        <w:rPr>
          <w:rFonts w:ascii="Tahoma" w:hAnsi="Tahoma" w:cs="Tahoma"/>
          <w:sz w:val="18"/>
          <w:szCs w:val="18"/>
        </w:rPr>
        <w:t>2</w:t>
      </w:r>
      <w:r w:rsidRPr="00AC0AD2">
        <w:rPr>
          <w:rFonts w:ascii="Tahoma" w:hAnsi="Tahoma" w:cs="Tahoma"/>
          <w:sz w:val="18"/>
          <w:szCs w:val="18"/>
          <w:lang w:val="sr-Cyrl-CS"/>
        </w:rPr>
        <w:t>,</w:t>
      </w:r>
      <w:r w:rsidRPr="00AC0AD2">
        <w:rPr>
          <w:rFonts w:ascii="Tahoma" w:hAnsi="Tahoma" w:cs="Tahoma"/>
          <w:sz w:val="18"/>
          <w:szCs w:val="18"/>
        </w:rPr>
        <w:t>9</w:t>
      </w:r>
      <w:r w:rsidRPr="00AC0AD2">
        <w:rPr>
          <w:rFonts w:ascii="Tahoma" w:hAnsi="Tahoma" w:cs="Tahoma"/>
          <w:sz w:val="18"/>
          <w:szCs w:val="18"/>
          <w:lang w:val="sr-Cyrl-CS"/>
        </w:rPr>
        <w:t>% више у односу на 20</w:t>
      </w:r>
      <w:r w:rsidRPr="00AC0AD2">
        <w:rPr>
          <w:rFonts w:ascii="Tahoma" w:hAnsi="Tahoma" w:cs="Tahoma"/>
          <w:sz w:val="18"/>
          <w:szCs w:val="18"/>
        </w:rPr>
        <w:t>10</w:t>
      </w:r>
      <w:r w:rsidRPr="00AC0AD2">
        <w:rPr>
          <w:rFonts w:ascii="Tahoma" w:hAnsi="Tahoma" w:cs="Tahoma"/>
          <w:sz w:val="18"/>
          <w:szCs w:val="18"/>
          <w:lang w:val="sr-Cyrl-CS"/>
        </w:rPr>
        <w:t>. годину.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03889" w:rsidRPr="00AC0AD2" w:rsidRDefault="00A03889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AC0AD2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AC0AD2">
        <w:rPr>
          <w:rFonts w:ascii="Tahoma" w:hAnsi="Tahoma" w:cs="Tahoma"/>
          <w:szCs w:val="18"/>
        </w:rPr>
        <w:t>e</w:t>
      </w:r>
      <w:r w:rsidRPr="00AC0AD2">
        <w:rPr>
          <w:rFonts w:ascii="Tahoma" w:hAnsi="Tahoma" w:cs="Tahoma"/>
          <w:szCs w:val="18"/>
          <w:lang w:val="ru-RU"/>
        </w:rPr>
        <w:t xml:space="preserve"> Српск</w:t>
      </w:r>
      <w:r w:rsidRPr="00AC0AD2">
        <w:rPr>
          <w:rFonts w:ascii="Tahoma" w:hAnsi="Tahoma" w:cs="Tahoma"/>
          <w:szCs w:val="18"/>
        </w:rPr>
        <w:t>e</w:t>
      </w:r>
      <w:r w:rsidRPr="00AC0AD2">
        <w:rPr>
          <w:rFonts w:ascii="Tahoma" w:hAnsi="Tahoma" w:cs="Tahoma"/>
          <w:szCs w:val="18"/>
          <w:lang w:val="ru-RU"/>
        </w:rPr>
        <w:t xml:space="preserve"> са иностранством, у </w:t>
      </w:r>
      <w:r w:rsidRPr="00AC0AD2">
        <w:rPr>
          <w:rFonts w:ascii="Tahoma" w:hAnsi="Tahoma" w:cs="Tahoma"/>
          <w:szCs w:val="18"/>
          <w:lang w:val="sr-Cyrl-CS"/>
        </w:rPr>
        <w:t>201</w:t>
      </w:r>
      <w:r w:rsidRPr="00AC0AD2">
        <w:rPr>
          <w:rFonts w:ascii="Tahoma" w:hAnsi="Tahoma" w:cs="Tahoma"/>
          <w:szCs w:val="18"/>
        </w:rPr>
        <w:t>1</w:t>
      </w:r>
      <w:r w:rsidRPr="00AC0AD2">
        <w:rPr>
          <w:rFonts w:ascii="Tahoma" w:hAnsi="Tahoma" w:cs="Tahoma"/>
          <w:szCs w:val="18"/>
          <w:lang w:val="sr-Cyrl-CS"/>
        </w:rPr>
        <w:t>. години највише се извозило у Србију и то у вриједности од 4</w:t>
      </w:r>
      <w:r w:rsidRPr="00AC0AD2">
        <w:rPr>
          <w:rFonts w:ascii="Tahoma" w:hAnsi="Tahoma" w:cs="Tahoma"/>
          <w:szCs w:val="18"/>
        </w:rPr>
        <w:t>78</w:t>
      </w:r>
      <w:r w:rsidRPr="00AC0AD2">
        <w:rPr>
          <w:rFonts w:ascii="Tahoma" w:hAnsi="Tahoma" w:cs="Tahoma"/>
          <w:szCs w:val="18"/>
          <w:lang w:val="sr-Cyrl-CS"/>
        </w:rPr>
        <w:t xml:space="preserve"> милиона КМ, односно 1</w:t>
      </w:r>
      <w:r w:rsidRPr="00AC0AD2">
        <w:rPr>
          <w:rFonts w:ascii="Tahoma" w:hAnsi="Tahoma" w:cs="Tahoma"/>
          <w:szCs w:val="18"/>
        </w:rPr>
        <w:t>8</w:t>
      </w:r>
      <w:r w:rsidRPr="00AC0AD2">
        <w:rPr>
          <w:rFonts w:ascii="Tahoma" w:hAnsi="Tahoma" w:cs="Tahoma"/>
          <w:szCs w:val="18"/>
          <w:lang w:val="sr-Cyrl-CS"/>
        </w:rPr>
        <w:t>,6%</w:t>
      </w:r>
      <w:r w:rsidRPr="00AC0AD2">
        <w:rPr>
          <w:rFonts w:ascii="Tahoma" w:hAnsi="Tahoma" w:cs="Tahoma"/>
          <w:szCs w:val="18"/>
          <w:lang w:val="ru-RU"/>
        </w:rPr>
        <w:t xml:space="preserve">, </w:t>
      </w:r>
      <w:r w:rsidRPr="00AC0AD2">
        <w:rPr>
          <w:rFonts w:ascii="Tahoma" w:hAnsi="Tahoma" w:cs="Tahoma"/>
          <w:szCs w:val="18"/>
          <w:lang w:val="sr-Cyrl-CS"/>
        </w:rPr>
        <w:t>те у Италију, у вриједности од 3</w:t>
      </w:r>
      <w:r w:rsidRPr="00AC0AD2">
        <w:rPr>
          <w:rFonts w:ascii="Tahoma" w:hAnsi="Tahoma" w:cs="Tahoma"/>
          <w:szCs w:val="18"/>
        </w:rPr>
        <w:t>73</w:t>
      </w:r>
      <w:r w:rsidRPr="00AC0AD2">
        <w:rPr>
          <w:rFonts w:ascii="Tahoma" w:hAnsi="Tahoma" w:cs="Tahoma"/>
          <w:szCs w:val="18"/>
          <w:lang w:val="sr-Cyrl-CS"/>
        </w:rPr>
        <w:t xml:space="preserve"> милиона КМ, односно 1</w:t>
      </w:r>
      <w:r w:rsidRPr="00AC0AD2">
        <w:rPr>
          <w:rFonts w:ascii="Tahoma" w:hAnsi="Tahoma" w:cs="Tahoma"/>
          <w:szCs w:val="18"/>
        </w:rPr>
        <w:t>4</w:t>
      </w:r>
      <w:r w:rsidRPr="00AC0AD2">
        <w:rPr>
          <w:rFonts w:ascii="Tahoma" w:hAnsi="Tahoma" w:cs="Tahoma"/>
          <w:szCs w:val="18"/>
          <w:lang w:val="sr-Cyrl-CS"/>
        </w:rPr>
        <w:t>,6% од укупног оствареног извоза.</w:t>
      </w:r>
    </w:p>
    <w:p w:rsidR="00A03889" w:rsidRPr="00AC0AD2" w:rsidRDefault="00A03889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У 201</w:t>
      </w:r>
      <w:r w:rsidRPr="00AC0AD2">
        <w:rPr>
          <w:rFonts w:ascii="Tahoma" w:hAnsi="Tahoma" w:cs="Tahoma"/>
          <w:sz w:val="18"/>
          <w:szCs w:val="18"/>
        </w:rPr>
        <w:t>1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. години </w:t>
      </w:r>
      <w:r w:rsidRPr="00AC0AD2">
        <w:rPr>
          <w:rFonts w:ascii="Tahoma" w:hAnsi="Tahoma" w:cs="Tahoma"/>
          <w:sz w:val="18"/>
          <w:szCs w:val="18"/>
          <w:lang w:val="sr-Cyrl-BA"/>
        </w:rPr>
        <w:t>н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ајвише се увозило из Русије и то у вриједности од </w:t>
      </w:r>
      <w:r w:rsidRPr="00AC0AD2">
        <w:rPr>
          <w:rFonts w:ascii="Tahoma" w:hAnsi="Tahoma" w:cs="Tahoma"/>
          <w:sz w:val="18"/>
          <w:szCs w:val="18"/>
          <w:lang w:val="sr-Cyrl-BA"/>
        </w:rPr>
        <w:t>милијарду и</w:t>
      </w:r>
      <w:r w:rsidRPr="00AC0AD2">
        <w:rPr>
          <w:rFonts w:ascii="Tahoma" w:hAnsi="Tahoma" w:cs="Tahoma"/>
          <w:sz w:val="18"/>
          <w:szCs w:val="18"/>
        </w:rPr>
        <w:t xml:space="preserve"> 309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милиона КМ, односно 28,6% и из Србије, у вриједности од 823 милиона КМ, односно 18,0% од укупно оствареног увоза.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bCs/>
          <w:sz w:val="18"/>
          <w:szCs w:val="18"/>
          <w:lang w:val="sr-Cyrl-CS"/>
        </w:rPr>
        <w:t>У 2011.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години, највише се извозила </w:t>
      </w:r>
      <w:r w:rsidRPr="00AC0AD2">
        <w:rPr>
          <w:rFonts w:ascii="Tahoma" w:hAnsi="Tahoma" w:cs="Tahoma"/>
          <w:sz w:val="18"/>
          <w:szCs w:val="18"/>
          <w:lang w:val="ru-RU"/>
        </w:rPr>
        <w:t>нафтна уља и уља добивена од битуменозних минерала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AC0AD2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AC0AD2">
        <w:rPr>
          <w:rFonts w:ascii="Tahoma" w:hAnsi="Tahoma" w:cs="Tahoma"/>
          <w:sz w:val="18"/>
          <w:szCs w:val="18"/>
          <w:lang w:val="sr-Cyrl-CS"/>
        </w:rPr>
        <w:t>)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377 милиона КМ, што износи 14,7% од укупног извоза, док највеће учешће у увозу остварује </w:t>
      </w:r>
      <w:r w:rsidRPr="00AC0AD2">
        <w:rPr>
          <w:rFonts w:ascii="Tahoma" w:hAnsi="Tahoma" w:cs="Tahoma"/>
          <w:sz w:val="18"/>
          <w:szCs w:val="18"/>
          <w:lang w:val="sr-Cyrl-BA"/>
        </w:rPr>
        <w:t>н</w:t>
      </w:r>
      <w:r w:rsidRPr="00AC0AD2">
        <w:rPr>
          <w:rFonts w:ascii="Tahoma" w:hAnsi="Tahoma" w:cs="Tahoma"/>
          <w:sz w:val="18"/>
          <w:szCs w:val="18"/>
          <w:lang w:val="ru-RU"/>
        </w:rPr>
        <w:t>афт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AC0AD2">
        <w:rPr>
          <w:rFonts w:ascii="Tahoma" w:hAnsi="Tahoma" w:cs="Tahoma"/>
          <w:sz w:val="18"/>
          <w:szCs w:val="18"/>
          <w:lang w:val="ru-RU"/>
        </w:rPr>
        <w:t>уља добивена од битуменозних минерала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AC0AD2">
        <w:rPr>
          <w:rFonts w:ascii="Tahoma" w:hAnsi="Tahoma" w:cs="Tahoma"/>
          <w:sz w:val="18"/>
          <w:szCs w:val="18"/>
          <w:lang w:val="ru-RU"/>
        </w:rPr>
        <w:t>сиров</w:t>
      </w:r>
      <w:r w:rsidRPr="00AC0AD2">
        <w:rPr>
          <w:rFonts w:ascii="Tahoma" w:hAnsi="Tahoma" w:cs="Tahoma"/>
          <w:sz w:val="18"/>
          <w:szCs w:val="18"/>
          <w:lang w:val="sr-Cyrl-BA"/>
        </w:rPr>
        <w:t>а), са укупном вриједношћу од милијарду и 287 милиона КМ, што износи 28,1% од укупног увоза.</w:t>
      </w:r>
    </w:p>
    <w:p w:rsidR="00A03889" w:rsidRPr="00AC0AD2" w:rsidRDefault="00A03889" w:rsidP="00A03889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CF3C50" w:rsidRPr="00AC0AD2" w:rsidRDefault="00CF3C50" w:rsidP="00A03889">
      <w:pPr>
        <w:rPr>
          <w:rFonts w:ascii="Tahoma" w:hAnsi="Tahoma" w:cs="Tahoma"/>
          <w:b/>
          <w:sz w:val="28"/>
          <w:szCs w:val="28"/>
          <w:lang w:val="bs-Cyrl-BA"/>
        </w:rPr>
      </w:pPr>
      <w:r w:rsidRPr="00AC0AD2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AC0AD2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AC0AD2">
        <w:rPr>
          <w:rFonts w:ascii="Tahoma" w:hAnsi="Tahoma" w:cs="Tahoma"/>
          <w:b/>
          <w:sz w:val="28"/>
          <w:szCs w:val="28"/>
        </w:rPr>
        <w:t>I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–</w:t>
      </w:r>
      <w:r w:rsidRPr="00AC0AD2">
        <w:rPr>
          <w:rFonts w:ascii="Tahoma" w:hAnsi="Tahoma" w:cs="Tahoma"/>
          <w:b/>
          <w:sz w:val="28"/>
          <w:szCs w:val="28"/>
        </w:rPr>
        <w:t>VII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201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.</w:t>
      </w:r>
      <w:r w:rsidRPr="00AC0AD2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AC0AD2">
        <w:rPr>
          <w:rFonts w:ascii="Tahoma" w:hAnsi="Tahoma" w:cs="Tahoma"/>
          <w:b/>
          <w:sz w:val="28"/>
          <w:szCs w:val="28"/>
          <w:lang w:val="hr-HR"/>
        </w:rPr>
        <w:t>54</w:t>
      </w:r>
      <w:r w:rsidRPr="00AC0AD2">
        <w:rPr>
          <w:rFonts w:ascii="Tahoma" w:hAnsi="Tahoma" w:cs="Tahoma"/>
          <w:b/>
          <w:sz w:val="28"/>
          <w:szCs w:val="28"/>
          <w:lang w:val="ru-RU"/>
        </w:rPr>
        <w:t>,</w:t>
      </w:r>
      <w:r w:rsidRPr="00AC0AD2">
        <w:rPr>
          <w:rFonts w:ascii="Tahoma" w:hAnsi="Tahoma" w:cs="Tahoma"/>
          <w:b/>
          <w:sz w:val="28"/>
          <w:szCs w:val="28"/>
        </w:rPr>
        <w:t>4</w:t>
      </w:r>
      <w:r w:rsidRPr="00AC0AD2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AC0AD2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AC0AD2">
        <w:rPr>
          <w:rFonts w:ascii="Tahoma" w:hAnsi="Tahoma" w:cs="Tahoma"/>
          <w:sz w:val="24"/>
          <w:szCs w:val="24"/>
          <w:lang w:val="hr-HR"/>
        </w:rPr>
        <w:t>(I-VII 2012/I-VII 2011</w:t>
      </w:r>
      <w:r w:rsidRPr="00AC0AD2">
        <w:rPr>
          <w:rFonts w:ascii="Tahoma" w:hAnsi="Tahoma" w:cs="Tahoma"/>
          <w:sz w:val="24"/>
          <w:szCs w:val="24"/>
          <w:lang w:val="sr-Cyrl-CS"/>
        </w:rPr>
        <w:t>.</w:t>
      </w:r>
      <w:r w:rsidRPr="00AC0AD2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AC0AD2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AC0AD2">
        <w:rPr>
          <w:rFonts w:ascii="Tahoma" w:hAnsi="Tahoma" w:cs="Tahoma"/>
          <w:sz w:val="24"/>
          <w:szCs w:val="24"/>
        </w:rPr>
        <w:t>3</w:t>
      </w:r>
      <w:r w:rsidRPr="00AC0AD2">
        <w:rPr>
          <w:rFonts w:ascii="Tahoma" w:hAnsi="Tahoma" w:cs="Tahoma"/>
          <w:sz w:val="24"/>
          <w:szCs w:val="24"/>
          <w:lang w:val="ru-RU"/>
        </w:rPr>
        <w:t>,</w:t>
      </w:r>
      <w:r w:rsidRPr="00AC0AD2">
        <w:rPr>
          <w:rFonts w:ascii="Tahoma" w:hAnsi="Tahoma" w:cs="Tahoma"/>
          <w:sz w:val="24"/>
          <w:szCs w:val="24"/>
        </w:rPr>
        <w:t>1</w:t>
      </w:r>
      <w:r w:rsidRPr="00AC0AD2">
        <w:rPr>
          <w:rFonts w:ascii="Tahoma" w:hAnsi="Tahoma" w:cs="Tahoma"/>
          <w:sz w:val="24"/>
          <w:szCs w:val="24"/>
          <w:lang w:val="ru-RU"/>
        </w:rPr>
        <w:t>%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У мјесецу јулу 2012. године, остварен је извоз у вриједности 219 милиона КМ и увоз у вриједности од 428 милион КМ.</w:t>
      </w: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AC0AD2">
        <w:rPr>
          <w:rFonts w:ascii="Tahoma" w:hAnsi="Tahoma" w:cs="Tahoma"/>
          <w:sz w:val="18"/>
          <w:szCs w:val="18"/>
          <w:lang w:val="bs-Cyrl-BA"/>
        </w:rPr>
        <w:t>е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AC0AD2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AC0AD2">
        <w:rPr>
          <w:rFonts w:ascii="Tahoma" w:hAnsi="Tahoma" w:cs="Tahoma"/>
          <w:sz w:val="18"/>
          <w:szCs w:val="18"/>
          <w:lang w:val="sr-Cyrl-BA"/>
        </w:rPr>
        <w:t>Српске са иностранством у јулу ове године, проценат покривености увоза извозом износио је 51,1%.</w:t>
      </w: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CF3C50" w:rsidRPr="00AC0AD2" w:rsidRDefault="00CF3C50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ru-RU"/>
        </w:rPr>
        <w:t>У периоду јануар - јул 2012. године остварен је извоз у вриједности од милијарду и 399 милиона КМ, што је за 3,1% мање у односу на исти период претходне године. Увоз је, у истом периоду, износио 2 милијарде 572 милиона КМ, што је за 1,5% више у односу на исти период претходне године.</w:t>
      </w:r>
    </w:p>
    <w:p w:rsidR="00CF3C50" w:rsidRPr="00AC0AD2" w:rsidRDefault="00CF3C50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F3C50" w:rsidRPr="00AC0AD2" w:rsidRDefault="00CF3C50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AC0AD2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првих седам мјесеци текуће године износио је 54,4%, док је спољнотрговински робни дефицит износио милијарду и 173 милиона КМ.</w:t>
      </w:r>
    </w:p>
    <w:p w:rsidR="00CF3C50" w:rsidRPr="00AC0AD2" w:rsidRDefault="00CF3C50" w:rsidP="00A03889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CF3C50" w:rsidRPr="00AC0AD2" w:rsidRDefault="00CF3C50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AC0AD2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AC0AD2">
        <w:rPr>
          <w:rFonts w:ascii="Tahoma" w:hAnsi="Tahoma" w:cs="Tahoma"/>
          <w:szCs w:val="18"/>
        </w:rPr>
        <w:t>e</w:t>
      </w:r>
      <w:r w:rsidRPr="00AC0AD2">
        <w:rPr>
          <w:rFonts w:ascii="Tahoma" w:hAnsi="Tahoma" w:cs="Tahoma"/>
          <w:szCs w:val="18"/>
          <w:lang w:val="ru-RU"/>
        </w:rPr>
        <w:t xml:space="preserve"> Српск</w:t>
      </w:r>
      <w:r w:rsidRPr="00AC0AD2">
        <w:rPr>
          <w:rFonts w:ascii="Tahoma" w:hAnsi="Tahoma" w:cs="Tahoma"/>
          <w:szCs w:val="18"/>
        </w:rPr>
        <w:t>e</w:t>
      </w:r>
      <w:r w:rsidRPr="00AC0AD2">
        <w:rPr>
          <w:rFonts w:ascii="Tahoma" w:hAnsi="Tahoma" w:cs="Tahoma"/>
          <w:szCs w:val="18"/>
          <w:lang w:val="ru-RU"/>
        </w:rPr>
        <w:t xml:space="preserve"> са иностранством, у периоду јануар - јул </w:t>
      </w:r>
      <w:r w:rsidRPr="00AC0AD2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222 милиона КМ, односно 15,9%</w:t>
      </w:r>
      <w:r w:rsidRPr="00AC0AD2">
        <w:rPr>
          <w:rFonts w:ascii="Tahoma" w:hAnsi="Tahoma" w:cs="Tahoma"/>
          <w:szCs w:val="18"/>
          <w:lang w:val="ru-RU"/>
        </w:rPr>
        <w:t xml:space="preserve">, </w:t>
      </w:r>
      <w:r w:rsidRPr="00AC0AD2">
        <w:rPr>
          <w:rFonts w:ascii="Tahoma" w:hAnsi="Tahoma" w:cs="Tahoma"/>
          <w:szCs w:val="18"/>
          <w:lang w:val="sr-Cyrl-CS"/>
        </w:rPr>
        <w:t>те у Србију, у вриједности од 219 милиона КМ, односно 15,6% од укупног оствареног извоза.</w:t>
      </w:r>
    </w:p>
    <w:p w:rsidR="00CF3C50" w:rsidRPr="00AC0AD2" w:rsidRDefault="00CF3C50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AC0AD2">
        <w:rPr>
          <w:rFonts w:ascii="Tahoma" w:hAnsi="Tahoma" w:cs="Tahoma"/>
          <w:sz w:val="18"/>
          <w:szCs w:val="18"/>
          <w:lang w:val="sr-Cyrl-BA"/>
        </w:rPr>
        <w:t>н</w:t>
      </w:r>
      <w:r w:rsidRPr="00AC0AD2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675 милиона КМ, односно 26,2% и из Србије, у вриједности од 429 милиона КМ, односно 16,7% од укупно оствареног увоза.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јануар  - јул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AC0AD2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AC0AD2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AC0AD2">
        <w:rPr>
          <w:rFonts w:ascii="Tahoma" w:hAnsi="Tahoma" w:cs="Tahoma"/>
          <w:sz w:val="18"/>
          <w:szCs w:val="18"/>
          <w:lang w:val="sr-Cyrl-CS"/>
        </w:rPr>
        <w:t>)</w:t>
      </w:r>
      <w:r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C0AD2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200 милиона КМ, што износи 14,3% од укупног извоза, док највеће учешће у увозу остварује </w:t>
      </w:r>
      <w:r w:rsidRPr="00AC0AD2">
        <w:rPr>
          <w:rFonts w:ascii="Tahoma" w:hAnsi="Tahoma" w:cs="Tahoma"/>
          <w:sz w:val="18"/>
          <w:szCs w:val="18"/>
          <w:lang w:val="sr-Cyrl-BA"/>
        </w:rPr>
        <w:t>н</w:t>
      </w:r>
      <w:r w:rsidRPr="00AC0AD2">
        <w:rPr>
          <w:rFonts w:ascii="Tahoma" w:hAnsi="Tahoma" w:cs="Tahoma"/>
          <w:sz w:val="18"/>
          <w:szCs w:val="18"/>
          <w:lang w:val="ru-RU"/>
        </w:rPr>
        <w:t>афт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AC0AD2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AC0AD2">
        <w:rPr>
          <w:rFonts w:ascii="Tahoma" w:hAnsi="Tahoma" w:cs="Tahoma"/>
          <w:sz w:val="18"/>
          <w:szCs w:val="18"/>
          <w:lang w:val="ru-RU"/>
        </w:rPr>
        <w:t>сиров</w:t>
      </w:r>
      <w:r w:rsidRPr="00AC0AD2">
        <w:rPr>
          <w:rFonts w:ascii="Tahoma" w:hAnsi="Tahoma" w:cs="Tahoma"/>
          <w:sz w:val="18"/>
          <w:szCs w:val="18"/>
          <w:lang w:val="sr-Cyrl-BA"/>
        </w:rPr>
        <w:t>а), са укупном вриједношћу од 712 милиона КМ, што износи 27,7% од укупног увоза.</w:t>
      </w:r>
    </w:p>
    <w:p w:rsidR="00F04921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Pr="00B63019" w:rsidRDefault="009617F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9617F0">
        <w:rPr>
          <w:rFonts w:ascii="Tahoma" w:hAnsi="Tahoma" w:cs="Tahoma"/>
          <w:b/>
          <w:noProof/>
          <w:sz w:val="16"/>
          <w:szCs w:val="16"/>
        </w:rPr>
        <w:pict>
          <v:shape id="_x0000_s1077" type="#_x0000_t202" style="position:absolute;left:0;text-align:left;margin-left:345.55pt;margin-top:2.25pt;width:61.35pt;height:16.05pt;z-index:251670528" stroked="f">
            <v:textbox>
              <w:txbxContent>
                <w:p w:rsidR="00FD35C0" w:rsidRPr="00B63019" w:rsidRDefault="00FD35C0">
                  <w:pP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хиљ. КМ</w:t>
                  </w:r>
                </w:p>
              </w:txbxContent>
            </v:textbox>
          </v:shape>
        </w:pict>
      </w:r>
    </w:p>
    <w:p w:rsidR="00DB6D76" w:rsidRPr="00AC0AD2" w:rsidRDefault="009617F0" w:rsidP="00B97590">
      <w:pPr>
        <w:jc w:val="center"/>
        <w:rPr>
          <w:rFonts w:ascii="Tahoma" w:hAnsi="Tahoma" w:cs="Tahoma"/>
          <w:sz w:val="18"/>
          <w:szCs w:val="18"/>
        </w:rPr>
      </w:pPr>
      <w:r w:rsidRPr="009617F0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57.2pt;margin-top:187.5pt;width:188.35pt;height:22.2pt;z-index:251657216;mso-width-relative:margin;mso-height-relative:margin" stroked="f">
            <v:textbox style="mso-next-textbox:#_x0000_s1061">
              <w:txbxContent>
                <w:p w:rsidR="00FD35C0" w:rsidRPr="0095396E" w:rsidRDefault="00FD35C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CF3C50"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600575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7590" w:rsidRPr="00AC0AD2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AC0AD2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AC0AD2" w:rsidRDefault="00DB54DA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AC0AD2">
        <w:rPr>
          <w:rFonts w:ascii="Tahoma" w:hAnsi="Tahoma" w:cs="Tahoma"/>
          <w:sz w:val="18"/>
          <w:szCs w:val="18"/>
          <w:lang w:val="ru-RU"/>
        </w:rPr>
        <w:t>Гр</w:t>
      </w:r>
      <w:r w:rsidR="00445E3A" w:rsidRPr="00AC0AD2">
        <w:rPr>
          <w:rFonts w:ascii="Tahoma" w:hAnsi="Tahoma" w:cs="Tahoma"/>
          <w:sz w:val="18"/>
          <w:szCs w:val="18"/>
        </w:rPr>
        <w:t>a</w:t>
      </w:r>
      <w:r w:rsidR="00962251" w:rsidRPr="00AC0AD2">
        <w:rPr>
          <w:rFonts w:ascii="Tahoma" w:hAnsi="Tahoma" w:cs="Tahoma"/>
          <w:sz w:val="18"/>
          <w:szCs w:val="18"/>
          <w:lang w:val="ru-RU"/>
        </w:rPr>
        <w:t>фикон 3</w:t>
      </w:r>
      <w:r w:rsidR="00B97590" w:rsidRPr="00AC0AD2">
        <w:rPr>
          <w:rFonts w:ascii="Tahoma" w:hAnsi="Tahoma" w:cs="Tahoma"/>
          <w:sz w:val="18"/>
          <w:szCs w:val="18"/>
          <w:lang w:val="ru-RU"/>
        </w:rPr>
        <w:t xml:space="preserve">. </w:t>
      </w:r>
      <w:r w:rsidR="00B97590" w:rsidRPr="00AC0AD2">
        <w:rPr>
          <w:rFonts w:ascii="Tahoma" w:hAnsi="Tahoma" w:cs="Tahoma"/>
          <w:iCs/>
          <w:sz w:val="18"/>
          <w:szCs w:val="18"/>
          <w:lang w:val="sr-Cyrl-CS"/>
        </w:rPr>
        <w:t>Из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="00B97590" w:rsidRPr="00AC0AD2">
        <w:rPr>
          <w:rFonts w:ascii="Tahoma" w:hAnsi="Tahoma" w:cs="Tahoma"/>
          <w:iCs/>
          <w:sz w:val="18"/>
          <w:szCs w:val="18"/>
          <w:lang w:val="sr-Cyrl-CS"/>
        </w:rPr>
        <w:t>у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="00B97590" w:rsidRPr="00AC0AD2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="00B97590" w:rsidRPr="00AC0AD2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AC0AD2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AC0AD2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D2BD3" w:rsidRPr="00B63019" w:rsidRDefault="00DD2BD3" w:rsidP="00DD2BD3">
      <w:pPr>
        <w:rPr>
          <w:rFonts w:ascii="Tahoma" w:hAnsi="Tahoma" w:cs="Tahoma"/>
          <w:b/>
          <w:sz w:val="28"/>
          <w:szCs w:val="28"/>
          <w:lang w:val="sr-Cyrl-CS"/>
        </w:rPr>
      </w:pPr>
      <w:r w:rsidRPr="00B63019">
        <w:rPr>
          <w:rFonts w:ascii="Tahoma" w:hAnsi="Tahoma" w:cs="Tahoma"/>
          <w:b/>
          <w:sz w:val="28"/>
          <w:szCs w:val="28"/>
          <w:lang w:val="sr-Cyrl-CS"/>
        </w:rPr>
        <w:t>Кривична дјела против имовине најбројнија у 2011. години</w:t>
      </w:r>
    </w:p>
    <w:p w:rsidR="00DD2BD3" w:rsidRPr="00AC0AD2" w:rsidRDefault="00DD2BD3" w:rsidP="00DD2BD3">
      <w:pPr>
        <w:rPr>
          <w:rFonts w:ascii="Tahoma" w:hAnsi="Tahoma" w:cs="Tahoma"/>
          <w:b/>
          <w:sz w:val="18"/>
          <w:szCs w:val="18"/>
        </w:rPr>
      </w:pP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Републички завод за статистику Републике Српске, по први пут, објављује податке о пријављеним, оптуженим и осуђеним малољетним и пунољетним лицима у Републици Срспкој. Подаци се односе на 2011. годину, а обухватају сва лица према којима су завршени кривични поступци у тужилаштвима и донесене првостепене правоснажне одлуке од стране судова.</w:t>
      </w: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На основу анализа, дошло се до закључка, да су и код малољетних и код пунољетних лица, имовинска кривична дјела била најбројнија. Од укупно 216 ријешених кривичних пријава против малољетних лица 73,6 одсто односило се на имовинска кривична дјела, а код пунољетних лица од укупно 13 169 рјешених кривичних пријава, 49,1 одсто односило се на имовину.</w:t>
      </w: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>У истом периоду, за малољетна лица донесене су 102 одлуке (оптужбе) од чега је половини оптужених малољетника изречена кривична санкција. Најзаступљенија кривична санкција била је васпитна мјера, а изречена је у 98,0 одсто случајева у односу на укупан број, док је у преосталих 2,0 одсто случајева изречена казна малољетничког затвора.</w:t>
      </w: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AC0AD2">
        <w:rPr>
          <w:rFonts w:ascii="Tahoma" w:hAnsi="Tahoma" w:cs="Tahoma"/>
          <w:sz w:val="18"/>
          <w:szCs w:val="18"/>
          <w:lang w:val="sr-Cyrl-CS"/>
        </w:rPr>
        <w:t xml:space="preserve">У протеклој години, оптужено је 4 426, а осуђена 4 072 пунољетна лица, од чега 92,7 одсто мушког пола. Најчешће изрицане кривичне санкције у односу на укупан број осуђених биле су условна затворска казна у 59,2 одсто случајева и новчана казна у 20,6 одсто. </w:t>
      </w:r>
    </w:p>
    <w:p w:rsidR="00DB6D76" w:rsidRPr="00AC0AD2" w:rsidRDefault="00372FAD" w:rsidP="00E011F4">
      <w:pPr>
        <w:rPr>
          <w:rFonts w:ascii="Tahoma" w:hAnsi="Tahoma" w:cs="Tahoma"/>
          <w:b/>
          <w:sz w:val="28"/>
          <w:szCs w:val="28"/>
        </w:rPr>
      </w:pPr>
      <w:r w:rsidRPr="00AC0AD2">
        <w:rPr>
          <w:rFonts w:ascii="Tahoma" w:hAnsi="Tahoma" w:cs="Tahoma"/>
          <w:b/>
          <w:sz w:val="28"/>
          <w:szCs w:val="28"/>
        </w:rPr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AC0AD2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AC0AD2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AC0AD2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AC0AD2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Pr="00AC0AD2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AC0AD2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E011F4" w:rsidRPr="00AC0AD2" w:rsidRDefault="009617F0" w:rsidP="00542A21">
            <w:hyperlink r:id="rId12" w:history="1">
              <w:r w:rsidR="00205D07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</w:p>
          <w:p w:rsidR="008C3261" w:rsidRPr="00AC0AD2" w:rsidRDefault="00E011F4" w:rsidP="00542A2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E011F4" w:rsidRPr="00AC0AD2" w:rsidRDefault="009617F0" w:rsidP="00542A21">
            <w:pPr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="00E011F4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vladimir.koprivica@rzs.rs.ba</w:t>
              </w:r>
            </w:hyperlink>
          </w:p>
        </w:tc>
      </w:tr>
      <w:tr w:rsidR="008C3261" w:rsidRPr="00AC0AD2" w:rsidTr="004F3522">
        <w:trPr>
          <w:trHeight w:hRule="exact" w:val="96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AC0AD2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AC0AD2" w:rsidRDefault="009617F0" w:rsidP="00542A21">
            <w:pPr>
              <w:rPr>
                <w:rFonts w:ascii="Tahoma" w:hAnsi="Tahoma" w:cs="Tahoma"/>
                <w:sz w:val="16"/>
              </w:rPr>
            </w:pPr>
            <w:hyperlink r:id="rId14" w:history="1">
              <w:r w:rsidR="00205D07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AC0AD2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AC0AD2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AC0AD2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4F3522" w:rsidRDefault="009617F0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4F3522" w:rsidP="004F352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BA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4F3522" w:rsidRPr="00AC0AD2" w:rsidRDefault="009617F0" w:rsidP="004F3522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proofErr w:type="spellStart"/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  <w:r w:rsidR="004F3522" w:rsidRPr="00AC0AD2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4F3522" w:rsidP="004F3522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4F3522" w:rsidRPr="00AC0AD2" w:rsidRDefault="009617F0" w:rsidP="004F3522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F3522" w:rsidRPr="00AC0AD2" w:rsidTr="00A03889">
        <w:trPr>
          <w:trHeight w:hRule="exact" w:val="62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4F3522" w:rsidP="004F352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Анкета о потрошњи домаћинстава 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Сања Панић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Latn-CS"/>
              </w:rPr>
            </w:pPr>
            <w:r w:rsidRPr="00AC0AD2">
              <w:rPr>
                <w:rFonts w:ascii="Tahoma" w:hAnsi="Tahoma" w:cs="Tahoma"/>
                <w:sz w:val="16"/>
                <w:lang w:val="sr-Latn-CS"/>
              </w:rPr>
              <w:t>sanja.panic@rzs.rs.ba</w:t>
            </w:r>
          </w:p>
        </w:tc>
      </w:tr>
      <w:tr w:rsidR="004F3522" w:rsidRPr="00AC0AD2" w:rsidTr="00126DC0">
        <w:trPr>
          <w:trHeight w:val="62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4F3522" w:rsidP="00A03889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структурних пословних статистика 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Слађана Никић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sladjana.sebez@rzs.rs.ba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Даница Бабић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danica.babic@rzs.rs.ba</w:t>
            </w:r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4F3522" w:rsidP="00A03889">
            <w:pPr>
              <w:rPr>
                <w:rFonts w:ascii="Tahoma" w:hAnsi="Tahoma" w:cs="Tahoma"/>
                <w:b/>
                <w:sz w:val="16"/>
              </w:rPr>
            </w:pPr>
            <w:r w:rsidRPr="00AC0AD2">
              <w:rPr>
                <w:rFonts w:ascii="Tahoma" w:hAnsi="Tahoma" w:cs="Tahoma"/>
                <w:b/>
                <w:sz w:val="16"/>
                <w:lang w:val="sr-Cyrl-CS"/>
              </w:rPr>
              <w:t>Статистика криминалитета</w:t>
            </w:r>
          </w:p>
          <w:p w:rsidR="004F3522" w:rsidRPr="00AC0AD2" w:rsidRDefault="004F3522" w:rsidP="00A03889">
            <w:pPr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Вања Вилипић</w:t>
            </w:r>
          </w:p>
          <w:p w:rsidR="004F3522" w:rsidRPr="00AC0AD2" w:rsidRDefault="004F3522" w:rsidP="00A03889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vanja.vilipic@rzs.rs.ba</w:t>
            </w:r>
          </w:p>
        </w:tc>
      </w:tr>
    </w:tbl>
    <w:p w:rsidR="00C14E1B" w:rsidRPr="00AC0AD2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C0AD2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AC0AD2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AC0AD2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b/>
                <w:bCs/>
              </w:rPr>
              <w:sym w:font="Symbol" w:char="00C6"/>
            </w:r>
            <w:r w:rsidRPr="00AC0AD2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AC0AD2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AC0AD2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AC0AD2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AC0AD2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AC0AD2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05D07" w:rsidRPr="00AC0AD2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111ED2" w:rsidRPr="00AC0AD2" w:rsidRDefault="00111ED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111ED2" w:rsidRPr="003269FE" w:rsidRDefault="00111ED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8C3261" w:rsidRPr="00AC0AD2" w:rsidRDefault="009617F0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  <w:r w:rsidRPr="009617F0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AC0AD2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AC0AD2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AC0AD2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AC0AD2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AC0AD2">
              <w:rPr>
                <w:rFonts w:ascii="Tahoma" w:hAnsi="Tahoma" w:cs="Tahoma"/>
                <w:sz w:val="16"/>
              </w:rPr>
              <w:t xml:space="preserve">е </w:t>
            </w:r>
            <w:r w:rsidR="00477CB9" w:rsidRPr="00AC0AD2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AC0AD2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AC0AD2">
              <w:rPr>
                <w:rFonts w:ascii="Tahoma" w:hAnsi="Tahoma" w:cs="Tahoma"/>
                <w:sz w:val="16"/>
              </w:rPr>
              <w:t xml:space="preserve"> </w:t>
            </w:r>
            <w:r w:rsidRPr="00AC0AD2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AC0AD2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AC0AD2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AC0AD2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AC0AD2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AC0AD2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AC0AD2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AC0AD2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AC0AD2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AC0AD2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AC0AD2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AC0AD2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AC0AD2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AC0AD2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AC0AD2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AC0AD2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AC0AD2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AC0AD2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AC0AD2" w:rsidRDefault="009617F0" w:rsidP="008C3261">
      <w:pPr>
        <w:rPr>
          <w:lang w:val="sr-Cyrl-BA"/>
        </w:rPr>
      </w:pPr>
      <w:r w:rsidRPr="009617F0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AC0AD2" w:rsidRDefault="00657939" w:rsidP="008C3261">
      <w:pPr>
        <w:rPr>
          <w:lang w:val="sr-Cyrl-BA"/>
        </w:rPr>
      </w:pPr>
    </w:p>
    <w:sectPr w:rsidR="00657939" w:rsidRPr="00AC0AD2" w:rsidSect="00EB450E">
      <w:headerReference w:type="default" r:id="rId19"/>
      <w:head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C0" w:rsidRDefault="00FD35C0">
      <w:r>
        <w:separator/>
      </w:r>
    </w:p>
  </w:endnote>
  <w:endnote w:type="continuationSeparator" w:id="0">
    <w:p w:rsidR="00FD35C0" w:rsidRDefault="00FD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C0" w:rsidRDefault="00FD35C0">
      <w:r>
        <w:separator/>
      </w:r>
    </w:p>
  </w:footnote>
  <w:footnote w:type="continuationSeparator" w:id="0">
    <w:p w:rsidR="00FD35C0" w:rsidRDefault="00FD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D35C0" w:rsidTr="00111ED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D35C0" w:rsidRDefault="00FD35C0" w:rsidP="00111ED2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FD35C0" w:rsidRPr="00460A5B" w:rsidRDefault="00FD35C0" w:rsidP="00111ED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D35C0" w:rsidRPr="005D5311" w:rsidRDefault="00FD35C0" w:rsidP="00111ED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август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</w:t>
          </w:r>
          <w:r w:rsidR="009617F0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9617F0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A31C64">
            <w:rPr>
              <w:rStyle w:val="PageNumber"/>
              <w:rFonts w:ascii="Tahoma" w:hAnsi="Tahoma"/>
              <w:b/>
              <w:noProof/>
              <w:color w:val="0070C0"/>
            </w:rPr>
            <w:t>5</w:t>
          </w:r>
          <w:r w:rsidR="009617F0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FD35C0" w:rsidRDefault="00FD35C0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D35C0" w:rsidRPr="00EB450E" w:rsidRDefault="009617F0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="00FD35C0"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A31C64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FD35C0" w:rsidRDefault="00FD35C0">
    <w:pPr>
      <w:pStyle w:val="Header"/>
    </w:pPr>
  </w:p>
  <w:p w:rsidR="00FD35C0" w:rsidRDefault="00FD35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8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1F1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7E"/>
    <w:rsid w:val="000677B4"/>
    <w:rsid w:val="00070140"/>
    <w:rsid w:val="00070149"/>
    <w:rsid w:val="00070643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1CF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4AD"/>
    <w:rsid w:val="001115AF"/>
    <w:rsid w:val="00111BA9"/>
    <w:rsid w:val="00111ED2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6DC0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0E"/>
    <w:rsid w:val="001342E2"/>
    <w:rsid w:val="001343EF"/>
    <w:rsid w:val="00134484"/>
    <w:rsid w:val="00134E6F"/>
    <w:rsid w:val="001359AE"/>
    <w:rsid w:val="001361D7"/>
    <w:rsid w:val="001364A2"/>
    <w:rsid w:val="001364A4"/>
    <w:rsid w:val="001368CA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57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D40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9D3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09B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00F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3A0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510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235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9FE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C96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A0D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587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56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283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5E3A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674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6AD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044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DEB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522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3EDA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4EC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0C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B4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0F3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3CB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3DF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5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2E2C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D7F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58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84A"/>
    <w:rsid w:val="006E5E5C"/>
    <w:rsid w:val="006E6056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3BB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A6F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24B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4DE1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676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B95"/>
    <w:rsid w:val="008351E6"/>
    <w:rsid w:val="008357BB"/>
    <w:rsid w:val="0083591D"/>
    <w:rsid w:val="00835F0E"/>
    <w:rsid w:val="00836650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16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87DF8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2B0F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049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0F00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436"/>
    <w:rsid w:val="00960D5C"/>
    <w:rsid w:val="009617F0"/>
    <w:rsid w:val="00961A67"/>
    <w:rsid w:val="00961F64"/>
    <w:rsid w:val="0096204E"/>
    <w:rsid w:val="00962251"/>
    <w:rsid w:val="00962A95"/>
    <w:rsid w:val="009631B1"/>
    <w:rsid w:val="00963DD2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6EE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105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5CC"/>
    <w:rsid w:val="009C76C4"/>
    <w:rsid w:val="009C7772"/>
    <w:rsid w:val="009C778C"/>
    <w:rsid w:val="009C7BE3"/>
    <w:rsid w:val="009D0100"/>
    <w:rsid w:val="009D03D9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889"/>
    <w:rsid w:val="00A0393A"/>
    <w:rsid w:val="00A03E6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07DA4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C64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5DA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AD2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3EC9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87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3019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4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466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0F6F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9FD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B6A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5F09"/>
    <w:rsid w:val="00CB64C8"/>
    <w:rsid w:val="00CB70FD"/>
    <w:rsid w:val="00CB71CE"/>
    <w:rsid w:val="00CB75F7"/>
    <w:rsid w:val="00CB76E6"/>
    <w:rsid w:val="00CB7902"/>
    <w:rsid w:val="00CC018B"/>
    <w:rsid w:val="00CC0AAB"/>
    <w:rsid w:val="00CC1A3A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0EA0"/>
    <w:rsid w:val="00CF1D6A"/>
    <w:rsid w:val="00CF2564"/>
    <w:rsid w:val="00CF2851"/>
    <w:rsid w:val="00CF2D6E"/>
    <w:rsid w:val="00CF2EEB"/>
    <w:rsid w:val="00CF3107"/>
    <w:rsid w:val="00CF3676"/>
    <w:rsid w:val="00CF3C50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293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C6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1E57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BD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1F4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3D9"/>
    <w:rsid w:val="00E35B1A"/>
    <w:rsid w:val="00E35DA4"/>
    <w:rsid w:val="00E366FD"/>
    <w:rsid w:val="00E37315"/>
    <w:rsid w:val="00E37827"/>
    <w:rsid w:val="00E379D6"/>
    <w:rsid w:val="00E37D8A"/>
    <w:rsid w:val="00E401CC"/>
    <w:rsid w:val="00E40476"/>
    <w:rsid w:val="00E40E57"/>
    <w:rsid w:val="00E4140F"/>
    <w:rsid w:val="00E41925"/>
    <w:rsid w:val="00E4210D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3C3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94C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2C01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87A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1945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225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0B68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4FD6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A56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5C0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40C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paragraph" w:styleId="NormalWeb">
    <w:name w:val="Normal (Web)"/>
    <w:basedOn w:val="Normal"/>
    <w:uiPriority w:val="99"/>
    <w:unhideWhenUsed/>
    <w:rsid w:val="00B206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jvanve\Desktop\Grafikoni%20za%20skra&#263;eno%20saop&#353;tenj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ul%202012\za%20Graf%20I-V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32083333333333336"/>
          <c:y val="0.11342592592592632"/>
          <c:w val="0.39166666666667588"/>
          <c:h val="0.6527777777777891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175240594925652"/>
                  <c:y val="1.220071449402158E-2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0-19 запослених лица; 29,4%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0462992125984252"/>
                  <c:y val="-8.2786526684164525E-4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20-49 запослених лица; 17,0%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7.729210411198674E-2"/>
                  <c:y val="-9.2249927092447007E-3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50 и више запослених лица; 53,6%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80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Val val="1"/>
            <c:showCatName val="1"/>
            <c:showLeaderLines val="1"/>
          </c:dLbls>
          <c:cat>
            <c:strRef>
              <c:f>Sheet1!$A$14:$A$16</c:f>
              <c:strCache>
                <c:ptCount val="3"/>
                <c:pt idx="0">
                  <c:v>0-19 запослених лица</c:v>
                </c:pt>
                <c:pt idx="1">
                  <c:v>20-49 запослених лица</c:v>
                </c:pt>
                <c:pt idx="2">
                  <c:v>50 и више запослених лица</c:v>
                </c:pt>
              </c:strCache>
            </c:strRef>
          </c:cat>
          <c:val>
            <c:numRef>
              <c:f>Sheet1!$B$14:$B$16</c:f>
              <c:numCache>
                <c:formatCode>0.0</c:formatCode>
                <c:ptCount val="3"/>
                <c:pt idx="0">
                  <c:v>29.4</c:v>
                </c:pt>
                <c:pt idx="1">
                  <c:v>17</c:v>
                </c:pt>
                <c:pt idx="2">
                  <c:v>53.6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403861341992296"/>
          <c:y val="0.15095117177046102"/>
          <c:w val="0.65206660337670563"/>
          <c:h val="0.63953458207909863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lll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811</c:v>
                </c:pt>
                <c:pt idx="1">
                  <c:v>813</c:v>
                </c:pt>
                <c:pt idx="2">
                  <c:v>807</c:v>
                </c:pt>
                <c:pt idx="3">
                  <c:v>802</c:v>
                </c:pt>
                <c:pt idx="4">
                  <c:v>813</c:v>
                </c:pt>
                <c:pt idx="5">
                  <c:v>815</c:v>
                </c:pt>
                <c:pt idx="6">
                  <c:v>819</c:v>
                </c:pt>
                <c:pt idx="7">
                  <c:v>821</c:v>
                </c:pt>
                <c:pt idx="8">
                  <c:v>814</c:v>
                </c:pt>
                <c:pt idx="9">
                  <c:v>817</c:v>
                </c:pt>
                <c:pt idx="10">
                  <c:v>826</c:v>
                </c:pt>
                <c:pt idx="11">
                  <c:v>818</c:v>
                </c:pt>
                <c:pt idx="12">
                  <c:v>823</c:v>
                </c:pt>
              </c:numCache>
            </c:numRef>
          </c:val>
        </c:ser>
        <c:marker val="1"/>
        <c:axId val="161898880"/>
        <c:axId val="161900416"/>
      </c:lineChart>
      <c:catAx>
        <c:axId val="161898880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161900416"/>
        <c:crosses val="autoZero"/>
        <c:lblAlgn val="ctr"/>
        <c:lblOffset val="100"/>
      </c:catAx>
      <c:valAx>
        <c:axId val="161900416"/>
        <c:scaling>
          <c:orientation val="minMax"/>
          <c:max val="84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crossAx val="161898880"/>
        <c:crosses val="autoZero"/>
        <c:crossBetween val="between"/>
        <c:majorUnit val="40"/>
      </c:valAx>
      <c:spPr>
        <a:ln w="3175">
          <a:solidFill>
            <a:sysClr val="window" lastClr="FFFFFF">
              <a:lumMod val="75000"/>
            </a:sysClr>
          </a:solidFill>
        </a:ln>
      </c:spPr>
    </c:plotArea>
    <c:legend>
      <c:legendPos val="r"/>
      <c:layout>
        <c:manualLayout>
          <c:xMode val="edge"/>
          <c:yMode val="edge"/>
          <c:x val="0.7708437578715488"/>
          <c:y val="0.36007524389641232"/>
          <c:w val="0.21391082390681643"/>
          <c:h val="0.19938492106233544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3856345292334968"/>
          <c:h val="0.71687882764654698"/>
        </c:manualLayout>
      </c:layout>
      <c:lineChart>
        <c:grouping val="standard"/>
        <c:ser>
          <c:idx val="0"/>
          <c:order val="0"/>
          <c:tx>
            <c:strRef>
              <c:f>zaJul2012!$A$2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zaJul2012!$B$1:$N$1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zaJul2012!$B$2:$N$2</c:f>
              <c:numCache>
                <c:formatCode>General</c:formatCode>
                <c:ptCount val="13"/>
                <c:pt idx="0">
                  <c:v>408126</c:v>
                </c:pt>
                <c:pt idx="1">
                  <c:v>375252</c:v>
                </c:pt>
                <c:pt idx="2">
                  <c:v>423131</c:v>
                </c:pt>
                <c:pt idx="3">
                  <c:v>395756</c:v>
                </c:pt>
                <c:pt idx="4">
                  <c:v>393355</c:v>
                </c:pt>
                <c:pt idx="5">
                  <c:v>456660</c:v>
                </c:pt>
                <c:pt idx="6">
                  <c:v>290628</c:v>
                </c:pt>
                <c:pt idx="7">
                  <c:v>242652</c:v>
                </c:pt>
                <c:pt idx="8">
                  <c:v>474051</c:v>
                </c:pt>
                <c:pt idx="9">
                  <c:v>372455</c:v>
                </c:pt>
                <c:pt idx="10">
                  <c:v>382972</c:v>
                </c:pt>
                <c:pt idx="11">
                  <c:v>381176</c:v>
                </c:pt>
                <c:pt idx="12">
                  <c:v>427911</c:v>
                </c:pt>
              </c:numCache>
            </c:numRef>
          </c:val>
        </c:ser>
        <c:ser>
          <c:idx val="1"/>
          <c:order val="1"/>
          <c:tx>
            <c:strRef>
              <c:f>zaJul2012!$A$3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zaJul2012!$B$1:$N$1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zaJul2012!$B$3:$N$3</c:f>
              <c:numCache>
                <c:formatCode>General</c:formatCode>
                <c:ptCount val="13"/>
                <c:pt idx="0">
                  <c:v>214197</c:v>
                </c:pt>
                <c:pt idx="1">
                  <c:v>218421</c:v>
                </c:pt>
                <c:pt idx="2">
                  <c:v>248916</c:v>
                </c:pt>
                <c:pt idx="3">
                  <c:v>220845</c:v>
                </c:pt>
                <c:pt idx="4">
                  <c:v>225498</c:v>
                </c:pt>
                <c:pt idx="5">
                  <c:v>203576</c:v>
                </c:pt>
                <c:pt idx="6">
                  <c:v>158330</c:v>
                </c:pt>
                <c:pt idx="7">
                  <c:v>161327</c:v>
                </c:pt>
                <c:pt idx="8">
                  <c:v>214070</c:v>
                </c:pt>
                <c:pt idx="9">
                  <c:v>204803</c:v>
                </c:pt>
                <c:pt idx="10">
                  <c:v>227243</c:v>
                </c:pt>
                <c:pt idx="11">
                  <c:v>214185</c:v>
                </c:pt>
                <c:pt idx="12">
                  <c:v>218572</c:v>
                </c:pt>
              </c:numCache>
            </c:numRef>
          </c:val>
        </c:ser>
        <c:marker val="1"/>
        <c:axId val="162217984"/>
        <c:axId val="162219520"/>
      </c:lineChart>
      <c:catAx>
        <c:axId val="162217984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162219520"/>
        <c:crosses val="autoZero"/>
        <c:auto val="1"/>
        <c:lblAlgn val="ctr"/>
        <c:lblOffset val="100"/>
      </c:catAx>
      <c:valAx>
        <c:axId val="162219520"/>
        <c:scaling>
          <c:orientation val="minMax"/>
        </c:scaling>
        <c:axPos val="l"/>
        <c:majorGridlines>
          <c:spPr>
            <a:ln w="3175">
              <a:solidFill>
                <a:sysClr val="window" lastClr="FFFFFF">
                  <a:lumMod val="75000"/>
                </a:sysClr>
              </a:solidFill>
            </a:ln>
          </c:spPr>
        </c:majorGridlines>
        <c:numFmt formatCode="#\ ##0;\-#\ ##0" sourceLinked="0"/>
        <c:tickLblPos val="nextTo"/>
        <c:spPr>
          <a:ln w="6350">
            <a:solidFill>
              <a:schemeClr val="tx1"/>
            </a:solidFill>
          </a:ln>
        </c:spPr>
        <c:crossAx val="162217984"/>
        <c:crosses val="autoZero"/>
        <c:crossBetween val="between"/>
      </c:valAx>
      <c:spPr>
        <a:ln w="3175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5728765937151263"/>
          <c:y val="0.41628280839895487"/>
          <c:w val="0.13669099874979726"/>
          <c:h val="0.16743438320210208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B0B8-581D-45F8-8E54-6F207D47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3120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21740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14</cp:revision>
  <cp:lastPrinted>2012-08-23T07:34:00Z</cp:lastPrinted>
  <dcterms:created xsi:type="dcterms:W3CDTF">2012-08-20T08:54:00Z</dcterms:created>
  <dcterms:modified xsi:type="dcterms:W3CDTF">2012-08-23T08:22:00Z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